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A559" w14:textId="77777777" w:rsidR="00040C3A" w:rsidRPr="00EC55EA" w:rsidRDefault="00F83617" w:rsidP="00EC55EA">
      <w:pPr>
        <w:jc w:val="both"/>
        <w:rPr>
          <w:rFonts w:asciiTheme="majorHAnsi" w:hAnsiTheme="majorHAnsi" w:cs="Univers"/>
          <w:b/>
          <w:bCs/>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EB27690" wp14:editId="6F7B3A04">
                <wp:simplePos x="0" y="0"/>
                <wp:positionH relativeFrom="column">
                  <wp:posOffset>-415925</wp:posOffset>
                </wp:positionH>
                <wp:positionV relativeFrom="paragraph">
                  <wp:posOffset>-356870</wp:posOffset>
                </wp:positionV>
                <wp:extent cx="1409700" cy="897763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5E11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" fillcolor="#4a7194" stroked="f" strokeweight="2pt"/>
            </w:pict>
          </mc:Fallback>
        </mc:AlternateContent>
      </w:r>
      <w:r>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56DA522" wp14:editId="3A6508F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F4672" w14:textId="77777777" w:rsidR="00873D49" w:rsidRDefault="00873D49">
                            <w:r>
                              <w:rPr>
                                <w:noProof/>
                              </w:rPr>
                              <w:drawing>
                                <wp:inline distT="0" distB="0" distL="0" distR="0" wp14:anchorId="12DD25F3" wp14:editId="4905A75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DA522"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" filled="f" stroked="f" strokeweight=".5pt">
                <v:textbox>
                  <w:txbxContent>
                    <w:p w14:paraId="770F4672" w14:textId="77777777" w:rsidR="00873D49" w:rsidRDefault="00873D49">
                      <w:r>
                        <w:rPr>
                          <w:noProof/>
                        </w:rPr>
                        <w:drawing>
                          <wp:inline distT="0" distB="0" distL="0" distR="0" wp14:anchorId="12DD25F3" wp14:editId="4905A75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14:paraId="27B51FAD" w14:textId="77777777" w:rsidR="00040C3A" w:rsidRPr="00EC55EA" w:rsidRDefault="00040C3A" w:rsidP="00EC55EA">
      <w:pPr>
        <w:tabs>
          <w:tab w:val="center" w:pos="5400"/>
        </w:tabs>
        <w:suppressAutoHyphens/>
        <w:jc w:val="both"/>
        <w:rPr>
          <w:rFonts w:asciiTheme="majorHAnsi" w:hAnsiTheme="majorHAnsi"/>
          <w:sz w:val="20"/>
          <w:szCs w:val="20"/>
          <w:lang w:val="es-ES"/>
        </w:rPr>
      </w:pPr>
    </w:p>
    <w:p w14:paraId="6A8D003E" w14:textId="77777777" w:rsidR="00040C3A" w:rsidRPr="00EC55EA" w:rsidRDefault="00040C3A" w:rsidP="00EC55EA">
      <w:pPr>
        <w:tabs>
          <w:tab w:val="center" w:pos="5400"/>
        </w:tabs>
        <w:suppressAutoHyphens/>
        <w:jc w:val="both"/>
        <w:rPr>
          <w:rFonts w:asciiTheme="majorHAnsi" w:hAnsiTheme="majorHAnsi"/>
          <w:sz w:val="20"/>
          <w:szCs w:val="20"/>
          <w:lang w:val="es-ES"/>
        </w:rPr>
      </w:pPr>
    </w:p>
    <w:p w14:paraId="3E4F46E8" w14:textId="77777777" w:rsidR="005128E4" w:rsidRPr="00EC55EA" w:rsidRDefault="005128E4" w:rsidP="00EC55EA">
      <w:pPr>
        <w:tabs>
          <w:tab w:val="center" w:pos="5400"/>
        </w:tabs>
        <w:suppressAutoHyphens/>
        <w:rPr>
          <w:rFonts w:asciiTheme="majorHAnsi" w:hAnsiTheme="majorHAnsi"/>
          <w:sz w:val="20"/>
          <w:szCs w:val="20"/>
          <w:lang w:val="es-ES_tradnl"/>
        </w:rPr>
      </w:pPr>
    </w:p>
    <w:p w14:paraId="025FF9D8" w14:textId="77777777" w:rsidR="005128E4" w:rsidRPr="00EC55EA" w:rsidRDefault="005128E4" w:rsidP="00EC55EA">
      <w:pPr>
        <w:tabs>
          <w:tab w:val="center" w:pos="5400"/>
        </w:tabs>
        <w:suppressAutoHyphens/>
        <w:rPr>
          <w:rFonts w:asciiTheme="majorHAnsi" w:hAnsiTheme="majorHAnsi"/>
          <w:sz w:val="20"/>
          <w:szCs w:val="20"/>
          <w:lang w:val="es-ES_tradnl"/>
        </w:rPr>
      </w:pPr>
    </w:p>
    <w:p w14:paraId="3700727D" w14:textId="77777777" w:rsidR="005128E4" w:rsidRPr="00EC55EA" w:rsidRDefault="005128E4" w:rsidP="00EC55EA">
      <w:pPr>
        <w:tabs>
          <w:tab w:val="center" w:pos="5400"/>
        </w:tabs>
        <w:suppressAutoHyphens/>
        <w:rPr>
          <w:rFonts w:asciiTheme="majorHAnsi" w:hAnsiTheme="majorHAnsi"/>
          <w:sz w:val="20"/>
          <w:szCs w:val="20"/>
          <w:lang w:val="es-ES_tradnl"/>
        </w:rPr>
      </w:pPr>
    </w:p>
    <w:p w14:paraId="273506E5"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385655BC" w14:textId="77777777" w:rsidR="00040C3A" w:rsidRPr="00EC55EA" w:rsidRDefault="00F83617" w:rsidP="00EC55E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51155F4B" wp14:editId="3BF5943E">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7F6F9" w14:textId="77777777" w:rsidR="00873D49" w:rsidRDefault="00873D49" w:rsidP="004B7EB6">
                            <w:pPr>
                              <w:spacing w:line="276" w:lineRule="auto"/>
                              <w:rPr>
                                <w:rFonts w:asciiTheme="majorHAnsi" w:hAnsiTheme="majorHAnsi" w:cs="Arial"/>
                                <w:b/>
                                <w:bCs/>
                                <w:color w:val="0D0D0D" w:themeColor="text1" w:themeTint="F2"/>
                                <w:sz w:val="36"/>
                                <w:szCs w:val="40"/>
                              </w:rPr>
                            </w:pPr>
                          </w:p>
                          <w:p w14:paraId="7D5AA4B1" w14:textId="77777777" w:rsidR="00873D49" w:rsidRDefault="00873D49" w:rsidP="004B7EB6">
                            <w:pPr>
                              <w:spacing w:line="276" w:lineRule="auto"/>
                              <w:rPr>
                                <w:rFonts w:asciiTheme="majorHAnsi" w:hAnsiTheme="majorHAnsi" w:cs="Arial"/>
                                <w:b/>
                                <w:bCs/>
                                <w:color w:val="0D0D0D" w:themeColor="text1" w:themeTint="F2"/>
                                <w:sz w:val="36"/>
                                <w:szCs w:val="40"/>
                              </w:rPr>
                            </w:pPr>
                          </w:p>
                          <w:p w14:paraId="196D0C45" w14:textId="77777777" w:rsidR="00873D49" w:rsidRDefault="00873D49" w:rsidP="004B7EB6">
                            <w:pPr>
                              <w:spacing w:line="276" w:lineRule="auto"/>
                              <w:rPr>
                                <w:rFonts w:asciiTheme="majorHAnsi" w:hAnsiTheme="majorHAnsi" w:cs="Arial"/>
                                <w:b/>
                                <w:bCs/>
                                <w:color w:val="0D0D0D" w:themeColor="text1" w:themeTint="F2"/>
                                <w:sz w:val="36"/>
                                <w:szCs w:val="40"/>
                              </w:rPr>
                            </w:pPr>
                          </w:p>
                          <w:p w14:paraId="077C7130" w14:textId="77777777" w:rsidR="00873D49" w:rsidRDefault="00873D49" w:rsidP="004B7EB6">
                            <w:pPr>
                              <w:spacing w:line="276" w:lineRule="auto"/>
                              <w:rPr>
                                <w:rFonts w:asciiTheme="majorHAnsi" w:hAnsiTheme="majorHAnsi" w:cs="Arial"/>
                                <w:b/>
                                <w:bCs/>
                                <w:color w:val="0D0D0D" w:themeColor="text1" w:themeTint="F2"/>
                                <w:sz w:val="36"/>
                                <w:szCs w:val="40"/>
                              </w:rPr>
                            </w:pPr>
                          </w:p>
                          <w:p w14:paraId="4C0EE1CE" w14:textId="0299977F" w:rsidR="00873D49" w:rsidRPr="006E3733" w:rsidRDefault="00873D49" w:rsidP="004B7EB6">
                            <w:pPr>
                              <w:spacing w:line="276" w:lineRule="auto"/>
                              <w:rPr>
                                <w:rFonts w:asciiTheme="majorHAnsi" w:hAnsiTheme="majorHAnsi" w:cs="Arial"/>
                                <w:b/>
                                <w:bCs/>
                                <w:color w:val="0D0D0D" w:themeColor="text1" w:themeTint="F2"/>
                                <w:sz w:val="36"/>
                                <w:szCs w:val="40"/>
                                <w:lang w:val="es-US"/>
                              </w:rPr>
                            </w:pPr>
                            <w:r w:rsidRPr="006E3733">
                              <w:rPr>
                                <w:rFonts w:asciiTheme="majorHAnsi" w:hAnsiTheme="majorHAnsi" w:cs="Arial"/>
                                <w:b/>
                                <w:bCs/>
                                <w:color w:val="0D0D0D" w:themeColor="text1" w:themeTint="F2"/>
                                <w:sz w:val="36"/>
                                <w:szCs w:val="40"/>
                                <w:lang w:val="es-US"/>
                              </w:rPr>
                              <w:t xml:space="preserve">INFORME No. </w:t>
                            </w:r>
                            <w:r w:rsidR="008379F8" w:rsidRPr="006E3733">
                              <w:rPr>
                                <w:rFonts w:asciiTheme="majorHAnsi" w:hAnsiTheme="majorHAnsi" w:cs="Arial"/>
                                <w:b/>
                                <w:bCs/>
                                <w:color w:val="0D0D0D" w:themeColor="text1" w:themeTint="F2"/>
                                <w:sz w:val="36"/>
                                <w:szCs w:val="40"/>
                                <w:lang w:val="es-US"/>
                              </w:rPr>
                              <w:t>453</w:t>
                            </w:r>
                            <w:r w:rsidRPr="006E3733">
                              <w:rPr>
                                <w:rFonts w:asciiTheme="majorHAnsi" w:hAnsiTheme="majorHAnsi" w:cs="Arial"/>
                                <w:b/>
                                <w:bCs/>
                                <w:color w:val="0D0D0D" w:themeColor="text1" w:themeTint="F2"/>
                                <w:sz w:val="36"/>
                                <w:szCs w:val="40"/>
                                <w:lang w:val="es-US"/>
                              </w:rPr>
                              <w:t>/21</w:t>
                            </w:r>
                          </w:p>
                          <w:p w14:paraId="71F96B7B" w14:textId="77777777" w:rsidR="00873D49" w:rsidRPr="00B443C8" w:rsidRDefault="00873D49" w:rsidP="004B7EB6">
                            <w:pPr>
                              <w:spacing w:line="276" w:lineRule="auto"/>
                              <w:rPr>
                                <w:rFonts w:asciiTheme="majorHAnsi" w:hAnsiTheme="majorHAnsi" w:cs="Arial"/>
                                <w:b/>
                                <w:bCs/>
                                <w:color w:val="0D0D0D" w:themeColor="text1" w:themeTint="F2"/>
                                <w:sz w:val="36"/>
                                <w:szCs w:val="40"/>
                                <w:lang w:val="es-ES"/>
                              </w:rPr>
                            </w:pPr>
                            <w:r w:rsidRPr="00B443C8">
                              <w:rPr>
                                <w:rFonts w:asciiTheme="majorHAnsi" w:hAnsiTheme="majorHAnsi" w:cs="Arial"/>
                                <w:b/>
                                <w:bCs/>
                                <w:color w:val="0D0D0D" w:themeColor="text1" w:themeTint="F2"/>
                                <w:sz w:val="36"/>
                                <w:szCs w:val="40"/>
                                <w:lang w:val="es-ES"/>
                              </w:rPr>
                              <w:t>CASO 13.339</w:t>
                            </w:r>
                          </w:p>
                          <w:p w14:paraId="089D511D" w14:textId="175B5726" w:rsidR="00873D49" w:rsidRPr="00B443C8" w:rsidRDefault="00873D49" w:rsidP="00F45EBF">
                            <w:pPr>
                              <w:spacing w:line="276" w:lineRule="auto"/>
                              <w:rPr>
                                <w:rFonts w:asciiTheme="majorHAnsi" w:hAnsiTheme="majorHAnsi" w:cs="Arial"/>
                                <w:color w:val="0D0D0D" w:themeColor="text1" w:themeTint="F2"/>
                                <w:szCs w:val="22"/>
                                <w:lang w:val="es-ES"/>
                              </w:rPr>
                            </w:pPr>
                            <w:r w:rsidRPr="00B443C8">
                              <w:rPr>
                                <w:rFonts w:asciiTheme="majorHAnsi" w:hAnsiTheme="majorHAnsi" w:cs="Arial"/>
                                <w:color w:val="0D0D0D" w:themeColor="text1" w:themeTint="F2"/>
                                <w:szCs w:val="22"/>
                                <w:lang w:val="es-ES"/>
                              </w:rPr>
                              <w:t>INFORME DE ADMISIBILIDAD Y FONDO</w:t>
                            </w:r>
                            <w:r>
                              <w:rPr>
                                <w:rFonts w:asciiTheme="majorHAnsi" w:hAnsiTheme="majorHAnsi" w:cs="Arial"/>
                                <w:color w:val="0D0D0D" w:themeColor="text1" w:themeTint="F2"/>
                                <w:szCs w:val="22"/>
                                <w:lang w:val="es-ES"/>
                              </w:rPr>
                              <w:t xml:space="preserve"> (</w:t>
                            </w:r>
                            <w:r w:rsidRPr="008379F8">
                              <w:rPr>
                                <w:rFonts w:asciiTheme="majorHAnsi" w:hAnsiTheme="majorHAnsi" w:cs="Arial"/>
                                <w:color w:val="0D0D0D" w:themeColor="text1" w:themeTint="F2"/>
                                <w:szCs w:val="22"/>
                                <w:lang w:val="es-ES"/>
                              </w:rPr>
                              <w:t>PUBLICACIÓN)</w:t>
                            </w:r>
                          </w:p>
                          <w:p w14:paraId="163D69BA" w14:textId="77777777" w:rsidR="00873D49" w:rsidRPr="00B443C8" w:rsidRDefault="00873D49" w:rsidP="004B7EB6">
                            <w:pPr>
                              <w:spacing w:line="276" w:lineRule="auto"/>
                              <w:rPr>
                                <w:rFonts w:asciiTheme="majorHAnsi" w:hAnsiTheme="majorHAnsi" w:cs="Arial"/>
                                <w:color w:val="0D0D0D" w:themeColor="text1" w:themeTint="F2"/>
                                <w:szCs w:val="22"/>
                                <w:lang w:val="es-ES"/>
                              </w:rPr>
                            </w:pPr>
                          </w:p>
                          <w:p w14:paraId="4D0DD425" w14:textId="77777777" w:rsidR="00873D49" w:rsidRPr="00E36893" w:rsidRDefault="00873D49" w:rsidP="004B7EB6">
                            <w:pPr>
                              <w:spacing w:line="276" w:lineRule="auto"/>
                              <w:rPr>
                                <w:rFonts w:asciiTheme="majorHAnsi" w:hAnsiTheme="majorHAnsi" w:cs="Arial"/>
                                <w:color w:val="0D0D0D" w:themeColor="text1" w:themeTint="F2"/>
                                <w:szCs w:val="22"/>
                                <w:lang w:val="es-ES"/>
                              </w:rPr>
                            </w:pPr>
                            <w:r w:rsidRPr="00E36893">
                              <w:rPr>
                                <w:rFonts w:asciiTheme="majorHAnsi" w:hAnsiTheme="majorHAnsi" w:cs="Arial"/>
                                <w:color w:val="0D0D0D" w:themeColor="text1" w:themeTint="F2"/>
                                <w:szCs w:val="22"/>
                                <w:lang w:val="es-ES"/>
                              </w:rPr>
                              <w:t>MANUEL VALLE</w:t>
                            </w:r>
                          </w:p>
                          <w:p w14:paraId="26906589" w14:textId="77777777" w:rsidR="00873D49" w:rsidRPr="00E36893" w:rsidRDefault="00873D49" w:rsidP="008D2EA5">
                            <w:pPr>
                              <w:spacing w:line="276" w:lineRule="auto"/>
                              <w:jc w:val="both"/>
                              <w:rPr>
                                <w:rFonts w:asciiTheme="majorHAnsi" w:hAnsiTheme="majorHAnsi"/>
                                <w:color w:val="0D0D0D" w:themeColor="text1" w:themeTint="F2"/>
                                <w:lang w:val="es-ES"/>
                              </w:rPr>
                            </w:pPr>
                            <w:r w:rsidRPr="00E36893">
                              <w:rPr>
                                <w:rFonts w:asciiTheme="majorHAnsi" w:hAnsiTheme="majorHAnsi" w:cs="Arial"/>
                                <w:color w:val="0D0D0D" w:themeColor="text1" w:themeTint="F2"/>
                                <w:szCs w:val="22"/>
                                <w:lang w:val="es-ES"/>
                              </w:rPr>
                              <w:t>ESTADOS UNIDOS DE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55F4B" id="_x0000_t202" coordsize="21600,21600" o:spt="202" path="m,l,21600r21600,l21600,xe">
                <v:stroke joinstyle="miter"/>
                <v:path gradientshapeok="t" o:connecttype="rect"/>
              </v:shapetype>
              <v:shape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" filled="f" stroked="f" strokeweight=".5pt">
                <v:textbox>
                  <w:txbxContent>
                    <w:p w14:paraId="67C7F6F9" w14:textId="77777777" w:rsidR="00873D49" w:rsidRDefault="00873D49" w:rsidP="004B7EB6">
                      <w:pPr>
                        <w:spacing w:line="276" w:lineRule="auto"/>
                        <w:rPr>
                          <w:rFonts w:asciiTheme="majorHAnsi" w:hAnsiTheme="majorHAnsi" w:cs="Arial"/>
                          <w:b/>
                          <w:bCs/>
                          <w:color w:val="0D0D0D" w:themeColor="text1" w:themeTint="F2"/>
                          <w:sz w:val="36"/>
                          <w:szCs w:val="40"/>
                        </w:rPr>
                      </w:pPr>
                    </w:p>
                    <w:p w14:paraId="7D5AA4B1" w14:textId="77777777" w:rsidR="00873D49" w:rsidRDefault="00873D49" w:rsidP="004B7EB6">
                      <w:pPr>
                        <w:spacing w:line="276" w:lineRule="auto"/>
                        <w:rPr>
                          <w:rFonts w:asciiTheme="majorHAnsi" w:hAnsiTheme="majorHAnsi" w:cs="Arial"/>
                          <w:b/>
                          <w:bCs/>
                          <w:color w:val="0D0D0D" w:themeColor="text1" w:themeTint="F2"/>
                          <w:sz w:val="36"/>
                          <w:szCs w:val="40"/>
                        </w:rPr>
                      </w:pPr>
                    </w:p>
                    <w:p w14:paraId="196D0C45" w14:textId="77777777" w:rsidR="00873D49" w:rsidRDefault="00873D49" w:rsidP="004B7EB6">
                      <w:pPr>
                        <w:spacing w:line="276" w:lineRule="auto"/>
                        <w:rPr>
                          <w:rFonts w:asciiTheme="majorHAnsi" w:hAnsiTheme="majorHAnsi" w:cs="Arial"/>
                          <w:b/>
                          <w:bCs/>
                          <w:color w:val="0D0D0D" w:themeColor="text1" w:themeTint="F2"/>
                          <w:sz w:val="36"/>
                          <w:szCs w:val="40"/>
                        </w:rPr>
                      </w:pPr>
                    </w:p>
                    <w:p w14:paraId="077C7130" w14:textId="77777777" w:rsidR="00873D49" w:rsidRDefault="00873D49" w:rsidP="004B7EB6">
                      <w:pPr>
                        <w:spacing w:line="276" w:lineRule="auto"/>
                        <w:rPr>
                          <w:rFonts w:asciiTheme="majorHAnsi" w:hAnsiTheme="majorHAnsi" w:cs="Arial"/>
                          <w:b/>
                          <w:bCs/>
                          <w:color w:val="0D0D0D" w:themeColor="text1" w:themeTint="F2"/>
                          <w:sz w:val="36"/>
                          <w:szCs w:val="40"/>
                        </w:rPr>
                      </w:pPr>
                    </w:p>
                    <w:p w14:paraId="4C0EE1CE" w14:textId="0299977F" w:rsidR="00873D49" w:rsidRPr="006E3733" w:rsidRDefault="00873D49" w:rsidP="004B7EB6">
                      <w:pPr>
                        <w:spacing w:line="276" w:lineRule="auto"/>
                        <w:rPr>
                          <w:rFonts w:asciiTheme="majorHAnsi" w:hAnsiTheme="majorHAnsi" w:cs="Arial"/>
                          <w:b/>
                          <w:bCs/>
                          <w:color w:val="0D0D0D" w:themeColor="text1" w:themeTint="F2"/>
                          <w:sz w:val="36"/>
                          <w:szCs w:val="40"/>
                          <w:lang w:val="es-US"/>
                        </w:rPr>
                      </w:pPr>
                      <w:r w:rsidRPr="006E3733">
                        <w:rPr>
                          <w:rFonts w:asciiTheme="majorHAnsi" w:hAnsiTheme="majorHAnsi" w:cs="Arial"/>
                          <w:b/>
                          <w:bCs/>
                          <w:color w:val="0D0D0D" w:themeColor="text1" w:themeTint="F2"/>
                          <w:sz w:val="36"/>
                          <w:szCs w:val="40"/>
                          <w:lang w:val="es-US"/>
                        </w:rPr>
                        <w:t xml:space="preserve">INFORME No. </w:t>
                      </w:r>
                      <w:r w:rsidR="008379F8" w:rsidRPr="006E3733">
                        <w:rPr>
                          <w:rFonts w:asciiTheme="majorHAnsi" w:hAnsiTheme="majorHAnsi" w:cs="Arial"/>
                          <w:b/>
                          <w:bCs/>
                          <w:color w:val="0D0D0D" w:themeColor="text1" w:themeTint="F2"/>
                          <w:sz w:val="36"/>
                          <w:szCs w:val="40"/>
                          <w:lang w:val="es-US"/>
                        </w:rPr>
                        <w:t>453</w:t>
                      </w:r>
                      <w:r w:rsidRPr="006E3733">
                        <w:rPr>
                          <w:rFonts w:asciiTheme="majorHAnsi" w:hAnsiTheme="majorHAnsi" w:cs="Arial"/>
                          <w:b/>
                          <w:bCs/>
                          <w:color w:val="0D0D0D" w:themeColor="text1" w:themeTint="F2"/>
                          <w:sz w:val="36"/>
                          <w:szCs w:val="40"/>
                          <w:lang w:val="es-US"/>
                        </w:rPr>
                        <w:t>/21</w:t>
                      </w:r>
                    </w:p>
                    <w:p w14:paraId="71F96B7B" w14:textId="77777777" w:rsidR="00873D49" w:rsidRPr="00B443C8" w:rsidRDefault="00873D49" w:rsidP="004B7EB6">
                      <w:pPr>
                        <w:spacing w:line="276" w:lineRule="auto"/>
                        <w:rPr>
                          <w:rFonts w:asciiTheme="majorHAnsi" w:hAnsiTheme="majorHAnsi" w:cs="Arial"/>
                          <w:b/>
                          <w:bCs/>
                          <w:color w:val="0D0D0D" w:themeColor="text1" w:themeTint="F2"/>
                          <w:sz w:val="36"/>
                          <w:szCs w:val="40"/>
                          <w:lang w:val="es-ES"/>
                        </w:rPr>
                      </w:pPr>
                      <w:r w:rsidRPr="00B443C8">
                        <w:rPr>
                          <w:rFonts w:asciiTheme="majorHAnsi" w:hAnsiTheme="majorHAnsi" w:cs="Arial"/>
                          <w:b/>
                          <w:bCs/>
                          <w:color w:val="0D0D0D" w:themeColor="text1" w:themeTint="F2"/>
                          <w:sz w:val="36"/>
                          <w:szCs w:val="40"/>
                          <w:lang w:val="es-ES"/>
                        </w:rPr>
                        <w:t>CASO 13.339</w:t>
                      </w:r>
                    </w:p>
                    <w:p w14:paraId="089D511D" w14:textId="175B5726" w:rsidR="00873D49" w:rsidRPr="00B443C8" w:rsidRDefault="00873D49" w:rsidP="00F45EBF">
                      <w:pPr>
                        <w:spacing w:line="276" w:lineRule="auto"/>
                        <w:rPr>
                          <w:rFonts w:asciiTheme="majorHAnsi" w:hAnsiTheme="majorHAnsi" w:cs="Arial"/>
                          <w:color w:val="0D0D0D" w:themeColor="text1" w:themeTint="F2"/>
                          <w:szCs w:val="22"/>
                          <w:lang w:val="es-ES"/>
                        </w:rPr>
                      </w:pPr>
                      <w:r w:rsidRPr="00B443C8">
                        <w:rPr>
                          <w:rFonts w:asciiTheme="majorHAnsi" w:hAnsiTheme="majorHAnsi" w:cs="Arial"/>
                          <w:color w:val="0D0D0D" w:themeColor="text1" w:themeTint="F2"/>
                          <w:szCs w:val="22"/>
                          <w:lang w:val="es-ES"/>
                        </w:rPr>
                        <w:t>INFORME DE ADMISIBILIDAD Y FONDO</w:t>
                      </w:r>
                      <w:r>
                        <w:rPr>
                          <w:rFonts w:asciiTheme="majorHAnsi" w:hAnsiTheme="majorHAnsi" w:cs="Arial"/>
                          <w:color w:val="0D0D0D" w:themeColor="text1" w:themeTint="F2"/>
                          <w:szCs w:val="22"/>
                          <w:lang w:val="es-ES"/>
                        </w:rPr>
                        <w:t xml:space="preserve"> (</w:t>
                      </w:r>
                      <w:r w:rsidRPr="008379F8">
                        <w:rPr>
                          <w:rFonts w:asciiTheme="majorHAnsi" w:hAnsiTheme="majorHAnsi" w:cs="Arial"/>
                          <w:color w:val="0D0D0D" w:themeColor="text1" w:themeTint="F2"/>
                          <w:szCs w:val="22"/>
                          <w:lang w:val="es-ES"/>
                        </w:rPr>
                        <w:t>PUBLICACIÓN)</w:t>
                      </w:r>
                    </w:p>
                    <w:p w14:paraId="163D69BA" w14:textId="77777777" w:rsidR="00873D49" w:rsidRPr="00B443C8" w:rsidRDefault="00873D49" w:rsidP="004B7EB6">
                      <w:pPr>
                        <w:spacing w:line="276" w:lineRule="auto"/>
                        <w:rPr>
                          <w:rFonts w:asciiTheme="majorHAnsi" w:hAnsiTheme="majorHAnsi" w:cs="Arial"/>
                          <w:color w:val="0D0D0D" w:themeColor="text1" w:themeTint="F2"/>
                          <w:szCs w:val="22"/>
                          <w:lang w:val="es-ES"/>
                        </w:rPr>
                      </w:pPr>
                    </w:p>
                    <w:p w14:paraId="4D0DD425" w14:textId="77777777" w:rsidR="00873D49" w:rsidRPr="00E36893" w:rsidRDefault="00873D49" w:rsidP="004B7EB6">
                      <w:pPr>
                        <w:spacing w:line="276" w:lineRule="auto"/>
                        <w:rPr>
                          <w:rFonts w:asciiTheme="majorHAnsi" w:hAnsiTheme="majorHAnsi" w:cs="Arial"/>
                          <w:color w:val="0D0D0D" w:themeColor="text1" w:themeTint="F2"/>
                          <w:szCs w:val="22"/>
                          <w:lang w:val="es-ES"/>
                        </w:rPr>
                      </w:pPr>
                      <w:r w:rsidRPr="00E36893">
                        <w:rPr>
                          <w:rFonts w:asciiTheme="majorHAnsi" w:hAnsiTheme="majorHAnsi" w:cs="Arial"/>
                          <w:color w:val="0D0D0D" w:themeColor="text1" w:themeTint="F2"/>
                          <w:szCs w:val="22"/>
                          <w:lang w:val="es-ES"/>
                        </w:rPr>
                        <w:t>MANUEL VALLE</w:t>
                      </w:r>
                    </w:p>
                    <w:p w14:paraId="26906589" w14:textId="77777777" w:rsidR="00873D49" w:rsidRPr="00E36893" w:rsidRDefault="00873D49" w:rsidP="008D2EA5">
                      <w:pPr>
                        <w:spacing w:line="276" w:lineRule="auto"/>
                        <w:jc w:val="both"/>
                        <w:rPr>
                          <w:rFonts w:asciiTheme="majorHAnsi" w:hAnsiTheme="majorHAnsi"/>
                          <w:color w:val="0D0D0D" w:themeColor="text1" w:themeTint="F2"/>
                          <w:lang w:val="es-ES"/>
                        </w:rPr>
                      </w:pPr>
                      <w:r w:rsidRPr="00E36893">
                        <w:rPr>
                          <w:rFonts w:asciiTheme="majorHAnsi" w:hAnsiTheme="majorHAnsi" w:cs="Arial"/>
                          <w:color w:val="0D0D0D" w:themeColor="text1" w:themeTint="F2"/>
                          <w:szCs w:val="22"/>
                          <w:lang w:val="es-ES"/>
                        </w:rPr>
                        <w:t>ESTADOS UNIDOS DE AMERICA</w:t>
                      </w:r>
                    </w:p>
                  </w:txbxContent>
                </v:textbox>
              </v:shape>
            </w:pict>
          </mc:Fallback>
        </mc:AlternateContent>
      </w:r>
    </w:p>
    <w:p w14:paraId="6323DF44" w14:textId="77777777" w:rsidR="005B52B0" w:rsidRPr="00EC55EA" w:rsidRDefault="005B52B0" w:rsidP="00EC55EA">
      <w:pPr>
        <w:tabs>
          <w:tab w:val="center" w:pos="5400"/>
        </w:tabs>
        <w:suppressAutoHyphens/>
        <w:jc w:val="center"/>
        <w:rPr>
          <w:rFonts w:asciiTheme="majorHAnsi" w:hAnsiTheme="majorHAnsi"/>
          <w:sz w:val="20"/>
          <w:szCs w:val="20"/>
          <w:lang w:val="es-ES_tradnl"/>
        </w:rPr>
      </w:pPr>
    </w:p>
    <w:p w14:paraId="723928F7" w14:textId="77777777" w:rsidR="005B52B0" w:rsidRPr="00EC55EA" w:rsidRDefault="005B52B0" w:rsidP="00EC55EA">
      <w:pPr>
        <w:tabs>
          <w:tab w:val="center" w:pos="5400"/>
        </w:tabs>
        <w:suppressAutoHyphens/>
        <w:jc w:val="center"/>
        <w:rPr>
          <w:rFonts w:asciiTheme="majorHAnsi" w:hAnsiTheme="majorHAnsi"/>
          <w:sz w:val="20"/>
          <w:szCs w:val="20"/>
          <w:lang w:val="es-ES_tradnl"/>
        </w:rPr>
      </w:pPr>
    </w:p>
    <w:p w14:paraId="15E56FD6" w14:textId="77777777" w:rsidR="005B52B0" w:rsidRPr="00EC55EA" w:rsidRDefault="005B52B0" w:rsidP="00EC55EA">
      <w:pPr>
        <w:tabs>
          <w:tab w:val="center" w:pos="5400"/>
        </w:tabs>
        <w:suppressAutoHyphens/>
        <w:jc w:val="center"/>
        <w:rPr>
          <w:rFonts w:asciiTheme="majorHAnsi" w:hAnsiTheme="majorHAnsi"/>
          <w:sz w:val="20"/>
          <w:szCs w:val="20"/>
          <w:lang w:val="es-ES_tradnl"/>
        </w:rPr>
      </w:pPr>
    </w:p>
    <w:p w14:paraId="1E0031FF"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088AC188"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4E2F333B"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03CD3A73"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73480359" w14:textId="77777777" w:rsidR="00040C3A" w:rsidRPr="00EC55EA" w:rsidRDefault="00F83617" w:rsidP="00EC55E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744D9C0" wp14:editId="076282AE">
                <wp:simplePos x="0" y="0"/>
                <wp:positionH relativeFrom="column">
                  <wp:posOffset>-370205</wp:posOffset>
                </wp:positionH>
                <wp:positionV relativeFrom="paragraph">
                  <wp:posOffset>43180</wp:posOffset>
                </wp:positionV>
                <wp:extent cx="1334135" cy="835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8AFE0" w14:textId="06954CC3" w:rsidR="00873D49" w:rsidRPr="005F55DC" w:rsidRDefault="00873D49" w:rsidP="002C1641">
                            <w:pPr>
                              <w:jc w:val="right"/>
                              <w:rPr>
                                <w:rFonts w:asciiTheme="minorHAnsi" w:hAnsiTheme="minorHAnsi"/>
                                <w:color w:val="FFFFFF" w:themeColor="background1"/>
                                <w:sz w:val="22"/>
                                <w:lang w:val="es-CO"/>
                              </w:rPr>
                            </w:pPr>
                            <w:r w:rsidRPr="005F55DC">
                              <w:rPr>
                                <w:rFonts w:asciiTheme="minorHAnsi" w:hAnsiTheme="minorHAnsi"/>
                                <w:color w:val="FFFFFF" w:themeColor="background1"/>
                                <w:sz w:val="22"/>
                                <w:lang w:val="es-CO"/>
                              </w:rPr>
                              <w:t>OEA/</w:t>
                            </w:r>
                            <w:proofErr w:type="spellStart"/>
                            <w:r w:rsidRPr="005F55DC">
                              <w:rPr>
                                <w:rFonts w:asciiTheme="minorHAnsi" w:hAnsiTheme="minorHAnsi"/>
                                <w:color w:val="FFFFFF" w:themeColor="background1"/>
                                <w:sz w:val="22"/>
                                <w:lang w:val="es-CO"/>
                              </w:rPr>
                              <w:t>Ser.L</w:t>
                            </w:r>
                            <w:proofErr w:type="spellEnd"/>
                            <w:r w:rsidRPr="005F55DC">
                              <w:rPr>
                                <w:rFonts w:asciiTheme="minorHAnsi" w:hAnsiTheme="minorHAnsi"/>
                                <w:color w:val="FFFFFF" w:themeColor="background1"/>
                                <w:sz w:val="22"/>
                                <w:lang w:val="es-CO"/>
                              </w:rPr>
                              <w:t>/V/II</w:t>
                            </w:r>
                          </w:p>
                          <w:p w14:paraId="6AAFDFDE" w14:textId="71F63A76" w:rsidR="00873D49" w:rsidRPr="00E36893" w:rsidRDefault="00873D49" w:rsidP="002C1641">
                            <w:pPr>
                              <w:jc w:val="right"/>
                              <w:rPr>
                                <w:rFonts w:asciiTheme="minorHAnsi" w:hAnsiTheme="minorHAnsi"/>
                                <w:color w:val="FFFFFF" w:themeColor="background1"/>
                                <w:sz w:val="22"/>
                                <w:lang w:val="es-ES"/>
                              </w:rPr>
                            </w:pPr>
                            <w:r w:rsidRPr="00E36893">
                              <w:rPr>
                                <w:rFonts w:asciiTheme="minorHAnsi" w:hAnsiTheme="minorHAnsi"/>
                                <w:color w:val="FFFFFF" w:themeColor="background1"/>
                                <w:sz w:val="22"/>
                                <w:lang w:val="es-ES"/>
                              </w:rPr>
                              <w:t xml:space="preserve">Doc. </w:t>
                            </w:r>
                            <w:r w:rsidR="008379F8">
                              <w:rPr>
                                <w:rFonts w:asciiTheme="minorHAnsi" w:hAnsiTheme="minorHAnsi"/>
                                <w:color w:val="FFFFFF" w:themeColor="background1"/>
                                <w:sz w:val="22"/>
                                <w:lang w:val="es-ES"/>
                              </w:rPr>
                              <w:t>467</w:t>
                            </w:r>
                          </w:p>
                          <w:p w14:paraId="782C2A07" w14:textId="77890E45" w:rsidR="00873D49" w:rsidRPr="00B443C8" w:rsidRDefault="008379F8" w:rsidP="002C1641">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w:t>
                            </w:r>
                            <w:r w:rsidR="00873D49" w:rsidRPr="00B443C8">
                              <w:rPr>
                                <w:rFonts w:asciiTheme="minorHAnsi" w:hAnsiTheme="minorHAnsi"/>
                                <w:color w:val="FFFFFF" w:themeColor="background1"/>
                                <w:sz w:val="22"/>
                                <w:lang w:val="es-ES"/>
                              </w:rPr>
                              <w:t xml:space="preserve"> </w:t>
                            </w:r>
                            <w:r w:rsidR="00873D49">
                              <w:rPr>
                                <w:rFonts w:asciiTheme="minorHAnsi" w:hAnsiTheme="minorHAnsi"/>
                                <w:color w:val="FFFFFF" w:themeColor="background1"/>
                                <w:sz w:val="22"/>
                                <w:lang w:val="es-ES"/>
                              </w:rPr>
                              <w:t>diciembre</w:t>
                            </w:r>
                            <w:r w:rsidR="00873D49" w:rsidRPr="00B443C8">
                              <w:rPr>
                                <w:rFonts w:asciiTheme="minorHAnsi" w:hAnsiTheme="minorHAnsi"/>
                                <w:color w:val="FFFFFF" w:themeColor="background1"/>
                                <w:sz w:val="22"/>
                                <w:lang w:val="es-ES"/>
                              </w:rPr>
                              <w:t xml:space="preserve"> 202</w:t>
                            </w:r>
                            <w:r w:rsidR="00873D49">
                              <w:rPr>
                                <w:rFonts w:asciiTheme="minorHAnsi" w:hAnsiTheme="minorHAnsi"/>
                                <w:color w:val="FFFFFF" w:themeColor="background1"/>
                                <w:sz w:val="22"/>
                                <w:lang w:val="es-ES"/>
                              </w:rPr>
                              <w:t>1</w:t>
                            </w:r>
                          </w:p>
                          <w:p w14:paraId="51553B57" w14:textId="77777777" w:rsidR="00873D49" w:rsidRPr="00B443C8" w:rsidRDefault="00873D49" w:rsidP="002C1641">
                            <w:pPr>
                              <w:jc w:val="right"/>
                              <w:rPr>
                                <w:rFonts w:asciiTheme="minorHAnsi" w:hAnsiTheme="minorHAnsi"/>
                                <w:color w:val="FFFFFF" w:themeColor="background1"/>
                                <w:sz w:val="22"/>
                                <w:lang w:val="es-ES"/>
                              </w:rPr>
                            </w:pPr>
                            <w:r w:rsidRPr="00B443C8">
                              <w:rPr>
                                <w:rFonts w:asciiTheme="minorHAnsi" w:hAnsiTheme="minorHAnsi"/>
                                <w:color w:val="FFFFFF" w:themeColor="background1"/>
                                <w:sz w:val="22"/>
                                <w:lang w:val="es-ES"/>
                              </w:rPr>
                              <w:t>Original: ingl</w:t>
                            </w:r>
                            <w:r>
                              <w:rPr>
                                <w:rFonts w:asciiTheme="minorHAnsi" w:hAnsiTheme="minorHAnsi"/>
                                <w:color w:val="FFFFFF" w:themeColor="background1"/>
                                <w:sz w:val="22"/>
                                <w:lang w:val="es-ES"/>
                              </w:rPr>
                              <w: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4D9C0"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" filled="f" stroked="f" strokeweight=".5pt">
                <v:textbox>
                  <w:txbxContent>
                    <w:p w14:paraId="25E8AFE0" w14:textId="06954CC3" w:rsidR="00873D49" w:rsidRPr="005F55DC" w:rsidRDefault="00873D49" w:rsidP="002C1641">
                      <w:pPr>
                        <w:jc w:val="right"/>
                        <w:rPr>
                          <w:rFonts w:asciiTheme="minorHAnsi" w:hAnsiTheme="minorHAnsi"/>
                          <w:color w:val="FFFFFF" w:themeColor="background1"/>
                          <w:sz w:val="22"/>
                          <w:lang w:val="es-CO"/>
                        </w:rPr>
                      </w:pPr>
                      <w:r w:rsidRPr="005F55DC">
                        <w:rPr>
                          <w:rFonts w:asciiTheme="minorHAnsi" w:hAnsiTheme="minorHAnsi"/>
                          <w:color w:val="FFFFFF" w:themeColor="background1"/>
                          <w:sz w:val="22"/>
                          <w:lang w:val="es-CO"/>
                        </w:rPr>
                        <w:t>OEA/Ser.L/V/II</w:t>
                      </w:r>
                    </w:p>
                    <w:p w14:paraId="6AAFDFDE" w14:textId="71F63A76" w:rsidR="00873D49" w:rsidRPr="00E36893" w:rsidRDefault="00873D49" w:rsidP="002C1641">
                      <w:pPr>
                        <w:jc w:val="right"/>
                        <w:rPr>
                          <w:rFonts w:asciiTheme="minorHAnsi" w:hAnsiTheme="minorHAnsi"/>
                          <w:color w:val="FFFFFF" w:themeColor="background1"/>
                          <w:sz w:val="22"/>
                          <w:lang w:val="es-ES"/>
                        </w:rPr>
                      </w:pPr>
                      <w:r w:rsidRPr="00E36893">
                        <w:rPr>
                          <w:rFonts w:asciiTheme="minorHAnsi" w:hAnsiTheme="minorHAnsi"/>
                          <w:color w:val="FFFFFF" w:themeColor="background1"/>
                          <w:sz w:val="22"/>
                          <w:lang w:val="es-ES"/>
                        </w:rPr>
                        <w:t xml:space="preserve">Doc. </w:t>
                      </w:r>
                      <w:r w:rsidR="008379F8">
                        <w:rPr>
                          <w:rFonts w:asciiTheme="minorHAnsi" w:hAnsiTheme="minorHAnsi"/>
                          <w:color w:val="FFFFFF" w:themeColor="background1"/>
                          <w:sz w:val="22"/>
                          <w:lang w:val="es-ES"/>
                        </w:rPr>
                        <w:t>467</w:t>
                      </w:r>
                    </w:p>
                    <w:p w14:paraId="782C2A07" w14:textId="77890E45" w:rsidR="00873D49" w:rsidRPr="00B443C8" w:rsidRDefault="008379F8" w:rsidP="002C1641">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31</w:t>
                      </w:r>
                      <w:r w:rsidR="00873D49" w:rsidRPr="00B443C8">
                        <w:rPr>
                          <w:rFonts w:asciiTheme="minorHAnsi" w:hAnsiTheme="minorHAnsi"/>
                          <w:color w:val="FFFFFF" w:themeColor="background1"/>
                          <w:sz w:val="22"/>
                          <w:lang w:val="es-ES"/>
                        </w:rPr>
                        <w:t xml:space="preserve"> </w:t>
                      </w:r>
                      <w:r w:rsidR="00873D49">
                        <w:rPr>
                          <w:rFonts w:asciiTheme="minorHAnsi" w:hAnsiTheme="minorHAnsi"/>
                          <w:color w:val="FFFFFF" w:themeColor="background1"/>
                          <w:sz w:val="22"/>
                          <w:lang w:val="es-ES"/>
                        </w:rPr>
                        <w:t>diciembre</w:t>
                      </w:r>
                      <w:r w:rsidR="00873D49" w:rsidRPr="00B443C8">
                        <w:rPr>
                          <w:rFonts w:asciiTheme="minorHAnsi" w:hAnsiTheme="minorHAnsi"/>
                          <w:color w:val="FFFFFF" w:themeColor="background1"/>
                          <w:sz w:val="22"/>
                          <w:lang w:val="es-ES"/>
                        </w:rPr>
                        <w:t xml:space="preserve"> 202</w:t>
                      </w:r>
                      <w:r w:rsidR="00873D49">
                        <w:rPr>
                          <w:rFonts w:asciiTheme="minorHAnsi" w:hAnsiTheme="minorHAnsi"/>
                          <w:color w:val="FFFFFF" w:themeColor="background1"/>
                          <w:sz w:val="22"/>
                          <w:lang w:val="es-ES"/>
                        </w:rPr>
                        <w:t>1</w:t>
                      </w:r>
                    </w:p>
                    <w:p w14:paraId="51553B57" w14:textId="77777777" w:rsidR="00873D49" w:rsidRPr="00B443C8" w:rsidRDefault="00873D49" w:rsidP="002C1641">
                      <w:pPr>
                        <w:jc w:val="right"/>
                        <w:rPr>
                          <w:rFonts w:asciiTheme="minorHAnsi" w:hAnsiTheme="minorHAnsi"/>
                          <w:color w:val="FFFFFF" w:themeColor="background1"/>
                          <w:sz w:val="22"/>
                          <w:lang w:val="es-ES"/>
                        </w:rPr>
                      </w:pPr>
                      <w:r w:rsidRPr="00B443C8">
                        <w:rPr>
                          <w:rFonts w:asciiTheme="minorHAnsi" w:hAnsiTheme="minorHAnsi"/>
                          <w:color w:val="FFFFFF" w:themeColor="background1"/>
                          <w:sz w:val="22"/>
                          <w:lang w:val="es-ES"/>
                        </w:rPr>
                        <w:t>Original: ingl</w:t>
                      </w:r>
                      <w:r>
                        <w:rPr>
                          <w:rFonts w:asciiTheme="minorHAnsi" w:hAnsiTheme="minorHAnsi"/>
                          <w:color w:val="FFFFFF" w:themeColor="background1"/>
                          <w:sz w:val="22"/>
                          <w:lang w:val="es-ES"/>
                        </w:rPr>
                        <w:t>és</w:t>
                      </w:r>
                    </w:p>
                  </w:txbxContent>
                </v:textbox>
              </v:shape>
            </w:pict>
          </mc:Fallback>
        </mc:AlternateContent>
      </w:r>
    </w:p>
    <w:p w14:paraId="2CB568AA" w14:textId="77777777" w:rsidR="00040C3A" w:rsidRPr="00EC55EA" w:rsidRDefault="00040C3A" w:rsidP="00EC55EA">
      <w:pPr>
        <w:tabs>
          <w:tab w:val="center" w:pos="5400"/>
        </w:tabs>
        <w:suppressAutoHyphens/>
        <w:jc w:val="center"/>
        <w:rPr>
          <w:rFonts w:asciiTheme="majorHAnsi" w:hAnsiTheme="majorHAnsi" w:cs="Arial"/>
          <w:sz w:val="20"/>
          <w:szCs w:val="20"/>
          <w:lang w:val="es-ES_tradnl"/>
        </w:rPr>
      </w:pPr>
    </w:p>
    <w:p w14:paraId="467D1AFF"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48818F4A"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2D62DDE1"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44E6CBF7"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652BAAA7" w14:textId="77777777" w:rsidR="005128E4" w:rsidRPr="00EC55EA" w:rsidRDefault="005128E4" w:rsidP="00EC55EA">
      <w:pPr>
        <w:tabs>
          <w:tab w:val="center" w:pos="5400"/>
        </w:tabs>
        <w:suppressAutoHyphens/>
        <w:jc w:val="center"/>
        <w:rPr>
          <w:rFonts w:asciiTheme="majorHAnsi" w:hAnsiTheme="majorHAnsi"/>
          <w:sz w:val="20"/>
          <w:szCs w:val="20"/>
          <w:lang w:val="es-ES_tradnl"/>
        </w:rPr>
      </w:pPr>
    </w:p>
    <w:p w14:paraId="573EC666"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1E4E08F4" w14:textId="77777777" w:rsidR="005128E4" w:rsidRPr="00EC55EA" w:rsidRDefault="005128E4" w:rsidP="00EC55EA">
      <w:pPr>
        <w:tabs>
          <w:tab w:val="center" w:pos="5400"/>
        </w:tabs>
        <w:suppressAutoHyphens/>
        <w:jc w:val="center"/>
        <w:rPr>
          <w:rFonts w:asciiTheme="majorHAnsi" w:hAnsiTheme="majorHAnsi"/>
          <w:sz w:val="20"/>
          <w:szCs w:val="20"/>
          <w:lang w:val="es-ES_tradnl"/>
        </w:rPr>
      </w:pPr>
    </w:p>
    <w:p w14:paraId="32BA4093" w14:textId="77777777" w:rsidR="005128E4" w:rsidRPr="00EC55EA" w:rsidRDefault="005128E4" w:rsidP="00EC55EA">
      <w:pPr>
        <w:tabs>
          <w:tab w:val="center" w:pos="5400"/>
        </w:tabs>
        <w:suppressAutoHyphens/>
        <w:jc w:val="center"/>
        <w:rPr>
          <w:rFonts w:asciiTheme="majorHAnsi" w:hAnsiTheme="majorHAnsi"/>
          <w:sz w:val="20"/>
          <w:szCs w:val="20"/>
          <w:lang w:val="es-ES_tradnl"/>
        </w:rPr>
      </w:pPr>
    </w:p>
    <w:p w14:paraId="2E4C0944" w14:textId="77777777" w:rsidR="005128E4" w:rsidRPr="00EC55EA" w:rsidRDefault="005128E4" w:rsidP="00EC55EA">
      <w:pPr>
        <w:tabs>
          <w:tab w:val="center" w:pos="5400"/>
        </w:tabs>
        <w:suppressAutoHyphens/>
        <w:jc w:val="center"/>
        <w:rPr>
          <w:rFonts w:asciiTheme="majorHAnsi" w:hAnsiTheme="majorHAnsi"/>
          <w:sz w:val="20"/>
          <w:szCs w:val="20"/>
          <w:lang w:val="es-ES_tradnl"/>
        </w:rPr>
      </w:pPr>
    </w:p>
    <w:p w14:paraId="360C4295"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0F630F8B" w14:textId="77777777" w:rsidR="00040C3A" w:rsidRPr="00EC55EA" w:rsidRDefault="00040C3A" w:rsidP="00EC55EA">
      <w:pPr>
        <w:tabs>
          <w:tab w:val="center" w:pos="5400"/>
        </w:tabs>
        <w:suppressAutoHyphens/>
        <w:jc w:val="center"/>
        <w:rPr>
          <w:rFonts w:asciiTheme="majorHAnsi" w:hAnsiTheme="majorHAnsi"/>
          <w:sz w:val="20"/>
          <w:szCs w:val="20"/>
          <w:lang w:val="es-ES_tradnl"/>
        </w:rPr>
      </w:pPr>
    </w:p>
    <w:p w14:paraId="665810EC"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5B8E2E3C"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7890A157"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5F8A75DF"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5DD8E22C"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64699CFB"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42B831B5"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2F57D581"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57A68D27"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2B820276"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35A534EC"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1DEC0339"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0244721C" w14:textId="77777777" w:rsidR="002C1641" w:rsidRPr="00EC55EA" w:rsidRDefault="00F83617" w:rsidP="00EC55E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93BFE36" wp14:editId="3D9455E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4D8D1" w14:textId="63FE1D47" w:rsidR="00873D49" w:rsidRPr="00B443C8" w:rsidRDefault="00873D49" w:rsidP="00E30DB9">
                            <w:pPr>
                              <w:tabs>
                                <w:tab w:val="center" w:pos="5400"/>
                              </w:tabs>
                              <w:suppressAutoHyphens/>
                              <w:spacing w:before="60"/>
                              <w:rPr>
                                <w:rFonts w:asciiTheme="majorHAnsi" w:hAnsiTheme="majorHAnsi"/>
                                <w:color w:val="0D0D0D" w:themeColor="text1" w:themeTint="F2"/>
                                <w:sz w:val="18"/>
                                <w:szCs w:val="20"/>
                                <w:lang w:val="es-ES"/>
                              </w:rPr>
                            </w:pPr>
                            <w:r w:rsidRPr="00B443C8">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 xml:space="preserve">electrónicamente </w:t>
                            </w:r>
                            <w:r w:rsidRPr="00B443C8">
                              <w:rPr>
                                <w:rFonts w:asciiTheme="majorHAnsi" w:hAnsiTheme="majorHAnsi"/>
                                <w:color w:val="0D0D0D" w:themeColor="text1" w:themeTint="F2"/>
                                <w:sz w:val="18"/>
                                <w:szCs w:val="20"/>
                                <w:lang w:val="es-ES"/>
                              </w:rPr>
                              <w:t>por la Comisión</w:t>
                            </w:r>
                            <w:r>
                              <w:rPr>
                                <w:rFonts w:asciiTheme="majorHAnsi" w:hAnsiTheme="majorHAnsi"/>
                                <w:color w:val="0D0D0D" w:themeColor="text1" w:themeTint="F2"/>
                                <w:sz w:val="18"/>
                                <w:szCs w:val="20"/>
                                <w:lang w:val="es-ES"/>
                              </w:rPr>
                              <w:t xml:space="preserve"> el </w:t>
                            </w:r>
                            <w:r w:rsidR="008379F8">
                              <w:rPr>
                                <w:rFonts w:asciiTheme="majorHAnsi" w:hAnsiTheme="majorHAnsi"/>
                                <w:color w:val="0D0D0D" w:themeColor="text1" w:themeTint="F2"/>
                                <w:sz w:val="18"/>
                                <w:szCs w:val="20"/>
                                <w:lang w:val="es-ES"/>
                              </w:rPr>
                              <w:t>31</w:t>
                            </w:r>
                            <w:r>
                              <w:rPr>
                                <w:rFonts w:asciiTheme="majorHAnsi" w:hAnsiTheme="majorHAnsi"/>
                                <w:color w:val="0D0D0D" w:themeColor="text1" w:themeTint="F2"/>
                                <w:sz w:val="18"/>
                                <w:szCs w:val="20"/>
                                <w:lang w:val="es-ES"/>
                              </w:rPr>
                              <w:t xml:space="preserve"> de diciembre de 2021</w:t>
                            </w:r>
                            <w:r w:rsidR="006E3733">
                              <w:rPr>
                                <w:rFonts w:asciiTheme="majorHAnsi" w:hAnsiTheme="majorHAnsi"/>
                                <w:color w:val="0D0D0D" w:themeColor="text1" w:themeTint="F2"/>
                                <w:sz w:val="18"/>
                                <w:szCs w:val="20"/>
                                <w:lang w:val="es-ES"/>
                              </w:rPr>
                              <w:t>.</w:t>
                            </w:r>
                          </w:p>
                          <w:p w14:paraId="444E8D10" w14:textId="77777777" w:rsidR="00873D49" w:rsidRPr="006E3733" w:rsidRDefault="00873D49" w:rsidP="004165C2">
                            <w:pPr>
                              <w:tabs>
                                <w:tab w:val="center" w:pos="5400"/>
                              </w:tabs>
                              <w:suppressAutoHyphens/>
                              <w:spacing w:before="60"/>
                              <w:rPr>
                                <w:rFonts w:asciiTheme="majorHAnsi" w:hAnsiTheme="majorHAnsi"/>
                                <w:color w:val="0D0D0D" w:themeColor="text1" w:themeTint="F2"/>
                                <w:sz w:val="18"/>
                                <w:szCs w:val="2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BFE3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" filled="f" stroked="f" strokeweight=".5pt">
                <v:textbox>
                  <w:txbxContent>
                    <w:p w14:paraId="1794D8D1" w14:textId="63FE1D47" w:rsidR="00873D49" w:rsidRPr="00B443C8" w:rsidRDefault="00873D49" w:rsidP="00E30DB9">
                      <w:pPr>
                        <w:tabs>
                          <w:tab w:val="center" w:pos="5400"/>
                        </w:tabs>
                        <w:suppressAutoHyphens/>
                        <w:spacing w:before="60"/>
                        <w:rPr>
                          <w:rFonts w:asciiTheme="majorHAnsi" w:hAnsiTheme="majorHAnsi"/>
                          <w:color w:val="0D0D0D" w:themeColor="text1" w:themeTint="F2"/>
                          <w:sz w:val="18"/>
                          <w:szCs w:val="20"/>
                          <w:lang w:val="es-ES"/>
                        </w:rPr>
                      </w:pPr>
                      <w:r w:rsidRPr="00B443C8">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 xml:space="preserve">electrónicamente </w:t>
                      </w:r>
                      <w:r w:rsidRPr="00B443C8">
                        <w:rPr>
                          <w:rFonts w:asciiTheme="majorHAnsi" w:hAnsiTheme="majorHAnsi"/>
                          <w:color w:val="0D0D0D" w:themeColor="text1" w:themeTint="F2"/>
                          <w:sz w:val="18"/>
                          <w:szCs w:val="20"/>
                          <w:lang w:val="es-ES"/>
                        </w:rPr>
                        <w:t>por la Comisión</w:t>
                      </w:r>
                      <w:r>
                        <w:rPr>
                          <w:rFonts w:asciiTheme="majorHAnsi" w:hAnsiTheme="majorHAnsi"/>
                          <w:color w:val="0D0D0D" w:themeColor="text1" w:themeTint="F2"/>
                          <w:sz w:val="18"/>
                          <w:szCs w:val="20"/>
                          <w:lang w:val="es-ES"/>
                        </w:rPr>
                        <w:t xml:space="preserve"> el </w:t>
                      </w:r>
                      <w:r w:rsidR="008379F8">
                        <w:rPr>
                          <w:rFonts w:asciiTheme="majorHAnsi" w:hAnsiTheme="majorHAnsi"/>
                          <w:color w:val="0D0D0D" w:themeColor="text1" w:themeTint="F2"/>
                          <w:sz w:val="18"/>
                          <w:szCs w:val="20"/>
                          <w:lang w:val="es-ES"/>
                        </w:rPr>
                        <w:t>31</w:t>
                      </w:r>
                      <w:r>
                        <w:rPr>
                          <w:rFonts w:asciiTheme="majorHAnsi" w:hAnsiTheme="majorHAnsi"/>
                          <w:color w:val="0D0D0D" w:themeColor="text1" w:themeTint="F2"/>
                          <w:sz w:val="18"/>
                          <w:szCs w:val="20"/>
                          <w:lang w:val="es-ES"/>
                        </w:rPr>
                        <w:t xml:space="preserve"> de diciembre de 2021</w:t>
                      </w:r>
                      <w:r w:rsidR="006E3733">
                        <w:rPr>
                          <w:rFonts w:asciiTheme="majorHAnsi" w:hAnsiTheme="majorHAnsi"/>
                          <w:color w:val="0D0D0D" w:themeColor="text1" w:themeTint="F2"/>
                          <w:sz w:val="18"/>
                          <w:szCs w:val="20"/>
                          <w:lang w:val="es-ES"/>
                        </w:rPr>
                        <w:t>.</w:t>
                      </w:r>
                    </w:p>
                    <w:p w14:paraId="444E8D10" w14:textId="77777777" w:rsidR="00873D49" w:rsidRPr="006E3733" w:rsidRDefault="00873D49" w:rsidP="004165C2">
                      <w:pPr>
                        <w:tabs>
                          <w:tab w:val="center" w:pos="5400"/>
                        </w:tabs>
                        <w:suppressAutoHyphens/>
                        <w:spacing w:before="60"/>
                        <w:rPr>
                          <w:rFonts w:asciiTheme="majorHAnsi" w:hAnsiTheme="majorHAnsi"/>
                          <w:color w:val="0D0D0D" w:themeColor="text1" w:themeTint="F2"/>
                          <w:sz w:val="18"/>
                          <w:szCs w:val="22"/>
                          <w:lang w:val="es-US"/>
                        </w:rPr>
                      </w:pPr>
                    </w:p>
                  </w:txbxContent>
                </v:textbox>
              </v:shape>
            </w:pict>
          </mc:Fallback>
        </mc:AlternateContent>
      </w:r>
    </w:p>
    <w:p w14:paraId="16DA4BD4"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4F9BCB93"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26DDA2CA"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1FBAF7CD"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62C133D6" w14:textId="77777777" w:rsidR="002C1641" w:rsidRPr="00EC55EA" w:rsidRDefault="00F83617" w:rsidP="00EC55E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7EAF60AA" wp14:editId="291C685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F80E6" w14:textId="02815C30" w:rsidR="00873D49" w:rsidRPr="00B443C8" w:rsidRDefault="00873D49" w:rsidP="00F45EBF">
                            <w:pPr>
                              <w:spacing w:line="276" w:lineRule="auto"/>
                              <w:jc w:val="both"/>
                              <w:rPr>
                                <w:rFonts w:asciiTheme="majorHAnsi" w:hAnsiTheme="majorHAnsi"/>
                                <w:color w:val="595959" w:themeColor="text1" w:themeTint="A6"/>
                                <w:sz w:val="18"/>
                                <w:lang w:val="es-ES"/>
                              </w:rPr>
                            </w:pPr>
                            <w:r w:rsidRPr="00B443C8">
                              <w:rPr>
                                <w:rFonts w:asciiTheme="majorHAnsi" w:hAnsiTheme="majorHAnsi"/>
                                <w:b/>
                                <w:color w:val="595959" w:themeColor="text1" w:themeTint="A6"/>
                                <w:sz w:val="18"/>
                                <w:lang w:val="es-ES"/>
                              </w:rPr>
                              <w:t xml:space="preserve">Citar como: </w:t>
                            </w:r>
                            <w:r>
                              <w:rPr>
                                <w:rFonts w:asciiTheme="majorHAnsi" w:hAnsiTheme="majorHAnsi"/>
                                <w:color w:val="595959" w:themeColor="text1" w:themeTint="A6"/>
                                <w:sz w:val="18"/>
                                <w:lang w:val="es-ES"/>
                              </w:rPr>
                              <w:t>CIDH</w:t>
                            </w:r>
                            <w:r w:rsidRPr="00B443C8">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lang w:val="es-ES"/>
                              </w:rPr>
                              <w:t>Informe</w:t>
                            </w:r>
                            <w:r w:rsidRPr="00B443C8">
                              <w:rPr>
                                <w:rFonts w:asciiTheme="majorHAnsi" w:hAnsiTheme="majorHAnsi"/>
                                <w:color w:val="595959" w:themeColor="text1" w:themeTint="A6"/>
                                <w:sz w:val="18"/>
                                <w:lang w:val="es-ES"/>
                              </w:rPr>
                              <w:t xml:space="preserve"> No. </w:t>
                            </w:r>
                            <w:r w:rsidR="008379F8">
                              <w:rPr>
                                <w:rFonts w:asciiTheme="majorHAnsi" w:hAnsiTheme="majorHAnsi"/>
                                <w:color w:val="595959" w:themeColor="text1" w:themeTint="A6"/>
                                <w:sz w:val="18"/>
                                <w:lang w:val="es-ES"/>
                              </w:rPr>
                              <w:t>453</w:t>
                            </w:r>
                            <w:r w:rsidRPr="00E36893">
                              <w:rPr>
                                <w:rFonts w:asciiTheme="majorHAnsi" w:hAnsiTheme="majorHAnsi"/>
                                <w:color w:val="595959" w:themeColor="text1" w:themeTint="A6"/>
                                <w:sz w:val="18"/>
                                <w:lang w:val="es-ES"/>
                              </w:rPr>
                              <w:t>/2</w:t>
                            </w:r>
                            <w:r>
                              <w:rPr>
                                <w:rFonts w:asciiTheme="majorHAnsi" w:hAnsiTheme="majorHAnsi"/>
                                <w:color w:val="595959" w:themeColor="text1" w:themeTint="A6"/>
                                <w:sz w:val="18"/>
                                <w:lang w:val="es-ES"/>
                              </w:rPr>
                              <w:t>1</w:t>
                            </w:r>
                            <w:r w:rsidRPr="00E36893">
                              <w:rPr>
                                <w:rFonts w:asciiTheme="majorHAnsi" w:hAnsiTheme="majorHAnsi"/>
                                <w:color w:val="595959" w:themeColor="text1" w:themeTint="A6"/>
                                <w:sz w:val="18"/>
                                <w:lang w:val="es-ES"/>
                              </w:rPr>
                              <w:t xml:space="preserve">. </w:t>
                            </w:r>
                            <w:r w:rsidRPr="00B443C8">
                              <w:rPr>
                                <w:rFonts w:asciiTheme="majorHAnsi" w:hAnsiTheme="majorHAnsi"/>
                                <w:color w:val="595959" w:themeColor="text1" w:themeTint="A6"/>
                                <w:sz w:val="18"/>
                                <w:lang w:val="es-ES"/>
                              </w:rPr>
                              <w:t>Caso 13.339. Admisibilidad y fondo</w:t>
                            </w:r>
                            <w:r>
                              <w:rPr>
                                <w:rFonts w:asciiTheme="majorHAnsi" w:hAnsiTheme="majorHAnsi"/>
                                <w:color w:val="595959" w:themeColor="text1" w:themeTint="A6"/>
                                <w:sz w:val="18"/>
                                <w:lang w:val="es-ES"/>
                              </w:rPr>
                              <w:t xml:space="preserve"> (Publicación)</w:t>
                            </w:r>
                            <w:r w:rsidRPr="00B443C8">
                              <w:rPr>
                                <w:rFonts w:asciiTheme="majorHAnsi" w:hAnsiTheme="majorHAnsi"/>
                                <w:color w:val="595959" w:themeColor="text1" w:themeTint="A6"/>
                                <w:sz w:val="18"/>
                                <w:lang w:val="es-ES"/>
                              </w:rPr>
                              <w:t xml:space="preserve">. Manuel Valle. </w:t>
                            </w:r>
                            <w:r>
                              <w:rPr>
                                <w:rFonts w:asciiTheme="majorHAnsi" w:hAnsiTheme="majorHAnsi"/>
                                <w:color w:val="595959" w:themeColor="text1" w:themeTint="A6"/>
                                <w:sz w:val="18"/>
                                <w:lang w:val="es-ES"/>
                              </w:rPr>
                              <w:t>Estados Unidos de América</w:t>
                            </w:r>
                            <w:r w:rsidRPr="00B443C8">
                              <w:rPr>
                                <w:rFonts w:asciiTheme="majorHAnsi" w:hAnsiTheme="majorHAnsi"/>
                                <w:color w:val="595959" w:themeColor="text1" w:themeTint="A6"/>
                                <w:sz w:val="18"/>
                                <w:lang w:val="es-ES"/>
                              </w:rPr>
                              <w:t xml:space="preserve">. </w:t>
                            </w:r>
                            <w:r w:rsidR="008379F8">
                              <w:rPr>
                                <w:rFonts w:asciiTheme="majorHAnsi" w:hAnsiTheme="majorHAnsi"/>
                                <w:color w:val="595959" w:themeColor="text1" w:themeTint="A6"/>
                                <w:sz w:val="18"/>
                                <w:lang w:val="es-ES"/>
                              </w:rPr>
                              <w:t>31</w:t>
                            </w:r>
                            <w:r>
                              <w:rPr>
                                <w:rFonts w:asciiTheme="majorHAnsi" w:hAnsiTheme="majorHAnsi"/>
                                <w:color w:val="595959" w:themeColor="text1" w:themeTint="A6"/>
                                <w:sz w:val="18"/>
                                <w:lang w:val="es-ES"/>
                              </w:rPr>
                              <w:t xml:space="preserve"> de diciembre de </w:t>
                            </w:r>
                            <w:r w:rsidRPr="00B443C8">
                              <w:rPr>
                                <w:rFonts w:asciiTheme="majorHAnsi" w:hAnsiTheme="majorHAnsi"/>
                                <w:color w:val="595959" w:themeColor="text1" w:themeTint="A6"/>
                                <w:sz w:val="18"/>
                                <w:lang w:val="es-ES"/>
                              </w:rPr>
                              <w:t>202</w:t>
                            </w:r>
                            <w:r>
                              <w:rPr>
                                <w:rFonts w:asciiTheme="majorHAnsi" w:hAnsiTheme="majorHAnsi"/>
                                <w:color w:val="595959" w:themeColor="text1" w:themeTint="A6"/>
                                <w:sz w:val="18"/>
                                <w:lang w:val="es-ES"/>
                              </w:rPr>
                              <w:t>1</w:t>
                            </w:r>
                            <w:r w:rsidRPr="00B443C8">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F60AA"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" filled="f" stroked="f" strokeweight=".5pt">
                <v:textbox>
                  <w:txbxContent>
                    <w:p w14:paraId="045F80E6" w14:textId="02815C30" w:rsidR="00873D49" w:rsidRPr="00B443C8" w:rsidRDefault="00873D49" w:rsidP="00F45EBF">
                      <w:pPr>
                        <w:spacing w:line="276" w:lineRule="auto"/>
                        <w:jc w:val="both"/>
                        <w:rPr>
                          <w:rFonts w:asciiTheme="majorHAnsi" w:hAnsiTheme="majorHAnsi"/>
                          <w:color w:val="595959" w:themeColor="text1" w:themeTint="A6"/>
                          <w:sz w:val="18"/>
                          <w:lang w:val="es-ES"/>
                        </w:rPr>
                      </w:pPr>
                      <w:r w:rsidRPr="00B443C8">
                        <w:rPr>
                          <w:rFonts w:asciiTheme="majorHAnsi" w:hAnsiTheme="majorHAnsi"/>
                          <w:b/>
                          <w:color w:val="595959" w:themeColor="text1" w:themeTint="A6"/>
                          <w:sz w:val="18"/>
                          <w:lang w:val="es-ES"/>
                        </w:rPr>
                        <w:t xml:space="preserve">Citar como: </w:t>
                      </w:r>
                      <w:r>
                        <w:rPr>
                          <w:rFonts w:asciiTheme="majorHAnsi" w:hAnsiTheme="majorHAnsi"/>
                          <w:color w:val="595959" w:themeColor="text1" w:themeTint="A6"/>
                          <w:sz w:val="18"/>
                          <w:lang w:val="es-ES"/>
                        </w:rPr>
                        <w:t>CIDH</w:t>
                      </w:r>
                      <w:r w:rsidRPr="00B443C8">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lang w:val="es-ES"/>
                        </w:rPr>
                        <w:t>Informe</w:t>
                      </w:r>
                      <w:r w:rsidRPr="00B443C8">
                        <w:rPr>
                          <w:rFonts w:asciiTheme="majorHAnsi" w:hAnsiTheme="majorHAnsi"/>
                          <w:color w:val="595959" w:themeColor="text1" w:themeTint="A6"/>
                          <w:sz w:val="18"/>
                          <w:lang w:val="es-ES"/>
                        </w:rPr>
                        <w:t xml:space="preserve"> No. </w:t>
                      </w:r>
                      <w:r w:rsidR="008379F8">
                        <w:rPr>
                          <w:rFonts w:asciiTheme="majorHAnsi" w:hAnsiTheme="majorHAnsi"/>
                          <w:color w:val="595959" w:themeColor="text1" w:themeTint="A6"/>
                          <w:sz w:val="18"/>
                          <w:lang w:val="es-ES"/>
                        </w:rPr>
                        <w:t>453</w:t>
                      </w:r>
                      <w:r w:rsidRPr="00E36893">
                        <w:rPr>
                          <w:rFonts w:asciiTheme="majorHAnsi" w:hAnsiTheme="majorHAnsi"/>
                          <w:color w:val="595959" w:themeColor="text1" w:themeTint="A6"/>
                          <w:sz w:val="18"/>
                          <w:lang w:val="es-ES"/>
                        </w:rPr>
                        <w:t>/2</w:t>
                      </w:r>
                      <w:r>
                        <w:rPr>
                          <w:rFonts w:asciiTheme="majorHAnsi" w:hAnsiTheme="majorHAnsi"/>
                          <w:color w:val="595959" w:themeColor="text1" w:themeTint="A6"/>
                          <w:sz w:val="18"/>
                          <w:lang w:val="es-ES"/>
                        </w:rPr>
                        <w:t>1</w:t>
                      </w:r>
                      <w:r w:rsidRPr="00E36893">
                        <w:rPr>
                          <w:rFonts w:asciiTheme="majorHAnsi" w:hAnsiTheme="majorHAnsi"/>
                          <w:color w:val="595959" w:themeColor="text1" w:themeTint="A6"/>
                          <w:sz w:val="18"/>
                          <w:lang w:val="es-ES"/>
                        </w:rPr>
                        <w:t xml:space="preserve">. </w:t>
                      </w:r>
                      <w:r w:rsidRPr="00B443C8">
                        <w:rPr>
                          <w:rFonts w:asciiTheme="majorHAnsi" w:hAnsiTheme="majorHAnsi"/>
                          <w:color w:val="595959" w:themeColor="text1" w:themeTint="A6"/>
                          <w:sz w:val="18"/>
                          <w:lang w:val="es-ES"/>
                        </w:rPr>
                        <w:t>Caso 13.339. Admisibilidad y fondo</w:t>
                      </w:r>
                      <w:r>
                        <w:rPr>
                          <w:rFonts w:asciiTheme="majorHAnsi" w:hAnsiTheme="majorHAnsi"/>
                          <w:color w:val="595959" w:themeColor="text1" w:themeTint="A6"/>
                          <w:sz w:val="18"/>
                          <w:lang w:val="es-ES"/>
                        </w:rPr>
                        <w:t xml:space="preserve"> (Publicación)</w:t>
                      </w:r>
                      <w:r w:rsidRPr="00B443C8">
                        <w:rPr>
                          <w:rFonts w:asciiTheme="majorHAnsi" w:hAnsiTheme="majorHAnsi"/>
                          <w:color w:val="595959" w:themeColor="text1" w:themeTint="A6"/>
                          <w:sz w:val="18"/>
                          <w:lang w:val="es-ES"/>
                        </w:rPr>
                        <w:t xml:space="preserve">. Manuel Valle. </w:t>
                      </w:r>
                      <w:r>
                        <w:rPr>
                          <w:rFonts w:asciiTheme="majorHAnsi" w:hAnsiTheme="majorHAnsi"/>
                          <w:color w:val="595959" w:themeColor="text1" w:themeTint="A6"/>
                          <w:sz w:val="18"/>
                          <w:lang w:val="es-ES"/>
                        </w:rPr>
                        <w:t>Estados Unidos de América</w:t>
                      </w:r>
                      <w:r w:rsidRPr="00B443C8">
                        <w:rPr>
                          <w:rFonts w:asciiTheme="majorHAnsi" w:hAnsiTheme="majorHAnsi"/>
                          <w:color w:val="595959" w:themeColor="text1" w:themeTint="A6"/>
                          <w:sz w:val="18"/>
                          <w:lang w:val="es-ES"/>
                        </w:rPr>
                        <w:t xml:space="preserve">. </w:t>
                      </w:r>
                      <w:r w:rsidR="008379F8">
                        <w:rPr>
                          <w:rFonts w:asciiTheme="majorHAnsi" w:hAnsiTheme="majorHAnsi"/>
                          <w:color w:val="595959" w:themeColor="text1" w:themeTint="A6"/>
                          <w:sz w:val="18"/>
                          <w:lang w:val="es-ES"/>
                        </w:rPr>
                        <w:t>31</w:t>
                      </w:r>
                      <w:r>
                        <w:rPr>
                          <w:rFonts w:asciiTheme="majorHAnsi" w:hAnsiTheme="majorHAnsi"/>
                          <w:color w:val="595959" w:themeColor="text1" w:themeTint="A6"/>
                          <w:sz w:val="18"/>
                          <w:lang w:val="es-ES"/>
                        </w:rPr>
                        <w:t xml:space="preserve"> de diciembre de </w:t>
                      </w:r>
                      <w:r w:rsidRPr="00B443C8">
                        <w:rPr>
                          <w:rFonts w:asciiTheme="majorHAnsi" w:hAnsiTheme="majorHAnsi"/>
                          <w:color w:val="595959" w:themeColor="text1" w:themeTint="A6"/>
                          <w:sz w:val="18"/>
                          <w:lang w:val="es-ES"/>
                        </w:rPr>
                        <w:t>202</w:t>
                      </w:r>
                      <w:r>
                        <w:rPr>
                          <w:rFonts w:asciiTheme="majorHAnsi" w:hAnsiTheme="majorHAnsi"/>
                          <w:color w:val="595959" w:themeColor="text1" w:themeTint="A6"/>
                          <w:sz w:val="18"/>
                          <w:lang w:val="es-ES"/>
                        </w:rPr>
                        <w:t>1</w:t>
                      </w:r>
                      <w:r w:rsidRPr="00B443C8">
                        <w:rPr>
                          <w:rFonts w:asciiTheme="majorHAnsi" w:hAnsiTheme="majorHAnsi"/>
                          <w:color w:val="595959" w:themeColor="text1" w:themeTint="A6"/>
                          <w:sz w:val="18"/>
                          <w:lang w:val="es-ES"/>
                        </w:rPr>
                        <w:t>.</w:t>
                      </w:r>
                    </w:p>
                  </w:txbxContent>
                </v:textbox>
              </v:shape>
            </w:pict>
          </mc:Fallback>
        </mc:AlternateContent>
      </w:r>
    </w:p>
    <w:p w14:paraId="28EE73B5"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5ED9ADDC" w14:textId="77777777" w:rsidR="002C1641" w:rsidRPr="00EC55EA" w:rsidRDefault="002C1641" w:rsidP="00EC55EA">
      <w:pPr>
        <w:tabs>
          <w:tab w:val="center" w:pos="5400"/>
        </w:tabs>
        <w:suppressAutoHyphens/>
        <w:jc w:val="center"/>
        <w:rPr>
          <w:rFonts w:asciiTheme="majorHAnsi" w:hAnsiTheme="majorHAnsi"/>
          <w:sz w:val="20"/>
          <w:szCs w:val="20"/>
          <w:lang w:val="es-ES_tradnl"/>
        </w:rPr>
      </w:pPr>
    </w:p>
    <w:p w14:paraId="5FEFB938" w14:textId="77777777" w:rsidR="003C32BC" w:rsidRPr="00EC55EA" w:rsidRDefault="003C32BC" w:rsidP="00EC55EA">
      <w:pPr>
        <w:tabs>
          <w:tab w:val="center" w:pos="5400"/>
        </w:tabs>
        <w:suppressAutoHyphens/>
        <w:jc w:val="center"/>
        <w:rPr>
          <w:rFonts w:asciiTheme="majorHAnsi" w:hAnsiTheme="majorHAnsi"/>
          <w:sz w:val="20"/>
          <w:szCs w:val="20"/>
        </w:rPr>
      </w:pPr>
    </w:p>
    <w:p w14:paraId="0AA1938E" w14:textId="239EE759" w:rsidR="003C32BC" w:rsidRPr="00EC55EA" w:rsidRDefault="006E3733" w:rsidP="00EC55EA">
      <w:pPr>
        <w:tabs>
          <w:tab w:val="center" w:pos="5400"/>
        </w:tabs>
        <w:suppressAutoHyphens/>
        <w:jc w:val="center"/>
        <w:rPr>
          <w:rFonts w:asciiTheme="majorHAnsi" w:hAnsiTheme="majorHAnsi"/>
          <w:sz w:val="20"/>
          <w:szCs w:val="20"/>
        </w:rPr>
      </w:pPr>
      <w:r>
        <w:rPr>
          <w:rFonts w:asciiTheme="majorHAnsi" w:hAnsiTheme="majorHAnsi"/>
          <w:noProof/>
          <w:sz w:val="20"/>
          <w:szCs w:val="20"/>
        </w:rPr>
        <w:drawing>
          <wp:anchor distT="0" distB="0" distL="114300" distR="114300" simplePos="0" relativeHeight="251687936" behindDoc="0" locked="0" layoutInCell="1" allowOverlap="1" wp14:anchorId="221DFEB3" wp14:editId="49AA2FEE">
            <wp:simplePos x="0" y="0"/>
            <wp:positionH relativeFrom="margin">
              <wp:posOffset>1352550</wp:posOffset>
            </wp:positionH>
            <wp:positionV relativeFrom="margin">
              <wp:posOffset>7781925</wp:posOffset>
            </wp:positionV>
            <wp:extent cx="1750576" cy="450362"/>
            <wp:effectExtent l="0" t="0" r="2540" b="698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0576" cy="450362"/>
                    </a:xfrm>
                    <a:prstGeom prst="rect">
                      <a:avLst/>
                    </a:prstGeom>
                  </pic:spPr>
                </pic:pic>
              </a:graphicData>
            </a:graphic>
          </wp:anchor>
        </w:drawing>
      </w:r>
      <w:r w:rsidR="00F83617">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590F4558" wp14:editId="07736CD0">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CF4E8" w14:textId="77777777" w:rsidR="00873D49" w:rsidRPr="004B7EB6" w:rsidRDefault="00873D49"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F4558"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" filled="f" stroked="f" strokeweight=".5pt">
                <v:textbox>
                  <w:txbxContent>
                    <w:p w14:paraId="6A8CF4E8" w14:textId="77777777" w:rsidR="00873D49" w:rsidRPr="004B7EB6" w:rsidRDefault="00873D49"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3A66BE0" w14:textId="77777777" w:rsidR="007607C4" w:rsidRPr="00EC55EA" w:rsidRDefault="007607C4" w:rsidP="00EC55EA">
      <w:pPr>
        <w:tabs>
          <w:tab w:val="center" w:pos="5400"/>
        </w:tabs>
        <w:suppressAutoHyphens/>
        <w:jc w:val="center"/>
        <w:rPr>
          <w:rFonts w:asciiTheme="majorHAnsi" w:hAnsiTheme="majorHAnsi"/>
          <w:sz w:val="20"/>
          <w:szCs w:val="20"/>
        </w:rPr>
        <w:sectPr w:rsidR="007607C4" w:rsidRPr="00EC55EA">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14:paraId="5285608B" w14:textId="3BE8908C" w:rsidR="00FC3EB4" w:rsidRPr="00EC55EA" w:rsidRDefault="00FC3EB4" w:rsidP="00EC55EA">
      <w:pPr>
        <w:tabs>
          <w:tab w:val="center" w:pos="5400"/>
        </w:tabs>
        <w:suppressAutoHyphens/>
        <w:spacing w:line="276" w:lineRule="auto"/>
        <w:jc w:val="center"/>
        <w:rPr>
          <w:rFonts w:asciiTheme="majorHAnsi" w:hAnsiTheme="majorHAnsi"/>
          <w:b/>
          <w:sz w:val="20"/>
          <w:szCs w:val="20"/>
        </w:rPr>
      </w:pPr>
      <w:r w:rsidRPr="00EC55EA">
        <w:rPr>
          <w:rFonts w:asciiTheme="majorHAnsi" w:hAnsiTheme="majorHAnsi"/>
          <w:b/>
          <w:sz w:val="20"/>
          <w:szCs w:val="20"/>
        </w:rPr>
        <w:lastRenderedPageBreak/>
        <w:t>IND</w:t>
      </w:r>
      <w:r w:rsidR="006E3733">
        <w:rPr>
          <w:rFonts w:asciiTheme="majorHAnsi" w:hAnsiTheme="majorHAnsi"/>
          <w:b/>
          <w:sz w:val="20"/>
          <w:szCs w:val="20"/>
        </w:rPr>
        <w:t>ICE</w:t>
      </w:r>
    </w:p>
    <w:p w14:paraId="61D58B30" w14:textId="77777777" w:rsidR="007607C4" w:rsidRPr="00C34A87" w:rsidRDefault="007607C4" w:rsidP="00EC55EA">
      <w:pPr>
        <w:tabs>
          <w:tab w:val="center" w:pos="5400"/>
        </w:tabs>
        <w:suppressAutoHyphens/>
        <w:spacing w:line="276" w:lineRule="auto"/>
        <w:rPr>
          <w:rFonts w:asciiTheme="majorHAnsi" w:hAnsiTheme="majorHAnsi"/>
          <w:sz w:val="20"/>
          <w:szCs w:val="20"/>
        </w:rPr>
      </w:pPr>
    </w:p>
    <w:p w14:paraId="66EE658E" w14:textId="7A713ED6" w:rsidR="00C34A87" w:rsidRPr="008379F8" w:rsidRDefault="00D31511">
      <w:pPr>
        <w:pStyle w:val="TOC1"/>
        <w:rPr>
          <w:rFonts w:eastAsiaTheme="minorEastAsia" w:cstheme="minorBidi"/>
          <w:b w:val="0"/>
          <w:bdr w:val="none" w:sz="0" w:space="0" w:color="auto"/>
          <w:lang w:val="es-US" w:eastAsia="zh-CN"/>
        </w:rPr>
      </w:pPr>
      <w:r w:rsidRPr="008379F8">
        <w:rPr>
          <w:b w:val="0"/>
        </w:rPr>
        <w:fldChar w:fldCharType="begin"/>
      </w:r>
      <w:r w:rsidR="00864785" w:rsidRPr="008379F8">
        <w:rPr>
          <w:b w:val="0"/>
          <w:lang w:val="en-US"/>
        </w:rPr>
        <w:instrText xml:space="preserve"> TOC \o "1-3" \h \z \u </w:instrText>
      </w:r>
      <w:r w:rsidRPr="008379F8">
        <w:rPr>
          <w:b w:val="0"/>
        </w:rPr>
        <w:fldChar w:fldCharType="separate"/>
      </w:r>
      <w:hyperlink w:anchor="_Toc90292565" w:history="1">
        <w:r w:rsidR="00C34A87" w:rsidRPr="008379F8">
          <w:rPr>
            <w:rStyle w:val="Hyperlink"/>
          </w:rPr>
          <w:t>I.</w:t>
        </w:r>
        <w:r w:rsidR="00C34A87" w:rsidRPr="008379F8">
          <w:rPr>
            <w:rFonts w:eastAsiaTheme="minorEastAsia" w:cstheme="minorBidi"/>
            <w:b w:val="0"/>
            <w:bdr w:val="none" w:sz="0" w:space="0" w:color="auto"/>
            <w:lang w:val="es-US" w:eastAsia="zh-CN"/>
          </w:rPr>
          <w:tab/>
        </w:r>
        <w:r w:rsidR="00C34A87" w:rsidRPr="008379F8">
          <w:rPr>
            <w:rStyle w:val="Hyperlink"/>
          </w:rPr>
          <w:t>INTRODUCCION</w:t>
        </w:r>
        <w:r w:rsidR="00C34A87" w:rsidRPr="008379F8">
          <w:rPr>
            <w:webHidden/>
          </w:rPr>
          <w:tab/>
        </w:r>
        <w:r w:rsidR="00C34A87" w:rsidRPr="008379F8">
          <w:rPr>
            <w:webHidden/>
          </w:rPr>
          <w:fldChar w:fldCharType="begin"/>
        </w:r>
        <w:r w:rsidR="00C34A87" w:rsidRPr="008379F8">
          <w:rPr>
            <w:webHidden/>
          </w:rPr>
          <w:instrText xml:space="preserve"> PAGEREF _Toc90292565 \h </w:instrText>
        </w:r>
        <w:r w:rsidR="00C34A87" w:rsidRPr="008379F8">
          <w:rPr>
            <w:webHidden/>
          </w:rPr>
        </w:r>
        <w:r w:rsidR="00C34A87" w:rsidRPr="008379F8">
          <w:rPr>
            <w:webHidden/>
          </w:rPr>
          <w:fldChar w:fldCharType="separate"/>
        </w:r>
        <w:r w:rsidR="00C34A87" w:rsidRPr="008379F8">
          <w:rPr>
            <w:webHidden/>
          </w:rPr>
          <w:t>3</w:t>
        </w:r>
        <w:r w:rsidR="00C34A87" w:rsidRPr="008379F8">
          <w:rPr>
            <w:webHidden/>
          </w:rPr>
          <w:fldChar w:fldCharType="end"/>
        </w:r>
      </w:hyperlink>
    </w:p>
    <w:p w14:paraId="62BAD472" w14:textId="13503906" w:rsidR="00C34A87" w:rsidRPr="008379F8" w:rsidRDefault="000F4996">
      <w:pPr>
        <w:pStyle w:val="TOC1"/>
        <w:rPr>
          <w:rFonts w:eastAsiaTheme="minorEastAsia" w:cstheme="minorBidi"/>
          <w:b w:val="0"/>
          <w:bdr w:val="none" w:sz="0" w:space="0" w:color="auto"/>
          <w:lang w:val="es-US" w:eastAsia="zh-CN"/>
        </w:rPr>
      </w:pPr>
      <w:hyperlink w:anchor="_Toc90292566" w:history="1">
        <w:r w:rsidR="00C34A87" w:rsidRPr="008379F8">
          <w:rPr>
            <w:rStyle w:val="Hyperlink"/>
          </w:rPr>
          <w:t>II.</w:t>
        </w:r>
        <w:r w:rsidR="00C34A87" w:rsidRPr="008379F8">
          <w:rPr>
            <w:rFonts w:eastAsiaTheme="minorEastAsia" w:cstheme="minorBidi"/>
            <w:b w:val="0"/>
            <w:bdr w:val="none" w:sz="0" w:space="0" w:color="auto"/>
            <w:lang w:val="es-US" w:eastAsia="zh-CN"/>
          </w:rPr>
          <w:tab/>
        </w:r>
        <w:r w:rsidR="00C34A87" w:rsidRPr="008379F8">
          <w:rPr>
            <w:rStyle w:val="Hyperlink"/>
          </w:rPr>
          <w:t>ALEGATOS DE LAS PARTES</w:t>
        </w:r>
        <w:r w:rsidR="00C34A87" w:rsidRPr="008379F8">
          <w:rPr>
            <w:webHidden/>
          </w:rPr>
          <w:tab/>
        </w:r>
        <w:r w:rsidR="00C34A87" w:rsidRPr="008379F8">
          <w:rPr>
            <w:webHidden/>
          </w:rPr>
          <w:fldChar w:fldCharType="begin"/>
        </w:r>
        <w:r w:rsidR="00C34A87" w:rsidRPr="008379F8">
          <w:rPr>
            <w:webHidden/>
          </w:rPr>
          <w:instrText xml:space="preserve"> PAGEREF _Toc90292566 \h </w:instrText>
        </w:r>
        <w:r w:rsidR="00C34A87" w:rsidRPr="008379F8">
          <w:rPr>
            <w:webHidden/>
          </w:rPr>
        </w:r>
        <w:r w:rsidR="00C34A87" w:rsidRPr="008379F8">
          <w:rPr>
            <w:webHidden/>
          </w:rPr>
          <w:fldChar w:fldCharType="separate"/>
        </w:r>
        <w:r w:rsidR="00C34A87" w:rsidRPr="008379F8">
          <w:rPr>
            <w:webHidden/>
          </w:rPr>
          <w:t>3</w:t>
        </w:r>
        <w:r w:rsidR="00C34A87" w:rsidRPr="008379F8">
          <w:rPr>
            <w:webHidden/>
          </w:rPr>
          <w:fldChar w:fldCharType="end"/>
        </w:r>
      </w:hyperlink>
    </w:p>
    <w:p w14:paraId="34750DC7" w14:textId="5AEF73D8"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67" w:history="1">
        <w:r w:rsidR="00C34A87" w:rsidRPr="008379F8">
          <w:rPr>
            <w:rStyle w:val="Hyperlink"/>
            <w:rFonts w:asciiTheme="majorHAnsi" w:hAnsiTheme="majorHAnsi"/>
            <w:sz w:val="20"/>
            <w:szCs w:val="20"/>
          </w:rPr>
          <w:t>A.</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rPr>
          <w:t>La parte peticionaria</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_Toc90292567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3</w:t>
        </w:r>
        <w:r w:rsidR="00C34A87" w:rsidRPr="008379F8">
          <w:rPr>
            <w:rFonts w:asciiTheme="majorHAnsi" w:hAnsiTheme="majorHAnsi"/>
            <w:webHidden/>
            <w:sz w:val="20"/>
            <w:szCs w:val="20"/>
          </w:rPr>
          <w:fldChar w:fldCharType="end"/>
        </w:r>
      </w:hyperlink>
    </w:p>
    <w:p w14:paraId="099E6882" w14:textId="2976AC94"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68" w:history="1">
        <w:r w:rsidR="00C34A87" w:rsidRPr="008379F8">
          <w:rPr>
            <w:rStyle w:val="Hyperlink"/>
            <w:rFonts w:asciiTheme="majorHAnsi" w:hAnsiTheme="majorHAnsi"/>
            <w:sz w:val="20"/>
            <w:szCs w:val="20"/>
          </w:rPr>
          <w:t>B.</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rPr>
          <w:t>El Estado</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_Toc90292568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3</w:t>
        </w:r>
        <w:r w:rsidR="00C34A87" w:rsidRPr="008379F8">
          <w:rPr>
            <w:rFonts w:asciiTheme="majorHAnsi" w:hAnsiTheme="majorHAnsi"/>
            <w:webHidden/>
            <w:sz w:val="20"/>
            <w:szCs w:val="20"/>
          </w:rPr>
          <w:fldChar w:fldCharType="end"/>
        </w:r>
      </w:hyperlink>
    </w:p>
    <w:p w14:paraId="1D1BF535" w14:textId="74A1EB65" w:rsidR="00C34A87" w:rsidRPr="008379F8" w:rsidRDefault="000F4996">
      <w:pPr>
        <w:pStyle w:val="TOC1"/>
        <w:rPr>
          <w:rFonts w:eastAsiaTheme="minorEastAsia" w:cstheme="minorBidi"/>
          <w:b w:val="0"/>
          <w:bdr w:val="none" w:sz="0" w:space="0" w:color="auto"/>
          <w:lang w:val="es-US" w:eastAsia="zh-CN"/>
        </w:rPr>
      </w:pPr>
      <w:hyperlink w:anchor="_Toc90292569" w:history="1">
        <w:r w:rsidR="00C34A87" w:rsidRPr="008379F8">
          <w:rPr>
            <w:rStyle w:val="Hyperlink"/>
          </w:rPr>
          <w:t>III.</w:t>
        </w:r>
        <w:r w:rsidR="00C34A87" w:rsidRPr="008379F8">
          <w:rPr>
            <w:rFonts w:eastAsiaTheme="minorEastAsia" w:cstheme="minorBidi"/>
            <w:b w:val="0"/>
            <w:bdr w:val="none" w:sz="0" w:space="0" w:color="auto"/>
            <w:lang w:val="es-US" w:eastAsia="zh-CN"/>
          </w:rPr>
          <w:tab/>
        </w:r>
        <w:r w:rsidR="00C34A87" w:rsidRPr="008379F8">
          <w:rPr>
            <w:rStyle w:val="Hyperlink"/>
          </w:rPr>
          <w:t>ADMISIBILIDAD</w:t>
        </w:r>
        <w:r w:rsidR="00C34A87" w:rsidRPr="008379F8">
          <w:rPr>
            <w:webHidden/>
          </w:rPr>
          <w:tab/>
        </w:r>
        <w:r w:rsidR="00C34A87" w:rsidRPr="008379F8">
          <w:rPr>
            <w:webHidden/>
          </w:rPr>
          <w:fldChar w:fldCharType="begin"/>
        </w:r>
        <w:r w:rsidR="00C34A87" w:rsidRPr="008379F8">
          <w:rPr>
            <w:webHidden/>
          </w:rPr>
          <w:instrText xml:space="preserve"> PAGEREF _Toc90292569 \h </w:instrText>
        </w:r>
        <w:r w:rsidR="00C34A87" w:rsidRPr="008379F8">
          <w:rPr>
            <w:webHidden/>
          </w:rPr>
        </w:r>
        <w:r w:rsidR="00C34A87" w:rsidRPr="008379F8">
          <w:rPr>
            <w:webHidden/>
          </w:rPr>
          <w:fldChar w:fldCharType="separate"/>
        </w:r>
        <w:r w:rsidR="00C34A87" w:rsidRPr="008379F8">
          <w:rPr>
            <w:webHidden/>
          </w:rPr>
          <w:t>4</w:t>
        </w:r>
        <w:r w:rsidR="00C34A87" w:rsidRPr="008379F8">
          <w:rPr>
            <w:webHidden/>
          </w:rPr>
          <w:fldChar w:fldCharType="end"/>
        </w:r>
      </w:hyperlink>
    </w:p>
    <w:p w14:paraId="549AABA6" w14:textId="6DA944D9"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70" w:history="1">
        <w:r w:rsidR="00C34A87" w:rsidRPr="008379F8">
          <w:rPr>
            <w:rStyle w:val="Hyperlink"/>
            <w:rFonts w:asciiTheme="majorHAnsi" w:hAnsiTheme="majorHAnsi"/>
            <w:sz w:val="20"/>
            <w:szCs w:val="20"/>
            <w:lang w:val="es-ES"/>
          </w:rPr>
          <w:t>A.</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lang w:val="es-ES"/>
          </w:rPr>
          <w:t>Competencia, duplicidad de procedimientos y cosa juzgada internacional</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_Toc90292570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4</w:t>
        </w:r>
        <w:r w:rsidR="00C34A87" w:rsidRPr="008379F8">
          <w:rPr>
            <w:rFonts w:asciiTheme="majorHAnsi" w:hAnsiTheme="majorHAnsi"/>
            <w:webHidden/>
            <w:sz w:val="20"/>
            <w:szCs w:val="20"/>
          </w:rPr>
          <w:fldChar w:fldCharType="end"/>
        </w:r>
      </w:hyperlink>
    </w:p>
    <w:p w14:paraId="4CB7DE63" w14:textId="1E79DBEA"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71" w:history="1">
        <w:r w:rsidR="00C34A87" w:rsidRPr="008379F8">
          <w:rPr>
            <w:rStyle w:val="Hyperlink"/>
            <w:rFonts w:asciiTheme="majorHAnsi" w:hAnsiTheme="majorHAnsi" w:cs="Tahoma"/>
            <w:sz w:val="20"/>
            <w:szCs w:val="20"/>
            <w:lang w:val="es-ES"/>
          </w:rPr>
          <w:t>B.</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cs="Tahoma"/>
            <w:sz w:val="20"/>
            <w:szCs w:val="20"/>
            <w:shd w:val="clear" w:color="auto" w:fill="FFFFFF"/>
            <w:lang w:val="es-ES"/>
          </w:rPr>
          <w:t>Agotamiento de los recursos internos y plazo de presentación</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_Toc90292571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4</w:t>
        </w:r>
        <w:r w:rsidR="00C34A87" w:rsidRPr="008379F8">
          <w:rPr>
            <w:rFonts w:asciiTheme="majorHAnsi" w:hAnsiTheme="majorHAnsi"/>
            <w:webHidden/>
            <w:sz w:val="20"/>
            <w:szCs w:val="20"/>
          </w:rPr>
          <w:fldChar w:fldCharType="end"/>
        </w:r>
      </w:hyperlink>
    </w:p>
    <w:p w14:paraId="44DB690F" w14:textId="332D9CBC"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72" w:history="1">
        <w:r w:rsidR="00C34A87" w:rsidRPr="008379F8">
          <w:rPr>
            <w:rStyle w:val="Hyperlink"/>
            <w:rFonts w:asciiTheme="majorHAnsi" w:hAnsiTheme="majorHAnsi"/>
            <w:sz w:val="20"/>
            <w:szCs w:val="20"/>
            <w:lang w:val="es-ES"/>
          </w:rPr>
          <w:t>C.</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lang w:val="es-ES"/>
          </w:rPr>
          <w:t>Caracterización de los hechos alegados</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_Toc90292572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5</w:t>
        </w:r>
        <w:r w:rsidR="00C34A87" w:rsidRPr="008379F8">
          <w:rPr>
            <w:rFonts w:asciiTheme="majorHAnsi" w:hAnsiTheme="majorHAnsi"/>
            <w:webHidden/>
            <w:sz w:val="20"/>
            <w:szCs w:val="20"/>
          </w:rPr>
          <w:fldChar w:fldCharType="end"/>
        </w:r>
      </w:hyperlink>
    </w:p>
    <w:p w14:paraId="305A5046" w14:textId="6048E132" w:rsidR="00C34A87" w:rsidRPr="008379F8" w:rsidRDefault="000F4996">
      <w:pPr>
        <w:pStyle w:val="TOC1"/>
        <w:rPr>
          <w:rFonts w:eastAsiaTheme="minorEastAsia" w:cstheme="minorBidi"/>
          <w:b w:val="0"/>
          <w:bdr w:val="none" w:sz="0" w:space="0" w:color="auto"/>
          <w:lang w:val="es-US" w:eastAsia="zh-CN"/>
        </w:rPr>
      </w:pPr>
      <w:hyperlink w:anchor="_Toc90292573" w:history="1">
        <w:r w:rsidR="00C34A87" w:rsidRPr="008379F8">
          <w:rPr>
            <w:rStyle w:val="Hyperlink"/>
          </w:rPr>
          <w:t>IV.</w:t>
        </w:r>
        <w:r w:rsidR="00C34A87" w:rsidRPr="008379F8">
          <w:rPr>
            <w:rFonts w:eastAsiaTheme="minorEastAsia" w:cstheme="minorBidi"/>
            <w:b w:val="0"/>
            <w:bdr w:val="none" w:sz="0" w:space="0" w:color="auto"/>
            <w:lang w:val="es-US" w:eastAsia="zh-CN"/>
          </w:rPr>
          <w:tab/>
        </w:r>
        <w:r w:rsidR="00C34A87" w:rsidRPr="008379F8">
          <w:rPr>
            <w:rStyle w:val="Hyperlink"/>
          </w:rPr>
          <w:t>DETERMINACIONES DE HECHO</w:t>
        </w:r>
        <w:r w:rsidR="00C34A87" w:rsidRPr="008379F8">
          <w:rPr>
            <w:webHidden/>
          </w:rPr>
          <w:tab/>
        </w:r>
        <w:r w:rsidR="00C34A87" w:rsidRPr="008379F8">
          <w:rPr>
            <w:webHidden/>
          </w:rPr>
          <w:fldChar w:fldCharType="begin"/>
        </w:r>
        <w:r w:rsidR="00C34A87" w:rsidRPr="008379F8">
          <w:rPr>
            <w:webHidden/>
          </w:rPr>
          <w:instrText xml:space="preserve"> PAGEREF _Toc90292573 \h </w:instrText>
        </w:r>
        <w:r w:rsidR="00C34A87" w:rsidRPr="008379F8">
          <w:rPr>
            <w:webHidden/>
          </w:rPr>
        </w:r>
        <w:r w:rsidR="00C34A87" w:rsidRPr="008379F8">
          <w:rPr>
            <w:webHidden/>
          </w:rPr>
          <w:fldChar w:fldCharType="separate"/>
        </w:r>
        <w:r w:rsidR="00C34A87" w:rsidRPr="008379F8">
          <w:rPr>
            <w:webHidden/>
          </w:rPr>
          <w:t>5</w:t>
        </w:r>
        <w:r w:rsidR="00C34A87" w:rsidRPr="008379F8">
          <w:rPr>
            <w:webHidden/>
          </w:rPr>
          <w:fldChar w:fldCharType="end"/>
        </w:r>
      </w:hyperlink>
    </w:p>
    <w:p w14:paraId="13C64F85" w14:textId="7E197A0C"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74" w:history="1">
        <w:r w:rsidR="00C34A87" w:rsidRPr="008379F8">
          <w:rPr>
            <w:rStyle w:val="Hyperlink"/>
            <w:rFonts w:asciiTheme="majorHAnsi" w:hAnsiTheme="majorHAnsi"/>
            <w:sz w:val="20"/>
            <w:szCs w:val="20"/>
          </w:rPr>
          <w:t>A.</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rPr>
          <w:t>Hechos del caso</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_Toc90292574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5</w:t>
        </w:r>
        <w:r w:rsidR="00C34A87" w:rsidRPr="008379F8">
          <w:rPr>
            <w:rFonts w:asciiTheme="majorHAnsi" w:hAnsiTheme="majorHAnsi"/>
            <w:webHidden/>
            <w:sz w:val="20"/>
            <w:szCs w:val="20"/>
          </w:rPr>
          <w:fldChar w:fldCharType="end"/>
        </w:r>
      </w:hyperlink>
    </w:p>
    <w:p w14:paraId="39E55CBC" w14:textId="5DBD797F"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75" w:history="1">
        <w:r w:rsidR="00C34A87" w:rsidRPr="008379F8">
          <w:rPr>
            <w:rStyle w:val="Hyperlink"/>
            <w:rFonts w:asciiTheme="majorHAnsi" w:hAnsiTheme="majorHAnsi"/>
            <w:sz w:val="20"/>
            <w:szCs w:val="20"/>
            <w:lang w:val="es-ES"/>
          </w:rPr>
          <w:t>B.</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lang w:val="es-ES"/>
          </w:rPr>
          <w:t>Juicio y condena a muerte</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_Toc90292575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5</w:t>
        </w:r>
        <w:r w:rsidR="00C34A87" w:rsidRPr="008379F8">
          <w:rPr>
            <w:rFonts w:asciiTheme="majorHAnsi" w:hAnsiTheme="majorHAnsi"/>
            <w:webHidden/>
            <w:sz w:val="20"/>
            <w:szCs w:val="20"/>
          </w:rPr>
          <w:fldChar w:fldCharType="end"/>
        </w:r>
      </w:hyperlink>
    </w:p>
    <w:p w14:paraId="2F2373B6" w14:textId="69E198FE"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76" w:history="1">
        <w:r w:rsidR="00C34A87" w:rsidRPr="008379F8">
          <w:rPr>
            <w:rStyle w:val="Hyperlink"/>
            <w:rFonts w:asciiTheme="majorHAnsi" w:hAnsiTheme="majorHAnsi"/>
            <w:sz w:val="20"/>
            <w:szCs w:val="20"/>
            <w:lang w:val="es-ES"/>
          </w:rPr>
          <w:t>C.</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lang w:val="es-ES"/>
          </w:rPr>
          <w:t>Procedimientos posteriores a la condena y otros recursos</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_Toc90292576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6</w:t>
        </w:r>
        <w:r w:rsidR="00C34A87" w:rsidRPr="008379F8">
          <w:rPr>
            <w:rFonts w:asciiTheme="majorHAnsi" w:hAnsiTheme="majorHAnsi"/>
            <w:webHidden/>
            <w:sz w:val="20"/>
            <w:szCs w:val="20"/>
          </w:rPr>
          <w:fldChar w:fldCharType="end"/>
        </w:r>
      </w:hyperlink>
    </w:p>
    <w:p w14:paraId="7E1AD7AB" w14:textId="22CC6EA9" w:rsidR="00C34A87" w:rsidRPr="008379F8" w:rsidRDefault="000F4996">
      <w:pPr>
        <w:pStyle w:val="TOC1"/>
        <w:rPr>
          <w:rFonts w:eastAsiaTheme="minorEastAsia" w:cstheme="minorBidi"/>
          <w:b w:val="0"/>
          <w:bdr w:val="none" w:sz="0" w:space="0" w:color="auto"/>
          <w:lang w:val="es-US" w:eastAsia="zh-CN"/>
        </w:rPr>
      </w:pPr>
      <w:hyperlink w:anchor="_Toc90292577" w:history="1">
        <w:r w:rsidR="00C34A87" w:rsidRPr="008379F8">
          <w:rPr>
            <w:rStyle w:val="Hyperlink"/>
          </w:rPr>
          <w:t>V.</w:t>
        </w:r>
        <w:r w:rsidR="00C34A87" w:rsidRPr="008379F8">
          <w:rPr>
            <w:rFonts w:eastAsiaTheme="minorEastAsia" w:cstheme="minorBidi"/>
            <w:b w:val="0"/>
            <w:bdr w:val="none" w:sz="0" w:space="0" w:color="auto"/>
            <w:lang w:val="es-US" w:eastAsia="zh-CN"/>
          </w:rPr>
          <w:tab/>
        </w:r>
        <w:r w:rsidR="00C34A87" w:rsidRPr="008379F8">
          <w:rPr>
            <w:rStyle w:val="Hyperlink"/>
          </w:rPr>
          <w:t>ANALISIS DE DERECHO</w:t>
        </w:r>
        <w:r w:rsidR="00C34A87" w:rsidRPr="008379F8">
          <w:rPr>
            <w:webHidden/>
          </w:rPr>
          <w:tab/>
        </w:r>
        <w:r w:rsidR="00C34A87" w:rsidRPr="008379F8">
          <w:rPr>
            <w:webHidden/>
          </w:rPr>
          <w:fldChar w:fldCharType="begin"/>
        </w:r>
        <w:r w:rsidR="00C34A87" w:rsidRPr="008379F8">
          <w:rPr>
            <w:webHidden/>
          </w:rPr>
          <w:instrText xml:space="preserve"> PAGEREF _Toc90292577 \h </w:instrText>
        </w:r>
        <w:r w:rsidR="00C34A87" w:rsidRPr="008379F8">
          <w:rPr>
            <w:webHidden/>
          </w:rPr>
        </w:r>
        <w:r w:rsidR="00C34A87" w:rsidRPr="008379F8">
          <w:rPr>
            <w:webHidden/>
          </w:rPr>
          <w:fldChar w:fldCharType="separate"/>
        </w:r>
        <w:r w:rsidR="00C34A87" w:rsidRPr="008379F8">
          <w:rPr>
            <w:webHidden/>
          </w:rPr>
          <w:t>8</w:t>
        </w:r>
        <w:r w:rsidR="00C34A87" w:rsidRPr="008379F8">
          <w:rPr>
            <w:webHidden/>
          </w:rPr>
          <w:fldChar w:fldCharType="end"/>
        </w:r>
      </w:hyperlink>
    </w:p>
    <w:p w14:paraId="66D0B10E" w14:textId="584432B9"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78" w:history="1">
        <w:r w:rsidR="00C34A87" w:rsidRPr="008379F8">
          <w:rPr>
            <w:rStyle w:val="Hyperlink"/>
            <w:rFonts w:asciiTheme="majorHAnsi" w:hAnsiTheme="majorHAnsi"/>
            <w:sz w:val="20"/>
            <w:szCs w:val="20"/>
          </w:rPr>
          <w:t>A.</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rPr>
          <w:t>Derecho</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_Toc90292578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8</w:t>
        </w:r>
        <w:r w:rsidR="00C34A87" w:rsidRPr="008379F8">
          <w:rPr>
            <w:rFonts w:asciiTheme="majorHAnsi" w:hAnsiTheme="majorHAnsi"/>
            <w:webHidden/>
            <w:sz w:val="20"/>
            <w:szCs w:val="20"/>
          </w:rPr>
          <w:fldChar w:fldCharType="end"/>
        </w:r>
      </w:hyperlink>
    </w:p>
    <w:p w14:paraId="6F2562B0" w14:textId="2472DFB9"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79" w:history="1">
        <w:r w:rsidR="00C34A87" w:rsidRPr="008379F8">
          <w:rPr>
            <w:rStyle w:val="Hyperlink"/>
            <w:rFonts w:asciiTheme="majorHAnsi" w:hAnsiTheme="majorHAnsi"/>
            <w:sz w:val="20"/>
            <w:szCs w:val="20"/>
          </w:rPr>
          <w:t>B.</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rPr>
          <w:t>Consideraciones preliminares</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_Toc90292579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8</w:t>
        </w:r>
        <w:r w:rsidR="00C34A87" w:rsidRPr="008379F8">
          <w:rPr>
            <w:rFonts w:asciiTheme="majorHAnsi" w:hAnsiTheme="majorHAnsi"/>
            <w:webHidden/>
            <w:sz w:val="20"/>
            <w:szCs w:val="20"/>
          </w:rPr>
          <w:fldChar w:fldCharType="end"/>
        </w:r>
      </w:hyperlink>
    </w:p>
    <w:p w14:paraId="0847FCC4" w14:textId="3530E9CE"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80" w:history="1">
        <w:r w:rsidR="00C34A87" w:rsidRPr="008379F8">
          <w:rPr>
            <w:rStyle w:val="Hyperlink"/>
            <w:rFonts w:asciiTheme="majorHAnsi" w:hAnsiTheme="majorHAnsi"/>
            <w:sz w:val="20"/>
            <w:szCs w:val="20"/>
            <w:lang w:val="es-ES"/>
          </w:rPr>
          <w:t>C.</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lang w:val="es-ES"/>
          </w:rPr>
          <w:t>Derecho de justicia, derecho de petición, y derecho a proceso regular</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_Toc90292580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9</w:t>
        </w:r>
        <w:r w:rsidR="00C34A87" w:rsidRPr="008379F8">
          <w:rPr>
            <w:rFonts w:asciiTheme="majorHAnsi" w:hAnsiTheme="majorHAnsi"/>
            <w:webHidden/>
            <w:sz w:val="20"/>
            <w:szCs w:val="20"/>
          </w:rPr>
          <w:fldChar w:fldCharType="end"/>
        </w:r>
      </w:hyperlink>
    </w:p>
    <w:p w14:paraId="4CB8A45F" w14:textId="25B9EA0C" w:rsidR="00C34A87" w:rsidRPr="008379F8" w:rsidRDefault="000F4996">
      <w:pPr>
        <w:pStyle w:val="TOC3"/>
        <w:rPr>
          <w:rFonts w:asciiTheme="majorHAnsi" w:eastAsiaTheme="minorEastAsia" w:hAnsiTheme="majorHAnsi" w:cstheme="minorBidi"/>
          <w:noProof/>
          <w:sz w:val="20"/>
          <w:szCs w:val="20"/>
          <w:bdr w:val="none" w:sz="0" w:space="0" w:color="auto"/>
          <w:lang w:val="es-US" w:eastAsia="zh-CN"/>
        </w:rPr>
      </w:pPr>
      <w:hyperlink w:anchor="_Toc90292581" w:history="1">
        <w:r w:rsidR="00C34A87" w:rsidRPr="008379F8">
          <w:rPr>
            <w:rStyle w:val="Hyperlink"/>
            <w:rFonts w:asciiTheme="majorHAnsi" w:hAnsiTheme="majorHAnsi"/>
            <w:noProof/>
            <w:sz w:val="20"/>
            <w:szCs w:val="20"/>
            <w:lang w:val="es-ES"/>
          </w:rPr>
          <w:t>1.</w:t>
        </w:r>
        <w:r w:rsidR="00C34A87" w:rsidRPr="008379F8">
          <w:rPr>
            <w:rFonts w:asciiTheme="majorHAnsi" w:eastAsiaTheme="minorEastAsia" w:hAnsiTheme="majorHAnsi" w:cstheme="minorBidi"/>
            <w:noProof/>
            <w:sz w:val="20"/>
            <w:szCs w:val="20"/>
            <w:bdr w:val="none" w:sz="0" w:space="0" w:color="auto"/>
            <w:lang w:val="es-US" w:eastAsia="zh-CN"/>
          </w:rPr>
          <w:tab/>
        </w:r>
        <w:r w:rsidR="00C34A87" w:rsidRPr="008379F8">
          <w:rPr>
            <w:rStyle w:val="Hyperlink"/>
            <w:rFonts w:asciiTheme="majorHAnsi" w:hAnsiTheme="majorHAnsi"/>
            <w:noProof/>
            <w:sz w:val="20"/>
            <w:szCs w:val="20"/>
            <w:lang w:val="es-ES"/>
          </w:rPr>
          <w:t>Derecho a la información sobre asistencia consultar</w:t>
        </w:r>
        <w:r w:rsidR="00C34A87" w:rsidRPr="008379F8">
          <w:rPr>
            <w:rFonts w:asciiTheme="majorHAnsi" w:hAnsiTheme="majorHAnsi"/>
            <w:noProof/>
            <w:webHidden/>
            <w:sz w:val="20"/>
            <w:szCs w:val="20"/>
          </w:rPr>
          <w:tab/>
        </w:r>
        <w:r w:rsidR="00C34A87" w:rsidRPr="008379F8">
          <w:rPr>
            <w:rFonts w:asciiTheme="majorHAnsi" w:hAnsiTheme="majorHAnsi"/>
            <w:noProof/>
            <w:webHidden/>
            <w:sz w:val="20"/>
            <w:szCs w:val="20"/>
          </w:rPr>
          <w:fldChar w:fldCharType="begin"/>
        </w:r>
        <w:r w:rsidR="00C34A87" w:rsidRPr="008379F8">
          <w:rPr>
            <w:rFonts w:asciiTheme="majorHAnsi" w:hAnsiTheme="majorHAnsi"/>
            <w:noProof/>
            <w:webHidden/>
            <w:sz w:val="20"/>
            <w:szCs w:val="20"/>
          </w:rPr>
          <w:instrText xml:space="preserve"> PAGEREF _Toc90292581 \h </w:instrText>
        </w:r>
        <w:r w:rsidR="00C34A87" w:rsidRPr="008379F8">
          <w:rPr>
            <w:rFonts w:asciiTheme="majorHAnsi" w:hAnsiTheme="majorHAnsi"/>
            <w:noProof/>
            <w:webHidden/>
            <w:sz w:val="20"/>
            <w:szCs w:val="20"/>
          </w:rPr>
        </w:r>
        <w:r w:rsidR="00C34A87" w:rsidRPr="008379F8">
          <w:rPr>
            <w:rFonts w:asciiTheme="majorHAnsi" w:hAnsiTheme="majorHAnsi"/>
            <w:noProof/>
            <w:webHidden/>
            <w:sz w:val="20"/>
            <w:szCs w:val="20"/>
          </w:rPr>
          <w:fldChar w:fldCharType="separate"/>
        </w:r>
        <w:r w:rsidR="00C34A87" w:rsidRPr="008379F8">
          <w:rPr>
            <w:rFonts w:asciiTheme="majorHAnsi" w:hAnsiTheme="majorHAnsi"/>
            <w:noProof/>
            <w:webHidden/>
            <w:sz w:val="20"/>
            <w:szCs w:val="20"/>
          </w:rPr>
          <w:t>9</w:t>
        </w:r>
        <w:r w:rsidR="00C34A87" w:rsidRPr="008379F8">
          <w:rPr>
            <w:rFonts w:asciiTheme="majorHAnsi" w:hAnsiTheme="majorHAnsi"/>
            <w:noProof/>
            <w:webHidden/>
            <w:sz w:val="20"/>
            <w:szCs w:val="20"/>
          </w:rPr>
          <w:fldChar w:fldCharType="end"/>
        </w:r>
      </w:hyperlink>
    </w:p>
    <w:p w14:paraId="6286C10D" w14:textId="601B2F93" w:rsidR="00C34A87" w:rsidRPr="008379F8" w:rsidRDefault="000F4996">
      <w:pPr>
        <w:pStyle w:val="TOC3"/>
        <w:rPr>
          <w:rFonts w:asciiTheme="majorHAnsi" w:eastAsiaTheme="minorEastAsia" w:hAnsiTheme="majorHAnsi" w:cstheme="minorBidi"/>
          <w:noProof/>
          <w:sz w:val="20"/>
          <w:szCs w:val="20"/>
          <w:bdr w:val="none" w:sz="0" w:space="0" w:color="auto"/>
          <w:lang w:val="es-US" w:eastAsia="zh-CN"/>
        </w:rPr>
      </w:pPr>
      <w:hyperlink w:anchor="_Toc90292582" w:history="1">
        <w:r w:rsidR="00C34A87" w:rsidRPr="008379F8">
          <w:rPr>
            <w:rStyle w:val="Hyperlink"/>
            <w:rFonts w:asciiTheme="majorHAnsi" w:hAnsiTheme="majorHAnsi"/>
            <w:noProof/>
            <w:sz w:val="20"/>
            <w:szCs w:val="20"/>
            <w:lang w:val="es-ES"/>
          </w:rPr>
          <w:t>2.</w:t>
        </w:r>
        <w:r w:rsidR="00C34A87" w:rsidRPr="008379F8">
          <w:rPr>
            <w:rFonts w:asciiTheme="majorHAnsi" w:eastAsiaTheme="minorEastAsia" w:hAnsiTheme="majorHAnsi" w:cstheme="minorBidi"/>
            <w:noProof/>
            <w:sz w:val="20"/>
            <w:szCs w:val="20"/>
            <w:bdr w:val="none" w:sz="0" w:space="0" w:color="auto"/>
            <w:lang w:val="es-US" w:eastAsia="zh-CN"/>
          </w:rPr>
          <w:tab/>
        </w:r>
        <w:r w:rsidR="00C34A87" w:rsidRPr="008379F8">
          <w:rPr>
            <w:rStyle w:val="Hyperlink"/>
            <w:rFonts w:asciiTheme="majorHAnsi" w:hAnsiTheme="majorHAnsi"/>
            <w:noProof/>
            <w:sz w:val="20"/>
            <w:szCs w:val="20"/>
            <w:lang w:val="es-ES"/>
          </w:rPr>
          <w:t>Derecho a procedimientos de clemencia</w:t>
        </w:r>
        <w:r w:rsidR="00C34A87" w:rsidRPr="008379F8">
          <w:rPr>
            <w:rFonts w:asciiTheme="majorHAnsi" w:hAnsiTheme="majorHAnsi"/>
            <w:noProof/>
            <w:webHidden/>
            <w:sz w:val="20"/>
            <w:szCs w:val="20"/>
          </w:rPr>
          <w:tab/>
        </w:r>
        <w:r w:rsidR="00C34A87" w:rsidRPr="008379F8">
          <w:rPr>
            <w:rFonts w:asciiTheme="majorHAnsi" w:hAnsiTheme="majorHAnsi"/>
            <w:noProof/>
            <w:webHidden/>
            <w:sz w:val="20"/>
            <w:szCs w:val="20"/>
          </w:rPr>
          <w:fldChar w:fldCharType="begin"/>
        </w:r>
        <w:r w:rsidR="00C34A87" w:rsidRPr="008379F8">
          <w:rPr>
            <w:rFonts w:asciiTheme="majorHAnsi" w:hAnsiTheme="majorHAnsi"/>
            <w:noProof/>
            <w:webHidden/>
            <w:sz w:val="20"/>
            <w:szCs w:val="20"/>
          </w:rPr>
          <w:instrText xml:space="preserve"> PAGEREF _Toc90292582 \h </w:instrText>
        </w:r>
        <w:r w:rsidR="00C34A87" w:rsidRPr="008379F8">
          <w:rPr>
            <w:rFonts w:asciiTheme="majorHAnsi" w:hAnsiTheme="majorHAnsi"/>
            <w:noProof/>
            <w:webHidden/>
            <w:sz w:val="20"/>
            <w:szCs w:val="20"/>
          </w:rPr>
        </w:r>
        <w:r w:rsidR="00C34A87" w:rsidRPr="008379F8">
          <w:rPr>
            <w:rFonts w:asciiTheme="majorHAnsi" w:hAnsiTheme="majorHAnsi"/>
            <w:noProof/>
            <w:webHidden/>
            <w:sz w:val="20"/>
            <w:szCs w:val="20"/>
          </w:rPr>
          <w:fldChar w:fldCharType="separate"/>
        </w:r>
        <w:r w:rsidR="00C34A87" w:rsidRPr="008379F8">
          <w:rPr>
            <w:rFonts w:asciiTheme="majorHAnsi" w:hAnsiTheme="majorHAnsi"/>
            <w:noProof/>
            <w:webHidden/>
            <w:sz w:val="20"/>
            <w:szCs w:val="20"/>
          </w:rPr>
          <w:t>10</w:t>
        </w:r>
        <w:r w:rsidR="00C34A87" w:rsidRPr="008379F8">
          <w:rPr>
            <w:rFonts w:asciiTheme="majorHAnsi" w:hAnsiTheme="majorHAnsi"/>
            <w:noProof/>
            <w:webHidden/>
            <w:sz w:val="20"/>
            <w:szCs w:val="20"/>
          </w:rPr>
          <w:fldChar w:fldCharType="end"/>
        </w:r>
      </w:hyperlink>
    </w:p>
    <w:p w14:paraId="66A9092E" w14:textId="5D2FF8D3"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83" w:history="1">
        <w:r w:rsidR="00C34A87" w:rsidRPr="008379F8">
          <w:rPr>
            <w:rStyle w:val="Hyperlink"/>
            <w:rFonts w:asciiTheme="majorHAnsi" w:hAnsiTheme="majorHAnsi"/>
            <w:sz w:val="20"/>
            <w:szCs w:val="20"/>
            <w:lang w:val="es-ES"/>
          </w:rPr>
          <w:t>D.</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lang w:val="es-ES"/>
          </w:rPr>
          <w:t>La privación de la libertad en el corredor de la muerte y el derecho a la protección contra penas crueles, infamantes o inusitadas</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_Toc90292583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12</w:t>
        </w:r>
        <w:r w:rsidR="00C34A87" w:rsidRPr="008379F8">
          <w:rPr>
            <w:rFonts w:asciiTheme="majorHAnsi" w:hAnsiTheme="majorHAnsi"/>
            <w:webHidden/>
            <w:sz w:val="20"/>
            <w:szCs w:val="20"/>
          </w:rPr>
          <w:fldChar w:fldCharType="end"/>
        </w:r>
      </w:hyperlink>
    </w:p>
    <w:p w14:paraId="7DD21468" w14:textId="3A301FF3"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84" w:history="1">
        <w:r w:rsidR="00C34A87" w:rsidRPr="008379F8">
          <w:rPr>
            <w:rStyle w:val="Hyperlink"/>
            <w:rFonts w:asciiTheme="majorHAnsi" w:hAnsiTheme="majorHAnsi"/>
            <w:sz w:val="20"/>
            <w:szCs w:val="20"/>
            <w:lang w:val="es-ES"/>
          </w:rPr>
          <w:t>1.</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lang w:val="es-ES"/>
          </w:rPr>
          <w:t>El fenómeno del corredor de la muerte</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_Toc90292584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12</w:t>
        </w:r>
        <w:r w:rsidR="00C34A87" w:rsidRPr="008379F8">
          <w:rPr>
            <w:rFonts w:asciiTheme="majorHAnsi" w:hAnsiTheme="majorHAnsi"/>
            <w:webHidden/>
            <w:sz w:val="20"/>
            <w:szCs w:val="20"/>
          </w:rPr>
          <w:fldChar w:fldCharType="end"/>
        </w:r>
      </w:hyperlink>
    </w:p>
    <w:p w14:paraId="7F65CCCB" w14:textId="7E6B93C5"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85" w:history="1">
        <w:r w:rsidR="00C34A87" w:rsidRPr="008379F8">
          <w:rPr>
            <w:rStyle w:val="Hyperlink"/>
            <w:rFonts w:asciiTheme="majorHAnsi" w:hAnsiTheme="majorHAnsi"/>
            <w:sz w:val="20"/>
            <w:szCs w:val="20"/>
          </w:rPr>
          <w:t>2.</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rPr>
          <w:t>Método de ejecución</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_Toc90292585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14</w:t>
        </w:r>
        <w:r w:rsidR="00C34A87" w:rsidRPr="008379F8">
          <w:rPr>
            <w:rFonts w:asciiTheme="majorHAnsi" w:hAnsiTheme="majorHAnsi"/>
            <w:webHidden/>
            <w:sz w:val="20"/>
            <w:szCs w:val="20"/>
          </w:rPr>
          <w:fldChar w:fldCharType="end"/>
        </w:r>
      </w:hyperlink>
    </w:p>
    <w:p w14:paraId="7F6E810D" w14:textId="5AEC2E51"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86" w:history="1">
        <w:r w:rsidR="00C34A87" w:rsidRPr="008379F8">
          <w:rPr>
            <w:rStyle w:val="Hyperlink"/>
            <w:rFonts w:asciiTheme="majorHAnsi" w:hAnsiTheme="majorHAnsi"/>
            <w:sz w:val="20"/>
            <w:szCs w:val="20"/>
          </w:rPr>
          <w:t>E.</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rPr>
          <w:t>Derecho de petición</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_Toc90292586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16</w:t>
        </w:r>
        <w:r w:rsidR="00C34A87" w:rsidRPr="008379F8">
          <w:rPr>
            <w:rFonts w:asciiTheme="majorHAnsi" w:hAnsiTheme="majorHAnsi"/>
            <w:webHidden/>
            <w:sz w:val="20"/>
            <w:szCs w:val="20"/>
          </w:rPr>
          <w:fldChar w:fldCharType="end"/>
        </w:r>
      </w:hyperlink>
    </w:p>
    <w:p w14:paraId="4D59D2EC" w14:textId="4A0FE54D" w:rsidR="00C34A87" w:rsidRPr="008379F8" w:rsidRDefault="000F4996">
      <w:pPr>
        <w:pStyle w:val="TOC2"/>
        <w:rPr>
          <w:rFonts w:asciiTheme="majorHAnsi" w:eastAsiaTheme="minorEastAsia" w:hAnsiTheme="majorHAnsi" w:cstheme="minorBidi"/>
          <w:sz w:val="20"/>
          <w:szCs w:val="20"/>
          <w:bdr w:val="none" w:sz="0" w:space="0" w:color="auto"/>
          <w:lang w:val="es-US" w:eastAsia="zh-CN"/>
        </w:rPr>
      </w:pPr>
      <w:hyperlink w:anchor="_Toc90292587" w:history="1">
        <w:r w:rsidR="00C34A87" w:rsidRPr="008379F8">
          <w:rPr>
            <w:rStyle w:val="Hyperlink"/>
            <w:rFonts w:asciiTheme="majorHAnsi" w:hAnsiTheme="majorHAnsi"/>
            <w:sz w:val="20"/>
            <w:szCs w:val="20"/>
            <w:lang w:val="es-ES"/>
          </w:rPr>
          <w:t>F.</w:t>
        </w:r>
        <w:r w:rsidR="00C34A87" w:rsidRPr="008379F8">
          <w:rPr>
            <w:rFonts w:asciiTheme="majorHAnsi" w:eastAsiaTheme="minorEastAsia" w:hAnsiTheme="majorHAnsi" w:cstheme="minorBidi"/>
            <w:sz w:val="20"/>
            <w:szCs w:val="20"/>
            <w:bdr w:val="none" w:sz="0" w:space="0" w:color="auto"/>
            <w:lang w:val="es-US" w:eastAsia="zh-CN"/>
          </w:rPr>
          <w:tab/>
        </w:r>
        <w:r w:rsidR="00C34A87" w:rsidRPr="008379F8">
          <w:rPr>
            <w:rStyle w:val="Hyperlink"/>
            <w:rFonts w:asciiTheme="majorHAnsi" w:hAnsiTheme="majorHAnsi"/>
            <w:sz w:val="20"/>
            <w:szCs w:val="20"/>
            <w:lang w:val="es-ES"/>
          </w:rPr>
          <w:t>Derecho a la vida y a la protección contra penas crueles, infamantes o inusitadas con respecto a la ejecución de Manuel Valle</w:t>
        </w:r>
        <w:r w:rsidR="00C34A87" w:rsidRPr="008379F8">
          <w:rPr>
            <w:rFonts w:asciiTheme="majorHAnsi" w:hAnsiTheme="majorHAnsi"/>
            <w:webHidden/>
            <w:sz w:val="20"/>
            <w:szCs w:val="20"/>
          </w:rPr>
          <w:tab/>
        </w:r>
        <w:r w:rsidR="00C34A87" w:rsidRPr="008379F8">
          <w:rPr>
            <w:rFonts w:asciiTheme="majorHAnsi" w:hAnsiTheme="majorHAnsi"/>
            <w:webHidden/>
            <w:sz w:val="20"/>
            <w:szCs w:val="20"/>
          </w:rPr>
          <w:fldChar w:fldCharType="begin"/>
        </w:r>
        <w:r w:rsidR="00C34A87" w:rsidRPr="008379F8">
          <w:rPr>
            <w:rFonts w:asciiTheme="majorHAnsi" w:hAnsiTheme="majorHAnsi"/>
            <w:webHidden/>
            <w:sz w:val="20"/>
            <w:szCs w:val="20"/>
          </w:rPr>
          <w:instrText xml:space="preserve"> PAGEREF _Toc90292587 \h </w:instrText>
        </w:r>
        <w:r w:rsidR="00C34A87" w:rsidRPr="008379F8">
          <w:rPr>
            <w:rFonts w:asciiTheme="majorHAnsi" w:hAnsiTheme="majorHAnsi"/>
            <w:webHidden/>
            <w:sz w:val="20"/>
            <w:szCs w:val="20"/>
          </w:rPr>
        </w:r>
        <w:r w:rsidR="00C34A87" w:rsidRPr="008379F8">
          <w:rPr>
            <w:rFonts w:asciiTheme="majorHAnsi" w:hAnsiTheme="majorHAnsi"/>
            <w:webHidden/>
            <w:sz w:val="20"/>
            <w:szCs w:val="20"/>
          </w:rPr>
          <w:fldChar w:fldCharType="separate"/>
        </w:r>
        <w:r w:rsidR="00C34A87" w:rsidRPr="008379F8">
          <w:rPr>
            <w:rFonts w:asciiTheme="majorHAnsi" w:hAnsiTheme="majorHAnsi"/>
            <w:webHidden/>
            <w:sz w:val="20"/>
            <w:szCs w:val="20"/>
          </w:rPr>
          <w:t>17</w:t>
        </w:r>
        <w:r w:rsidR="00C34A87" w:rsidRPr="008379F8">
          <w:rPr>
            <w:rFonts w:asciiTheme="majorHAnsi" w:hAnsiTheme="majorHAnsi"/>
            <w:webHidden/>
            <w:sz w:val="20"/>
            <w:szCs w:val="20"/>
          </w:rPr>
          <w:fldChar w:fldCharType="end"/>
        </w:r>
      </w:hyperlink>
    </w:p>
    <w:p w14:paraId="09FD83AD" w14:textId="4DA8A524" w:rsidR="00C34A87" w:rsidRPr="008379F8" w:rsidRDefault="000F4996">
      <w:pPr>
        <w:pStyle w:val="TOC1"/>
        <w:rPr>
          <w:rFonts w:eastAsiaTheme="minorEastAsia" w:cstheme="minorBidi"/>
          <w:b w:val="0"/>
          <w:bdr w:val="none" w:sz="0" w:space="0" w:color="auto"/>
          <w:lang w:val="es-US" w:eastAsia="zh-CN"/>
        </w:rPr>
      </w:pPr>
      <w:hyperlink w:anchor="_Toc90292588" w:history="1">
        <w:r w:rsidR="00C34A87" w:rsidRPr="008379F8">
          <w:rPr>
            <w:rStyle w:val="Hyperlink"/>
          </w:rPr>
          <w:t>VI.</w:t>
        </w:r>
        <w:r w:rsidR="00C34A87" w:rsidRPr="008379F8">
          <w:rPr>
            <w:rFonts w:eastAsiaTheme="minorEastAsia" w:cstheme="minorBidi"/>
            <w:b w:val="0"/>
            <w:bdr w:val="none" w:sz="0" w:space="0" w:color="auto"/>
            <w:lang w:val="es-US" w:eastAsia="zh-CN"/>
          </w:rPr>
          <w:tab/>
        </w:r>
        <w:r w:rsidR="00C34A87" w:rsidRPr="008379F8">
          <w:rPr>
            <w:rStyle w:val="Hyperlink"/>
          </w:rPr>
          <w:t>INFORME Nº 305/20 E INFORMACIÓN SOBRE EL CUMPLIMIENTO</w:t>
        </w:r>
        <w:r w:rsidR="00C34A87" w:rsidRPr="008379F8">
          <w:rPr>
            <w:webHidden/>
          </w:rPr>
          <w:tab/>
        </w:r>
        <w:r w:rsidR="00C34A87" w:rsidRPr="008379F8">
          <w:rPr>
            <w:webHidden/>
          </w:rPr>
          <w:fldChar w:fldCharType="begin"/>
        </w:r>
        <w:r w:rsidR="00C34A87" w:rsidRPr="008379F8">
          <w:rPr>
            <w:webHidden/>
          </w:rPr>
          <w:instrText xml:space="preserve"> PAGEREF _Toc90292588 \h </w:instrText>
        </w:r>
        <w:r w:rsidR="00C34A87" w:rsidRPr="008379F8">
          <w:rPr>
            <w:webHidden/>
          </w:rPr>
        </w:r>
        <w:r w:rsidR="00C34A87" w:rsidRPr="008379F8">
          <w:rPr>
            <w:webHidden/>
          </w:rPr>
          <w:fldChar w:fldCharType="separate"/>
        </w:r>
        <w:r w:rsidR="00C34A87" w:rsidRPr="008379F8">
          <w:rPr>
            <w:webHidden/>
          </w:rPr>
          <w:t>17</w:t>
        </w:r>
        <w:r w:rsidR="00C34A87" w:rsidRPr="008379F8">
          <w:rPr>
            <w:webHidden/>
          </w:rPr>
          <w:fldChar w:fldCharType="end"/>
        </w:r>
      </w:hyperlink>
    </w:p>
    <w:p w14:paraId="5DB13274" w14:textId="2542B1C4" w:rsidR="00C34A87" w:rsidRPr="008379F8" w:rsidRDefault="000F4996">
      <w:pPr>
        <w:pStyle w:val="TOC1"/>
        <w:rPr>
          <w:rFonts w:eastAsiaTheme="minorEastAsia" w:cstheme="minorBidi"/>
          <w:b w:val="0"/>
          <w:bdr w:val="none" w:sz="0" w:space="0" w:color="auto"/>
          <w:lang w:val="es-US" w:eastAsia="zh-CN"/>
        </w:rPr>
      </w:pPr>
      <w:hyperlink w:anchor="_Toc90292589" w:history="1">
        <w:r w:rsidR="00C34A87" w:rsidRPr="008379F8">
          <w:rPr>
            <w:rStyle w:val="Hyperlink"/>
            <w:lang w:val="es-ES"/>
          </w:rPr>
          <w:t>VII.</w:t>
        </w:r>
        <w:r w:rsidR="00C34A87" w:rsidRPr="008379F8">
          <w:rPr>
            <w:rFonts w:eastAsiaTheme="minorEastAsia" w:cstheme="minorBidi"/>
            <w:b w:val="0"/>
            <w:bdr w:val="none" w:sz="0" w:space="0" w:color="auto"/>
            <w:lang w:val="es-US" w:eastAsia="zh-CN"/>
          </w:rPr>
          <w:tab/>
        </w:r>
        <w:r w:rsidR="00C34A87" w:rsidRPr="008379F8">
          <w:rPr>
            <w:rStyle w:val="Hyperlink"/>
            <w:lang w:val="es-ES"/>
          </w:rPr>
          <w:t>ACCIONES POSTERIORES AL INFORME No. 331/21</w:t>
        </w:r>
        <w:r w:rsidR="00C34A87" w:rsidRPr="008379F8">
          <w:rPr>
            <w:webHidden/>
          </w:rPr>
          <w:tab/>
        </w:r>
        <w:r w:rsidR="00C34A87" w:rsidRPr="008379F8">
          <w:rPr>
            <w:webHidden/>
          </w:rPr>
          <w:fldChar w:fldCharType="begin"/>
        </w:r>
        <w:r w:rsidR="00C34A87" w:rsidRPr="008379F8">
          <w:rPr>
            <w:webHidden/>
          </w:rPr>
          <w:instrText xml:space="preserve"> PAGEREF _Toc90292589 \h </w:instrText>
        </w:r>
        <w:r w:rsidR="00C34A87" w:rsidRPr="008379F8">
          <w:rPr>
            <w:webHidden/>
          </w:rPr>
        </w:r>
        <w:r w:rsidR="00C34A87" w:rsidRPr="008379F8">
          <w:rPr>
            <w:webHidden/>
          </w:rPr>
          <w:fldChar w:fldCharType="separate"/>
        </w:r>
        <w:r w:rsidR="00C34A87" w:rsidRPr="008379F8">
          <w:rPr>
            <w:webHidden/>
          </w:rPr>
          <w:t>18</w:t>
        </w:r>
        <w:r w:rsidR="00C34A87" w:rsidRPr="008379F8">
          <w:rPr>
            <w:webHidden/>
          </w:rPr>
          <w:fldChar w:fldCharType="end"/>
        </w:r>
      </w:hyperlink>
    </w:p>
    <w:p w14:paraId="71E9653A" w14:textId="74CC2535" w:rsidR="00C34A87" w:rsidRPr="008379F8" w:rsidRDefault="000F4996">
      <w:pPr>
        <w:pStyle w:val="TOC1"/>
        <w:rPr>
          <w:rFonts w:eastAsiaTheme="minorEastAsia" w:cstheme="minorBidi"/>
          <w:b w:val="0"/>
          <w:bdr w:val="none" w:sz="0" w:space="0" w:color="auto"/>
          <w:lang w:val="es-US" w:eastAsia="zh-CN"/>
        </w:rPr>
      </w:pPr>
      <w:hyperlink w:anchor="_Toc90292590" w:history="1">
        <w:r w:rsidR="00C34A87" w:rsidRPr="008379F8">
          <w:rPr>
            <w:rStyle w:val="Hyperlink"/>
          </w:rPr>
          <w:t>VIII.</w:t>
        </w:r>
        <w:r w:rsidR="00C34A87" w:rsidRPr="008379F8">
          <w:rPr>
            <w:rFonts w:eastAsiaTheme="minorEastAsia" w:cstheme="minorBidi"/>
            <w:b w:val="0"/>
            <w:bdr w:val="none" w:sz="0" w:space="0" w:color="auto"/>
            <w:lang w:val="es-US" w:eastAsia="zh-CN"/>
          </w:rPr>
          <w:tab/>
        </w:r>
        <w:r w:rsidR="00C34A87" w:rsidRPr="008379F8">
          <w:rPr>
            <w:rStyle w:val="Hyperlink"/>
          </w:rPr>
          <w:t>CONCLUSIONES Y RECOMENDACIONES FINALES</w:t>
        </w:r>
        <w:r w:rsidR="00C34A87" w:rsidRPr="008379F8">
          <w:rPr>
            <w:webHidden/>
          </w:rPr>
          <w:tab/>
        </w:r>
        <w:r w:rsidR="00C34A87" w:rsidRPr="008379F8">
          <w:rPr>
            <w:webHidden/>
          </w:rPr>
          <w:fldChar w:fldCharType="begin"/>
        </w:r>
        <w:r w:rsidR="00C34A87" w:rsidRPr="008379F8">
          <w:rPr>
            <w:webHidden/>
          </w:rPr>
          <w:instrText xml:space="preserve"> PAGEREF _Toc90292590 \h </w:instrText>
        </w:r>
        <w:r w:rsidR="00C34A87" w:rsidRPr="008379F8">
          <w:rPr>
            <w:webHidden/>
          </w:rPr>
        </w:r>
        <w:r w:rsidR="00C34A87" w:rsidRPr="008379F8">
          <w:rPr>
            <w:webHidden/>
          </w:rPr>
          <w:fldChar w:fldCharType="separate"/>
        </w:r>
        <w:r w:rsidR="00C34A87" w:rsidRPr="008379F8">
          <w:rPr>
            <w:webHidden/>
          </w:rPr>
          <w:t>18</w:t>
        </w:r>
        <w:r w:rsidR="00C34A87" w:rsidRPr="008379F8">
          <w:rPr>
            <w:webHidden/>
          </w:rPr>
          <w:fldChar w:fldCharType="end"/>
        </w:r>
      </w:hyperlink>
    </w:p>
    <w:p w14:paraId="21DD6127" w14:textId="1AC1E194" w:rsidR="00C34A87" w:rsidRPr="008379F8" w:rsidRDefault="000F4996">
      <w:pPr>
        <w:pStyle w:val="TOC1"/>
        <w:rPr>
          <w:rFonts w:eastAsiaTheme="minorEastAsia" w:cstheme="minorBidi"/>
          <w:b w:val="0"/>
          <w:bdr w:val="none" w:sz="0" w:space="0" w:color="auto"/>
          <w:lang w:val="es-US" w:eastAsia="zh-CN"/>
        </w:rPr>
      </w:pPr>
      <w:hyperlink w:anchor="_Toc90292591" w:history="1">
        <w:r w:rsidR="00C34A87" w:rsidRPr="008379F8">
          <w:rPr>
            <w:rStyle w:val="Hyperlink"/>
            <w:lang w:val="es-ES"/>
          </w:rPr>
          <w:t>IX.</w:t>
        </w:r>
        <w:r w:rsidR="00C34A87" w:rsidRPr="008379F8">
          <w:rPr>
            <w:rFonts w:eastAsiaTheme="minorEastAsia" w:cstheme="minorBidi"/>
            <w:b w:val="0"/>
            <w:bdr w:val="none" w:sz="0" w:space="0" w:color="auto"/>
            <w:lang w:val="es-US" w:eastAsia="zh-CN"/>
          </w:rPr>
          <w:tab/>
        </w:r>
        <w:r w:rsidR="00C34A87" w:rsidRPr="008379F8">
          <w:rPr>
            <w:rStyle w:val="Hyperlink"/>
            <w:lang w:val="es-ES"/>
          </w:rPr>
          <w:t>PUBLICACIÓN</w:t>
        </w:r>
        <w:r w:rsidR="00C34A87" w:rsidRPr="008379F8">
          <w:rPr>
            <w:webHidden/>
          </w:rPr>
          <w:tab/>
        </w:r>
        <w:r w:rsidR="00C34A87" w:rsidRPr="008379F8">
          <w:rPr>
            <w:webHidden/>
          </w:rPr>
          <w:fldChar w:fldCharType="begin"/>
        </w:r>
        <w:r w:rsidR="00C34A87" w:rsidRPr="008379F8">
          <w:rPr>
            <w:webHidden/>
          </w:rPr>
          <w:instrText xml:space="preserve"> PAGEREF _Toc90292591 \h </w:instrText>
        </w:r>
        <w:r w:rsidR="00C34A87" w:rsidRPr="008379F8">
          <w:rPr>
            <w:webHidden/>
          </w:rPr>
        </w:r>
        <w:r w:rsidR="00C34A87" w:rsidRPr="008379F8">
          <w:rPr>
            <w:webHidden/>
          </w:rPr>
          <w:fldChar w:fldCharType="separate"/>
        </w:r>
        <w:r w:rsidR="00C34A87" w:rsidRPr="008379F8">
          <w:rPr>
            <w:webHidden/>
          </w:rPr>
          <w:t>19</w:t>
        </w:r>
        <w:r w:rsidR="00C34A87" w:rsidRPr="008379F8">
          <w:rPr>
            <w:webHidden/>
          </w:rPr>
          <w:fldChar w:fldCharType="end"/>
        </w:r>
      </w:hyperlink>
    </w:p>
    <w:p w14:paraId="4E535C11" w14:textId="44E4CB0B" w:rsidR="007607C4" w:rsidRPr="001A45C1" w:rsidRDefault="00D31511" w:rsidP="00EC55EA">
      <w:pPr>
        <w:tabs>
          <w:tab w:val="center" w:pos="5400"/>
        </w:tabs>
        <w:suppressAutoHyphens/>
        <w:spacing w:line="276" w:lineRule="auto"/>
        <w:rPr>
          <w:rFonts w:asciiTheme="majorHAnsi" w:hAnsiTheme="majorHAnsi"/>
          <w:sz w:val="20"/>
          <w:szCs w:val="20"/>
        </w:rPr>
      </w:pPr>
      <w:r w:rsidRPr="008379F8">
        <w:rPr>
          <w:rFonts w:asciiTheme="majorHAnsi" w:hAnsiTheme="majorHAnsi"/>
          <w:sz w:val="20"/>
          <w:szCs w:val="20"/>
        </w:rPr>
        <w:fldChar w:fldCharType="end"/>
      </w:r>
    </w:p>
    <w:p w14:paraId="6EFFDC34" w14:textId="77777777" w:rsidR="007607C4" w:rsidRPr="001A45C1" w:rsidRDefault="007607C4" w:rsidP="00EC55EA">
      <w:pPr>
        <w:tabs>
          <w:tab w:val="center" w:pos="5400"/>
        </w:tabs>
        <w:suppressAutoHyphens/>
        <w:spacing w:line="276" w:lineRule="auto"/>
        <w:rPr>
          <w:rFonts w:asciiTheme="majorHAnsi" w:hAnsiTheme="majorHAnsi"/>
          <w:sz w:val="20"/>
          <w:szCs w:val="20"/>
        </w:rPr>
      </w:pPr>
    </w:p>
    <w:p w14:paraId="68AFA389" w14:textId="77777777" w:rsidR="00DE01CB" w:rsidRPr="001A45C1" w:rsidRDefault="00DE01CB" w:rsidP="00EC55EA">
      <w:pPr>
        <w:tabs>
          <w:tab w:val="center" w:pos="5400"/>
        </w:tabs>
        <w:suppressAutoHyphens/>
        <w:spacing w:line="276" w:lineRule="auto"/>
        <w:rPr>
          <w:rFonts w:asciiTheme="majorHAnsi" w:hAnsiTheme="majorHAnsi"/>
          <w:sz w:val="20"/>
          <w:szCs w:val="20"/>
        </w:rPr>
      </w:pPr>
    </w:p>
    <w:p w14:paraId="3521A74C" w14:textId="77777777" w:rsidR="00DE01CB" w:rsidRPr="00EC55EA" w:rsidRDefault="00DE01CB" w:rsidP="00EC55EA">
      <w:pPr>
        <w:tabs>
          <w:tab w:val="center" w:pos="5400"/>
        </w:tabs>
        <w:suppressAutoHyphens/>
        <w:spacing w:line="276" w:lineRule="auto"/>
        <w:rPr>
          <w:rFonts w:asciiTheme="majorHAnsi" w:hAnsiTheme="majorHAnsi"/>
          <w:sz w:val="20"/>
          <w:szCs w:val="20"/>
        </w:rPr>
      </w:pPr>
    </w:p>
    <w:p w14:paraId="671BD0FE" w14:textId="77777777" w:rsidR="00DE01CB" w:rsidRPr="00EC55EA" w:rsidRDefault="00DE01CB" w:rsidP="00EC55EA">
      <w:pPr>
        <w:tabs>
          <w:tab w:val="center" w:pos="5400"/>
        </w:tabs>
        <w:suppressAutoHyphens/>
        <w:spacing w:line="276" w:lineRule="auto"/>
        <w:rPr>
          <w:rFonts w:asciiTheme="majorHAnsi" w:hAnsiTheme="majorHAnsi"/>
          <w:sz w:val="20"/>
          <w:szCs w:val="20"/>
        </w:rPr>
      </w:pPr>
    </w:p>
    <w:p w14:paraId="312D9DEE" w14:textId="77777777" w:rsidR="00DE01CB" w:rsidRPr="00EC55EA" w:rsidRDefault="00DE01CB" w:rsidP="00EC55EA">
      <w:pPr>
        <w:tabs>
          <w:tab w:val="center" w:pos="5400"/>
        </w:tabs>
        <w:suppressAutoHyphens/>
        <w:spacing w:line="276" w:lineRule="auto"/>
        <w:rPr>
          <w:rFonts w:asciiTheme="majorHAnsi" w:hAnsiTheme="majorHAnsi"/>
          <w:sz w:val="20"/>
          <w:szCs w:val="20"/>
        </w:rPr>
      </w:pPr>
    </w:p>
    <w:p w14:paraId="3E107E64" w14:textId="77777777" w:rsidR="00264998" w:rsidRPr="00EC55EA" w:rsidRDefault="00264998" w:rsidP="00EC55EA">
      <w:pPr>
        <w:tabs>
          <w:tab w:val="center" w:pos="5400"/>
        </w:tabs>
        <w:suppressAutoHyphens/>
        <w:spacing w:line="276" w:lineRule="auto"/>
        <w:rPr>
          <w:rFonts w:asciiTheme="majorHAnsi" w:hAnsiTheme="majorHAnsi"/>
          <w:sz w:val="20"/>
          <w:szCs w:val="20"/>
        </w:rPr>
      </w:pPr>
    </w:p>
    <w:p w14:paraId="19CD8E62" w14:textId="77777777" w:rsidR="00264998" w:rsidRPr="00EC55EA" w:rsidRDefault="00264998" w:rsidP="00EC55EA">
      <w:pPr>
        <w:tabs>
          <w:tab w:val="center" w:pos="5400"/>
        </w:tabs>
        <w:suppressAutoHyphens/>
        <w:spacing w:line="276" w:lineRule="auto"/>
        <w:rPr>
          <w:rFonts w:asciiTheme="majorHAnsi" w:hAnsiTheme="majorHAnsi"/>
          <w:sz w:val="20"/>
          <w:szCs w:val="20"/>
        </w:rPr>
      </w:pPr>
    </w:p>
    <w:p w14:paraId="7DDC0716" w14:textId="77777777" w:rsidR="00264998" w:rsidRPr="00EC55EA" w:rsidRDefault="00264998" w:rsidP="00EC55EA">
      <w:pPr>
        <w:tabs>
          <w:tab w:val="center" w:pos="5400"/>
        </w:tabs>
        <w:suppressAutoHyphens/>
        <w:spacing w:line="276" w:lineRule="auto"/>
        <w:rPr>
          <w:rFonts w:asciiTheme="majorHAnsi" w:hAnsiTheme="majorHAnsi"/>
          <w:sz w:val="20"/>
          <w:szCs w:val="20"/>
        </w:rPr>
      </w:pPr>
    </w:p>
    <w:p w14:paraId="7D08CDC0" w14:textId="77777777" w:rsidR="00264998" w:rsidRPr="00EC55EA" w:rsidRDefault="00264998" w:rsidP="00EC55EA">
      <w:pPr>
        <w:tabs>
          <w:tab w:val="center" w:pos="5400"/>
        </w:tabs>
        <w:suppressAutoHyphens/>
        <w:spacing w:line="276" w:lineRule="auto"/>
        <w:rPr>
          <w:rFonts w:asciiTheme="majorHAnsi" w:hAnsiTheme="majorHAnsi"/>
          <w:sz w:val="20"/>
          <w:szCs w:val="20"/>
        </w:rPr>
      </w:pPr>
    </w:p>
    <w:p w14:paraId="4A4E2EDA" w14:textId="33C7D8F2" w:rsidR="007D5671" w:rsidRDefault="007D5671">
      <w:pPr>
        <w:rPr>
          <w:rFonts w:asciiTheme="majorHAnsi" w:eastAsiaTheme="majorEastAsia" w:hAnsiTheme="majorHAnsi" w:cstheme="majorBidi"/>
          <w:b/>
          <w:bCs/>
          <w:sz w:val="20"/>
          <w:szCs w:val="20"/>
        </w:rPr>
      </w:pPr>
    </w:p>
    <w:p w14:paraId="34684FCA" w14:textId="5A2C54BA" w:rsidR="001C4006" w:rsidRPr="00EC55EA" w:rsidRDefault="00B443C8" w:rsidP="00EC55EA">
      <w:pPr>
        <w:pStyle w:val="Heading1"/>
        <w:tabs>
          <w:tab w:val="left" w:pos="360"/>
        </w:tabs>
        <w:spacing w:before="0"/>
        <w:ind w:hanging="720"/>
        <w:rPr>
          <w:color w:val="auto"/>
          <w:sz w:val="20"/>
          <w:szCs w:val="20"/>
        </w:rPr>
      </w:pPr>
      <w:bookmarkStart w:id="0" w:name="_Toc90292565"/>
      <w:r>
        <w:rPr>
          <w:color w:val="auto"/>
          <w:sz w:val="20"/>
          <w:szCs w:val="20"/>
        </w:rPr>
        <w:t>INTRODUCCI</w:t>
      </w:r>
      <w:r w:rsidR="00C34A87">
        <w:rPr>
          <w:color w:val="auto"/>
          <w:sz w:val="20"/>
          <w:szCs w:val="20"/>
        </w:rPr>
        <w:t>Ó</w:t>
      </w:r>
      <w:r>
        <w:rPr>
          <w:color w:val="auto"/>
          <w:sz w:val="20"/>
          <w:szCs w:val="20"/>
        </w:rPr>
        <w:t>N</w:t>
      </w:r>
      <w:bookmarkEnd w:id="0"/>
    </w:p>
    <w:p w14:paraId="20C9D61F" w14:textId="77777777" w:rsidR="001C4006" w:rsidRPr="00EC55EA" w:rsidRDefault="001C4006" w:rsidP="00EC55EA">
      <w:pPr>
        <w:suppressAutoHyphens/>
        <w:ind w:left="1440" w:hanging="720"/>
        <w:rPr>
          <w:rFonts w:asciiTheme="majorHAnsi" w:hAnsiTheme="majorHAnsi"/>
          <w:b/>
          <w:sz w:val="20"/>
          <w:szCs w:val="20"/>
        </w:rPr>
      </w:pPr>
    </w:p>
    <w:p w14:paraId="7A281FA7" w14:textId="77777777" w:rsidR="001A45C1" w:rsidRPr="001A45C1" w:rsidRDefault="001A45C1"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1A45C1">
        <w:rPr>
          <w:rFonts w:asciiTheme="majorHAnsi" w:hAnsiTheme="majorHAnsi"/>
          <w:sz w:val="20"/>
          <w:szCs w:val="20"/>
          <w:lang w:val="es-ES"/>
        </w:rPr>
        <w:t>El 10 de agosto de 2011 la Comisión Interamericana de Derechos Humanos (la “Comisión Interamericana”, “Comisión” o “CIDH”) recibió una solicitud de medidas cautelares y una petición presentada por Suzanne Keffer (“los peticionarios”)</w:t>
      </w:r>
      <w:r>
        <w:rPr>
          <w:rStyle w:val="FootnoteReference"/>
          <w:rFonts w:asciiTheme="majorHAnsi" w:hAnsiTheme="majorHAnsi"/>
          <w:sz w:val="20"/>
          <w:szCs w:val="20"/>
        </w:rPr>
        <w:footnoteReference w:id="2"/>
      </w:r>
      <w:r w:rsidRPr="001A45C1">
        <w:rPr>
          <w:rFonts w:asciiTheme="majorHAnsi" w:hAnsiTheme="majorHAnsi"/>
          <w:sz w:val="20"/>
          <w:szCs w:val="20"/>
          <w:lang w:val="es-ES"/>
        </w:rPr>
        <w:t xml:space="preserve"> en </w:t>
      </w:r>
      <w:r>
        <w:rPr>
          <w:rFonts w:asciiTheme="majorHAnsi" w:hAnsiTheme="majorHAnsi"/>
          <w:sz w:val="20"/>
          <w:szCs w:val="20"/>
          <w:lang w:val="es-ES"/>
        </w:rPr>
        <w:t>representación</w:t>
      </w:r>
      <w:r w:rsidRPr="001A45C1">
        <w:rPr>
          <w:rFonts w:asciiTheme="majorHAnsi" w:hAnsiTheme="majorHAnsi"/>
          <w:sz w:val="20"/>
          <w:szCs w:val="20"/>
          <w:lang w:val="es-ES"/>
        </w:rPr>
        <w:t xml:space="preserve"> de Manuel Valle (“Sr. Valle” o la “presunta víctima”), ciudadano cubano, alegando la responsabilidad internacional de los Estados Unidos de América (el “Estado” o “Estados Unidos”) por la violación del </w:t>
      </w:r>
      <w:r>
        <w:rPr>
          <w:rFonts w:asciiTheme="majorHAnsi" w:hAnsiTheme="majorHAnsi"/>
          <w:sz w:val="20"/>
          <w:szCs w:val="20"/>
          <w:lang w:val="es-ES"/>
        </w:rPr>
        <w:t xml:space="preserve">los derechos del </w:t>
      </w:r>
      <w:r w:rsidRPr="001A45C1">
        <w:rPr>
          <w:rFonts w:asciiTheme="majorHAnsi" w:hAnsiTheme="majorHAnsi"/>
          <w:sz w:val="20"/>
          <w:szCs w:val="20"/>
          <w:lang w:val="es-ES"/>
        </w:rPr>
        <w:t>Sr. Valle bajo la Declaración Americana.</w:t>
      </w:r>
      <w:r w:rsidRPr="00EC55EA">
        <w:rPr>
          <w:rStyle w:val="FootnoteReference"/>
          <w:rFonts w:asciiTheme="majorHAnsi" w:hAnsiTheme="majorHAnsi"/>
          <w:sz w:val="20"/>
          <w:szCs w:val="20"/>
        </w:rPr>
        <w:footnoteReference w:id="3"/>
      </w:r>
      <w:r w:rsidRPr="001A45C1">
        <w:rPr>
          <w:rFonts w:asciiTheme="majorHAnsi" w:hAnsiTheme="majorHAnsi"/>
          <w:sz w:val="20"/>
          <w:szCs w:val="20"/>
          <w:lang w:val="es-ES"/>
        </w:rPr>
        <w:t xml:space="preserve"> El señor Valle, quien en ese momento se encontraba detenido en el corredor de la muerte, fue ejecutado el 28 de septiembre de 2011 en el estado de Florida.</w:t>
      </w:r>
    </w:p>
    <w:p w14:paraId="705332F1" w14:textId="77777777" w:rsidR="001C4006" w:rsidRPr="00E36893" w:rsidRDefault="001C4006" w:rsidP="001A45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Theme="majorHAnsi" w:hAnsiTheme="majorHAnsi"/>
          <w:sz w:val="20"/>
          <w:szCs w:val="20"/>
          <w:lang w:val="es-ES"/>
        </w:rPr>
      </w:pPr>
    </w:p>
    <w:p w14:paraId="42D62955" w14:textId="77777777" w:rsidR="001A45C1" w:rsidRPr="001A45C1" w:rsidRDefault="001A45C1"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1A45C1">
        <w:rPr>
          <w:rFonts w:asciiTheme="majorHAnsi" w:hAnsiTheme="majorHAnsi"/>
          <w:sz w:val="20"/>
          <w:szCs w:val="20"/>
          <w:lang w:val="es-ES"/>
        </w:rPr>
        <w:t xml:space="preserve">El 18 de octubre de 2016 la Comisión notificó a las partes la aplicación del artículo 36 (3) de su Reglamento, ya que la petición se enmarca dentro de los criterios establecidos en su Resolución 1/16, y se puso a disposición de las partes para llegar a una solución amistosa. Las partes </w:t>
      </w:r>
      <w:r>
        <w:rPr>
          <w:rFonts w:asciiTheme="majorHAnsi" w:hAnsiTheme="majorHAnsi"/>
          <w:sz w:val="20"/>
          <w:szCs w:val="20"/>
          <w:lang w:val="es-ES"/>
        </w:rPr>
        <w:t>contaron</w:t>
      </w:r>
      <w:r w:rsidRPr="001A45C1">
        <w:rPr>
          <w:rFonts w:asciiTheme="majorHAnsi" w:hAnsiTheme="majorHAnsi"/>
          <w:sz w:val="20"/>
          <w:szCs w:val="20"/>
          <w:lang w:val="es-ES"/>
        </w:rPr>
        <w:t xml:space="preserve"> los plazos previstos en el Reglamento de la CIDH para presentar observaciones adicionales sobre el fondo. Toda la información recibida por la Comisión fue debidamente transmitida a las partes.</w:t>
      </w:r>
    </w:p>
    <w:p w14:paraId="2CFC7D5E" w14:textId="77777777" w:rsidR="001C4006" w:rsidRPr="00330450" w:rsidRDefault="001C4006"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lang w:val="es-ES"/>
        </w:rPr>
      </w:pPr>
    </w:p>
    <w:p w14:paraId="6D6250AB" w14:textId="77777777" w:rsidR="001C4006" w:rsidRPr="00EC55EA" w:rsidRDefault="00B443C8" w:rsidP="00EC55EA">
      <w:pPr>
        <w:pStyle w:val="Heading1"/>
        <w:tabs>
          <w:tab w:val="left" w:pos="360"/>
        </w:tabs>
        <w:spacing w:before="0"/>
        <w:ind w:hanging="720"/>
        <w:rPr>
          <w:color w:val="auto"/>
          <w:sz w:val="20"/>
          <w:szCs w:val="20"/>
        </w:rPr>
      </w:pPr>
      <w:bookmarkStart w:id="1" w:name="_Toc90292566"/>
      <w:r>
        <w:rPr>
          <w:color w:val="auto"/>
          <w:sz w:val="20"/>
          <w:szCs w:val="20"/>
        </w:rPr>
        <w:t>ALEGATOS DE LAS PARTES</w:t>
      </w:r>
      <w:bookmarkEnd w:id="1"/>
    </w:p>
    <w:p w14:paraId="6FBDA1EF" w14:textId="77777777" w:rsidR="001C4006" w:rsidRPr="00EC55EA" w:rsidRDefault="001C4006" w:rsidP="00EC55EA">
      <w:pPr>
        <w:suppressAutoHyphens/>
        <w:ind w:left="1440" w:hanging="720"/>
        <w:rPr>
          <w:rFonts w:asciiTheme="majorHAnsi" w:hAnsiTheme="majorHAnsi"/>
          <w:sz w:val="20"/>
          <w:szCs w:val="20"/>
        </w:rPr>
      </w:pPr>
    </w:p>
    <w:p w14:paraId="58FA4ABA" w14:textId="77777777" w:rsidR="005C164F" w:rsidRPr="00EC55EA" w:rsidRDefault="00B443C8" w:rsidP="00EC55EA">
      <w:pPr>
        <w:pStyle w:val="Heading2"/>
        <w:numPr>
          <w:ilvl w:val="0"/>
          <w:numId w:val="57"/>
        </w:numPr>
        <w:tabs>
          <w:tab w:val="left" w:pos="360"/>
        </w:tabs>
        <w:spacing w:before="0"/>
        <w:ind w:hanging="720"/>
        <w:rPr>
          <w:color w:val="auto"/>
          <w:sz w:val="20"/>
          <w:szCs w:val="20"/>
        </w:rPr>
      </w:pPr>
      <w:bookmarkStart w:id="2" w:name="_Toc90292567"/>
      <w:r>
        <w:rPr>
          <w:color w:val="auto"/>
          <w:sz w:val="20"/>
          <w:szCs w:val="20"/>
        </w:rPr>
        <w:t>La parte peticionaria</w:t>
      </w:r>
      <w:bookmarkEnd w:id="2"/>
    </w:p>
    <w:p w14:paraId="1511B9FC" w14:textId="77777777" w:rsidR="00DA0F27" w:rsidRDefault="00DA0F27" w:rsidP="00EC55EA"/>
    <w:p w14:paraId="6418A80D" w14:textId="77777777" w:rsidR="001A45C1" w:rsidRPr="001A45C1" w:rsidRDefault="001A45C1" w:rsidP="009B5E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1A45C1">
        <w:rPr>
          <w:rFonts w:asciiTheme="majorHAnsi" w:hAnsiTheme="majorHAnsi"/>
          <w:sz w:val="20"/>
          <w:szCs w:val="20"/>
          <w:lang w:val="es-ES"/>
        </w:rPr>
        <w:t xml:space="preserve">Los peticionarios afirman que el señor Valle, como ciudadano cubano, no fue informado de sus derechos en virtud del artículo 36 de la Convención de Viena sobre Relaciones Consulares (Convención de Viena) con respecto a la notificación y el acceso consular, y alegan que al señor Valle se le negó un oportunidad de recibir asistencia de la Sección de Intereses de Cuba de la Embajada de Suiza en Washington DC. Adicionalmente, se afirma que el Estado no ha reparado la violación mediante una revisión y reconsideración completa de la sentencia de muerte del señor Valle y, a la luz de estas circunstancias, alega que el Estado ha violado los derechos del señor Valle </w:t>
      </w:r>
      <w:r>
        <w:rPr>
          <w:rFonts w:asciiTheme="majorHAnsi" w:hAnsiTheme="majorHAnsi"/>
          <w:sz w:val="20"/>
          <w:szCs w:val="20"/>
          <w:lang w:val="es-ES"/>
        </w:rPr>
        <w:t>consagrados en los</w:t>
      </w:r>
      <w:r w:rsidRPr="001A45C1">
        <w:rPr>
          <w:rFonts w:asciiTheme="majorHAnsi" w:hAnsiTheme="majorHAnsi"/>
          <w:sz w:val="20"/>
          <w:szCs w:val="20"/>
          <w:lang w:val="es-ES"/>
        </w:rPr>
        <w:t xml:space="preserve"> artículo</w:t>
      </w:r>
      <w:r>
        <w:rPr>
          <w:rFonts w:asciiTheme="majorHAnsi" w:hAnsiTheme="majorHAnsi"/>
          <w:sz w:val="20"/>
          <w:szCs w:val="20"/>
          <w:lang w:val="es-ES"/>
        </w:rPr>
        <w:t>s</w:t>
      </w:r>
      <w:r w:rsidRPr="001A45C1">
        <w:rPr>
          <w:rFonts w:asciiTheme="majorHAnsi" w:hAnsiTheme="majorHAnsi"/>
          <w:sz w:val="20"/>
          <w:szCs w:val="20"/>
          <w:lang w:val="es-ES"/>
        </w:rPr>
        <w:t xml:space="preserve"> I, II y XXVI de la Declaración Americana.</w:t>
      </w:r>
    </w:p>
    <w:p w14:paraId="20F3DAB5" w14:textId="77777777" w:rsidR="009B5E0C" w:rsidRPr="00E36893" w:rsidRDefault="009B5E0C" w:rsidP="009B5E0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461A1F61" w14:textId="77777777" w:rsidR="001A45C1" w:rsidRPr="001A45C1" w:rsidRDefault="001A45C1" w:rsidP="00E947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1A45C1">
        <w:rPr>
          <w:rFonts w:asciiTheme="majorHAnsi" w:hAnsiTheme="majorHAnsi"/>
          <w:sz w:val="20"/>
          <w:szCs w:val="20"/>
          <w:lang w:val="es-ES"/>
        </w:rPr>
        <w:t xml:space="preserve">Los peticionarios afirman además que no hay indicios de que se haya llevado a cabo una investigación de </w:t>
      </w:r>
      <w:r w:rsidR="00E86C3A">
        <w:rPr>
          <w:rFonts w:asciiTheme="majorHAnsi" w:hAnsiTheme="majorHAnsi"/>
          <w:sz w:val="20"/>
          <w:szCs w:val="20"/>
          <w:lang w:val="es-ES"/>
        </w:rPr>
        <w:t>clemencia</w:t>
      </w:r>
      <w:r w:rsidRPr="001A45C1">
        <w:rPr>
          <w:rFonts w:asciiTheme="majorHAnsi" w:hAnsiTheme="majorHAnsi"/>
          <w:sz w:val="20"/>
          <w:szCs w:val="20"/>
          <w:lang w:val="es-ES"/>
        </w:rPr>
        <w:t>, como exige la Constitución de Florida,</w:t>
      </w:r>
      <w:r>
        <w:rPr>
          <w:rStyle w:val="FootnoteReference"/>
          <w:rFonts w:asciiTheme="majorHAnsi" w:hAnsiTheme="majorHAnsi"/>
          <w:sz w:val="20"/>
          <w:szCs w:val="20"/>
        </w:rPr>
        <w:footnoteReference w:id="4"/>
      </w:r>
      <w:r w:rsidRPr="001A45C1">
        <w:rPr>
          <w:rFonts w:asciiTheme="majorHAnsi" w:hAnsiTheme="majorHAnsi"/>
          <w:sz w:val="20"/>
          <w:szCs w:val="20"/>
          <w:lang w:val="es-ES"/>
        </w:rPr>
        <w:t xml:space="preserve"> después de la apelación del Sr. Valle.</w:t>
      </w:r>
      <w:r w:rsidR="00E86C3A">
        <w:rPr>
          <w:rFonts w:asciiTheme="majorHAnsi" w:hAnsiTheme="majorHAnsi"/>
          <w:sz w:val="20"/>
          <w:szCs w:val="20"/>
          <w:lang w:val="es-ES"/>
        </w:rPr>
        <w:t xml:space="preserve"> La ausencia de ese</w:t>
      </w:r>
      <w:r w:rsidRPr="001A45C1">
        <w:rPr>
          <w:rFonts w:asciiTheme="majorHAnsi" w:hAnsiTheme="majorHAnsi"/>
          <w:sz w:val="20"/>
          <w:szCs w:val="20"/>
          <w:lang w:val="es-ES"/>
        </w:rPr>
        <w:t xml:space="preserve"> proceso se alega como una violación del derecho del Sr. Valle a solicitar </w:t>
      </w:r>
      <w:r w:rsidR="00E86C3A">
        <w:rPr>
          <w:rFonts w:asciiTheme="majorHAnsi" w:hAnsiTheme="majorHAnsi"/>
          <w:sz w:val="20"/>
          <w:szCs w:val="20"/>
          <w:lang w:val="es-ES"/>
        </w:rPr>
        <w:t>clemencia</w:t>
      </w:r>
      <w:r w:rsidRPr="001A45C1">
        <w:rPr>
          <w:rFonts w:asciiTheme="majorHAnsi" w:hAnsiTheme="majorHAnsi"/>
          <w:sz w:val="20"/>
          <w:szCs w:val="20"/>
          <w:lang w:val="es-ES"/>
        </w:rPr>
        <w:t xml:space="preserve"> y una violación de sus derechos consagrados en los artículos I y XXVI de la Declaración.</w:t>
      </w:r>
    </w:p>
    <w:p w14:paraId="7332ACF8" w14:textId="77777777" w:rsidR="00E947D7" w:rsidRPr="00330450" w:rsidRDefault="00E947D7" w:rsidP="00E947D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7A229309" w14:textId="77777777" w:rsidR="00E86C3A" w:rsidRPr="00E86C3A" w:rsidRDefault="00E86C3A" w:rsidP="00D443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E86C3A">
        <w:rPr>
          <w:rFonts w:asciiTheme="majorHAnsi" w:hAnsiTheme="majorHAnsi"/>
          <w:sz w:val="20"/>
          <w:szCs w:val="20"/>
          <w:lang w:val="es-ES"/>
        </w:rPr>
        <w:t>Los peticionarios alegan que la reclusión prolongada en el corredor de la muerte, de aproximadamente 33 años, constituye un trato cruel, inhumano y degradante, además de tortuoso. Los peticionarios alegan que dicho período viola los derechos del señor Valle reconocidos en los artículos I, XVII, XXIV y XXVI de la Declaración Americana.</w:t>
      </w:r>
    </w:p>
    <w:p w14:paraId="1B6FC4AC" w14:textId="77777777" w:rsidR="00D44328" w:rsidRPr="00330450" w:rsidRDefault="00D44328" w:rsidP="00E947D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14:paraId="29D8AC77" w14:textId="77777777" w:rsidR="00E86C3A" w:rsidRPr="00E86C3A" w:rsidRDefault="00E86C3A" w:rsidP="00D443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E86C3A">
        <w:rPr>
          <w:rFonts w:asciiTheme="majorHAnsi" w:hAnsiTheme="majorHAnsi"/>
          <w:sz w:val="20"/>
          <w:szCs w:val="20"/>
          <w:lang w:val="es-ES"/>
        </w:rPr>
        <w:t>Se explica que Florida planeaba usar pentobarbital en la inyección letal para la ejecución del Sr. Valle. Los peticionarios destacaron que el fabricante de la droga manifestó que no podía “asegurar los perfiles de seguridad y eficacia asociados en tales instancias”</w:t>
      </w:r>
      <w:r w:rsidRPr="00E86C3A">
        <w:rPr>
          <w:rStyle w:val="FootnoteReference"/>
          <w:rFonts w:asciiTheme="majorHAnsi" w:hAnsiTheme="majorHAnsi"/>
          <w:sz w:val="20"/>
          <w:szCs w:val="20"/>
          <w:lang w:val="es-ES"/>
        </w:rPr>
        <w:t xml:space="preserve"> </w:t>
      </w:r>
      <w:r>
        <w:rPr>
          <w:rStyle w:val="FootnoteReference"/>
          <w:rFonts w:asciiTheme="majorHAnsi" w:hAnsiTheme="majorHAnsi"/>
          <w:sz w:val="20"/>
          <w:szCs w:val="20"/>
        </w:rPr>
        <w:footnoteReference w:id="5"/>
      </w:r>
      <w:r w:rsidRPr="00E86C3A">
        <w:rPr>
          <w:rFonts w:asciiTheme="majorHAnsi" w:hAnsiTheme="majorHAnsi"/>
          <w:sz w:val="20"/>
          <w:szCs w:val="20"/>
          <w:lang w:val="es-ES"/>
        </w:rPr>
        <w:t xml:space="preserve">, siendo las instancias referidas la de ejecución por inyección letal. Se afirma que como el fármaco nunca se probó en seres humanos con el propósito de inducir un coma anestésico, salvo por la ejecución de Roy Blankenship por parte del estado de Georgia el 23 de junio de 2011, el estado de Florida estaría experimentando con el Sr. Valle, violando sus derechos </w:t>
      </w:r>
      <w:r>
        <w:rPr>
          <w:rFonts w:asciiTheme="majorHAnsi" w:hAnsiTheme="majorHAnsi"/>
          <w:sz w:val="20"/>
          <w:szCs w:val="20"/>
          <w:lang w:val="es-ES"/>
        </w:rPr>
        <w:t xml:space="preserve">consagrados en </w:t>
      </w:r>
      <w:r w:rsidRPr="00E86C3A">
        <w:rPr>
          <w:rFonts w:asciiTheme="majorHAnsi" w:hAnsiTheme="majorHAnsi"/>
          <w:sz w:val="20"/>
          <w:szCs w:val="20"/>
          <w:lang w:val="es-ES"/>
        </w:rPr>
        <w:t>los artículos I y XXVI de la Declaración.</w:t>
      </w:r>
    </w:p>
    <w:p w14:paraId="785D0A9F" w14:textId="77777777" w:rsidR="00D10FF4" w:rsidRPr="00330450" w:rsidRDefault="00D10FF4"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246D7B36" w14:textId="77777777" w:rsidR="00F516D3" w:rsidRPr="00EC55EA" w:rsidRDefault="00B443C8" w:rsidP="00EC55EA">
      <w:pPr>
        <w:pStyle w:val="Heading2"/>
        <w:numPr>
          <w:ilvl w:val="0"/>
          <w:numId w:val="57"/>
        </w:numPr>
        <w:tabs>
          <w:tab w:val="left" w:pos="360"/>
        </w:tabs>
        <w:spacing w:before="0"/>
        <w:ind w:hanging="720"/>
        <w:rPr>
          <w:color w:val="auto"/>
          <w:sz w:val="20"/>
          <w:szCs w:val="20"/>
        </w:rPr>
      </w:pPr>
      <w:bookmarkStart w:id="3" w:name="_Toc90292568"/>
      <w:r>
        <w:rPr>
          <w:color w:val="auto"/>
          <w:sz w:val="20"/>
          <w:szCs w:val="20"/>
        </w:rPr>
        <w:lastRenderedPageBreak/>
        <w:t>El Estado</w:t>
      </w:r>
      <w:bookmarkEnd w:id="3"/>
    </w:p>
    <w:p w14:paraId="171C8D6D" w14:textId="77777777" w:rsidR="00A238D4" w:rsidRPr="00EC55EA" w:rsidRDefault="00A238D4" w:rsidP="00EC55EA">
      <w:pPr>
        <w:rPr>
          <w:rFonts w:asciiTheme="majorHAnsi" w:hAnsiTheme="majorHAnsi"/>
          <w:sz w:val="20"/>
          <w:szCs w:val="20"/>
        </w:rPr>
      </w:pPr>
    </w:p>
    <w:p w14:paraId="3D6A5B06" w14:textId="77777777" w:rsidR="00E86C3A" w:rsidRPr="00E86C3A" w:rsidRDefault="00E86C3A"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E86C3A">
        <w:rPr>
          <w:rFonts w:asciiTheme="majorHAnsi" w:hAnsiTheme="majorHAnsi"/>
          <w:sz w:val="20"/>
          <w:szCs w:val="20"/>
          <w:lang w:val="es-ES"/>
        </w:rPr>
        <w:t>El Estado comunicó su intención de no presentar más escritos respecto de la petición dado que a la fecha de su respuesta al asunto, el señor Valle ya había sido ejecutado. El Estado reiteró su posición de que la imposición de la pena de muerte, por los delitos más graves y de conformidad con la ley, no viola ninguna obligación internacional de Estados Unidos.</w:t>
      </w:r>
    </w:p>
    <w:p w14:paraId="3432D982" w14:textId="77777777" w:rsidR="00D10FF4" w:rsidRPr="00330450" w:rsidRDefault="00D10FF4"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14:paraId="1DCF3263" w14:textId="77777777" w:rsidR="00A473E3" w:rsidRPr="00EC55EA" w:rsidRDefault="00B443C8" w:rsidP="00EC55EA">
      <w:pPr>
        <w:pStyle w:val="Heading1"/>
        <w:tabs>
          <w:tab w:val="left" w:pos="360"/>
        </w:tabs>
        <w:spacing w:before="0"/>
        <w:ind w:hanging="720"/>
        <w:rPr>
          <w:color w:val="auto"/>
          <w:sz w:val="20"/>
          <w:szCs w:val="20"/>
        </w:rPr>
      </w:pPr>
      <w:bookmarkStart w:id="4" w:name="_Toc90292569"/>
      <w:r>
        <w:rPr>
          <w:color w:val="auto"/>
          <w:sz w:val="20"/>
          <w:szCs w:val="20"/>
        </w:rPr>
        <w:t>ADMISIBILIDAD</w:t>
      </w:r>
      <w:bookmarkEnd w:id="4"/>
      <w:r w:rsidR="0081365E" w:rsidRPr="00EC55EA">
        <w:rPr>
          <w:sz w:val="20"/>
          <w:szCs w:val="20"/>
        </w:rPr>
        <w:tab/>
      </w:r>
    </w:p>
    <w:p w14:paraId="30CCB17E" w14:textId="77777777" w:rsidR="00F516D3" w:rsidRPr="00EC55EA" w:rsidRDefault="00F516D3" w:rsidP="00EC55EA">
      <w:pPr>
        <w:rPr>
          <w:rFonts w:asciiTheme="majorHAnsi" w:hAnsiTheme="majorHAnsi"/>
          <w:sz w:val="20"/>
          <w:szCs w:val="20"/>
        </w:rPr>
      </w:pPr>
    </w:p>
    <w:p w14:paraId="37C20B16" w14:textId="77777777" w:rsidR="00F516D3" w:rsidRPr="00B443C8" w:rsidRDefault="00B443C8" w:rsidP="00EC55EA">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lang w:val="es-ES"/>
        </w:rPr>
      </w:pPr>
      <w:bookmarkStart w:id="5" w:name="_Toc7602623"/>
      <w:bookmarkStart w:id="6" w:name="_Toc90292570"/>
      <w:bookmarkStart w:id="7" w:name="_Toc6349142"/>
      <w:r w:rsidRPr="00B443C8">
        <w:rPr>
          <w:rFonts w:cs="Times New Roman"/>
          <w:color w:val="auto"/>
          <w:sz w:val="20"/>
          <w:szCs w:val="20"/>
          <w:lang w:val="es-ES"/>
        </w:rPr>
        <w:t>Competencia, duplicidad de procedimientos</w:t>
      </w:r>
      <w:r>
        <w:rPr>
          <w:rFonts w:cs="Times New Roman"/>
          <w:color w:val="auto"/>
          <w:sz w:val="20"/>
          <w:szCs w:val="20"/>
          <w:lang w:val="es-ES"/>
        </w:rPr>
        <w:t xml:space="preserve"> y cosa juzgada internacional</w:t>
      </w:r>
      <w:bookmarkEnd w:id="5"/>
      <w:bookmarkEnd w:id="6"/>
      <w:r w:rsidR="00F516D3" w:rsidRPr="00B443C8">
        <w:rPr>
          <w:rFonts w:cs="Times New Roman"/>
          <w:color w:val="auto"/>
          <w:sz w:val="20"/>
          <w:szCs w:val="20"/>
          <w:lang w:val="es-ES"/>
        </w:rPr>
        <w:t xml:space="preserve"> </w:t>
      </w:r>
      <w:bookmarkEnd w:id="7"/>
    </w:p>
    <w:p w14:paraId="2A301C71" w14:textId="77777777" w:rsidR="00947B86" w:rsidRPr="00B443C8" w:rsidRDefault="00947B86" w:rsidP="00EC55EA">
      <w:pPr>
        <w:rPr>
          <w:rFonts w:asciiTheme="majorHAnsi" w:hAnsiTheme="majorHAnsi"/>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1A45C1" w:rsidRPr="00EC55EA" w14:paraId="2C10450D" w14:textId="77777777">
        <w:trPr>
          <w:cantSplit/>
        </w:trPr>
        <w:tc>
          <w:tcPr>
            <w:tcW w:w="3600" w:type="dxa"/>
            <w:tcBorders>
              <w:top w:val="single" w:sz="4" w:space="0" w:color="auto"/>
              <w:bottom w:val="single" w:sz="6" w:space="0" w:color="auto"/>
            </w:tcBorders>
            <w:shd w:val="clear" w:color="auto" w:fill="386294"/>
            <w:vAlign w:val="center"/>
          </w:tcPr>
          <w:p w14:paraId="12BFDF8A" w14:textId="77777777" w:rsidR="00947B86" w:rsidRPr="00EC55EA" w:rsidRDefault="00947B86" w:rsidP="00EC55EA">
            <w:pPr>
              <w:jc w:val="center"/>
              <w:rPr>
                <w:rFonts w:asciiTheme="majorHAnsi" w:hAnsiTheme="majorHAnsi"/>
                <w:b/>
                <w:bCs/>
                <w:i/>
                <w:color w:val="FFFFFF" w:themeColor="background1"/>
                <w:sz w:val="20"/>
                <w:szCs w:val="20"/>
              </w:rPr>
            </w:pPr>
            <w:r w:rsidRPr="00EC55EA">
              <w:rPr>
                <w:rFonts w:asciiTheme="majorHAnsi" w:hAnsiTheme="majorHAnsi"/>
                <w:b/>
                <w:bCs/>
                <w:color w:val="FFFFFF" w:themeColor="background1"/>
                <w:sz w:val="20"/>
                <w:szCs w:val="20"/>
              </w:rPr>
              <w:t>Competenc</w:t>
            </w:r>
            <w:r w:rsidR="001A45C1">
              <w:rPr>
                <w:rFonts w:asciiTheme="majorHAnsi" w:hAnsiTheme="majorHAnsi"/>
                <w:b/>
                <w:bCs/>
                <w:color w:val="FFFFFF" w:themeColor="background1"/>
                <w:sz w:val="20"/>
                <w:szCs w:val="20"/>
              </w:rPr>
              <w:t>ia</w:t>
            </w:r>
            <w:r w:rsidRPr="00EC55EA">
              <w:rPr>
                <w:rFonts w:asciiTheme="majorHAnsi" w:hAnsiTheme="majorHAnsi"/>
                <w:b/>
                <w:bCs/>
                <w:i/>
                <w:color w:val="FFFFFF" w:themeColor="background1"/>
                <w:sz w:val="20"/>
                <w:szCs w:val="20"/>
              </w:rPr>
              <w:t xml:space="preserve"> Ratione personae:</w:t>
            </w:r>
          </w:p>
        </w:tc>
        <w:tc>
          <w:tcPr>
            <w:tcW w:w="5760" w:type="dxa"/>
            <w:vAlign w:val="center"/>
          </w:tcPr>
          <w:p w14:paraId="65EF655B" w14:textId="77777777" w:rsidR="00947B86" w:rsidRPr="00EC55EA" w:rsidRDefault="001A45C1" w:rsidP="00EC55EA">
            <w:pPr>
              <w:rPr>
                <w:rFonts w:asciiTheme="majorHAnsi" w:hAnsiTheme="majorHAnsi"/>
                <w:bCs/>
                <w:sz w:val="20"/>
                <w:szCs w:val="20"/>
              </w:rPr>
            </w:pPr>
            <w:r>
              <w:rPr>
                <w:rFonts w:asciiTheme="majorHAnsi" w:hAnsiTheme="majorHAnsi"/>
                <w:bCs/>
                <w:sz w:val="20"/>
                <w:szCs w:val="20"/>
              </w:rPr>
              <w:t>Si</w:t>
            </w:r>
          </w:p>
        </w:tc>
      </w:tr>
      <w:tr w:rsidR="001A45C1" w:rsidRPr="00EC55EA" w14:paraId="6E089FBF" w14:textId="77777777">
        <w:trPr>
          <w:cantSplit/>
        </w:trPr>
        <w:tc>
          <w:tcPr>
            <w:tcW w:w="3600" w:type="dxa"/>
            <w:tcBorders>
              <w:top w:val="single" w:sz="6" w:space="0" w:color="auto"/>
              <w:bottom w:val="single" w:sz="6" w:space="0" w:color="auto"/>
            </w:tcBorders>
            <w:shd w:val="clear" w:color="auto" w:fill="386294"/>
            <w:vAlign w:val="center"/>
          </w:tcPr>
          <w:p w14:paraId="0735DA45" w14:textId="77777777" w:rsidR="00947B86" w:rsidRPr="00EC55EA" w:rsidRDefault="00947B86" w:rsidP="00EC55EA">
            <w:pPr>
              <w:jc w:val="center"/>
              <w:rPr>
                <w:rFonts w:asciiTheme="majorHAnsi" w:hAnsiTheme="majorHAnsi"/>
                <w:b/>
                <w:bCs/>
                <w:color w:val="FFFFFF" w:themeColor="background1"/>
                <w:sz w:val="20"/>
                <w:szCs w:val="20"/>
              </w:rPr>
            </w:pPr>
            <w:r w:rsidRPr="00EC55EA">
              <w:rPr>
                <w:rFonts w:asciiTheme="majorHAnsi" w:hAnsiTheme="majorHAnsi"/>
                <w:b/>
                <w:bCs/>
                <w:color w:val="FFFFFF" w:themeColor="background1"/>
                <w:sz w:val="20"/>
                <w:szCs w:val="20"/>
              </w:rPr>
              <w:t>Competenc</w:t>
            </w:r>
            <w:r w:rsidR="001A45C1">
              <w:rPr>
                <w:rFonts w:asciiTheme="majorHAnsi" w:hAnsiTheme="majorHAnsi"/>
                <w:b/>
                <w:bCs/>
                <w:color w:val="FFFFFF" w:themeColor="background1"/>
                <w:sz w:val="20"/>
                <w:szCs w:val="20"/>
              </w:rPr>
              <w:t>ia</w:t>
            </w:r>
            <w:r w:rsidRPr="00EC55EA">
              <w:rPr>
                <w:rFonts w:asciiTheme="majorHAnsi" w:hAnsiTheme="majorHAnsi"/>
                <w:b/>
                <w:bCs/>
                <w:i/>
                <w:color w:val="FFFFFF" w:themeColor="background1"/>
                <w:sz w:val="20"/>
                <w:szCs w:val="20"/>
              </w:rPr>
              <w:t xml:space="preserve"> Ratione loci</w:t>
            </w:r>
            <w:r w:rsidRPr="00EC55EA">
              <w:rPr>
                <w:rFonts w:asciiTheme="majorHAnsi" w:hAnsiTheme="majorHAnsi"/>
                <w:b/>
                <w:bCs/>
                <w:color w:val="FFFFFF" w:themeColor="background1"/>
                <w:sz w:val="20"/>
                <w:szCs w:val="20"/>
              </w:rPr>
              <w:t>:</w:t>
            </w:r>
          </w:p>
        </w:tc>
        <w:tc>
          <w:tcPr>
            <w:tcW w:w="5760" w:type="dxa"/>
            <w:vAlign w:val="center"/>
          </w:tcPr>
          <w:p w14:paraId="380334AD" w14:textId="77777777" w:rsidR="00947B86" w:rsidRPr="00EC55EA" w:rsidRDefault="001A45C1" w:rsidP="00EC55EA">
            <w:pPr>
              <w:rPr>
                <w:rFonts w:asciiTheme="majorHAnsi" w:hAnsiTheme="majorHAnsi"/>
                <w:bCs/>
                <w:sz w:val="20"/>
                <w:szCs w:val="20"/>
              </w:rPr>
            </w:pPr>
            <w:r>
              <w:rPr>
                <w:rFonts w:asciiTheme="majorHAnsi" w:hAnsiTheme="majorHAnsi"/>
                <w:bCs/>
                <w:sz w:val="20"/>
                <w:szCs w:val="20"/>
              </w:rPr>
              <w:t>Si</w:t>
            </w:r>
          </w:p>
        </w:tc>
      </w:tr>
      <w:tr w:rsidR="001A45C1" w:rsidRPr="00EC55EA" w14:paraId="4F3C536F" w14:textId="77777777">
        <w:trPr>
          <w:cantSplit/>
        </w:trPr>
        <w:tc>
          <w:tcPr>
            <w:tcW w:w="3600" w:type="dxa"/>
            <w:tcBorders>
              <w:top w:val="single" w:sz="6" w:space="0" w:color="auto"/>
              <w:bottom w:val="single" w:sz="6" w:space="0" w:color="auto"/>
            </w:tcBorders>
            <w:shd w:val="clear" w:color="auto" w:fill="386294"/>
            <w:vAlign w:val="center"/>
          </w:tcPr>
          <w:p w14:paraId="5BE5467D" w14:textId="77777777" w:rsidR="00947B86" w:rsidRPr="00EC55EA" w:rsidRDefault="00947B86" w:rsidP="00EC55EA">
            <w:pPr>
              <w:jc w:val="center"/>
              <w:rPr>
                <w:rFonts w:asciiTheme="majorHAnsi" w:hAnsiTheme="majorHAnsi"/>
                <w:b/>
                <w:bCs/>
                <w:color w:val="FFFFFF" w:themeColor="background1"/>
                <w:sz w:val="20"/>
                <w:szCs w:val="20"/>
              </w:rPr>
            </w:pPr>
            <w:r w:rsidRPr="00EC55EA">
              <w:rPr>
                <w:rFonts w:asciiTheme="majorHAnsi" w:hAnsiTheme="majorHAnsi"/>
                <w:b/>
                <w:bCs/>
                <w:color w:val="FFFFFF" w:themeColor="background1"/>
                <w:sz w:val="20"/>
                <w:szCs w:val="20"/>
              </w:rPr>
              <w:t>Competenc</w:t>
            </w:r>
            <w:r w:rsidR="001A45C1">
              <w:rPr>
                <w:rFonts w:asciiTheme="majorHAnsi" w:hAnsiTheme="majorHAnsi"/>
                <w:b/>
                <w:bCs/>
                <w:color w:val="FFFFFF" w:themeColor="background1"/>
                <w:sz w:val="20"/>
                <w:szCs w:val="20"/>
              </w:rPr>
              <w:t>ia</w:t>
            </w:r>
            <w:r w:rsidRPr="00EC55EA">
              <w:rPr>
                <w:rFonts w:asciiTheme="majorHAnsi" w:hAnsiTheme="majorHAnsi"/>
                <w:b/>
                <w:bCs/>
                <w:i/>
                <w:color w:val="FFFFFF" w:themeColor="background1"/>
                <w:sz w:val="20"/>
                <w:szCs w:val="20"/>
              </w:rPr>
              <w:t xml:space="preserve"> Ratione temporis</w:t>
            </w:r>
            <w:r w:rsidRPr="00EC55EA">
              <w:rPr>
                <w:rFonts w:asciiTheme="majorHAnsi" w:hAnsiTheme="majorHAnsi"/>
                <w:b/>
                <w:bCs/>
                <w:color w:val="FFFFFF" w:themeColor="background1"/>
                <w:sz w:val="20"/>
                <w:szCs w:val="20"/>
              </w:rPr>
              <w:t>:</w:t>
            </w:r>
          </w:p>
        </w:tc>
        <w:tc>
          <w:tcPr>
            <w:tcW w:w="5760" w:type="dxa"/>
            <w:vAlign w:val="center"/>
          </w:tcPr>
          <w:p w14:paraId="05CE1D07" w14:textId="77777777" w:rsidR="00947B86" w:rsidRPr="00EC55EA" w:rsidRDefault="001A45C1" w:rsidP="00EC55EA">
            <w:pPr>
              <w:rPr>
                <w:rFonts w:asciiTheme="majorHAnsi" w:hAnsiTheme="majorHAnsi"/>
                <w:bCs/>
                <w:sz w:val="20"/>
                <w:szCs w:val="20"/>
              </w:rPr>
            </w:pPr>
            <w:r>
              <w:rPr>
                <w:rFonts w:asciiTheme="majorHAnsi" w:hAnsiTheme="majorHAnsi"/>
                <w:bCs/>
                <w:sz w:val="20"/>
                <w:szCs w:val="20"/>
              </w:rPr>
              <w:t>Si</w:t>
            </w:r>
          </w:p>
        </w:tc>
      </w:tr>
      <w:tr w:rsidR="001A45C1" w:rsidRPr="006E3733" w14:paraId="30F51CE2" w14:textId="77777777">
        <w:trPr>
          <w:cantSplit/>
        </w:trPr>
        <w:tc>
          <w:tcPr>
            <w:tcW w:w="3600" w:type="dxa"/>
            <w:tcBorders>
              <w:top w:val="single" w:sz="6" w:space="0" w:color="auto"/>
              <w:bottom w:val="single" w:sz="6" w:space="0" w:color="auto"/>
            </w:tcBorders>
            <w:shd w:val="clear" w:color="auto" w:fill="386294"/>
            <w:vAlign w:val="center"/>
          </w:tcPr>
          <w:p w14:paraId="5859A483" w14:textId="77777777" w:rsidR="00947B86" w:rsidRPr="00EC55EA" w:rsidRDefault="00947B86" w:rsidP="00EC55EA">
            <w:pPr>
              <w:jc w:val="center"/>
              <w:rPr>
                <w:rFonts w:asciiTheme="majorHAnsi" w:hAnsiTheme="majorHAnsi"/>
                <w:b/>
                <w:bCs/>
                <w:color w:val="FFFFFF" w:themeColor="background1"/>
                <w:sz w:val="20"/>
                <w:szCs w:val="20"/>
              </w:rPr>
            </w:pPr>
            <w:r w:rsidRPr="00EC55EA">
              <w:rPr>
                <w:rFonts w:asciiTheme="majorHAnsi" w:hAnsiTheme="majorHAnsi"/>
                <w:b/>
                <w:bCs/>
                <w:color w:val="FFFFFF" w:themeColor="background1"/>
                <w:sz w:val="20"/>
                <w:szCs w:val="20"/>
              </w:rPr>
              <w:t>Competenc</w:t>
            </w:r>
            <w:r w:rsidR="001A45C1">
              <w:rPr>
                <w:rFonts w:asciiTheme="majorHAnsi" w:hAnsiTheme="majorHAnsi"/>
                <w:b/>
                <w:bCs/>
                <w:color w:val="FFFFFF" w:themeColor="background1"/>
                <w:sz w:val="20"/>
                <w:szCs w:val="20"/>
              </w:rPr>
              <w:t>ia</w:t>
            </w:r>
            <w:r w:rsidRPr="00EC55EA">
              <w:rPr>
                <w:rFonts w:asciiTheme="majorHAnsi" w:hAnsiTheme="majorHAnsi"/>
                <w:b/>
                <w:bCs/>
                <w:i/>
                <w:color w:val="FFFFFF" w:themeColor="background1"/>
                <w:sz w:val="20"/>
                <w:szCs w:val="20"/>
              </w:rPr>
              <w:t xml:space="preserve"> Ratione materiae</w:t>
            </w:r>
            <w:r w:rsidRPr="00EC55EA">
              <w:rPr>
                <w:rFonts w:asciiTheme="majorHAnsi" w:hAnsiTheme="majorHAnsi"/>
                <w:b/>
                <w:bCs/>
                <w:color w:val="FFFFFF" w:themeColor="background1"/>
                <w:sz w:val="20"/>
                <w:szCs w:val="20"/>
              </w:rPr>
              <w:t>:</w:t>
            </w:r>
          </w:p>
        </w:tc>
        <w:tc>
          <w:tcPr>
            <w:tcW w:w="5760" w:type="dxa"/>
            <w:vAlign w:val="center"/>
          </w:tcPr>
          <w:p w14:paraId="0209119B" w14:textId="77777777" w:rsidR="00947B86" w:rsidRPr="001A45C1" w:rsidRDefault="001A45C1" w:rsidP="00EC55EA">
            <w:pPr>
              <w:jc w:val="both"/>
              <w:rPr>
                <w:rFonts w:asciiTheme="majorHAnsi" w:hAnsiTheme="majorHAnsi"/>
                <w:bCs/>
                <w:sz w:val="20"/>
                <w:szCs w:val="20"/>
                <w:lang w:val="es-ES"/>
              </w:rPr>
            </w:pPr>
            <w:r w:rsidRPr="001A45C1">
              <w:rPr>
                <w:rFonts w:asciiTheme="majorHAnsi" w:hAnsiTheme="majorHAnsi"/>
                <w:bCs/>
                <w:sz w:val="20"/>
                <w:szCs w:val="20"/>
                <w:lang w:val="es-ES"/>
              </w:rPr>
              <w:t>Si, Declaración Americana de Derechos y Deberes del Hombres (ratificación de la Carta de la OEA el 1</w:t>
            </w:r>
            <w:r>
              <w:rPr>
                <w:rFonts w:asciiTheme="majorHAnsi" w:hAnsiTheme="majorHAnsi"/>
                <w:bCs/>
                <w:sz w:val="20"/>
                <w:szCs w:val="20"/>
                <w:lang w:val="es-ES"/>
              </w:rPr>
              <w:t>9 de junio de 1951)</w:t>
            </w:r>
          </w:p>
        </w:tc>
      </w:tr>
      <w:tr w:rsidR="001A45C1" w:rsidRPr="00EC55EA" w14:paraId="275A0781" w14:textId="77777777">
        <w:trPr>
          <w:cantSplit/>
        </w:trPr>
        <w:tc>
          <w:tcPr>
            <w:tcW w:w="3600" w:type="dxa"/>
            <w:tcBorders>
              <w:top w:val="single" w:sz="6" w:space="0" w:color="auto"/>
              <w:bottom w:val="single" w:sz="6" w:space="0" w:color="auto"/>
            </w:tcBorders>
            <w:shd w:val="clear" w:color="auto" w:fill="386294"/>
            <w:vAlign w:val="center"/>
          </w:tcPr>
          <w:p w14:paraId="4661DF13" w14:textId="77777777" w:rsidR="00947B86" w:rsidRPr="001A45C1" w:rsidRDefault="001A45C1" w:rsidP="00EC55EA">
            <w:pPr>
              <w:jc w:val="center"/>
              <w:rPr>
                <w:rFonts w:asciiTheme="majorHAnsi" w:hAnsiTheme="majorHAnsi"/>
                <w:b/>
                <w:bCs/>
                <w:color w:val="FFFFFF" w:themeColor="background1"/>
                <w:sz w:val="20"/>
                <w:szCs w:val="20"/>
                <w:lang w:val="es-ES"/>
              </w:rPr>
            </w:pPr>
            <w:r w:rsidRPr="001A45C1">
              <w:rPr>
                <w:rFonts w:asciiTheme="majorHAnsi" w:hAnsiTheme="majorHAnsi"/>
                <w:b/>
                <w:bCs/>
                <w:color w:val="FFFFFF" w:themeColor="background1"/>
                <w:sz w:val="20"/>
                <w:szCs w:val="20"/>
                <w:lang w:val="es-ES"/>
              </w:rPr>
              <w:t>Duplicidad de procedimientos y cosas juz</w:t>
            </w:r>
            <w:r>
              <w:rPr>
                <w:rFonts w:asciiTheme="majorHAnsi" w:hAnsiTheme="majorHAnsi"/>
                <w:b/>
                <w:bCs/>
                <w:color w:val="FFFFFF" w:themeColor="background1"/>
                <w:sz w:val="20"/>
                <w:szCs w:val="20"/>
                <w:lang w:val="es-ES"/>
              </w:rPr>
              <w:t>gada internacional:</w:t>
            </w:r>
          </w:p>
        </w:tc>
        <w:tc>
          <w:tcPr>
            <w:tcW w:w="5760" w:type="dxa"/>
            <w:vAlign w:val="center"/>
          </w:tcPr>
          <w:p w14:paraId="33B7A5A2" w14:textId="77777777" w:rsidR="00947B86" w:rsidRPr="00EC55EA" w:rsidRDefault="00947B86" w:rsidP="00EC55EA">
            <w:pPr>
              <w:jc w:val="both"/>
              <w:rPr>
                <w:rFonts w:asciiTheme="majorHAnsi" w:hAnsiTheme="majorHAnsi"/>
                <w:bCs/>
                <w:sz w:val="20"/>
                <w:szCs w:val="20"/>
              </w:rPr>
            </w:pPr>
            <w:r w:rsidRPr="00EC55EA">
              <w:rPr>
                <w:rFonts w:asciiTheme="majorHAnsi" w:hAnsiTheme="majorHAnsi"/>
                <w:bCs/>
                <w:sz w:val="20"/>
                <w:szCs w:val="20"/>
              </w:rPr>
              <w:t>No</w:t>
            </w:r>
          </w:p>
        </w:tc>
      </w:tr>
    </w:tbl>
    <w:p w14:paraId="43DE9690" w14:textId="77777777" w:rsidR="0081365E" w:rsidRPr="00EC55EA" w:rsidRDefault="0081365E" w:rsidP="00EC55EA">
      <w:pPr>
        <w:rPr>
          <w:rFonts w:asciiTheme="majorHAnsi" w:hAnsiTheme="majorHAnsi"/>
          <w:sz w:val="20"/>
          <w:szCs w:val="20"/>
        </w:rPr>
      </w:pPr>
    </w:p>
    <w:p w14:paraId="4D42DCB7" w14:textId="3752B8FB" w:rsidR="00E86C3A" w:rsidRPr="00E86C3A" w:rsidRDefault="00E86C3A" w:rsidP="00EC55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0" w:firstLine="0"/>
        <w:jc w:val="both"/>
        <w:rPr>
          <w:rFonts w:asciiTheme="majorHAnsi" w:hAnsiTheme="majorHAnsi"/>
          <w:sz w:val="20"/>
          <w:szCs w:val="20"/>
          <w:lang w:val="es-ES"/>
        </w:rPr>
      </w:pPr>
      <w:r w:rsidRPr="00E86C3A">
        <w:rPr>
          <w:rFonts w:asciiTheme="majorHAnsi" w:hAnsiTheme="majorHAnsi"/>
          <w:sz w:val="20"/>
          <w:szCs w:val="20"/>
          <w:lang w:val="es-ES"/>
        </w:rPr>
        <w:t xml:space="preserve">Como se abordará más adelante, si bien la Comisión no tiene jurisdicción para </w:t>
      </w:r>
      <w:r>
        <w:rPr>
          <w:rFonts w:asciiTheme="majorHAnsi" w:hAnsiTheme="majorHAnsi"/>
          <w:sz w:val="20"/>
          <w:szCs w:val="20"/>
          <w:lang w:val="es-ES"/>
        </w:rPr>
        <w:t>decidir sobre la existencia</w:t>
      </w:r>
      <w:r w:rsidRPr="00E86C3A">
        <w:rPr>
          <w:rFonts w:asciiTheme="majorHAnsi" w:hAnsiTheme="majorHAnsi"/>
          <w:sz w:val="20"/>
          <w:szCs w:val="20"/>
          <w:lang w:val="es-ES"/>
        </w:rPr>
        <w:t xml:space="preserve"> </w:t>
      </w:r>
      <w:r w:rsidR="00E36893">
        <w:rPr>
          <w:rFonts w:asciiTheme="majorHAnsi" w:hAnsiTheme="majorHAnsi"/>
          <w:sz w:val="20"/>
          <w:szCs w:val="20"/>
          <w:lang w:val="es-ES"/>
        </w:rPr>
        <w:t xml:space="preserve">de </w:t>
      </w:r>
      <w:r w:rsidRPr="00E86C3A">
        <w:rPr>
          <w:rFonts w:asciiTheme="majorHAnsi" w:hAnsiTheme="majorHAnsi"/>
          <w:sz w:val="20"/>
          <w:szCs w:val="20"/>
          <w:lang w:val="es-ES"/>
        </w:rPr>
        <w:t xml:space="preserve">una violación a las disposiciones de la Convención de Viena, puede considerarlas a los efectos de evaluar el cumplimiento por parte del Estado de los derechos al debido proceso de un extranjero </w:t>
      </w:r>
      <w:r>
        <w:rPr>
          <w:rFonts w:asciiTheme="majorHAnsi" w:hAnsiTheme="majorHAnsi"/>
          <w:sz w:val="20"/>
          <w:szCs w:val="20"/>
          <w:lang w:val="es-ES"/>
        </w:rPr>
        <w:t>a la luz</w:t>
      </w:r>
      <w:r w:rsidRPr="00E86C3A">
        <w:rPr>
          <w:rFonts w:asciiTheme="majorHAnsi" w:hAnsiTheme="majorHAnsi"/>
          <w:sz w:val="20"/>
          <w:szCs w:val="20"/>
          <w:lang w:val="es-ES"/>
        </w:rPr>
        <w:t xml:space="preserve"> de la Declaración Americana.</w:t>
      </w:r>
    </w:p>
    <w:p w14:paraId="191A407C" w14:textId="77777777" w:rsidR="00626FB3" w:rsidRPr="00E86C3A" w:rsidRDefault="00626FB3" w:rsidP="00EC55EA">
      <w:pPr>
        <w:rPr>
          <w:rFonts w:asciiTheme="majorHAnsi" w:hAnsiTheme="majorHAnsi"/>
          <w:sz w:val="20"/>
          <w:szCs w:val="20"/>
          <w:lang w:val="es-ES"/>
        </w:rPr>
      </w:pPr>
    </w:p>
    <w:p w14:paraId="1F288D05" w14:textId="77777777" w:rsidR="00F516D3" w:rsidRPr="00B443C8" w:rsidRDefault="00B443C8" w:rsidP="00EC55EA">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ahoma"/>
          <w:color w:val="auto"/>
          <w:sz w:val="20"/>
          <w:szCs w:val="20"/>
          <w:shd w:val="clear" w:color="auto" w:fill="FFFFFF"/>
          <w:lang w:val="es-ES"/>
        </w:rPr>
      </w:pPr>
      <w:bookmarkStart w:id="8" w:name="_Toc90292571"/>
      <w:r w:rsidRPr="00B443C8">
        <w:rPr>
          <w:rFonts w:cs="Tahoma"/>
          <w:color w:val="auto"/>
          <w:sz w:val="20"/>
          <w:szCs w:val="20"/>
          <w:shd w:val="clear" w:color="auto" w:fill="FFFFFF"/>
          <w:lang w:val="es-ES"/>
        </w:rPr>
        <w:t>Agotamiento de los recursos internos y plazo de presentación</w:t>
      </w:r>
      <w:bookmarkEnd w:id="8"/>
    </w:p>
    <w:p w14:paraId="71B6C697" w14:textId="77777777" w:rsidR="00D94F44" w:rsidRPr="00B443C8" w:rsidRDefault="00D94F44" w:rsidP="00EC55EA">
      <w:pPr>
        <w:rPr>
          <w:rFonts w:asciiTheme="majorHAnsi" w:hAnsiTheme="majorHAnsi"/>
          <w:color w:val="FF0000"/>
          <w:sz w:val="20"/>
          <w:szCs w:val="20"/>
          <w:lang w:val="es-ES"/>
        </w:rPr>
      </w:pPr>
    </w:p>
    <w:p w14:paraId="0BED7D87" w14:textId="01115F2D" w:rsidR="00E86C3A" w:rsidRPr="00E86C3A" w:rsidRDefault="00E86C3A" w:rsidP="004607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E86C3A">
        <w:rPr>
          <w:rFonts w:asciiTheme="majorHAnsi" w:hAnsiTheme="majorHAnsi"/>
          <w:sz w:val="20"/>
          <w:szCs w:val="20"/>
          <w:lang w:val="es-ES"/>
        </w:rPr>
        <w:t>Según la información proporcionada por los peticionarios,</w:t>
      </w:r>
      <w:r>
        <w:rPr>
          <w:rStyle w:val="FootnoteReference"/>
          <w:rFonts w:asciiTheme="majorHAnsi" w:hAnsiTheme="majorHAnsi"/>
          <w:sz w:val="20"/>
          <w:szCs w:val="20"/>
        </w:rPr>
        <w:footnoteReference w:id="6"/>
      </w:r>
      <w:r w:rsidRPr="00E86C3A">
        <w:rPr>
          <w:rFonts w:asciiTheme="majorHAnsi" w:hAnsiTheme="majorHAnsi"/>
          <w:sz w:val="20"/>
          <w:szCs w:val="20"/>
          <w:lang w:val="es-ES"/>
        </w:rPr>
        <w:t xml:space="preserve"> el señor Valle fue acusado formalmente de homicidio en primer grado y posesión de arma de fuego por un delincuente condenado en el condado de Dade, Florida, el 13 de abril de 1978. El juicio ocurrió 24 días después, y fue </w:t>
      </w:r>
      <w:r>
        <w:rPr>
          <w:rFonts w:asciiTheme="majorHAnsi" w:hAnsiTheme="majorHAnsi"/>
          <w:sz w:val="20"/>
          <w:szCs w:val="20"/>
          <w:lang w:val="es-ES"/>
        </w:rPr>
        <w:t>hallado culpable</w:t>
      </w:r>
      <w:r w:rsidRPr="00E86C3A">
        <w:rPr>
          <w:rFonts w:asciiTheme="majorHAnsi" w:hAnsiTheme="majorHAnsi"/>
          <w:sz w:val="20"/>
          <w:szCs w:val="20"/>
          <w:lang w:val="es-ES"/>
        </w:rPr>
        <w:t xml:space="preserve"> y condenado a muerte. La Corte Suprema de Florida (</w:t>
      </w:r>
      <w:r>
        <w:rPr>
          <w:rFonts w:asciiTheme="majorHAnsi" w:hAnsiTheme="majorHAnsi"/>
          <w:sz w:val="20"/>
          <w:szCs w:val="20"/>
          <w:lang w:val="es-ES"/>
        </w:rPr>
        <w:t>CSF</w:t>
      </w:r>
      <w:r w:rsidRPr="00E86C3A">
        <w:rPr>
          <w:rFonts w:asciiTheme="majorHAnsi" w:hAnsiTheme="majorHAnsi"/>
          <w:sz w:val="20"/>
          <w:szCs w:val="20"/>
          <w:lang w:val="es-ES"/>
        </w:rPr>
        <w:t xml:space="preserve">) anuló esta </w:t>
      </w:r>
      <w:r>
        <w:rPr>
          <w:rFonts w:asciiTheme="majorHAnsi" w:hAnsiTheme="majorHAnsi"/>
          <w:sz w:val="20"/>
          <w:szCs w:val="20"/>
          <w:lang w:val="es-ES"/>
        </w:rPr>
        <w:t xml:space="preserve">sentencia y </w:t>
      </w:r>
      <w:r w:rsidR="00E36893">
        <w:rPr>
          <w:rFonts w:asciiTheme="majorHAnsi" w:hAnsiTheme="majorHAnsi"/>
          <w:sz w:val="20"/>
          <w:szCs w:val="20"/>
          <w:lang w:val="es-ES"/>
        </w:rPr>
        <w:t xml:space="preserve">la </w:t>
      </w:r>
      <w:r>
        <w:rPr>
          <w:rFonts w:asciiTheme="majorHAnsi" w:hAnsiTheme="majorHAnsi"/>
          <w:sz w:val="20"/>
          <w:szCs w:val="20"/>
          <w:lang w:val="es-ES"/>
        </w:rPr>
        <w:t>condena</w:t>
      </w:r>
      <w:r w:rsidRPr="00E86C3A">
        <w:rPr>
          <w:rFonts w:asciiTheme="majorHAnsi" w:hAnsiTheme="majorHAnsi"/>
          <w:sz w:val="20"/>
          <w:szCs w:val="20"/>
          <w:lang w:val="es-ES"/>
        </w:rPr>
        <w:t xml:space="preserve">, ya que el período de 24 días para preparar el juicio </w:t>
      </w:r>
      <w:r>
        <w:rPr>
          <w:rFonts w:asciiTheme="majorHAnsi" w:hAnsiTheme="majorHAnsi"/>
          <w:sz w:val="20"/>
          <w:szCs w:val="20"/>
          <w:lang w:val="es-ES"/>
        </w:rPr>
        <w:t>fue</w:t>
      </w:r>
      <w:r w:rsidRPr="00E86C3A">
        <w:rPr>
          <w:rFonts w:asciiTheme="majorHAnsi" w:hAnsiTheme="majorHAnsi"/>
          <w:sz w:val="20"/>
          <w:szCs w:val="20"/>
          <w:lang w:val="es-ES"/>
        </w:rPr>
        <w:t xml:space="preserve"> consider</w:t>
      </w:r>
      <w:r>
        <w:rPr>
          <w:rFonts w:asciiTheme="majorHAnsi" w:hAnsiTheme="majorHAnsi"/>
          <w:sz w:val="20"/>
          <w:szCs w:val="20"/>
          <w:lang w:val="es-ES"/>
        </w:rPr>
        <w:t>ado</w:t>
      </w:r>
      <w:r w:rsidRPr="00E86C3A">
        <w:rPr>
          <w:rFonts w:asciiTheme="majorHAnsi" w:hAnsiTheme="majorHAnsi"/>
          <w:sz w:val="20"/>
          <w:szCs w:val="20"/>
          <w:lang w:val="es-ES"/>
        </w:rPr>
        <w:t xml:space="preserve"> un abuso de la discreción del tribunal de </w:t>
      </w:r>
      <w:r>
        <w:rPr>
          <w:rFonts w:asciiTheme="majorHAnsi" w:hAnsiTheme="majorHAnsi"/>
          <w:sz w:val="20"/>
          <w:szCs w:val="20"/>
          <w:lang w:val="es-ES"/>
        </w:rPr>
        <w:t>juicio</w:t>
      </w:r>
      <w:r w:rsidRPr="00E86C3A">
        <w:rPr>
          <w:rFonts w:asciiTheme="majorHAnsi" w:hAnsiTheme="majorHAnsi"/>
          <w:sz w:val="20"/>
          <w:szCs w:val="20"/>
          <w:lang w:val="es-ES"/>
        </w:rPr>
        <w:t>.</w:t>
      </w:r>
      <w:r>
        <w:rPr>
          <w:rStyle w:val="FootnoteReference"/>
          <w:rFonts w:asciiTheme="majorHAnsi" w:hAnsiTheme="majorHAnsi"/>
          <w:sz w:val="20"/>
          <w:szCs w:val="20"/>
        </w:rPr>
        <w:footnoteReference w:id="7"/>
      </w:r>
      <w:r w:rsidRPr="00E86C3A">
        <w:rPr>
          <w:rFonts w:asciiTheme="majorHAnsi" w:hAnsiTheme="majorHAnsi"/>
          <w:sz w:val="20"/>
          <w:szCs w:val="20"/>
          <w:lang w:val="es-ES"/>
        </w:rPr>
        <w:t xml:space="preserve"> El segundo juicio resultó en una condena y una sentencia de muerte, que fue confirmada en apelación por la Corte Suprema de Florida.</w:t>
      </w:r>
      <w:r>
        <w:rPr>
          <w:rStyle w:val="FootnoteReference"/>
          <w:rFonts w:asciiTheme="majorHAnsi" w:hAnsiTheme="majorHAnsi"/>
          <w:sz w:val="20"/>
          <w:szCs w:val="20"/>
        </w:rPr>
        <w:footnoteReference w:id="8"/>
      </w:r>
      <w:r w:rsidRPr="00E86C3A">
        <w:rPr>
          <w:rFonts w:asciiTheme="majorHAnsi" w:hAnsiTheme="majorHAnsi"/>
          <w:sz w:val="20"/>
          <w:szCs w:val="20"/>
          <w:lang w:val="es-ES"/>
        </w:rPr>
        <w:t xml:space="preserve"> Esta sentencia fue anulada por la Corte Suprema de los Estados Unido</w:t>
      </w:r>
      <w:r>
        <w:rPr>
          <w:rFonts w:asciiTheme="majorHAnsi" w:hAnsiTheme="majorHAnsi"/>
          <w:sz w:val="20"/>
          <w:szCs w:val="20"/>
          <w:lang w:val="es-ES"/>
        </w:rPr>
        <w:t>s,</w:t>
      </w:r>
      <w:r>
        <w:rPr>
          <w:rStyle w:val="FootnoteReference"/>
          <w:rFonts w:asciiTheme="majorHAnsi" w:hAnsiTheme="majorHAnsi"/>
          <w:sz w:val="20"/>
          <w:szCs w:val="20"/>
        </w:rPr>
        <w:footnoteReference w:id="9"/>
      </w:r>
      <w:r w:rsidRPr="00E86C3A">
        <w:rPr>
          <w:rFonts w:asciiTheme="majorHAnsi" w:hAnsiTheme="majorHAnsi"/>
          <w:sz w:val="20"/>
          <w:szCs w:val="20"/>
          <w:lang w:val="es-ES"/>
        </w:rPr>
        <w:t xml:space="preserve"> sin embargo, un jurado volvió a </w:t>
      </w:r>
      <w:r>
        <w:rPr>
          <w:rFonts w:asciiTheme="majorHAnsi" w:hAnsiTheme="majorHAnsi"/>
          <w:sz w:val="20"/>
          <w:szCs w:val="20"/>
          <w:lang w:val="es-ES"/>
        </w:rPr>
        <w:t>condenarlo</w:t>
      </w:r>
      <w:r w:rsidRPr="00E86C3A">
        <w:rPr>
          <w:rFonts w:asciiTheme="majorHAnsi" w:hAnsiTheme="majorHAnsi"/>
          <w:sz w:val="20"/>
          <w:szCs w:val="20"/>
          <w:lang w:val="es-ES"/>
        </w:rPr>
        <w:t xml:space="preserve"> a muerte. La </w:t>
      </w:r>
      <w:r>
        <w:rPr>
          <w:rFonts w:asciiTheme="majorHAnsi" w:hAnsiTheme="majorHAnsi"/>
          <w:sz w:val="20"/>
          <w:szCs w:val="20"/>
          <w:lang w:val="es-ES"/>
        </w:rPr>
        <w:t>CSF</w:t>
      </w:r>
      <w:r w:rsidRPr="00E86C3A">
        <w:rPr>
          <w:rFonts w:asciiTheme="majorHAnsi" w:hAnsiTheme="majorHAnsi"/>
          <w:sz w:val="20"/>
          <w:szCs w:val="20"/>
          <w:lang w:val="es-ES"/>
        </w:rPr>
        <w:t xml:space="preserve"> anuló la </w:t>
      </w:r>
      <w:r>
        <w:rPr>
          <w:rFonts w:asciiTheme="majorHAnsi" w:hAnsiTheme="majorHAnsi"/>
          <w:sz w:val="20"/>
          <w:szCs w:val="20"/>
          <w:lang w:val="es-ES"/>
        </w:rPr>
        <w:t>condena</w:t>
      </w:r>
      <w:r w:rsidRPr="00E86C3A">
        <w:rPr>
          <w:rFonts w:asciiTheme="majorHAnsi" w:hAnsiTheme="majorHAnsi"/>
          <w:sz w:val="20"/>
          <w:szCs w:val="20"/>
          <w:lang w:val="es-ES"/>
        </w:rPr>
        <w:t xml:space="preserve"> de muerte del Sr. Valle y ordenó</w:t>
      </w:r>
      <w:r>
        <w:rPr>
          <w:rFonts w:asciiTheme="majorHAnsi" w:hAnsiTheme="majorHAnsi"/>
          <w:sz w:val="20"/>
          <w:szCs w:val="20"/>
          <w:lang w:val="es-ES"/>
        </w:rPr>
        <w:t xml:space="preserve"> que un jurado dicte</w:t>
      </w:r>
      <w:r w:rsidRPr="00E86C3A">
        <w:rPr>
          <w:rFonts w:asciiTheme="majorHAnsi" w:hAnsiTheme="majorHAnsi"/>
          <w:sz w:val="20"/>
          <w:szCs w:val="20"/>
          <w:lang w:val="es-ES"/>
        </w:rPr>
        <w:t xml:space="preserve"> una nueva </w:t>
      </w:r>
      <w:r>
        <w:rPr>
          <w:rFonts w:asciiTheme="majorHAnsi" w:hAnsiTheme="majorHAnsi"/>
          <w:sz w:val="20"/>
          <w:szCs w:val="20"/>
          <w:lang w:val="es-ES"/>
        </w:rPr>
        <w:t>condena</w:t>
      </w:r>
      <w:r>
        <w:rPr>
          <w:rStyle w:val="FootnoteReference"/>
          <w:rFonts w:asciiTheme="majorHAnsi" w:hAnsiTheme="majorHAnsi"/>
          <w:sz w:val="20"/>
          <w:szCs w:val="20"/>
        </w:rPr>
        <w:footnoteReference w:id="10"/>
      </w:r>
      <w:r w:rsidRPr="00E86C3A">
        <w:rPr>
          <w:rFonts w:asciiTheme="majorHAnsi" w:hAnsiTheme="majorHAnsi"/>
          <w:sz w:val="20"/>
          <w:szCs w:val="20"/>
          <w:lang w:val="es-ES"/>
        </w:rPr>
        <w:t xml:space="preserve"> y el Sr. Valle fue nuevamente </w:t>
      </w:r>
      <w:r>
        <w:rPr>
          <w:rFonts w:asciiTheme="majorHAnsi" w:hAnsiTheme="majorHAnsi"/>
          <w:sz w:val="20"/>
          <w:szCs w:val="20"/>
          <w:lang w:val="es-ES"/>
        </w:rPr>
        <w:t>condenado</w:t>
      </w:r>
      <w:r w:rsidRPr="00E86C3A">
        <w:rPr>
          <w:rFonts w:asciiTheme="majorHAnsi" w:hAnsiTheme="majorHAnsi"/>
          <w:sz w:val="20"/>
          <w:szCs w:val="20"/>
          <w:lang w:val="es-ES"/>
        </w:rPr>
        <w:t xml:space="preserve"> a muerte, y esto fue confirmado por la Corte Suprema de Florida.</w:t>
      </w:r>
      <w:r w:rsidRPr="00E86C3A">
        <w:rPr>
          <w:rStyle w:val="FootnoteReference"/>
          <w:rFonts w:asciiTheme="majorHAnsi" w:hAnsiTheme="majorHAnsi"/>
          <w:sz w:val="20"/>
          <w:szCs w:val="20"/>
          <w:lang w:val="es-ES"/>
        </w:rPr>
        <w:t xml:space="preserve"> </w:t>
      </w:r>
      <w:r>
        <w:rPr>
          <w:rStyle w:val="FootnoteReference"/>
          <w:rFonts w:asciiTheme="majorHAnsi" w:hAnsiTheme="majorHAnsi"/>
          <w:sz w:val="20"/>
          <w:szCs w:val="20"/>
        </w:rPr>
        <w:footnoteReference w:id="11"/>
      </w:r>
    </w:p>
    <w:p w14:paraId="30F56276" w14:textId="77777777" w:rsidR="00600384" w:rsidRPr="00E86C3A" w:rsidRDefault="00600384" w:rsidP="0060038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50CF081B" w14:textId="77777777" w:rsidR="00600384" w:rsidRDefault="00E86C3A" w:rsidP="006003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E86C3A">
        <w:rPr>
          <w:rFonts w:asciiTheme="majorHAnsi" w:hAnsiTheme="majorHAnsi"/>
          <w:sz w:val="20"/>
          <w:szCs w:val="20"/>
          <w:lang w:val="es-ES"/>
        </w:rPr>
        <w:t xml:space="preserve">A partir de entonces, el tribunal de juicio denegó sumariamente la moción de reparación posterior a la condena y la </w:t>
      </w:r>
      <w:r w:rsidR="001571B9">
        <w:rPr>
          <w:rFonts w:asciiTheme="majorHAnsi" w:hAnsiTheme="majorHAnsi"/>
          <w:sz w:val="20"/>
          <w:szCs w:val="20"/>
          <w:lang w:val="es-ES"/>
        </w:rPr>
        <w:t>CSF</w:t>
      </w:r>
      <w:r w:rsidRPr="00E86C3A">
        <w:rPr>
          <w:rFonts w:asciiTheme="majorHAnsi" w:hAnsiTheme="majorHAnsi"/>
          <w:sz w:val="20"/>
          <w:szCs w:val="20"/>
          <w:lang w:val="es-ES"/>
        </w:rPr>
        <w:t xml:space="preserve"> </w:t>
      </w:r>
      <w:r w:rsidR="001571B9">
        <w:rPr>
          <w:rFonts w:asciiTheme="majorHAnsi" w:hAnsiTheme="majorHAnsi"/>
          <w:sz w:val="20"/>
          <w:szCs w:val="20"/>
          <w:lang w:val="es-ES"/>
        </w:rPr>
        <w:t>confirmó</w:t>
      </w:r>
      <w:r w:rsidRPr="00E86C3A">
        <w:rPr>
          <w:rFonts w:asciiTheme="majorHAnsi" w:hAnsiTheme="majorHAnsi"/>
          <w:sz w:val="20"/>
          <w:szCs w:val="20"/>
          <w:lang w:val="es-ES"/>
        </w:rPr>
        <w:t xml:space="preserve"> en parte y revocó en parte esta orden, remitiendo el asunto a la audiencia probatoria.</w:t>
      </w:r>
      <w:r w:rsidR="001571B9">
        <w:rPr>
          <w:rStyle w:val="FootnoteReference"/>
          <w:rFonts w:asciiTheme="majorHAnsi" w:hAnsiTheme="majorHAnsi"/>
          <w:sz w:val="20"/>
          <w:szCs w:val="20"/>
        </w:rPr>
        <w:footnoteReference w:id="12"/>
      </w:r>
      <w:r w:rsidRPr="00E86C3A">
        <w:rPr>
          <w:rFonts w:asciiTheme="majorHAnsi" w:hAnsiTheme="majorHAnsi"/>
          <w:sz w:val="20"/>
          <w:szCs w:val="20"/>
          <w:lang w:val="es-ES"/>
        </w:rPr>
        <w:t xml:space="preserve"> </w:t>
      </w:r>
      <w:r w:rsidRPr="001571B9">
        <w:rPr>
          <w:rFonts w:asciiTheme="majorHAnsi" w:hAnsiTheme="majorHAnsi"/>
          <w:sz w:val="20"/>
          <w:szCs w:val="20"/>
          <w:lang w:val="es-ES"/>
        </w:rPr>
        <w:t xml:space="preserve">Sin embargo, se denegó </w:t>
      </w:r>
      <w:r w:rsidR="001571B9">
        <w:rPr>
          <w:rFonts w:asciiTheme="majorHAnsi" w:hAnsiTheme="majorHAnsi"/>
          <w:sz w:val="20"/>
          <w:szCs w:val="20"/>
          <w:lang w:val="es-ES"/>
        </w:rPr>
        <w:t>la reparación</w:t>
      </w:r>
      <w:r w:rsidRPr="001571B9">
        <w:rPr>
          <w:rFonts w:asciiTheme="majorHAnsi" w:hAnsiTheme="majorHAnsi"/>
          <w:sz w:val="20"/>
          <w:szCs w:val="20"/>
          <w:lang w:val="es-ES"/>
        </w:rPr>
        <w:t xml:space="preserve"> y la </w:t>
      </w:r>
      <w:r w:rsidR="001571B9">
        <w:rPr>
          <w:rFonts w:asciiTheme="majorHAnsi" w:hAnsiTheme="majorHAnsi"/>
          <w:sz w:val="20"/>
          <w:szCs w:val="20"/>
          <w:lang w:val="es-ES"/>
        </w:rPr>
        <w:t>CSF</w:t>
      </w:r>
      <w:r w:rsidRPr="001571B9">
        <w:rPr>
          <w:rFonts w:asciiTheme="majorHAnsi" w:hAnsiTheme="majorHAnsi"/>
          <w:sz w:val="20"/>
          <w:szCs w:val="20"/>
          <w:lang w:val="es-ES"/>
        </w:rPr>
        <w:t xml:space="preserve"> confirmó la decisión.</w:t>
      </w:r>
      <w:r w:rsidR="001571B9">
        <w:rPr>
          <w:rStyle w:val="FootnoteReference"/>
          <w:rFonts w:asciiTheme="majorHAnsi" w:hAnsiTheme="majorHAnsi"/>
          <w:sz w:val="20"/>
          <w:szCs w:val="20"/>
        </w:rPr>
        <w:footnoteReference w:id="13"/>
      </w:r>
      <w:r w:rsidRPr="001571B9">
        <w:rPr>
          <w:rFonts w:asciiTheme="majorHAnsi" w:hAnsiTheme="majorHAnsi"/>
          <w:sz w:val="20"/>
          <w:szCs w:val="20"/>
          <w:lang w:val="es-ES"/>
        </w:rPr>
        <w:t xml:space="preserve"> El 21 de febrero de 2003 el señor Valle presentó un recurso de hábeas corpus, el cual fue denegado por el Juzgado de Distrito. El Sr. Valle luego apeló esta decisión y la Corte de Apelaciones del Undécimo Circuito afirmó la denegación del recurso de hábeas corpus.</w:t>
      </w:r>
      <w:r w:rsidR="001571B9">
        <w:rPr>
          <w:rStyle w:val="FootnoteReference"/>
          <w:rFonts w:asciiTheme="majorHAnsi" w:hAnsiTheme="majorHAnsi"/>
          <w:sz w:val="20"/>
          <w:szCs w:val="20"/>
        </w:rPr>
        <w:footnoteReference w:id="14"/>
      </w:r>
      <w:r w:rsidRPr="001571B9">
        <w:rPr>
          <w:rFonts w:asciiTheme="majorHAnsi" w:hAnsiTheme="majorHAnsi"/>
          <w:sz w:val="20"/>
          <w:szCs w:val="20"/>
          <w:lang w:val="es-ES"/>
        </w:rPr>
        <w:t xml:space="preserve"> </w:t>
      </w:r>
      <w:r w:rsidR="001571B9">
        <w:rPr>
          <w:rFonts w:asciiTheme="majorHAnsi" w:hAnsiTheme="majorHAnsi"/>
          <w:sz w:val="20"/>
          <w:szCs w:val="20"/>
          <w:lang w:val="es-ES"/>
        </w:rPr>
        <w:t>El 11 de agosto de 2007 fueron denegadas también una</w:t>
      </w:r>
      <w:r w:rsidRPr="001571B9">
        <w:rPr>
          <w:rFonts w:asciiTheme="majorHAnsi" w:hAnsiTheme="majorHAnsi"/>
          <w:sz w:val="20"/>
          <w:szCs w:val="20"/>
          <w:lang w:val="es-ES"/>
        </w:rPr>
        <w:t xml:space="preserve"> moción para una nueva audiencia y </w:t>
      </w:r>
      <w:r w:rsidRPr="001571B9">
        <w:rPr>
          <w:rFonts w:asciiTheme="majorHAnsi" w:hAnsiTheme="majorHAnsi"/>
          <w:sz w:val="20"/>
          <w:szCs w:val="20"/>
          <w:lang w:val="es-ES"/>
        </w:rPr>
        <w:lastRenderedPageBreak/>
        <w:t xml:space="preserve">una nueva audiencia en </w:t>
      </w:r>
      <w:r w:rsidR="001571B9">
        <w:rPr>
          <w:rFonts w:asciiTheme="majorHAnsi" w:hAnsiTheme="majorHAnsi"/>
          <w:sz w:val="20"/>
          <w:szCs w:val="20"/>
          <w:lang w:val="es-ES"/>
        </w:rPr>
        <w:t>plenario</w:t>
      </w:r>
      <w:r w:rsidRPr="001571B9">
        <w:rPr>
          <w:rFonts w:asciiTheme="majorHAnsi" w:hAnsiTheme="majorHAnsi"/>
          <w:sz w:val="20"/>
          <w:szCs w:val="20"/>
          <w:lang w:val="es-ES"/>
        </w:rPr>
        <w:t>,</w:t>
      </w:r>
      <w:r w:rsidR="001571B9">
        <w:rPr>
          <w:rStyle w:val="FootnoteReference"/>
          <w:rFonts w:asciiTheme="majorHAnsi" w:hAnsiTheme="majorHAnsi"/>
          <w:sz w:val="20"/>
          <w:szCs w:val="20"/>
        </w:rPr>
        <w:footnoteReference w:id="15"/>
      </w:r>
      <w:r w:rsidRPr="001571B9">
        <w:rPr>
          <w:rFonts w:asciiTheme="majorHAnsi" w:hAnsiTheme="majorHAnsi"/>
          <w:sz w:val="20"/>
          <w:szCs w:val="20"/>
          <w:lang w:val="es-ES"/>
        </w:rPr>
        <w:t xml:space="preserve"> y el 1 de octubre de 2007, la Corte Suprema de los Estados Unidos denegó la revisión del certiorari.</w:t>
      </w:r>
      <w:r w:rsidR="001571B9">
        <w:rPr>
          <w:rStyle w:val="FootnoteReference"/>
          <w:rFonts w:asciiTheme="majorHAnsi" w:hAnsiTheme="majorHAnsi"/>
          <w:sz w:val="20"/>
          <w:szCs w:val="20"/>
        </w:rPr>
        <w:footnoteReference w:id="16"/>
      </w:r>
    </w:p>
    <w:p w14:paraId="3176D956" w14:textId="77777777" w:rsidR="005B222E" w:rsidRPr="001571B9" w:rsidRDefault="005B222E" w:rsidP="005B222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377C96CD" w14:textId="77777777" w:rsidR="001571B9" w:rsidRPr="001571B9" w:rsidRDefault="001571B9" w:rsidP="004607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1571B9">
        <w:rPr>
          <w:rFonts w:asciiTheme="majorHAnsi" w:hAnsiTheme="majorHAnsi"/>
          <w:sz w:val="20"/>
          <w:szCs w:val="20"/>
          <w:lang w:val="es-ES"/>
        </w:rPr>
        <w:t xml:space="preserve">Después de que el gobernador de Florida firmara una orden de </w:t>
      </w:r>
      <w:r>
        <w:rPr>
          <w:rFonts w:asciiTheme="majorHAnsi" w:hAnsiTheme="majorHAnsi"/>
          <w:sz w:val="20"/>
          <w:szCs w:val="20"/>
          <w:lang w:val="es-ES"/>
        </w:rPr>
        <w:t>ejecución</w:t>
      </w:r>
      <w:r w:rsidRPr="001571B9">
        <w:rPr>
          <w:rFonts w:asciiTheme="majorHAnsi" w:hAnsiTheme="majorHAnsi"/>
          <w:sz w:val="20"/>
          <w:szCs w:val="20"/>
          <w:lang w:val="es-ES"/>
        </w:rPr>
        <w:t xml:space="preserve"> en 2011, el Sr. Valle presentó un </w:t>
      </w:r>
      <w:r>
        <w:rPr>
          <w:rFonts w:asciiTheme="majorHAnsi" w:hAnsiTheme="majorHAnsi"/>
          <w:sz w:val="20"/>
          <w:szCs w:val="20"/>
          <w:lang w:val="es-ES"/>
        </w:rPr>
        <w:t>recurso</w:t>
      </w:r>
      <w:r w:rsidRPr="001571B9">
        <w:rPr>
          <w:rFonts w:asciiTheme="majorHAnsi" w:hAnsiTheme="majorHAnsi"/>
          <w:sz w:val="20"/>
          <w:szCs w:val="20"/>
          <w:lang w:val="es-ES"/>
        </w:rPr>
        <w:t xml:space="preserve"> enmendad</w:t>
      </w:r>
      <w:r>
        <w:rPr>
          <w:rFonts w:asciiTheme="majorHAnsi" w:hAnsiTheme="majorHAnsi"/>
          <w:sz w:val="20"/>
          <w:szCs w:val="20"/>
          <w:lang w:val="es-ES"/>
        </w:rPr>
        <w:t>o</w:t>
      </w:r>
      <w:r w:rsidRPr="001571B9">
        <w:rPr>
          <w:rFonts w:asciiTheme="majorHAnsi" w:hAnsiTheme="majorHAnsi"/>
          <w:sz w:val="20"/>
          <w:szCs w:val="20"/>
          <w:lang w:val="es-ES"/>
        </w:rPr>
        <w:t xml:space="preserve"> para obtener un</w:t>
      </w:r>
      <w:r>
        <w:rPr>
          <w:rFonts w:asciiTheme="majorHAnsi" w:hAnsiTheme="majorHAnsi"/>
          <w:sz w:val="20"/>
          <w:szCs w:val="20"/>
          <w:lang w:val="es-ES"/>
        </w:rPr>
        <w:t>a reparación</w:t>
      </w:r>
      <w:r w:rsidRPr="001571B9">
        <w:rPr>
          <w:rFonts w:asciiTheme="majorHAnsi" w:hAnsiTheme="majorHAnsi"/>
          <w:sz w:val="20"/>
          <w:szCs w:val="20"/>
          <w:lang w:val="es-ES"/>
        </w:rPr>
        <w:t xml:space="preserve"> posterior a la condena, principalmente con respecto a la eficacia de la droga pentobarbital utilizada en la inyección letal, para dejar inconsciente a un pres</w:t>
      </w:r>
      <w:r>
        <w:rPr>
          <w:rFonts w:asciiTheme="majorHAnsi" w:hAnsiTheme="majorHAnsi"/>
          <w:sz w:val="20"/>
          <w:szCs w:val="20"/>
          <w:lang w:val="es-ES"/>
        </w:rPr>
        <w:t>o</w:t>
      </w:r>
      <w:r w:rsidRPr="00927B93">
        <w:rPr>
          <w:rStyle w:val="FootnoteReference"/>
          <w:rFonts w:asciiTheme="majorHAnsi" w:hAnsiTheme="majorHAnsi"/>
          <w:sz w:val="20"/>
          <w:szCs w:val="20"/>
        </w:rPr>
        <w:footnoteReference w:id="17"/>
      </w:r>
      <w:r w:rsidRPr="001571B9">
        <w:rPr>
          <w:rFonts w:asciiTheme="majorHAnsi" w:hAnsiTheme="majorHAnsi"/>
          <w:sz w:val="20"/>
          <w:szCs w:val="20"/>
          <w:lang w:val="es-ES"/>
        </w:rPr>
        <w:t xml:space="preserve">. La denegación sumaria fue apelada ante la </w:t>
      </w:r>
      <w:r>
        <w:rPr>
          <w:rFonts w:asciiTheme="majorHAnsi" w:hAnsiTheme="majorHAnsi"/>
          <w:sz w:val="20"/>
          <w:szCs w:val="20"/>
          <w:lang w:val="es-ES"/>
        </w:rPr>
        <w:t>CSF</w:t>
      </w:r>
      <w:r w:rsidRPr="001571B9">
        <w:rPr>
          <w:rFonts w:asciiTheme="majorHAnsi" w:hAnsiTheme="majorHAnsi"/>
          <w:sz w:val="20"/>
          <w:szCs w:val="20"/>
          <w:lang w:val="es-ES"/>
        </w:rPr>
        <w:t>, que concedió la suspensión de la ejecución hasta el 1 de septiembre de 2011, para remitir el asunto al Tribunal de Circuito para una audiencia probatoria.</w:t>
      </w:r>
    </w:p>
    <w:p w14:paraId="41B21927" w14:textId="77777777" w:rsidR="00460794" w:rsidRPr="00E36893" w:rsidRDefault="00460794" w:rsidP="0046079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687BCF79" w14:textId="77777777" w:rsidR="001571B9" w:rsidRPr="001571B9" w:rsidRDefault="001571B9" w:rsidP="004607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1571B9">
        <w:rPr>
          <w:rFonts w:asciiTheme="majorHAnsi" w:hAnsiTheme="majorHAnsi"/>
          <w:sz w:val="20"/>
          <w:szCs w:val="20"/>
          <w:lang w:val="es-ES"/>
        </w:rPr>
        <w:t xml:space="preserve">El Tribunal de Circuito realizó la audiencia probatoria el 28 de julio y el 2 de agosto de 2011 y denegó el </w:t>
      </w:r>
      <w:r>
        <w:rPr>
          <w:rFonts w:asciiTheme="majorHAnsi" w:hAnsiTheme="majorHAnsi"/>
          <w:sz w:val="20"/>
          <w:szCs w:val="20"/>
          <w:lang w:val="es-ES"/>
        </w:rPr>
        <w:t>recurso</w:t>
      </w:r>
      <w:r w:rsidRPr="001571B9">
        <w:rPr>
          <w:rFonts w:asciiTheme="majorHAnsi" w:hAnsiTheme="majorHAnsi"/>
          <w:sz w:val="20"/>
          <w:szCs w:val="20"/>
          <w:lang w:val="es-ES"/>
        </w:rPr>
        <w:t xml:space="preserve">. El asunto se devolvió a la </w:t>
      </w:r>
      <w:r>
        <w:rPr>
          <w:rFonts w:asciiTheme="majorHAnsi" w:hAnsiTheme="majorHAnsi"/>
          <w:sz w:val="20"/>
          <w:szCs w:val="20"/>
          <w:lang w:val="es-ES"/>
        </w:rPr>
        <w:t>CSF</w:t>
      </w:r>
      <w:r w:rsidRPr="001571B9">
        <w:rPr>
          <w:rFonts w:asciiTheme="majorHAnsi" w:hAnsiTheme="majorHAnsi"/>
          <w:sz w:val="20"/>
          <w:szCs w:val="20"/>
          <w:lang w:val="es-ES"/>
        </w:rPr>
        <w:t xml:space="preserve"> para </w:t>
      </w:r>
      <w:r>
        <w:rPr>
          <w:rFonts w:asciiTheme="majorHAnsi" w:hAnsiTheme="majorHAnsi"/>
          <w:sz w:val="20"/>
          <w:szCs w:val="20"/>
          <w:lang w:val="es-ES"/>
        </w:rPr>
        <w:t>que considere</w:t>
      </w:r>
      <w:r w:rsidRPr="001571B9">
        <w:rPr>
          <w:rFonts w:asciiTheme="majorHAnsi" w:hAnsiTheme="majorHAnsi"/>
          <w:sz w:val="20"/>
          <w:szCs w:val="20"/>
          <w:lang w:val="es-ES"/>
        </w:rPr>
        <w:t xml:space="preserve"> todas las cuestiones planteadas en la apelación.</w:t>
      </w:r>
      <w:r w:rsidRPr="00927B93">
        <w:rPr>
          <w:rStyle w:val="FootnoteReference"/>
          <w:rFonts w:asciiTheme="majorHAnsi" w:hAnsiTheme="majorHAnsi"/>
          <w:sz w:val="20"/>
          <w:szCs w:val="20"/>
        </w:rPr>
        <w:footnoteReference w:id="18"/>
      </w:r>
      <w:r w:rsidRPr="001571B9">
        <w:rPr>
          <w:rFonts w:asciiTheme="majorHAnsi" w:hAnsiTheme="majorHAnsi"/>
          <w:sz w:val="20"/>
          <w:szCs w:val="20"/>
          <w:lang w:val="es-ES"/>
        </w:rPr>
        <w:t xml:space="preserve"> Habiendo considerado los reclamos y varias afirmaciones, la FSC confirmó la denegación </w:t>
      </w:r>
      <w:r>
        <w:rPr>
          <w:rFonts w:asciiTheme="majorHAnsi" w:hAnsiTheme="majorHAnsi"/>
          <w:sz w:val="20"/>
          <w:szCs w:val="20"/>
          <w:lang w:val="es-ES"/>
        </w:rPr>
        <w:t>decidida por</w:t>
      </w:r>
      <w:r w:rsidRPr="001571B9">
        <w:rPr>
          <w:rFonts w:asciiTheme="majorHAnsi" w:hAnsiTheme="majorHAnsi"/>
          <w:sz w:val="20"/>
          <w:szCs w:val="20"/>
          <w:lang w:val="es-ES"/>
        </w:rPr>
        <w:t xml:space="preserve"> Tribunal de Circuito.</w:t>
      </w:r>
    </w:p>
    <w:p w14:paraId="70D33AC8" w14:textId="77777777" w:rsidR="002F30A3" w:rsidRPr="00E36893" w:rsidRDefault="002F30A3" w:rsidP="002F30A3">
      <w:pPr>
        <w:pStyle w:val="ListParagraph"/>
        <w:rPr>
          <w:rFonts w:asciiTheme="majorHAnsi" w:hAnsiTheme="majorHAnsi"/>
          <w:color w:val="FF0000"/>
          <w:sz w:val="20"/>
          <w:szCs w:val="20"/>
          <w:lang w:val="es-ES"/>
        </w:rPr>
      </w:pPr>
    </w:p>
    <w:p w14:paraId="72830516" w14:textId="77777777" w:rsidR="001571B9" w:rsidRPr="001571B9" w:rsidRDefault="001571B9" w:rsidP="002F30A3">
      <w:pPr>
        <w:pStyle w:val="parrafos"/>
        <w:numPr>
          <w:ilvl w:val="0"/>
          <w:numId w:val="55"/>
        </w:numPr>
        <w:ind w:left="0" w:firstLine="0"/>
        <w:rPr>
          <w:lang w:val="es-ES"/>
        </w:rPr>
      </w:pPr>
      <w:r w:rsidRPr="001571B9">
        <w:rPr>
          <w:lang w:val="es-ES"/>
        </w:rPr>
        <w:t xml:space="preserve">Con fundamento en estos factores, la Comisión Interamericana concluye que la presunta víctima agotó debidamente los recursos internos disponibles en el ordenamiento jurídico interno y, por lo tanto, que los reclamos ante la Comisión no están excluidos de </w:t>
      </w:r>
      <w:r>
        <w:rPr>
          <w:lang w:val="es-ES"/>
        </w:rPr>
        <w:t xml:space="preserve">su </w:t>
      </w:r>
      <w:r w:rsidRPr="001571B9">
        <w:rPr>
          <w:lang w:val="es-ES"/>
        </w:rPr>
        <w:t>consideración por el requisito del agotamiento de los recursos internos conforme Artículo 31 (1) de su Reglamento.</w:t>
      </w:r>
    </w:p>
    <w:p w14:paraId="276715B4" w14:textId="77777777" w:rsidR="002F30A3" w:rsidRPr="001571B9" w:rsidRDefault="002F30A3" w:rsidP="001571B9">
      <w:pPr>
        <w:rPr>
          <w:lang w:val="es-ES"/>
        </w:rPr>
      </w:pPr>
    </w:p>
    <w:p w14:paraId="38B865D8" w14:textId="77777777" w:rsidR="001571B9" w:rsidRPr="001571B9" w:rsidRDefault="001571B9" w:rsidP="002F30A3">
      <w:pPr>
        <w:pStyle w:val="parrafos"/>
        <w:numPr>
          <w:ilvl w:val="0"/>
          <w:numId w:val="55"/>
        </w:numPr>
        <w:ind w:left="0" w:firstLine="0"/>
        <w:rPr>
          <w:lang w:val="es-ES"/>
        </w:rPr>
      </w:pPr>
      <w:r w:rsidRPr="001571B9">
        <w:rPr>
          <w:lang w:val="es-ES"/>
        </w:rPr>
        <w:t xml:space="preserve">La petición ante la CIDH fue presentada el 10 de agosto de 2011. El Tribunal de Circuito denegó el </w:t>
      </w:r>
      <w:r>
        <w:rPr>
          <w:lang w:val="es-ES"/>
        </w:rPr>
        <w:t xml:space="preserve">último recurso de reparación </w:t>
      </w:r>
      <w:r w:rsidRPr="001571B9">
        <w:rPr>
          <w:lang w:val="es-ES"/>
        </w:rPr>
        <w:t xml:space="preserve">posterior a la condena el 2 de agosto de 2011. Por lo tanto, la Comisión concluye que se ha cumplido el requisito previsto en el artículo 32 (1) de su Reglamento. </w:t>
      </w:r>
    </w:p>
    <w:p w14:paraId="1527E5F0" w14:textId="77777777" w:rsidR="00D20BFA" w:rsidRPr="00E36893" w:rsidRDefault="00D20BFA" w:rsidP="00EC55EA">
      <w:pPr>
        <w:pStyle w:val="parrafos"/>
        <w:ind w:left="0" w:firstLine="0"/>
        <w:rPr>
          <w:lang w:val="es-ES"/>
        </w:rPr>
      </w:pPr>
    </w:p>
    <w:p w14:paraId="36ACF331" w14:textId="77777777" w:rsidR="00F516D3" w:rsidRPr="00B443C8" w:rsidRDefault="00B443C8" w:rsidP="00EC55EA">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lang w:val="es-ES"/>
        </w:rPr>
      </w:pPr>
      <w:bookmarkStart w:id="9" w:name="_Toc90292572"/>
      <w:r w:rsidRPr="00B443C8">
        <w:rPr>
          <w:rFonts w:cs="Times New Roman"/>
          <w:color w:val="auto"/>
          <w:sz w:val="20"/>
          <w:szCs w:val="20"/>
          <w:lang w:val="es-ES"/>
        </w:rPr>
        <w:t>Caracterización de los hechos alegados</w:t>
      </w:r>
      <w:bookmarkEnd w:id="9"/>
    </w:p>
    <w:p w14:paraId="23FA71D3" w14:textId="77777777" w:rsidR="00764470" w:rsidRPr="00B443C8" w:rsidRDefault="00764470" w:rsidP="00EC55EA">
      <w:pPr>
        <w:rPr>
          <w:rFonts w:asciiTheme="majorHAnsi" w:hAnsiTheme="majorHAnsi"/>
          <w:sz w:val="20"/>
          <w:szCs w:val="20"/>
          <w:lang w:val="es-ES"/>
        </w:rPr>
      </w:pPr>
    </w:p>
    <w:p w14:paraId="59ED6904" w14:textId="77777777" w:rsidR="001571B9" w:rsidRPr="001571B9" w:rsidRDefault="001571B9" w:rsidP="001571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1571B9">
        <w:rPr>
          <w:rFonts w:asciiTheme="majorHAnsi" w:hAnsiTheme="majorHAnsi"/>
          <w:sz w:val="20"/>
          <w:szCs w:val="20"/>
          <w:lang w:val="es-ES"/>
        </w:rPr>
        <w:t>La Comisión considera que, de demostrarse, los hechos alegados tenderían a establecer violaciones a los derechos consagrados en los artículos I, XVII, XXIV, XXVI y XVIII de la Declaración Americana, en perjuicio del señor Valle. Por lo tanto, tomando en cuenta que se cumplen los requisitos, la CIDH declara admisible el caso.</w:t>
      </w:r>
    </w:p>
    <w:p w14:paraId="03E2B598" w14:textId="77777777" w:rsidR="00B41B62" w:rsidRPr="00E36893" w:rsidRDefault="00B41B62" w:rsidP="001571B9">
      <w:pPr>
        <w:rPr>
          <w:rFonts w:asciiTheme="majorHAnsi" w:hAnsiTheme="majorHAnsi"/>
          <w:sz w:val="20"/>
          <w:szCs w:val="20"/>
          <w:lang w:val="es-ES"/>
        </w:rPr>
      </w:pPr>
    </w:p>
    <w:p w14:paraId="2B5D345A" w14:textId="77777777" w:rsidR="00F40F3F" w:rsidRPr="00EC55EA" w:rsidRDefault="00B443C8" w:rsidP="00EC55EA">
      <w:pPr>
        <w:pStyle w:val="Heading1"/>
        <w:tabs>
          <w:tab w:val="left" w:pos="360"/>
        </w:tabs>
        <w:spacing w:before="0"/>
        <w:ind w:hanging="720"/>
        <w:rPr>
          <w:color w:val="auto"/>
          <w:sz w:val="20"/>
          <w:szCs w:val="20"/>
        </w:rPr>
      </w:pPr>
      <w:bookmarkStart w:id="10" w:name="_Toc90292573"/>
      <w:r>
        <w:rPr>
          <w:color w:val="auto"/>
          <w:sz w:val="20"/>
          <w:szCs w:val="20"/>
        </w:rPr>
        <w:t>DETERMINACIONES DE HECHO</w:t>
      </w:r>
      <w:bookmarkEnd w:id="10"/>
    </w:p>
    <w:p w14:paraId="31AE3A03" w14:textId="77777777" w:rsidR="003963B7" w:rsidRPr="00EC55EA" w:rsidRDefault="003963B7" w:rsidP="00EC55EA">
      <w:pPr>
        <w:rPr>
          <w:rFonts w:asciiTheme="majorHAnsi" w:hAnsiTheme="majorHAnsi"/>
          <w:sz w:val="20"/>
          <w:szCs w:val="20"/>
        </w:rPr>
      </w:pPr>
    </w:p>
    <w:p w14:paraId="03F44C5A" w14:textId="77777777" w:rsidR="00DA249D" w:rsidRPr="00EC55EA" w:rsidRDefault="00B443C8" w:rsidP="00EC55EA">
      <w:pPr>
        <w:pStyle w:val="Heading2"/>
        <w:numPr>
          <w:ilvl w:val="0"/>
          <w:numId w:val="58"/>
        </w:numPr>
        <w:tabs>
          <w:tab w:val="left" w:pos="360"/>
        </w:tabs>
        <w:spacing w:before="0"/>
        <w:ind w:hanging="720"/>
        <w:rPr>
          <w:color w:val="auto"/>
          <w:sz w:val="20"/>
          <w:szCs w:val="20"/>
        </w:rPr>
      </w:pPr>
      <w:bookmarkStart w:id="11" w:name="_Toc90292574"/>
      <w:r>
        <w:rPr>
          <w:color w:val="auto"/>
          <w:sz w:val="20"/>
          <w:szCs w:val="20"/>
        </w:rPr>
        <w:t>Hechos del caso</w:t>
      </w:r>
      <w:bookmarkEnd w:id="11"/>
    </w:p>
    <w:p w14:paraId="4E21C234" w14:textId="77777777" w:rsidR="00D9253C" w:rsidRDefault="00D9253C" w:rsidP="00D925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002436DC" w14:textId="77777777" w:rsidR="001571B9" w:rsidRPr="001571B9" w:rsidRDefault="001571B9" w:rsidP="007015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1571B9">
        <w:rPr>
          <w:rFonts w:asciiTheme="majorHAnsi" w:hAnsiTheme="majorHAnsi"/>
          <w:sz w:val="20"/>
          <w:szCs w:val="20"/>
          <w:lang w:val="es-ES"/>
        </w:rPr>
        <w:t>Según el historial procesal registrado por la Corte Suprema de Florida (</w:t>
      </w:r>
      <w:r>
        <w:rPr>
          <w:rFonts w:asciiTheme="majorHAnsi" w:hAnsiTheme="majorHAnsi"/>
          <w:sz w:val="20"/>
          <w:szCs w:val="20"/>
          <w:lang w:val="es-ES"/>
        </w:rPr>
        <w:t>CSF</w:t>
      </w:r>
      <w:r w:rsidRPr="001571B9">
        <w:rPr>
          <w:rFonts w:asciiTheme="majorHAnsi" w:hAnsiTheme="majorHAnsi"/>
          <w:sz w:val="20"/>
          <w:szCs w:val="20"/>
          <w:lang w:val="es-ES"/>
        </w:rPr>
        <w:t>),</w:t>
      </w:r>
      <w:r w:rsidRPr="00A54BD3">
        <w:rPr>
          <w:rStyle w:val="FootnoteReference"/>
          <w:rFonts w:asciiTheme="majorHAnsi" w:hAnsiTheme="majorHAnsi"/>
          <w:sz w:val="20"/>
          <w:szCs w:val="20"/>
        </w:rPr>
        <w:footnoteReference w:id="19"/>
      </w:r>
      <w:r w:rsidRPr="001571B9">
        <w:rPr>
          <w:rFonts w:asciiTheme="majorHAnsi" w:hAnsiTheme="majorHAnsi"/>
          <w:sz w:val="20"/>
          <w:szCs w:val="20"/>
          <w:lang w:val="es-ES"/>
        </w:rPr>
        <w:t xml:space="preserve"> el 2 de abril de 1978 el señor Valle disparó contra dos policías. Un </w:t>
      </w:r>
      <w:r>
        <w:rPr>
          <w:rFonts w:asciiTheme="majorHAnsi" w:hAnsiTheme="majorHAnsi"/>
          <w:sz w:val="20"/>
          <w:szCs w:val="20"/>
          <w:lang w:val="es-ES"/>
        </w:rPr>
        <w:t>agente</w:t>
      </w:r>
      <w:r w:rsidRPr="001571B9">
        <w:rPr>
          <w:rFonts w:asciiTheme="majorHAnsi" w:hAnsiTheme="majorHAnsi"/>
          <w:sz w:val="20"/>
          <w:szCs w:val="20"/>
          <w:lang w:val="es-ES"/>
        </w:rPr>
        <w:t xml:space="preserve">, Louis Peña, detuvo al Sr. Valle por una infracción de tránsito y cuando inició una verificación del registro del vehículo robado que conducía el Sr. Valle, el Sr. Valle </w:t>
      </w:r>
      <w:r>
        <w:rPr>
          <w:rFonts w:asciiTheme="majorHAnsi" w:hAnsiTheme="majorHAnsi"/>
          <w:sz w:val="20"/>
          <w:szCs w:val="20"/>
          <w:lang w:val="es-ES"/>
        </w:rPr>
        <w:t>tomó</w:t>
      </w:r>
      <w:r w:rsidRPr="001571B9">
        <w:rPr>
          <w:rFonts w:asciiTheme="majorHAnsi" w:hAnsiTheme="majorHAnsi"/>
          <w:sz w:val="20"/>
          <w:szCs w:val="20"/>
          <w:lang w:val="es-ES"/>
        </w:rPr>
        <w:t xml:space="preserve"> un arma y le disparó al oficial. </w:t>
      </w:r>
      <w:r>
        <w:rPr>
          <w:rFonts w:asciiTheme="majorHAnsi" w:hAnsiTheme="majorHAnsi"/>
          <w:sz w:val="20"/>
          <w:szCs w:val="20"/>
          <w:lang w:val="es-ES"/>
        </w:rPr>
        <w:t>E</w:t>
      </w:r>
      <w:r w:rsidRPr="001571B9">
        <w:rPr>
          <w:rFonts w:asciiTheme="majorHAnsi" w:hAnsiTheme="majorHAnsi"/>
          <w:sz w:val="20"/>
          <w:szCs w:val="20"/>
          <w:lang w:val="es-ES"/>
        </w:rPr>
        <w:t xml:space="preserve">l </w:t>
      </w:r>
      <w:r>
        <w:rPr>
          <w:rFonts w:asciiTheme="majorHAnsi" w:hAnsiTheme="majorHAnsi"/>
          <w:sz w:val="20"/>
          <w:szCs w:val="20"/>
          <w:lang w:val="es-ES"/>
        </w:rPr>
        <w:t xml:space="preserve">agente </w:t>
      </w:r>
      <w:r w:rsidRPr="001571B9">
        <w:rPr>
          <w:rFonts w:asciiTheme="majorHAnsi" w:hAnsiTheme="majorHAnsi"/>
          <w:sz w:val="20"/>
          <w:szCs w:val="20"/>
          <w:lang w:val="es-ES"/>
        </w:rPr>
        <w:t>Louis Pena</w:t>
      </w:r>
      <w:r>
        <w:rPr>
          <w:rFonts w:asciiTheme="majorHAnsi" w:hAnsiTheme="majorHAnsi"/>
          <w:sz w:val="20"/>
          <w:szCs w:val="20"/>
          <w:lang w:val="es-ES"/>
        </w:rPr>
        <w:t xml:space="preserve"> murió</w:t>
      </w:r>
      <w:r w:rsidRPr="001571B9">
        <w:rPr>
          <w:rFonts w:asciiTheme="majorHAnsi" w:hAnsiTheme="majorHAnsi"/>
          <w:sz w:val="20"/>
          <w:szCs w:val="20"/>
          <w:lang w:val="es-ES"/>
        </w:rPr>
        <w:t xml:space="preserve">. Luego, el Sr. Valle disparó al </w:t>
      </w:r>
      <w:r>
        <w:rPr>
          <w:rFonts w:asciiTheme="majorHAnsi" w:hAnsiTheme="majorHAnsi"/>
          <w:sz w:val="20"/>
          <w:szCs w:val="20"/>
          <w:lang w:val="es-ES"/>
        </w:rPr>
        <w:t>agente</w:t>
      </w:r>
      <w:r w:rsidRPr="001571B9">
        <w:rPr>
          <w:rFonts w:asciiTheme="majorHAnsi" w:hAnsiTheme="majorHAnsi"/>
          <w:sz w:val="20"/>
          <w:szCs w:val="20"/>
          <w:lang w:val="es-ES"/>
        </w:rPr>
        <w:t xml:space="preserve"> que lo acompañaba, Gary Spell.</w:t>
      </w:r>
    </w:p>
    <w:p w14:paraId="085953F7" w14:textId="77777777" w:rsidR="00034456" w:rsidRPr="00E36893" w:rsidRDefault="00034456" w:rsidP="000344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65F6ED7E" w14:textId="77777777" w:rsidR="001571B9" w:rsidRPr="001571B9" w:rsidRDefault="001571B9" w:rsidP="007015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El Sr.</w:t>
      </w:r>
      <w:r w:rsidRPr="001571B9">
        <w:rPr>
          <w:rFonts w:asciiTheme="majorHAnsi" w:hAnsiTheme="majorHAnsi"/>
          <w:sz w:val="20"/>
          <w:szCs w:val="20"/>
          <w:lang w:val="es-ES"/>
        </w:rPr>
        <w:t xml:space="preserve"> Valle fue</w:t>
      </w:r>
      <w:r>
        <w:rPr>
          <w:rFonts w:asciiTheme="majorHAnsi" w:hAnsiTheme="majorHAnsi"/>
          <w:sz w:val="20"/>
          <w:szCs w:val="20"/>
          <w:lang w:val="es-ES"/>
        </w:rPr>
        <w:t xml:space="preserve"> luego</w:t>
      </w:r>
      <w:r w:rsidRPr="001571B9">
        <w:rPr>
          <w:rFonts w:asciiTheme="majorHAnsi" w:hAnsiTheme="majorHAnsi"/>
          <w:sz w:val="20"/>
          <w:szCs w:val="20"/>
          <w:lang w:val="es-ES"/>
        </w:rPr>
        <w:t xml:space="preserve"> acusado del </w:t>
      </w:r>
      <w:r>
        <w:rPr>
          <w:rFonts w:asciiTheme="majorHAnsi" w:hAnsiTheme="majorHAnsi"/>
          <w:sz w:val="20"/>
          <w:szCs w:val="20"/>
          <w:lang w:val="es-ES"/>
        </w:rPr>
        <w:t>homicidio</w:t>
      </w:r>
      <w:r w:rsidRPr="001571B9">
        <w:rPr>
          <w:rFonts w:asciiTheme="majorHAnsi" w:hAnsiTheme="majorHAnsi"/>
          <w:sz w:val="20"/>
          <w:szCs w:val="20"/>
          <w:lang w:val="es-ES"/>
        </w:rPr>
        <w:t xml:space="preserve"> en primer grado de un </w:t>
      </w:r>
      <w:r>
        <w:rPr>
          <w:rFonts w:asciiTheme="majorHAnsi" w:hAnsiTheme="majorHAnsi"/>
          <w:sz w:val="20"/>
          <w:szCs w:val="20"/>
          <w:lang w:val="es-ES"/>
        </w:rPr>
        <w:t>agente</w:t>
      </w:r>
      <w:r w:rsidRPr="001571B9">
        <w:rPr>
          <w:rFonts w:asciiTheme="majorHAnsi" w:hAnsiTheme="majorHAnsi"/>
          <w:sz w:val="20"/>
          <w:szCs w:val="20"/>
          <w:lang w:val="es-ES"/>
        </w:rPr>
        <w:t xml:space="preserve"> de policía, Louis Pena, y de</w:t>
      </w:r>
      <w:r>
        <w:rPr>
          <w:rFonts w:asciiTheme="majorHAnsi" w:hAnsiTheme="majorHAnsi"/>
          <w:sz w:val="20"/>
          <w:szCs w:val="20"/>
          <w:lang w:val="es-ES"/>
        </w:rPr>
        <w:t xml:space="preserve"> </w:t>
      </w:r>
      <w:r w:rsidRPr="001571B9">
        <w:rPr>
          <w:rFonts w:asciiTheme="majorHAnsi" w:hAnsiTheme="majorHAnsi"/>
          <w:sz w:val="20"/>
          <w:szCs w:val="20"/>
          <w:lang w:val="es-ES"/>
        </w:rPr>
        <w:t>l</w:t>
      </w:r>
      <w:r>
        <w:rPr>
          <w:rFonts w:asciiTheme="majorHAnsi" w:hAnsiTheme="majorHAnsi"/>
          <w:sz w:val="20"/>
          <w:szCs w:val="20"/>
          <w:lang w:val="es-ES"/>
        </w:rPr>
        <w:t>a</w:t>
      </w:r>
      <w:r w:rsidRPr="001571B9">
        <w:rPr>
          <w:rFonts w:asciiTheme="majorHAnsi" w:hAnsiTheme="majorHAnsi"/>
          <w:sz w:val="20"/>
          <w:szCs w:val="20"/>
          <w:lang w:val="es-ES"/>
        </w:rPr>
        <w:t xml:space="preserve"> </w:t>
      </w:r>
      <w:r>
        <w:rPr>
          <w:rFonts w:asciiTheme="majorHAnsi" w:hAnsiTheme="majorHAnsi"/>
          <w:sz w:val="20"/>
          <w:szCs w:val="20"/>
          <w:lang w:val="es-ES"/>
        </w:rPr>
        <w:t>tentativa de homicidio</w:t>
      </w:r>
      <w:r w:rsidRPr="001571B9">
        <w:rPr>
          <w:rFonts w:asciiTheme="majorHAnsi" w:hAnsiTheme="majorHAnsi"/>
          <w:sz w:val="20"/>
          <w:szCs w:val="20"/>
          <w:lang w:val="es-ES"/>
        </w:rPr>
        <w:t xml:space="preserve"> en primer grado de otro, Gary Spell. También fue acusado de posesión de un arma de fuego por un delincuente convicto.</w:t>
      </w:r>
    </w:p>
    <w:p w14:paraId="4D01DCEB" w14:textId="77777777" w:rsidR="004600B6" w:rsidRPr="00E36893" w:rsidRDefault="004600B6" w:rsidP="00902C3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5B851257" w14:textId="77777777" w:rsidR="00DC7C8C" w:rsidRPr="00B443C8" w:rsidRDefault="00B443C8" w:rsidP="00EC55EA">
      <w:pPr>
        <w:pStyle w:val="Heading2"/>
        <w:numPr>
          <w:ilvl w:val="0"/>
          <w:numId w:val="58"/>
        </w:numPr>
        <w:tabs>
          <w:tab w:val="left" w:pos="360"/>
        </w:tabs>
        <w:spacing w:before="0"/>
        <w:ind w:hanging="720"/>
        <w:rPr>
          <w:color w:val="auto"/>
          <w:sz w:val="20"/>
          <w:szCs w:val="20"/>
          <w:lang w:val="es-ES"/>
        </w:rPr>
      </w:pPr>
      <w:bookmarkStart w:id="12" w:name="_Toc90292575"/>
      <w:r w:rsidRPr="00B443C8">
        <w:rPr>
          <w:color w:val="auto"/>
          <w:sz w:val="20"/>
          <w:szCs w:val="20"/>
          <w:lang w:val="es-ES"/>
        </w:rPr>
        <w:t>Juicio y condena a muerte</w:t>
      </w:r>
      <w:bookmarkEnd w:id="12"/>
    </w:p>
    <w:p w14:paraId="1B1D6DD2" w14:textId="77777777" w:rsidR="00021557" w:rsidRPr="00B443C8" w:rsidRDefault="00021557" w:rsidP="00EC55EA">
      <w:pPr>
        <w:rPr>
          <w:lang w:val="es-ES"/>
        </w:rPr>
      </w:pPr>
    </w:p>
    <w:p w14:paraId="530ADF70" w14:textId="01A2A08A" w:rsidR="005A58AF" w:rsidRPr="005A58AF" w:rsidRDefault="005A58AF" w:rsidP="00976A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5A58AF">
        <w:rPr>
          <w:rFonts w:asciiTheme="majorHAnsi" w:hAnsiTheme="majorHAnsi"/>
          <w:sz w:val="20"/>
          <w:szCs w:val="20"/>
          <w:lang w:val="es-ES"/>
        </w:rPr>
        <w:t xml:space="preserve">El Sr. Valle fue declarado culpable de asesinato en primer grado y condenado a muerte por un jurado el 4 de mayo de 1978. Luego, el Sr. Valle presentó una apelación directa ante la </w:t>
      </w:r>
      <w:r>
        <w:rPr>
          <w:rFonts w:asciiTheme="majorHAnsi" w:hAnsiTheme="majorHAnsi"/>
          <w:sz w:val="20"/>
          <w:szCs w:val="20"/>
          <w:lang w:val="es-ES"/>
        </w:rPr>
        <w:t>CSF</w:t>
      </w:r>
      <w:r w:rsidRPr="005A58AF">
        <w:rPr>
          <w:rFonts w:asciiTheme="majorHAnsi" w:hAnsiTheme="majorHAnsi"/>
          <w:sz w:val="20"/>
          <w:szCs w:val="20"/>
          <w:lang w:val="es-ES"/>
        </w:rPr>
        <w:t xml:space="preserve"> el 7 de julio de 1978, </w:t>
      </w:r>
      <w:r>
        <w:rPr>
          <w:rFonts w:asciiTheme="majorHAnsi" w:hAnsiTheme="majorHAnsi"/>
          <w:sz w:val="20"/>
          <w:szCs w:val="20"/>
          <w:lang w:val="es-ES"/>
        </w:rPr>
        <w:t xml:space="preserve">fundada en el </w:t>
      </w:r>
      <w:r w:rsidRPr="005A58AF">
        <w:rPr>
          <w:rFonts w:asciiTheme="majorHAnsi" w:hAnsiTheme="majorHAnsi"/>
          <w:sz w:val="20"/>
          <w:szCs w:val="20"/>
          <w:lang w:val="es-ES"/>
        </w:rPr>
        <w:t xml:space="preserve">reclamo de que sus derechos </w:t>
      </w:r>
      <w:r>
        <w:rPr>
          <w:rFonts w:asciiTheme="majorHAnsi" w:hAnsiTheme="majorHAnsi"/>
          <w:sz w:val="20"/>
          <w:szCs w:val="20"/>
          <w:lang w:val="es-ES"/>
        </w:rPr>
        <w:t>consagrados por</w:t>
      </w:r>
      <w:r w:rsidRPr="005A58AF">
        <w:rPr>
          <w:rFonts w:asciiTheme="majorHAnsi" w:hAnsiTheme="majorHAnsi"/>
          <w:sz w:val="20"/>
          <w:szCs w:val="20"/>
          <w:lang w:val="es-ES"/>
        </w:rPr>
        <w:t xml:space="preserve"> la Sexta y la Decimocuarta Enmienda </w:t>
      </w:r>
      <w:r>
        <w:rPr>
          <w:rFonts w:asciiTheme="majorHAnsi" w:hAnsiTheme="majorHAnsi"/>
          <w:sz w:val="20"/>
          <w:szCs w:val="20"/>
          <w:lang w:val="es-ES"/>
        </w:rPr>
        <w:t>había sido</w:t>
      </w:r>
      <w:r w:rsidRPr="005A58AF">
        <w:rPr>
          <w:rFonts w:asciiTheme="majorHAnsi" w:hAnsiTheme="majorHAnsi"/>
          <w:sz w:val="20"/>
          <w:szCs w:val="20"/>
          <w:lang w:val="es-ES"/>
        </w:rPr>
        <w:t xml:space="preserve"> violado</w:t>
      </w:r>
      <w:r>
        <w:rPr>
          <w:rFonts w:asciiTheme="majorHAnsi" w:hAnsiTheme="majorHAnsi"/>
          <w:sz w:val="20"/>
          <w:szCs w:val="20"/>
          <w:lang w:val="es-ES"/>
        </w:rPr>
        <w:t>s</w:t>
      </w:r>
      <w:r w:rsidRPr="005A58AF">
        <w:rPr>
          <w:rFonts w:asciiTheme="majorHAnsi" w:hAnsiTheme="majorHAnsi"/>
          <w:sz w:val="20"/>
          <w:szCs w:val="20"/>
          <w:lang w:val="es-ES"/>
        </w:rPr>
        <w:t xml:space="preserve"> por el carácter acelerado de su juicio. Específicamente, </w:t>
      </w:r>
      <w:r>
        <w:rPr>
          <w:rFonts w:asciiTheme="majorHAnsi" w:hAnsiTheme="majorHAnsi"/>
          <w:sz w:val="20"/>
          <w:szCs w:val="20"/>
          <w:lang w:val="es-ES"/>
        </w:rPr>
        <w:t xml:space="preserve">alegaba que </w:t>
      </w:r>
      <w:r w:rsidRPr="005A58AF">
        <w:rPr>
          <w:rFonts w:asciiTheme="majorHAnsi" w:hAnsiTheme="majorHAnsi"/>
          <w:sz w:val="20"/>
          <w:szCs w:val="20"/>
          <w:lang w:val="es-ES"/>
        </w:rPr>
        <w:t xml:space="preserve">se violaron sus derechos a un tiempo de </w:t>
      </w:r>
      <w:r w:rsidRPr="005A58AF">
        <w:rPr>
          <w:rFonts w:asciiTheme="majorHAnsi" w:hAnsiTheme="majorHAnsi"/>
          <w:sz w:val="20"/>
          <w:szCs w:val="20"/>
          <w:lang w:val="es-ES"/>
        </w:rPr>
        <w:lastRenderedPageBreak/>
        <w:t xml:space="preserve">preparación adecuado y a la asistencia efectiva de un abogado cuando su caso fue </w:t>
      </w:r>
      <w:r>
        <w:rPr>
          <w:rFonts w:asciiTheme="majorHAnsi" w:hAnsiTheme="majorHAnsi"/>
          <w:sz w:val="20"/>
          <w:szCs w:val="20"/>
          <w:lang w:val="es-ES"/>
        </w:rPr>
        <w:t xml:space="preserve">llevado </w:t>
      </w:r>
      <w:r w:rsidRPr="005A58AF">
        <w:rPr>
          <w:rFonts w:asciiTheme="majorHAnsi" w:hAnsiTheme="majorHAnsi"/>
          <w:sz w:val="20"/>
          <w:szCs w:val="20"/>
          <w:lang w:val="es-ES"/>
        </w:rPr>
        <w:t xml:space="preserve">a juicio dentro de los 24 días posteriores a la lectura de cargos. La </w:t>
      </w:r>
      <w:r>
        <w:rPr>
          <w:rFonts w:asciiTheme="majorHAnsi" w:hAnsiTheme="majorHAnsi"/>
          <w:sz w:val="20"/>
          <w:szCs w:val="20"/>
          <w:lang w:val="es-ES"/>
        </w:rPr>
        <w:t>CSF</w:t>
      </w:r>
      <w:r w:rsidRPr="005A58AF">
        <w:rPr>
          <w:rFonts w:asciiTheme="majorHAnsi" w:hAnsiTheme="majorHAnsi"/>
          <w:sz w:val="20"/>
          <w:szCs w:val="20"/>
          <w:lang w:val="es-ES"/>
        </w:rPr>
        <w:t xml:space="preserve"> estuvo de acuerdo, y además</w:t>
      </w:r>
      <w:r w:rsidR="002F3E55">
        <w:rPr>
          <w:rFonts w:asciiTheme="majorHAnsi" w:hAnsiTheme="majorHAnsi"/>
          <w:sz w:val="20"/>
          <w:szCs w:val="20"/>
          <w:lang w:val="es-ES"/>
        </w:rPr>
        <w:t>,</w:t>
      </w:r>
      <w:r w:rsidRPr="005A58AF">
        <w:rPr>
          <w:rFonts w:asciiTheme="majorHAnsi" w:hAnsiTheme="majorHAnsi"/>
          <w:sz w:val="20"/>
          <w:szCs w:val="20"/>
          <w:lang w:val="es-ES"/>
        </w:rPr>
        <w:t xml:space="preserve"> </w:t>
      </w:r>
      <w:r>
        <w:rPr>
          <w:rFonts w:asciiTheme="majorHAnsi" w:hAnsiTheme="majorHAnsi"/>
          <w:sz w:val="20"/>
          <w:szCs w:val="20"/>
          <w:lang w:val="es-ES"/>
        </w:rPr>
        <w:t>halló</w:t>
      </w:r>
      <w:r w:rsidRPr="005A58AF">
        <w:rPr>
          <w:rFonts w:asciiTheme="majorHAnsi" w:hAnsiTheme="majorHAnsi"/>
          <w:sz w:val="20"/>
          <w:szCs w:val="20"/>
          <w:lang w:val="es-ES"/>
        </w:rPr>
        <w:t xml:space="preserve"> que la decisión del tribunal de </w:t>
      </w:r>
      <w:r>
        <w:rPr>
          <w:rFonts w:asciiTheme="majorHAnsi" w:hAnsiTheme="majorHAnsi"/>
          <w:sz w:val="20"/>
          <w:szCs w:val="20"/>
          <w:lang w:val="es-ES"/>
        </w:rPr>
        <w:t>juicio</w:t>
      </w:r>
      <w:r w:rsidRPr="005A58AF">
        <w:rPr>
          <w:rFonts w:asciiTheme="majorHAnsi" w:hAnsiTheme="majorHAnsi"/>
          <w:sz w:val="20"/>
          <w:szCs w:val="20"/>
          <w:lang w:val="es-ES"/>
        </w:rPr>
        <w:t xml:space="preserve"> de que el caso procediera dentro de</w:t>
      </w:r>
      <w:r>
        <w:rPr>
          <w:rFonts w:asciiTheme="majorHAnsi" w:hAnsiTheme="majorHAnsi"/>
          <w:sz w:val="20"/>
          <w:szCs w:val="20"/>
          <w:lang w:val="es-ES"/>
        </w:rPr>
        <w:t xml:space="preserve"> ese</w:t>
      </w:r>
      <w:r w:rsidRPr="005A58AF">
        <w:rPr>
          <w:rFonts w:asciiTheme="majorHAnsi" w:hAnsiTheme="majorHAnsi"/>
          <w:sz w:val="20"/>
          <w:szCs w:val="20"/>
          <w:lang w:val="es-ES"/>
        </w:rPr>
        <w:t xml:space="preserve"> plazo fue un abuso de discreción.</w:t>
      </w:r>
    </w:p>
    <w:p w14:paraId="632AB6D5" w14:textId="77777777" w:rsidR="00167E2C" w:rsidRPr="00E36893" w:rsidRDefault="00167E2C" w:rsidP="00167E2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78B4FFD6" w14:textId="77777777" w:rsidR="005A58AF" w:rsidRPr="005A58AF" w:rsidRDefault="005A58AF" w:rsidP="00976A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5A58AF">
        <w:rPr>
          <w:rFonts w:asciiTheme="majorHAnsi" w:hAnsiTheme="majorHAnsi"/>
          <w:sz w:val="20"/>
          <w:szCs w:val="20"/>
          <w:lang w:val="es-ES"/>
        </w:rPr>
        <w:t xml:space="preserve">El señor Valle fue nuevamente declarado culpable y </w:t>
      </w:r>
      <w:r>
        <w:rPr>
          <w:rFonts w:asciiTheme="majorHAnsi" w:hAnsiTheme="majorHAnsi"/>
          <w:sz w:val="20"/>
          <w:szCs w:val="20"/>
          <w:lang w:val="es-ES"/>
        </w:rPr>
        <w:t>condenad</w:t>
      </w:r>
      <w:r w:rsidRPr="005A58AF">
        <w:rPr>
          <w:rFonts w:asciiTheme="majorHAnsi" w:hAnsiTheme="majorHAnsi"/>
          <w:sz w:val="20"/>
          <w:szCs w:val="20"/>
          <w:lang w:val="es-ES"/>
        </w:rPr>
        <w:t xml:space="preserve">o a muerte el 8 de abril de 1981 e interpuso un recurso directo ante la FSC por varios motivos entre los que se encontraba que su confesión debió haber sido suprimida por violar sus derechos Miranda, </w:t>
      </w:r>
      <w:r>
        <w:rPr>
          <w:rFonts w:asciiTheme="majorHAnsi" w:hAnsiTheme="majorHAnsi"/>
          <w:sz w:val="20"/>
          <w:szCs w:val="20"/>
          <w:lang w:val="es-ES"/>
        </w:rPr>
        <w:t xml:space="preserve">que </w:t>
      </w:r>
      <w:r w:rsidRPr="005A58AF">
        <w:rPr>
          <w:rFonts w:asciiTheme="majorHAnsi" w:hAnsiTheme="majorHAnsi"/>
          <w:sz w:val="20"/>
          <w:szCs w:val="20"/>
          <w:lang w:val="es-ES"/>
        </w:rPr>
        <w:t xml:space="preserve">el tribunal incurrió en error al permitir minorías subrepresentadas dentro de la selección del jurado y al omitir pruebas atenuantes de que el Sr. Valle sería un preso modelo si no se le aplicara la pena de muerte. La condena y la sentencia fueron confirmadas por la </w:t>
      </w:r>
      <w:r>
        <w:rPr>
          <w:rFonts w:asciiTheme="majorHAnsi" w:hAnsiTheme="majorHAnsi"/>
          <w:sz w:val="20"/>
          <w:szCs w:val="20"/>
          <w:lang w:val="es-ES"/>
        </w:rPr>
        <w:t>CSF</w:t>
      </w:r>
      <w:r w:rsidRPr="005A58AF">
        <w:rPr>
          <w:rFonts w:asciiTheme="majorHAnsi" w:hAnsiTheme="majorHAnsi"/>
          <w:sz w:val="20"/>
          <w:szCs w:val="20"/>
          <w:lang w:val="es-ES"/>
        </w:rPr>
        <w:t xml:space="preserve"> el 7 de noviembre de 1985 y la Corte Suprema de los Estados Unidos concedió </w:t>
      </w:r>
      <w:r w:rsidR="00B07607">
        <w:rPr>
          <w:rFonts w:asciiTheme="majorHAnsi" w:hAnsiTheme="majorHAnsi"/>
          <w:sz w:val="20"/>
          <w:szCs w:val="20"/>
          <w:lang w:val="es-ES"/>
        </w:rPr>
        <w:t>el recurso</w:t>
      </w:r>
      <w:r w:rsidRPr="005A58AF">
        <w:rPr>
          <w:rFonts w:asciiTheme="majorHAnsi" w:hAnsiTheme="majorHAnsi"/>
          <w:sz w:val="20"/>
          <w:szCs w:val="20"/>
          <w:lang w:val="es-ES"/>
        </w:rPr>
        <w:t xml:space="preserve"> de certiorari del señor Valle el 5 de mayo de 1986.</w:t>
      </w:r>
    </w:p>
    <w:p w14:paraId="52C7BB9D" w14:textId="77777777" w:rsidR="00167E2C" w:rsidRPr="00B07607" w:rsidRDefault="00167E2C" w:rsidP="00167E2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53754E13" w14:textId="77777777" w:rsidR="005A58AF" w:rsidRPr="005A58AF" w:rsidRDefault="005A58AF" w:rsidP="00976A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5A58AF">
        <w:rPr>
          <w:rFonts w:asciiTheme="majorHAnsi" w:hAnsiTheme="majorHAnsi"/>
          <w:sz w:val="20"/>
          <w:szCs w:val="20"/>
          <w:lang w:val="es-ES"/>
        </w:rPr>
        <w:t xml:space="preserve">La Corte Suprema anuló la sentencia de muerte y remitió el asunto a la </w:t>
      </w:r>
      <w:r>
        <w:rPr>
          <w:rFonts w:asciiTheme="majorHAnsi" w:hAnsiTheme="majorHAnsi"/>
          <w:sz w:val="20"/>
          <w:szCs w:val="20"/>
          <w:lang w:val="es-ES"/>
        </w:rPr>
        <w:t>CSF</w:t>
      </w:r>
      <w:r w:rsidRPr="005A58AF">
        <w:rPr>
          <w:rFonts w:asciiTheme="majorHAnsi" w:hAnsiTheme="majorHAnsi"/>
          <w:sz w:val="20"/>
          <w:szCs w:val="20"/>
          <w:lang w:val="es-ES"/>
        </w:rPr>
        <w:t xml:space="preserve"> para que lo reconsiderara. La </w:t>
      </w:r>
      <w:r>
        <w:rPr>
          <w:rFonts w:asciiTheme="majorHAnsi" w:hAnsiTheme="majorHAnsi"/>
          <w:sz w:val="20"/>
          <w:szCs w:val="20"/>
          <w:lang w:val="es-ES"/>
        </w:rPr>
        <w:t>CSF</w:t>
      </w:r>
      <w:r w:rsidRPr="005A58AF">
        <w:rPr>
          <w:rFonts w:asciiTheme="majorHAnsi" w:hAnsiTheme="majorHAnsi"/>
          <w:sz w:val="20"/>
          <w:szCs w:val="20"/>
          <w:lang w:val="es-ES"/>
        </w:rPr>
        <w:t xml:space="preserve"> determinó que el jurado debería haber considerado el testimonio sobre el posible comportamiento futuro del Sr. Valle como un prisionero modelo durante la fase de </w:t>
      </w:r>
      <w:r>
        <w:rPr>
          <w:rFonts w:asciiTheme="majorHAnsi" w:hAnsiTheme="majorHAnsi"/>
          <w:sz w:val="20"/>
          <w:szCs w:val="20"/>
          <w:lang w:val="es-ES"/>
        </w:rPr>
        <w:t>determinación de la pena</w:t>
      </w:r>
      <w:r w:rsidRPr="005A58AF">
        <w:rPr>
          <w:rFonts w:asciiTheme="majorHAnsi" w:hAnsiTheme="majorHAnsi"/>
          <w:sz w:val="20"/>
          <w:szCs w:val="20"/>
          <w:lang w:val="es-ES"/>
        </w:rPr>
        <w:t xml:space="preserve"> y, por lo tanto, la </w:t>
      </w:r>
      <w:r>
        <w:rPr>
          <w:rFonts w:asciiTheme="majorHAnsi" w:hAnsiTheme="majorHAnsi"/>
          <w:sz w:val="20"/>
          <w:szCs w:val="20"/>
          <w:lang w:val="es-ES"/>
        </w:rPr>
        <w:t>CSF</w:t>
      </w:r>
      <w:r w:rsidRPr="005A58AF">
        <w:rPr>
          <w:rFonts w:asciiTheme="majorHAnsi" w:hAnsiTheme="majorHAnsi"/>
          <w:sz w:val="20"/>
          <w:szCs w:val="20"/>
          <w:lang w:val="es-ES"/>
        </w:rPr>
        <w:t xml:space="preserve"> remitió el </w:t>
      </w:r>
      <w:r>
        <w:rPr>
          <w:rFonts w:asciiTheme="majorHAnsi" w:hAnsiTheme="majorHAnsi"/>
          <w:sz w:val="20"/>
          <w:szCs w:val="20"/>
          <w:lang w:val="es-ES"/>
        </w:rPr>
        <w:t>caso</w:t>
      </w:r>
      <w:r w:rsidRPr="005A58AF">
        <w:rPr>
          <w:rFonts w:asciiTheme="majorHAnsi" w:hAnsiTheme="majorHAnsi"/>
          <w:sz w:val="20"/>
          <w:szCs w:val="20"/>
          <w:lang w:val="es-ES"/>
        </w:rPr>
        <w:t xml:space="preserve"> al tribunal de </w:t>
      </w:r>
      <w:r>
        <w:rPr>
          <w:rFonts w:asciiTheme="majorHAnsi" w:hAnsiTheme="majorHAnsi"/>
          <w:sz w:val="20"/>
          <w:szCs w:val="20"/>
          <w:lang w:val="es-ES"/>
        </w:rPr>
        <w:t>juicio p</w:t>
      </w:r>
      <w:r w:rsidRPr="005A58AF">
        <w:rPr>
          <w:rFonts w:asciiTheme="majorHAnsi" w:hAnsiTheme="majorHAnsi"/>
          <w:sz w:val="20"/>
          <w:szCs w:val="20"/>
          <w:lang w:val="es-ES"/>
        </w:rPr>
        <w:t>ara que se volviera a juzgar ante un nuevo jurado el 1 de mayo</w:t>
      </w:r>
      <w:r>
        <w:rPr>
          <w:rFonts w:asciiTheme="majorHAnsi" w:hAnsiTheme="majorHAnsi"/>
          <w:sz w:val="20"/>
          <w:szCs w:val="20"/>
          <w:lang w:val="es-ES"/>
        </w:rPr>
        <w:t xml:space="preserve"> de </w:t>
      </w:r>
      <w:r w:rsidRPr="005A58AF">
        <w:rPr>
          <w:rFonts w:asciiTheme="majorHAnsi" w:hAnsiTheme="majorHAnsi"/>
          <w:sz w:val="20"/>
          <w:szCs w:val="20"/>
          <w:lang w:val="es-ES"/>
        </w:rPr>
        <w:t xml:space="preserve">1987. El señor Valle fue </w:t>
      </w:r>
      <w:r>
        <w:rPr>
          <w:rFonts w:asciiTheme="majorHAnsi" w:hAnsiTheme="majorHAnsi"/>
          <w:sz w:val="20"/>
          <w:szCs w:val="20"/>
          <w:lang w:val="es-ES"/>
        </w:rPr>
        <w:t>condenado</w:t>
      </w:r>
      <w:r w:rsidRPr="005A58AF">
        <w:rPr>
          <w:rFonts w:asciiTheme="majorHAnsi" w:hAnsiTheme="majorHAnsi"/>
          <w:sz w:val="20"/>
          <w:szCs w:val="20"/>
          <w:lang w:val="es-ES"/>
        </w:rPr>
        <w:t xml:space="preserve"> a muerte</w:t>
      </w:r>
      <w:r>
        <w:rPr>
          <w:rFonts w:asciiTheme="majorHAnsi" w:hAnsiTheme="majorHAnsi"/>
          <w:sz w:val="20"/>
          <w:szCs w:val="20"/>
          <w:lang w:val="es-ES"/>
        </w:rPr>
        <w:t xml:space="preserve"> nuevamente</w:t>
      </w:r>
      <w:r w:rsidRPr="005A58AF">
        <w:rPr>
          <w:rFonts w:asciiTheme="majorHAnsi" w:hAnsiTheme="majorHAnsi"/>
          <w:sz w:val="20"/>
          <w:szCs w:val="20"/>
          <w:lang w:val="es-ES"/>
        </w:rPr>
        <w:t xml:space="preserve"> el 16 de marzo de 1988. Se interpuso un recurso de apelación directo ante la </w:t>
      </w:r>
      <w:r>
        <w:rPr>
          <w:rFonts w:asciiTheme="majorHAnsi" w:hAnsiTheme="majorHAnsi"/>
          <w:sz w:val="20"/>
          <w:szCs w:val="20"/>
          <w:lang w:val="es-ES"/>
        </w:rPr>
        <w:t>CSF</w:t>
      </w:r>
      <w:r w:rsidRPr="005A58AF">
        <w:rPr>
          <w:rFonts w:asciiTheme="majorHAnsi" w:hAnsiTheme="majorHAnsi"/>
          <w:sz w:val="20"/>
          <w:szCs w:val="20"/>
          <w:lang w:val="es-ES"/>
        </w:rPr>
        <w:t xml:space="preserve">, alegando contrainterrogatorio indebido, aplicación indebida de agravantes y evidencia </w:t>
      </w:r>
      <w:r>
        <w:rPr>
          <w:rFonts w:asciiTheme="majorHAnsi" w:hAnsiTheme="majorHAnsi"/>
          <w:sz w:val="20"/>
          <w:szCs w:val="20"/>
          <w:lang w:val="es-ES"/>
        </w:rPr>
        <w:t xml:space="preserve">indebida </w:t>
      </w:r>
      <w:r w:rsidRPr="005A58AF">
        <w:rPr>
          <w:rFonts w:asciiTheme="majorHAnsi" w:hAnsiTheme="majorHAnsi"/>
          <w:sz w:val="20"/>
          <w:szCs w:val="20"/>
          <w:lang w:val="es-ES"/>
        </w:rPr>
        <w:t xml:space="preserve">de </w:t>
      </w:r>
      <w:r>
        <w:rPr>
          <w:rFonts w:asciiTheme="majorHAnsi" w:hAnsiTheme="majorHAnsi"/>
          <w:sz w:val="20"/>
          <w:szCs w:val="20"/>
          <w:lang w:val="es-ES"/>
        </w:rPr>
        <w:t>impacto en la víctima</w:t>
      </w:r>
      <w:r w:rsidRPr="005A58AF">
        <w:rPr>
          <w:rFonts w:asciiTheme="majorHAnsi" w:hAnsiTheme="majorHAnsi"/>
          <w:sz w:val="20"/>
          <w:szCs w:val="20"/>
          <w:lang w:val="es-ES"/>
        </w:rPr>
        <w:t xml:space="preserve">. La </w:t>
      </w:r>
      <w:r>
        <w:rPr>
          <w:rFonts w:asciiTheme="majorHAnsi" w:hAnsiTheme="majorHAnsi"/>
          <w:sz w:val="20"/>
          <w:szCs w:val="20"/>
          <w:lang w:val="es-ES"/>
        </w:rPr>
        <w:t>CSF</w:t>
      </w:r>
      <w:r w:rsidRPr="005A58AF">
        <w:rPr>
          <w:rFonts w:asciiTheme="majorHAnsi" w:hAnsiTheme="majorHAnsi"/>
          <w:sz w:val="20"/>
          <w:szCs w:val="20"/>
          <w:lang w:val="es-ES"/>
        </w:rPr>
        <w:t xml:space="preserve"> </w:t>
      </w:r>
      <w:r>
        <w:rPr>
          <w:rFonts w:asciiTheme="majorHAnsi" w:hAnsiTheme="majorHAnsi"/>
          <w:sz w:val="20"/>
          <w:szCs w:val="20"/>
          <w:lang w:val="es-ES"/>
        </w:rPr>
        <w:t>confirmó</w:t>
      </w:r>
      <w:r w:rsidRPr="005A58AF">
        <w:rPr>
          <w:rFonts w:asciiTheme="majorHAnsi" w:hAnsiTheme="majorHAnsi"/>
          <w:sz w:val="20"/>
          <w:szCs w:val="20"/>
          <w:lang w:val="es-ES"/>
        </w:rPr>
        <w:t xml:space="preserve"> la sentencia el 2 de mayo de 1991.</w:t>
      </w:r>
    </w:p>
    <w:p w14:paraId="56411926" w14:textId="77777777" w:rsidR="00D876B2" w:rsidRPr="00EC55EA" w:rsidRDefault="00D876B2"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rPr>
      </w:pPr>
    </w:p>
    <w:p w14:paraId="1A6EB660" w14:textId="77777777" w:rsidR="000A2229" w:rsidRPr="00B443C8" w:rsidRDefault="00B443C8" w:rsidP="00EC55EA">
      <w:pPr>
        <w:pStyle w:val="Heading2"/>
        <w:numPr>
          <w:ilvl w:val="0"/>
          <w:numId w:val="58"/>
        </w:numPr>
        <w:tabs>
          <w:tab w:val="left" w:pos="360"/>
        </w:tabs>
        <w:spacing w:before="0"/>
        <w:ind w:hanging="720"/>
        <w:rPr>
          <w:color w:val="auto"/>
          <w:sz w:val="20"/>
          <w:szCs w:val="20"/>
          <w:lang w:val="es-ES"/>
        </w:rPr>
      </w:pPr>
      <w:bookmarkStart w:id="13" w:name="_Toc90292576"/>
      <w:r w:rsidRPr="00B443C8">
        <w:rPr>
          <w:color w:val="auto"/>
          <w:sz w:val="20"/>
          <w:szCs w:val="20"/>
          <w:lang w:val="es-ES"/>
        </w:rPr>
        <w:t>Procedimientos posterior</w:t>
      </w:r>
      <w:r w:rsidR="005A58AF">
        <w:rPr>
          <w:color w:val="auto"/>
          <w:sz w:val="20"/>
          <w:szCs w:val="20"/>
          <w:lang w:val="es-ES"/>
        </w:rPr>
        <w:t>e</w:t>
      </w:r>
      <w:r w:rsidRPr="00B443C8">
        <w:rPr>
          <w:color w:val="auto"/>
          <w:sz w:val="20"/>
          <w:szCs w:val="20"/>
          <w:lang w:val="es-ES"/>
        </w:rPr>
        <w:t xml:space="preserve">s a la </w:t>
      </w:r>
      <w:r w:rsidR="005A58AF">
        <w:rPr>
          <w:color w:val="auto"/>
          <w:sz w:val="20"/>
          <w:szCs w:val="20"/>
          <w:lang w:val="es-ES"/>
        </w:rPr>
        <w:t>condena</w:t>
      </w:r>
      <w:r w:rsidRPr="00B443C8">
        <w:rPr>
          <w:color w:val="auto"/>
          <w:sz w:val="20"/>
          <w:szCs w:val="20"/>
          <w:lang w:val="es-ES"/>
        </w:rPr>
        <w:t xml:space="preserve"> y otros recursos</w:t>
      </w:r>
      <w:bookmarkEnd w:id="13"/>
    </w:p>
    <w:p w14:paraId="2457461C" w14:textId="77777777" w:rsidR="00C14F39" w:rsidRPr="00B443C8" w:rsidRDefault="00C14F39"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Arial" w:eastAsiaTheme="minorHAnsi" w:hAnsi="Arial"/>
          <w:bdr w:val="none" w:sz="0" w:space="0" w:color="auto"/>
          <w:lang w:val="es-ES"/>
        </w:rPr>
      </w:pPr>
    </w:p>
    <w:p w14:paraId="432973B8" w14:textId="77777777" w:rsidR="005A58AF" w:rsidRPr="005A58AF" w:rsidRDefault="005A58AF" w:rsidP="00D12B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5A58AF">
        <w:rPr>
          <w:rFonts w:asciiTheme="majorHAnsi" w:hAnsiTheme="majorHAnsi"/>
          <w:sz w:val="20"/>
          <w:szCs w:val="20"/>
          <w:lang w:val="es-ES"/>
        </w:rPr>
        <w:t>Según los antecedentes procesales registrados por la Corte Suprema de Florida (</w:t>
      </w:r>
      <w:r>
        <w:rPr>
          <w:rFonts w:asciiTheme="majorHAnsi" w:hAnsiTheme="majorHAnsi"/>
          <w:sz w:val="20"/>
          <w:szCs w:val="20"/>
          <w:lang w:val="es-ES"/>
        </w:rPr>
        <w:t>CSF</w:t>
      </w:r>
      <w:r w:rsidRPr="005A58AF">
        <w:rPr>
          <w:rFonts w:asciiTheme="majorHAnsi" w:hAnsiTheme="majorHAnsi"/>
          <w:sz w:val="20"/>
          <w:szCs w:val="20"/>
          <w:lang w:val="es-ES"/>
        </w:rPr>
        <w:t>),</w:t>
      </w:r>
      <w:r w:rsidRPr="005A58AF">
        <w:rPr>
          <w:rStyle w:val="FootnoteReference"/>
          <w:rFonts w:asciiTheme="majorHAnsi" w:hAnsiTheme="majorHAnsi"/>
          <w:sz w:val="20"/>
          <w:szCs w:val="20"/>
          <w:lang w:val="es-ES"/>
        </w:rPr>
        <w:t xml:space="preserve"> </w:t>
      </w:r>
      <w:r w:rsidRPr="00927B93">
        <w:rPr>
          <w:rStyle w:val="FootnoteReference"/>
          <w:rFonts w:asciiTheme="majorHAnsi" w:hAnsiTheme="majorHAnsi"/>
          <w:sz w:val="20"/>
          <w:szCs w:val="20"/>
        </w:rPr>
        <w:footnoteReference w:id="20"/>
      </w:r>
      <w:r w:rsidRPr="005A58AF">
        <w:rPr>
          <w:rFonts w:asciiTheme="majorHAnsi" w:hAnsiTheme="majorHAnsi"/>
          <w:sz w:val="20"/>
          <w:szCs w:val="20"/>
          <w:lang w:val="es-ES"/>
        </w:rPr>
        <w:t xml:space="preserve"> en diciembre de 1993, el Sr. Valle presentó un</w:t>
      </w:r>
      <w:r>
        <w:rPr>
          <w:rFonts w:asciiTheme="majorHAnsi" w:hAnsiTheme="majorHAnsi"/>
          <w:sz w:val="20"/>
          <w:szCs w:val="20"/>
          <w:lang w:val="es-ES"/>
        </w:rPr>
        <w:t xml:space="preserve"> recurso</w:t>
      </w:r>
      <w:r w:rsidRPr="005A58AF">
        <w:rPr>
          <w:rFonts w:asciiTheme="majorHAnsi" w:hAnsiTheme="majorHAnsi"/>
          <w:sz w:val="20"/>
          <w:szCs w:val="20"/>
          <w:lang w:val="es-ES"/>
        </w:rPr>
        <w:t xml:space="preserve"> de reparación posterior a la condena y el Tribunal de Circuito denegó sumariamente la moción sin celebrar una audiencia probatoria. Esta </w:t>
      </w:r>
      <w:r>
        <w:rPr>
          <w:rFonts w:asciiTheme="majorHAnsi" w:hAnsiTheme="majorHAnsi"/>
          <w:sz w:val="20"/>
          <w:szCs w:val="20"/>
          <w:lang w:val="es-ES"/>
        </w:rPr>
        <w:t>de</w:t>
      </w:r>
      <w:r w:rsidRPr="005A58AF">
        <w:rPr>
          <w:rFonts w:asciiTheme="majorHAnsi" w:hAnsiTheme="majorHAnsi"/>
          <w:sz w:val="20"/>
          <w:szCs w:val="20"/>
          <w:lang w:val="es-ES"/>
        </w:rPr>
        <w:t xml:space="preserve">negación fue apelada y la </w:t>
      </w:r>
      <w:r>
        <w:rPr>
          <w:rFonts w:asciiTheme="majorHAnsi" w:hAnsiTheme="majorHAnsi"/>
          <w:sz w:val="20"/>
          <w:szCs w:val="20"/>
          <w:lang w:val="es-ES"/>
        </w:rPr>
        <w:t>CSF</w:t>
      </w:r>
      <w:r w:rsidRPr="005A58AF">
        <w:rPr>
          <w:rFonts w:asciiTheme="majorHAnsi" w:hAnsiTheme="majorHAnsi"/>
          <w:sz w:val="20"/>
          <w:szCs w:val="20"/>
          <w:lang w:val="es-ES"/>
        </w:rPr>
        <w:t xml:space="preserve"> afirmó en parte, pero revocó la decisión y remitió el asunto al Tribunal de Circuito para una audiencia probatoria con respecto a los reclamos de asistencia ineficaz de un abogado. Sin embargo, después de la audiencia, el Tribunal de Circuito </w:t>
      </w:r>
      <w:r>
        <w:rPr>
          <w:rFonts w:asciiTheme="majorHAnsi" w:hAnsiTheme="majorHAnsi"/>
          <w:sz w:val="20"/>
          <w:szCs w:val="20"/>
          <w:lang w:val="es-ES"/>
        </w:rPr>
        <w:t>de</w:t>
      </w:r>
      <w:r w:rsidRPr="005A58AF">
        <w:rPr>
          <w:rFonts w:asciiTheme="majorHAnsi" w:hAnsiTheme="majorHAnsi"/>
          <w:sz w:val="20"/>
          <w:szCs w:val="20"/>
          <w:lang w:val="es-ES"/>
        </w:rPr>
        <w:t xml:space="preserve">negó los reclamos y la </w:t>
      </w:r>
      <w:r>
        <w:rPr>
          <w:rFonts w:asciiTheme="majorHAnsi" w:hAnsiTheme="majorHAnsi"/>
          <w:sz w:val="20"/>
          <w:szCs w:val="20"/>
          <w:lang w:val="es-ES"/>
        </w:rPr>
        <w:t>CSF</w:t>
      </w:r>
      <w:r w:rsidRPr="005A58AF">
        <w:rPr>
          <w:rFonts w:asciiTheme="majorHAnsi" w:hAnsiTheme="majorHAnsi"/>
          <w:sz w:val="20"/>
          <w:szCs w:val="20"/>
          <w:lang w:val="es-ES"/>
        </w:rPr>
        <w:t xml:space="preserve"> confirmó la decisión.</w:t>
      </w:r>
    </w:p>
    <w:p w14:paraId="284921A0" w14:textId="77777777" w:rsidR="00D12B8D" w:rsidRPr="00E36893" w:rsidRDefault="00D12B8D" w:rsidP="00D12B8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189BD16B" w14:textId="77777777" w:rsidR="005A58AF" w:rsidRPr="005A58AF" w:rsidRDefault="005A58AF" w:rsidP="00104C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5A58AF">
        <w:rPr>
          <w:rFonts w:asciiTheme="majorHAnsi" w:hAnsiTheme="majorHAnsi"/>
          <w:sz w:val="20"/>
          <w:szCs w:val="20"/>
          <w:lang w:val="es-ES"/>
        </w:rPr>
        <w:t xml:space="preserve">En diciembre de 2001, el Sr. Valle </w:t>
      </w:r>
      <w:r>
        <w:rPr>
          <w:rFonts w:asciiTheme="majorHAnsi" w:hAnsiTheme="majorHAnsi"/>
          <w:sz w:val="20"/>
          <w:szCs w:val="20"/>
          <w:lang w:val="es-ES"/>
        </w:rPr>
        <w:t xml:space="preserve">presentó ante </w:t>
      </w:r>
      <w:r w:rsidRPr="005A58AF">
        <w:rPr>
          <w:rFonts w:asciiTheme="majorHAnsi" w:hAnsiTheme="majorHAnsi"/>
          <w:sz w:val="20"/>
          <w:szCs w:val="20"/>
          <w:lang w:val="es-ES"/>
        </w:rPr>
        <w:t xml:space="preserve">la CSF un recurso de hábeas corpus basado en la presunta asistencia ineficaz de un abogado, y la </w:t>
      </w:r>
      <w:r>
        <w:rPr>
          <w:rFonts w:asciiTheme="majorHAnsi" w:hAnsiTheme="majorHAnsi"/>
          <w:sz w:val="20"/>
          <w:szCs w:val="20"/>
          <w:lang w:val="es-ES"/>
        </w:rPr>
        <w:t>CSF</w:t>
      </w:r>
      <w:r w:rsidRPr="005A58AF">
        <w:rPr>
          <w:rFonts w:asciiTheme="majorHAnsi" w:hAnsiTheme="majorHAnsi"/>
          <w:sz w:val="20"/>
          <w:szCs w:val="20"/>
          <w:lang w:val="es-ES"/>
        </w:rPr>
        <w:t xml:space="preserve"> denegó la petición. En febrero de 2003, el Sr. Valle volvió a presentar una petición de hábeas corpus ante la CSF, pero esta fue denegada sumariamente. </w:t>
      </w:r>
      <w:r w:rsidRPr="00B07607">
        <w:rPr>
          <w:rFonts w:asciiTheme="majorHAnsi" w:hAnsiTheme="majorHAnsi"/>
          <w:sz w:val="20"/>
          <w:szCs w:val="20"/>
          <w:lang w:val="es-ES"/>
        </w:rPr>
        <w:t xml:space="preserve">En 2004 también se denegó un recurso de certiorari ante la Corte Suprema de los Estados Unidos. </w:t>
      </w:r>
      <w:r w:rsidRPr="005A58AF">
        <w:rPr>
          <w:rFonts w:asciiTheme="majorHAnsi" w:hAnsiTheme="majorHAnsi"/>
          <w:sz w:val="20"/>
          <w:szCs w:val="20"/>
          <w:lang w:val="es-ES"/>
        </w:rPr>
        <w:t xml:space="preserve">Se presentó una petición de hábeas corpus federal enmendada y la Corte de Distrito Federal denegó la petición, que fue confirmada por la Corte de Apelaciones del Undécimo Circuito de los Estados Unidos. </w:t>
      </w:r>
      <w:r w:rsidR="00B07607">
        <w:rPr>
          <w:rFonts w:asciiTheme="majorHAnsi" w:hAnsiTheme="majorHAnsi"/>
          <w:sz w:val="20"/>
          <w:szCs w:val="20"/>
          <w:lang w:val="es-ES"/>
        </w:rPr>
        <w:t xml:space="preserve">El 1 de octubre de 2007 fue denegado un recurso de certiorari ante la Corte Suprema que buscaba la </w:t>
      </w:r>
      <w:r w:rsidRPr="005A58AF">
        <w:rPr>
          <w:rFonts w:asciiTheme="majorHAnsi" w:hAnsiTheme="majorHAnsi"/>
          <w:sz w:val="20"/>
          <w:szCs w:val="20"/>
          <w:lang w:val="es-ES"/>
        </w:rPr>
        <w:t>revisión de la decisión.</w:t>
      </w:r>
    </w:p>
    <w:p w14:paraId="2CBDA4A1" w14:textId="77777777" w:rsidR="00F9453D" w:rsidRPr="00B07607" w:rsidRDefault="00F9453D" w:rsidP="00650AA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lang w:val="es-ES"/>
        </w:rPr>
      </w:pPr>
    </w:p>
    <w:p w14:paraId="02617528" w14:textId="77777777" w:rsidR="00F9453D" w:rsidRPr="00B07607" w:rsidRDefault="00B07607" w:rsidP="00B076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lang w:val="es-ES"/>
        </w:rPr>
      </w:pPr>
      <w:r w:rsidRPr="00B07607">
        <w:rPr>
          <w:rFonts w:asciiTheme="majorHAnsi" w:hAnsiTheme="majorHAnsi"/>
          <w:sz w:val="20"/>
          <w:szCs w:val="20"/>
          <w:lang w:val="es-ES"/>
        </w:rPr>
        <w:t xml:space="preserve">El 8 de junio de 2011, el Departamento Correccional de Florida (DOC) había promulgado un procedimiento de inyección letal revisado, decidiendo sustituir cinco gramos de pentobarbital por cinco gramos de tiopental sódico como el primero de los tres fármacos utilizados en el protocolo de inyección letal. En Florida, la primera droga se usa para anestesiar al preso condenado antes de la administración de las dos últimas drogas en la secuencia de tres drogas, bromuro de pancuronio (un agente paralizante que puede detener la respiración) y cloruro de potasio (una sustancia que causa </w:t>
      </w:r>
      <w:r>
        <w:rPr>
          <w:rFonts w:asciiTheme="majorHAnsi" w:hAnsiTheme="majorHAnsi"/>
          <w:sz w:val="20"/>
          <w:szCs w:val="20"/>
          <w:lang w:val="es-ES"/>
        </w:rPr>
        <w:t>que el corazón deje de latir</w:t>
      </w:r>
      <w:r w:rsidRPr="00B07607">
        <w:rPr>
          <w:rFonts w:asciiTheme="majorHAnsi" w:hAnsiTheme="majorHAnsi"/>
          <w:sz w:val="20"/>
          <w:szCs w:val="20"/>
          <w:lang w:val="es-ES"/>
        </w:rPr>
        <w:t>).</w:t>
      </w:r>
      <w:r w:rsidR="00F9453D">
        <w:rPr>
          <w:rStyle w:val="FootnoteReference"/>
          <w:rFonts w:asciiTheme="majorHAnsi" w:hAnsiTheme="majorHAnsi"/>
          <w:sz w:val="20"/>
          <w:szCs w:val="20"/>
        </w:rPr>
        <w:footnoteReference w:id="21"/>
      </w:r>
      <w:r w:rsidR="00F9453D" w:rsidRPr="00B07607">
        <w:rPr>
          <w:rFonts w:asciiTheme="majorHAnsi" w:hAnsiTheme="majorHAnsi"/>
          <w:sz w:val="20"/>
          <w:szCs w:val="20"/>
          <w:lang w:val="es-ES"/>
        </w:rPr>
        <w:t xml:space="preserve">  </w:t>
      </w:r>
    </w:p>
    <w:p w14:paraId="6FD829A3" w14:textId="77777777" w:rsidR="00104CA5" w:rsidRPr="00B07607" w:rsidRDefault="00104CA5" w:rsidP="00104CA5">
      <w:pPr>
        <w:rPr>
          <w:lang w:val="es-ES"/>
        </w:rPr>
      </w:pPr>
    </w:p>
    <w:p w14:paraId="52C25591" w14:textId="77777777" w:rsidR="00A50581" w:rsidRPr="00B07607" w:rsidRDefault="00B07607" w:rsidP="00B076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lang w:val="es-ES"/>
        </w:rPr>
      </w:pPr>
      <w:r w:rsidRPr="00B07607">
        <w:rPr>
          <w:rFonts w:asciiTheme="majorHAnsi" w:hAnsiTheme="majorHAnsi"/>
          <w:sz w:val="20"/>
          <w:szCs w:val="20"/>
          <w:lang w:val="es-ES"/>
        </w:rPr>
        <w:t xml:space="preserve">El 30 de junio de 2011, el gobernador Rick Scott firmó una orden de ejecución y la ejecución del señor Valle </w:t>
      </w:r>
      <w:r>
        <w:rPr>
          <w:rFonts w:asciiTheme="majorHAnsi" w:hAnsiTheme="majorHAnsi"/>
          <w:sz w:val="20"/>
          <w:szCs w:val="20"/>
          <w:lang w:val="es-ES"/>
        </w:rPr>
        <w:t xml:space="preserve">fue </w:t>
      </w:r>
      <w:r w:rsidRPr="00B07607">
        <w:rPr>
          <w:rFonts w:asciiTheme="majorHAnsi" w:hAnsiTheme="majorHAnsi"/>
          <w:sz w:val="20"/>
          <w:szCs w:val="20"/>
          <w:lang w:val="es-ES"/>
        </w:rPr>
        <w:t xml:space="preserve">programada para el 2 de agosto de 2011. La orden de ejecución indicó que “se ha determinado que </w:t>
      </w:r>
      <w:r>
        <w:rPr>
          <w:rFonts w:asciiTheme="majorHAnsi" w:hAnsiTheme="majorHAnsi"/>
          <w:sz w:val="20"/>
          <w:szCs w:val="20"/>
          <w:lang w:val="es-ES"/>
        </w:rPr>
        <w:t xml:space="preserve">no resulta apropiada </w:t>
      </w:r>
      <w:r w:rsidRPr="00B07607">
        <w:rPr>
          <w:rFonts w:asciiTheme="majorHAnsi" w:hAnsiTheme="majorHAnsi"/>
          <w:sz w:val="20"/>
          <w:szCs w:val="20"/>
          <w:lang w:val="es-ES"/>
        </w:rPr>
        <w:t xml:space="preserve">la Clemencia Ejecutiva, </w:t>
      </w:r>
      <w:r>
        <w:rPr>
          <w:rFonts w:asciiTheme="majorHAnsi" w:hAnsiTheme="majorHAnsi"/>
          <w:sz w:val="20"/>
          <w:szCs w:val="20"/>
          <w:lang w:val="es-ES"/>
        </w:rPr>
        <w:t>que autoriza</w:t>
      </w:r>
      <w:r w:rsidRPr="00B07607">
        <w:rPr>
          <w:rFonts w:asciiTheme="majorHAnsi" w:hAnsiTheme="majorHAnsi"/>
          <w:sz w:val="20"/>
          <w:szCs w:val="20"/>
          <w:lang w:val="es-ES"/>
        </w:rPr>
        <w:t xml:space="preserve"> el Artículo IV, Sección 8 (a), </w:t>
      </w:r>
      <w:r>
        <w:rPr>
          <w:rFonts w:asciiTheme="majorHAnsi" w:hAnsiTheme="majorHAnsi"/>
          <w:sz w:val="20"/>
          <w:szCs w:val="20"/>
          <w:lang w:val="es-ES"/>
        </w:rPr>
        <w:t>de la</w:t>
      </w:r>
      <w:r w:rsidRPr="00B07607">
        <w:rPr>
          <w:rFonts w:asciiTheme="majorHAnsi" w:hAnsiTheme="majorHAnsi"/>
          <w:sz w:val="20"/>
          <w:szCs w:val="20"/>
          <w:lang w:val="es-ES"/>
        </w:rPr>
        <w:t xml:space="preserve"> Constitución de Florida".</w:t>
      </w:r>
      <w:r w:rsidR="00D12B8D">
        <w:rPr>
          <w:rStyle w:val="FootnoteReference"/>
          <w:rFonts w:asciiTheme="majorHAnsi" w:hAnsiTheme="majorHAnsi"/>
          <w:sz w:val="20"/>
          <w:szCs w:val="20"/>
        </w:rPr>
        <w:footnoteReference w:id="22"/>
      </w:r>
      <w:r w:rsidR="0029275D" w:rsidRPr="00B07607">
        <w:rPr>
          <w:rFonts w:asciiTheme="majorHAnsi" w:hAnsiTheme="majorHAnsi"/>
          <w:sz w:val="20"/>
          <w:szCs w:val="20"/>
          <w:lang w:val="es-ES"/>
        </w:rPr>
        <w:t xml:space="preserve"> </w:t>
      </w:r>
    </w:p>
    <w:p w14:paraId="0459761E" w14:textId="77777777" w:rsidR="007C664F" w:rsidRPr="00B07607" w:rsidRDefault="007C664F" w:rsidP="007C664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77151996" w14:textId="77777777" w:rsidR="00B07607" w:rsidRPr="00B07607" w:rsidRDefault="00B07607" w:rsidP="007C66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B07607">
        <w:rPr>
          <w:rFonts w:asciiTheme="majorHAnsi" w:hAnsiTheme="majorHAnsi"/>
          <w:sz w:val="20"/>
          <w:szCs w:val="20"/>
          <w:lang w:val="es-ES"/>
        </w:rPr>
        <w:t xml:space="preserve">El Sr. Valle presentó una moción enmendada de reparación posterior a la condena, planteando seis reclamos, entre los cuales argumentó que debido a "serias preocupaciones" con respecto a la eficacia del </w:t>
      </w:r>
      <w:r w:rsidRPr="00B07607">
        <w:rPr>
          <w:rFonts w:asciiTheme="majorHAnsi" w:hAnsiTheme="majorHAnsi"/>
          <w:sz w:val="20"/>
          <w:szCs w:val="20"/>
          <w:lang w:val="es-ES"/>
        </w:rPr>
        <w:lastRenderedPageBreak/>
        <w:t xml:space="preserve">pentobarbital para dejar inconsciente a un recluso, el uso de la droga en el protocolo por parte del DOC constituye una </w:t>
      </w:r>
      <w:r>
        <w:rPr>
          <w:rFonts w:asciiTheme="majorHAnsi" w:hAnsiTheme="majorHAnsi"/>
          <w:sz w:val="20"/>
          <w:szCs w:val="20"/>
          <w:lang w:val="es-ES"/>
        </w:rPr>
        <w:t>pena cruel e inusual que contraviene</w:t>
      </w:r>
      <w:r w:rsidRPr="00B07607">
        <w:rPr>
          <w:rFonts w:asciiTheme="majorHAnsi" w:hAnsiTheme="majorHAnsi"/>
          <w:sz w:val="20"/>
          <w:szCs w:val="20"/>
          <w:lang w:val="es-ES"/>
        </w:rPr>
        <w:t xml:space="preserve"> la Octava Enmienda de la </w:t>
      </w:r>
      <w:r>
        <w:rPr>
          <w:rFonts w:asciiTheme="majorHAnsi" w:hAnsiTheme="majorHAnsi"/>
          <w:sz w:val="20"/>
          <w:szCs w:val="20"/>
          <w:lang w:val="es-ES"/>
        </w:rPr>
        <w:t>C</w:t>
      </w:r>
      <w:r w:rsidRPr="00B07607">
        <w:rPr>
          <w:rFonts w:asciiTheme="majorHAnsi" w:hAnsiTheme="majorHAnsi"/>
          <w:sz w:val="20"/>
          <w:szCs w:val="20"/>
          <w:lang w:val="es-ES"/>
        </w:rPr>
        <w:t>onstitución.</w:t>
      </w:r>
      <w:r w:rsidRPr="00927B93">
        <w:rPr>
          <w:rStyle w:val="FootnoteReference"/>
          <w:rFonts w:asciiTheme="majorHAnsi" w:hAnsiTheme="majorHAnsi"/>
          <w:sz w:val="20"/>
          <w:szCs w:val="20"/>
        </w:rPr>
        <w:footnoteReference w:id="23"/>
      </w:r>
      <w:r w:rsidRPr="00B07607">
        <w:rPr>
          <w:rFonts w:asciiTheme="majorHAnsi" w:hAnsiTheme="majorHAnsi"/>
          <w:sz w:val="20"/>
          <w:szCs w:val="20"/>
          <w:lang w:val="es-ES"/>
        </w:rPr>
        <w:t xml:space="preserve"> Específicamente, se argumentó que el plan del DOC de usar la droga sustituida constituye un</w:t>
      </w:r>
      <w:r>
        <w:rPr>
          <w:rFonts w:asciiTheme="majorHAnsi" w:hAnsiTheme="majorHAnsi"/>
          <w:sz w:val="20"/>
          <w:szCs w:val="20"/>
          <w:lang w:val="es-ES"/>
        </w:rPr>
        <w:t>a pena</w:t>
      </w:r>
      <w:r w:rsidRPr="00B07607">
        <w:rPr>
          <w:rFonts w:asciiTheme="majorHAnsi" w:hAnsiTheme="majorHAnsi"/>
          <w:sz w:val="20"/>
          <w:szCs w:val="20"/>
          <w:lang w:val="es-ES"/>
        </w:rPr>
        <w:t xml:space="preserve"> cruel e inusual, porque el señor Valle puede permanecer consciente luego de ser inyectado con el pentobarbital, lo que lo somete</w:t>
      </w:r>
      <w:r>
        <w:rPr>
          <w:rFonts w:asciiTheme="majorHAnsi" w:hAnsiTheme="majorHAnsi"/>
          <w:sz w:val="20"/>
          <w:szCs w:val="20"/>
          <w:lang w:val="es-ES"/>
        </w:rPr>
        <w:t>ría</w:t>
      </w:r>
      <w:r w:rsidRPr="00B07607">
        <w:rPr>
          <w:rFonts w:asciiTheme="majorHAnsi" w:hAnsiTheme="majorHAnsi"/>
          <w:sz w:val="20"/>
          <w:szCs w:val="20"/>
          <w:lang w:val="es-ES"/>
        </w:rPr>
        <w:t xml:space="preserve"> a un dolor significativo durante la administración de las dos últimas drogas. Además, argumentó que la sustitución, junto con las garantías procesales inadecuadas y una actitud arrogante </w:t>
      </w:r>
      <w:r>
        <w:rPr>
          <w:rFonts w:asciiTheme="majorHAnsi" w:hAnsiTheme="majorHAnsi"/>
          <w:sz w:val="20"/>
          <w:szCs w:val="20"/>
          <w:lang w:val="es-ES"/>
        </w:rPr>
        <w:t>respecto de</w:t>
      </w:r>
      <w:r w:rsidRPr="00B07607">
        <w:rPr>
          <w:rFonts w:asciiTheme="majorHAnsi" w:hAnsiTheme="majorHAnsi"/>
          <w:sz w:val="20"/>
          <w:szCs w:val="20"/>
          <w:lang w:val="es-ES"/>
        </w:rPr>
        <w:t xml:space="preserve"> la inyección letal, lo ponían en riesgo de sufrir daños graves. El Tribunal de Circuito celebró una audiencia inicial y negó sumariamente todos los reclamos. La denegación sumaria fue apelada ante la </w:t>
      </w:r>
      <w:r>
        <w:rPr>
          <w:rFonts w:asciiTheme="majorHAnsi" w:hAnsiTheme="majorHAnsi"/>
          <w:sz w:val="20"/>
          <w:szCs w:val="20"/>
          <w:lang w:val="es-ES"/>
        </w:rPr>
        <w:t>CSF</w:t>
      </w:r>
      <w:r w:rsidRPr="00B07607">
        <w:rPr>
          <w:rFonts w:asciiTheme="majorHAnsi" w:hAnsiTheme="majorHAnsi"/>
          <w:sz w:val="20"/>
          <w:szCs w:val="20"/>
          <w:lang w:val="es-ES"/>
        </w:rPr>
        <w:t xml:space="preserve">, que determinó que las afirmaciones con respecto a la droga justificaban una audiencia probatoria. Se concedió una suspensión de la ejecución hasta el 1 de septiembre de 2011 y el </w:t>
      </w:r>
      <w:r>
        <w:rPr>
          <w:rFonts w:asciiTheme="majorHAnsi" w:hAnsiTheme="majorHAnsi"/>
          <w:sz w:val="20"/>
          <w:szCs w:val="20"/>
          <w:lang w:val="es-ES"/>
        </w:rPr>
        <w:t>cas</w:t>
      </w:r>
      <w:r w:rsidRPr="00B07607">
        <w:rPr>
          <w:rFonts w:asciiTheme="majorHAnsi" w:hAnsiTheme="majorHAnsi"/>
          <w:sz w:val="20"/>
          <w:szCs w:val="20"/>
          <w:lang w:val="es-ES"/>
        </w:rPr>
        <w:t>o se remitió al Tribunal de Circuito.</w:t>
      </w:r>
    </w:p>
    <w:p w14:paraId="7F8394A3" w14:textId="77777777" w:rsidR="00867B70" w:rsidRPr="00B07607" w:rsidRDefault="00867B70" w:rsidP="00867B7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75EA28DF" w14:textId="77777777" w:rsidR="00CC06F6" w:rsidRPr="00B07607" w:rsidRDefault="00B07607" w:rsidP="00B076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lang w:val="es-ES"/>
        </w:rPr>
      </w:pPr>
      <w:r w:rsidRPr="00B07607">
        <w:rPr>
          <w:rFonts w:asciiTheme="majorHAnsi" w:hAnsiTheme="majorHAnsi"/>
          <w:sz w:val="20"/>
          <w:szCs w:val="20"/>
          <w:lang w:val="es-ES"/>
        </w:rPr>
        <w:t xml:space="preserve">El Tribunal de Circuito realizó la audiencia probatoria los días 28 de julio y 2 de agosto de 2011, durante la cual el señor Valle y el Estado presentaron prueba pericial. El Tribunal de Circuito negó el reclamo sobre la sustitución de drogas como una violación de la Octava Enmienda, porque la evidencia no pudo establecer que la administración intravenosa de pentobarbital crea un riesgo sustancial de daño grave. El </w:t>
      </w:r>
      <w:r>
        <w:rPr>
          <w:rFonts w:asciiTheme="majorHAnsi" w:hAnsiTheme="majorHAnsi"/>
          <w:sz w:val="20"/>
          <w:szCs w:val="20"/>
          <w:lang w:val="es-ES"/>
        </w:rPr>
        <w:t>caso</w:t>
      </w:r>
      <w:r w:rsidRPr="00B07607">
        <w:rPr>
          <w:rFonts w:asciiTheme="majorHAnsi" w:hAnsiTheme="majorHAnsi"/>
          <w:sz w:val="20"/>
          <w:szCs w:val="20"/>
          <w:lang w:val="es-ES"/>
        </w:rPr>
        <w:t xml:space="preserve"> se devolvió a la </w:t>
      </w:r>
      <w:r>
        <w:rPr>
          <w:rFonts w:asciiTheme="majorHAnsi" w:hAnsiTheme="majorHAnsi"/>
          <w:sz w:val="20"/>
          <w:szCs w:val="20"/>
          <w:lang w:val="es-ES"/>
        </w:rPr>
        <w:t xml:space="preserve">CSF </w:t>
      </w:r>
      <w:r w:rsidRPr="00B07607">
        <w:rPr>
          <w:rFonts w:asciiTheme="majorHAnsi" w:hAnsiTheme="majorHAnsi"/>
          <w:sz w:val="20"/>
          <w:szCs w:val="20"/>
          <w:lang w:val="es-ES"/>
        </w:rPr>
        <w:t>para considerar todas las cuestiones planteadas en la apelación.</w:t>
      </w:r>
      <w:r w:rsidR="00F572A5" w:rsidRPr="00927B93">
        <w:rPr>
          <w:rStyle w:val="FootnoteReference"/>
          <w:rFonts w:asciiTheme="majorHAnsi" w:hAnsiTheme="majorHAnsi"/>
          <w:sz w:val="20"/>
          <w:szCs w:val="20"/>
        </w:rPr>
        <w:footnoteReference w:id="24"/>
      </w:r>
      <w:r w:rsidR="007C664F" w:rsidRPr="00B07607">
        <w:rPr>
          <w:rFonts w:asciiTheme="majorHAnsi" w:hAnsiTheme="majorHAnsi"/>
          <w:sz w:val="20"/>
          <w:szCs w:val="20"/>
          <w:lang w:val="es-ES"/>
        </w:rPr>
        <w:t xml:space="preserve"> </w:t>
      </w:r>
    </w:p>
    <w:p w14:paraId="332EF65D" w14:textId="77777777" w:rsidR="002E70EC" w:rsidRPr="00B07607" w:rsidRDefault="002E70EC" w:rsidP="00CC06F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2BAE114C" w14:textId="2579B854" w:rsidR="00B07607" w:rsidRPr="00B07607" w:rsidRDefault="00B07607"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B07607">
        <w:rPr>
          <w:rFonts w:asciiTheme="majorHAnsi" w:hAnsiTheme="majorHAnsi"/>
          <w:sz w:val="20"/>
          <w:szCs w:val="20"/>
          <w:lang w:val="es-ES"/>
        </w:rPr>
        <w:t>Reconociendo su deber de asegurar que el método de ejecución no constituya una</w:t>
      </w:r>
      <w:r>
        <w:rPr>
          <w:rFonts w:asciiTheme="majorHAnsi" w:hAnsiTheme="majorHAnsi"/>
          <w:sz w:val="20"/>
          <w:szCs w:val="20"/>
          <w:lang w:val="es-ES"/>
        </w:rPr>
        <w:t xml:space="preserve"> pena</w:t>
      </w:r>
      <w:r w:rsidRPr="00B07607">
        <w:rPr>
          <w:rFonts w:asciiTheme="majorHAnsi" w:hAnsiTheme="majorHAnsi"/>
          <w:sz w:val="20"/>
          <w:szCs w:val="20"/>
          <w:lang w:val="es-ES"/>
        </w:rPr>
        <w:t xml:space="preserve"> cruel e inusual, la </w:t>
      </w:r>
      <w:r>
        <w:rPr>
          <w:rFonts w:asciiTheme="majorHAnsi" w:hAnsiTheme="majorHAnsi"/>
          <w:sz w:val="20"/>
          <w:szCs w:val="20"/>
          <w:lang w:val="es-ES"/>
        </w:rPr>
        <w:t xml:space="preserve">CSF </w:t>
      </w:r>
      <w:r w:rsidRPr="00B07607">
        <w:rPr>
          <w:rFonts w:asciiTheme="majorHAnsi" w:hAnsiTheme="majorHAnsi"/>
          <w:sz w:val="20"/>
          <w:szCs w:val="20"/>
          <w:lang w:val="es-ES"/>
        </w:rPr>
        <w:t>se guió por las decisiones de la Corte Suprema de los Estados Unidos para evaluar si la inyección letal era inconstitucional. Para que dich</w:t>
      </w:r>
      <w:r w:rsidR="002F3E55">
        <w:rPr>
          <w:rFonts w:asciiTheme="majorHAnsi" w:hAnsiTheme="majorHAnsi"/>
          <w:sz w:val="20"/>
          <w:szCs w:val="20"/>
          <w:lang w:val="es-ES"/>
        </w:rPr>
        <w:t>o</w:t>
      </w:r>
      <w:r w:rsidRPr="00B07607">
        <w:rPr>
          <w:rFonts w:asciiTheme="majorHAnsi" w:hAnsiTheme="majorHAnsi"/>
          <w:sz w:val="20"/>
          <w:szCs w:val="20"/>
          <w:lang w:val="es-ES"/>
        </w:rPr>
        <w:t xml:space="preserve"> </w:t>
      </w:r>
      <w:r>
        <w:rPr>
          <w:rFonts w:asciiTheme="majorHAnsi" w:hAnsiTheme="majorHAnsi"/>
          <w:sz w:val="20"/>
          <w:szCs w:val="20"/>
          <w:lang w:val="es-ES"/>
        </w:rPr>
        <w:t>reclamo</w:t>
      </w:r>
      <w:r w:rsidRPr="00B07607">
        <w:rPr>
          <w:rFonts w:asciiTheme="majorHAnsi" w:hAnsiTheme="majorHAnsi"/>
          <w:sz w:val="20"/>
          <w:szCs w:val="20"/>
          <w:lang w:val="es-ES"/>
        </w:rPr>
        <w:t xml:space="preserve"> tenga éxito, el recluso debe demostrar que las condiciones que presentan el riesgo deben </w:t>
      </w:r>
      <w:r>
        <w:rPr>
          <w:rFonts w:asciiTheme="majorHAnsi" w:hAnsiTheme="majorHAnsi"/>
          <w:sz w:val="20"/>
          <w:szCs w:val="20"/>
          <w:lang w:val="es-ES"/>
        </w:rPr>
        <w:t>con seguridad o muy probablemente</w:t>
      </w:r>
      <w:r w:rsidRPr="00B07607">
        <w:rPr>
          <w:rFonts w:asciiTheme="majorHAnsi" w:hAnsiTheme="majorHAnsi"/>
          <w:sz w:val="20"/>
          <w:szCs w:val="20"/>
          <w:lang w:val="es-ES"/>
        </w:rPr>
        <w:t xml:space="preserve"> causar enfermedades graves y sufrimientos innecesarios y dar lugar a peligros suficientemente inminentes. El Tribunal también expuso que debe haber un riesgo sustancial de daño grave, un riesgo de daño objetivamente intolerable que evita que los funcionarios de prisiones aleguen que son subjetivamente inocentes a los efectos de la Octava Enmienda. El tribunal también </w:t>
      </w:r>
      <w:r w:rsidR="00456608">
        <w:rPr>
          <w:rFonts w:asciiTheme="majorHAnsi" w:hAnsiTheme="majorHAnsi"/>
          <w:sz w:val="20"/>
          <w:szCs w:val="20"/>
          <w:lang w:val="es-ES"/>
        </w:rPr>
        <w:t>afirma</w:t>
      </w:r>
      <w:r w:rsidRPr="00B07607">
        <w:rPr>
          <w:rFonts w:asciiTheme="majorHAnsi" w:hAnsiTheme="majorHAnsi"/>
          <w:sz w:val="20"/>
          <w:szCs w:val="20"/>
          <w:lang w:val="es-ES"/>
        </w:rPr>
        <w:t xml:space="preserve"> que la norma impone una pesada carga al recluso para demostrar que los procedimientos de inyección letal violaron la Octava Enmienda.</w:t>
      </w:r>
    </w:p>
    <w:p w14:paraId="4FDA5D56" w14:textId="77777777" w:rsidR="00CC06F6" w:rsidRPr="00E36893" w:rsidRDefault="00CC06F6" w:rsidP="00CC06F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073B8616" w14:textId="77777777" w:rsidR="00456608" w:rsidRPr="00456608" w:rsidRDefault="00456608"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Pr>
          <w:rFonts w:asciiTheme="majorHAnsi" w:hAnsiTheme="majorHAnsi"/>
          <w:sz w:val="20"/>
          <w:szCs w:val="20"/>
          <w:lang w:val="es-ES"/>
        </w:rPr>
        <w:t>Diversos</w:t>
      </w:r>
      <w:r w:rsidRPr="00456608">
        <w:rPr>
          <w:rFonts w:asciiTheme="majorHAnsi" w:hAnsiTheme="majorHAnsi"/>
          <w:sz w:val="20"/>
          <w:szCs w:val="20"/>
          <w:lang w:val="es-ES"/>
        </w:rPr>
        <w:t xml:space="preserve"> expertos </w:t>
      </w:r>
      <w:r>
        <w:rPr>
          <w:rFonts w:asciiTheme="majorHAnsi" w:hAnsiTheme="majorHAnsi"/>
          <w:sz w:val="20"/>
          <w:szCs w:val="20"/>
          <w:lang w:val="es-ES"/>
        </w:rPr>
        <w:t>declararon</w:t>
      </w:r>
      <w:r w:rsidRPr="00456608">
        <w:rPr>
          <w:rFonts w:asciiTheme="majorHAnsi" w:hAnsiTheme="majorHAnsi"/>
          <w:sz w:val="20"/>
          <w:szCs w:val="20"/>
          <w:lang w:val="es-ES"/>
        </w:rPr>
        <w:t xml:space="preserve"> sobre el efecto de la droga. El perito del Estado, Dr. Dershwitz, reconoció que la FDA no había aprobado el uso de pentobarbital en inyecciones letales, sin embargo, sí explicó que la dosis a utilizar es letal por sí sola, y cuando se administra, induciría una línea plana total </w:t>
      </w:r>
      <w:r>
        <w:rPr>
          <w:rFonts w:asciiTheme="majorHAnsi" w:hAnsiTheme="majorHAnsi"/>
          <w:sz w:val="20"/>
          <w:szCs w:val="20"/>
          <w:lang w:val="es-ES"/>
        </w:rPr>
        <w:t xml:space="preserve">en la actividad cerebral </w:t>
      </w:r>
      <w:r w:rsidRPr="00456608">
        <w:rPr>
          <w:rFonts w:asciiTheme="majorHAnsi" w:hAnsiTheme="majorHAnsi"/>
          <w:sz w:val="20"/>
          <w:szCs w:val="20"/>
          <w:lang w:val="es-ES"/>
        </w:rPr>
        <w:t xml:space="preserve">en el electroencefalograma (EEG), lo que significa que el receptor no tendría percepción ni sensación. Un experto </w:t>
      </w:r>
      <w:r>
        <w:rPr>
          <w:rFonts w:asciiTheme="majorHAnsi" w:hAnsiTheme="majorHAnsi"/>
          <w:sz w:val="20"/>
          <w:szCs w:val="20"/>
          <w:lang w:val="es-ES"/>
        </w:rPr>
        <w:t>presentado por el</w:t>
      </w:r>
      <w:r w:rsidRPr="00456608">
        <w:rPr>
          <w:rFonts w:asciiTheme="majorHAnsi" w:hAnsiTheme="majorHAnsi"/>
          <w:sz w:val="20"/>
          <w:szCs w:val="20"/>
          <w:lang w:val="es-ES"/>
        </w:rPr>
        <w:t xml:space="preserve"> Sr. Valle, el Dr. Waisel, opinó que no podría determinar los efectos previstos de la droga porque no había datos suficientes sobre el uso de la droga. El </w:t>
      </w:r>
      <w:r>
        <w:rPr>
          <w:rFonts w:asciiTheme="majorHAnsi" w:hAnsiTheme="majorHAnsi"/>
          <w:sz w:val="20"/>
          <w:szCs w:val="20"/>
          <w:lang w:val="es-ES"/>
        </w:rPr>
        <w:t>T</w:t>
      </w:r>
      <w:r w:rsidRPr="00456608">
        <w:rPr>
          <w:rFonts w:asciiTheme="majorHAnsi" w:hAnsiTheme="majorHAnsi"/>
          <w:sz w:val="20"/>
          <w:szCs w:val="20"/>
          <w:lang w:val="es-ES"/>
        </w:rPr>
        <w:t xml:space="preserve">ribunal de </w:t>
      </w:r>
      <w:r>
        <w:rPr>
          <w:rFonts w:asciiTheme="majorHAnsi" w:hAnsiTheme="majorHAnsi"/>
          <w:sz w:val="20"/>
          <w:szCs w:val="20"/>
          <w:lang w:val="es-ES"/>
        </w:rPr>
        <w:t>C</w:t>
      </w:r>
      <w:r w:rsidRPr="00456608">
        <w:rPr>
          <w:rFonts w:asciiTheme="majorHAnsi" w:hAnsiTheme="majorHAnsi"/>
          <w:sz w:val="20"/>
          <w:szCs w:val="20"/>
          <w:lang w:val="es-ES"/>
        </w:rPr>
        <w:t>ircuito reconoció que la afirmación de falta de conocimiento sobre si la droga dejaría a alguien inconsciente no cumplía con el estándar de la carga de la prueba. Asimismo,</w:t>
      </w:r>
      <w:r>
        <w:rPr>
          <w:rFonts w:asciiTheme="majorHAnsi" w:hAnsiTheme="majorHAnsi"/>
          <w:sz w:val="20"/>
          <w:szCs w:val="20"/>
          <w:lang w:val="es-ES"/>
        </w:rPr>
        <w:t xml:space="preserve"> la CSF</w:t>
      </w:r>
      <w:r w:rsidRPr="00456608">
        <w:rPr>
          <w:rFonts w:asciiTheme="majorHAnsi" w:hAnsiTheme="majorHAnsi"/>
          <w:sz w:val="20"/>
          <w:szCs w:val="20"/>
          <w:lang w:val="es-ES"/>
        </w:rPr>
        <w:t xml:space="preserve"> adoptó una observación similar</w:t>
      </w:r>
      <w:r>
        <w:rPr>
          <w:rFonts w:asciiTheme="majorHAnsi" w:hAnsiTheme="majorHAnsi"/>
          <w:sz w:val="20"/>
          <w:szCs w:val="20"/>
          <w:lang w:val="es-ES"/>
        </w:rPr>
        <w:t>, señalando que</w:t>
      </w:r>
      <w:r w:rsidRPr="00456608">
        <w:rPr>
          <w:rFonts w:asciiTheme="majorHAnsi" w:hAnsiTheme="majorHAnsi"/>
          <w:sz w:val="20"/>
          <w:szCs w:val="20"/>
          <w:lang w:val="es-ES"/>
        </w:rPr>
        <w:t xml:space="preserve"> las otras presentaciones de evidencia no cumplieron con el estándar de que el medicamento de reemplazo </w:t>
      </w:r>
      <w:r>
        <w:rPr>
          <w:rFonts w:asciiTheme="majorHAnsi" w:hAnsiTheme="majorHAnsi"/>
          <w:sz w:val="20"/>
          <w:szCs w:val="20"/>
          <w:lang w:val="es-ES"/>
        </w:rPr>
        <w:t xml:space="preserve">con seguridad o muy probablemente </w:t>
      </w:r>
      <w:r w:rsidRPr="00456608">
        <w:rPr>
          <w:rFonts w:asciiTheme="majorHAnsi" w:hAnsiTheme="majorHAnsi"/>
          <w:sz w:val="20"/>
          <w:szCs w:val="20"/>
          <w:lang w:val="es-ES"/>
        </w:rPr>
        <w:t>cause una enfermedad grave y sufrimiento innecesario. Además, el tribunal reconoció la jurisprudencia anterior que se ocupaba de denuncias de problemas dentro del proceso de inyección letal de Florida, lo que demostró que se habían adoptado varias medidas administrativas.</w:t>
      </w:r>
    </w:p>
    <w:p w14:paraId="1193A54E" w14:textId="77777777" w:rsidR="00180C0F" w:rsidRPr="00E36893" w:rsidRDefault="00180C0F" w:rsidP="00180C0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6839545C" w14:textId="77777777" w:rsidR="00456608" w:rsidRPr="00456608" w:rsidRDefault="00456608"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456608">
        <w:rPr>
          <w:rFonts w:asciiTheme="majorHAnsi" w:hAnsiTheme="majorHAnsi"/>
          <w:sz w:val="20"/>
          <w:szCs w:val="20"/>
          <w:lang w:val="es-ES"/>
        </w:rPr>
        <w:t xml:space="preserve">Sobre el reclamo adicional del señor Valle de que se le negó la solicitud de registros públicos, se señaló que el Tribunal de Circuito concedió la solicitud en parte; dando acceso a información sobre el fármaco sustituido, el protocolo de inyección letal, información relacionada del </w:t>
      </w:r>
      <w:r>
        <w:rPr>
          <w:rFonts w:asciiTheme="majorHAnsi" w:hAnsiTheme="majorHAnsi"/>
          <w:sz w:val="20"/>
          <w:szCs w:val="20"/>
          <w:lang w:val="es-ES"/>
        </w:rPr>
        <w:t>Fiscal General</w:t>
      </w:r>
      <w:r w:rsidRPr="00456608">
        <w:rPr>
          <w:rFonts w:asciiTheme="majorHAnsi" w:hAnsiTheme="majorHAnsi"/>
          <w:sz w:val="20"/>
          <w:szCs w:val="20"/>
          <w:lang w:val="es-ES"/>
        </w:rPr>
        <w:t xml:space="preserve"> sobre aprobaciones, pruebas periciales y procedimientos previos. La </w:t>
      </w:r>
      <w:r>
        <w:rPr>
          <w:rFonts w:asciiTheme="majorHAnsi" w:hAnsiTheme="majorHAnsi"/>
          <w:sz w:val="20"/>
          <w:szCs w:val="20"/>
          <w:lang w:val="es-ES"/>
        </w:rPr>
        <w:t>CSF</w:t>
      </w:r>
      <w:r w:rsidRPr="00456608">
        <w:rPr>
          <w:rFonts w:asciiTheme="majorHAnsi" w:hAnsiTheme="majorHAnsi"/>
          <w:sz w:val="20"/>
          <w:szCs w:val="20"/>
          <w:lang w:val="es-ES"/>
        </w:rPr>
        <w:t xml:space="preserve"> concluyó que los documentos adicionales no se relacionaban con un reclamo </w:t>
      </w:r>
      <w:r>
        <w:rPr>
          <w:rFonts w:asciiTheme="majorHAnsi" w:hAnsiTheme="majorHAnsi"/>
          <w:sz w:val="20"/>
          <w:szCs w:val="20"/>
          <w:lang w:val="es-ES"/>
        </w:rPr>
        <w:t>razonable sobre</w:t>
      </w:r>
      <w:r w:rsidRPr="00456608">
        <w:rPr>
          <w:rFonts w:asciiTheme="majorHAnsi" w:hAnsiTheme="majorHAnsi"/>
          <w:sz w:val="20"/>
          <w:szCs w:val="20"/>
          <w:lang w:val="es-ES"/>
        </w:rPr>
        <w:t xml:space="preserve"> la Octava Enmienda y que el Sr. Valle no explicó por qué y cómo la información conduciría a pruebas relacionadas con sus reclamos.</w:t>
      </w:r>
    </w:p>
    <w:p w14:paraId="7A664202" w14:textId="77777777" w:rsidR="009E13FA" w:rsidRPr="00E36893" w:rsidRDefault="009E13FA" w:rsidP="009E13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3FFF38D8" w14:textId="77777777" w:rsidR="00456608" w:rsidRPr="00456608" w:rsidRDefault="00456608"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456608">
        <w:rPr>
          <w:rFonts w:asciiTheme="majorHAnsi" w:hAnsiTheme="majorHAnsi"/>
          <w:sz w:val="20"/>
          <w:szCs w:val="20"/>
          <w:lang w:val="es-ES"/>
        </w:rPr>
        <w:t xml:space="preserve">Con respecto a otro reclamo sobre la denegación de un procedimiento de clemencia, la </w:t>
      </w:r>
      <w:r>
        <w:rPr>
          <w:rFonts w:asciiTheme="majorHAnsi" w:hAnsiTheme="majorHAnsi"/>
          <w:sz w:val="20"/>
          <w:szCs w:val="20"/>
          <w:lang w:val="es-ES"/>
        </w:rPr>
        <w:t>CSF</w:t>
      </w:r>
      <w:r w:rsidRPr="00456608">
        <w:rPr>
          <w:rFonts w:asciiTheme="majorHAnsi" w:hAnsiTheme="majorHAnsi"/>
          <w:sz w:val="20"/>
          <w:szCs w:val="20"/>
          <w:lang w:val="es-ES"/>
        </w:rPr>
        <w:t xml:space="preserve"> confirmó el fallo del </w:t>
      </w:r>
      <w:r>
        <w:rPr>
          <w:rFonts w:asciiTheme="majorHAnsi" w:hAnsiTheme="majorHAnsi"/>
          <w:sz w:val="20"/>
          <w:szCs w:val="20"/>
          <w:lang w:val="es-ES"/>
        </w:rPr>
        <w:t>Tr</w:t>
      </w:r>
      <w:r w:rsidRPr="00456608">
        <w:rPr>
          <w:rFonts w:asciiTheme="majorHAnsi" w:hAnsiTheme="majorHAnsi"/>
          <w:sz w:val="20"/>
          <w:szCs w:val="20"/>
          <w:lang w:val="es-ES"/>
        </w:rPr>
        <w:t xml:space="preserve">ibunal de </w:t>
      </w:r>
      <w:r>
        <w:rPr>
          <w:rFonts w:asciiTheme="majorHAnsi" w:hAnsiTheme="majorHAnsi"/>
          <w:sz w:val="20"/>
          <w:szCs w:val="20"/>
          <w:lang w:val="es-ES"/>
        </w:rPr>
        <w:t>C</w:t>
      </w:r>
      <w:r w:rsidRPr="00456608">
        <w:rPr>
          <w:rFonts w:asciiTheme="majorHAnsi" w:hAnsiTheme="majorHAnsi"/>
          <w:sz w:val="20"/>
          <w:szCs w:val="20"/>
          <w:lang w:val="es-ES"/>
        </w:rPr>
        <w:t xml:space="preserve">ircuito y consideró que </w:t>
      </w:r>
      <w:r>
        <w:rPr>
          <w:rFonts w:asciiTheme="majorHAnsi" w:hAnsiTheme="majorHAnsi"/>
          <w:sz w:val="20"/>
          <w:szCs w:val="20"/>
          <w:lang w:val="es-ES"/>
        </w:rPr>
        <w:t>el reclamo</w:t>
      </w:r>
      <w:r w:rsidRPr="00456608">
        <w:rPr>
          <w:rFonts w:asciiTheme="majorHAnsi" w:hAnsiTheme="majorHAnsi"/>
          <w:sz w:val="20"/>
          <w:szCs w:val="20"/>
          <w:lang w:val="es-ES"/>
        </w:rPr>
        <w:t xml:space="preserve"> era especulativ</w:t>
      </w:r>
      <w:r>
        <w:rPr>
          <w:rFonts w:asciiTheme="majorHAnsi" w:hAnsiTheme="majorHAnsi"/>
          <w:sz w:val="20"/>
          <w:szCs w:val="20"/>
          <w:lang w:val="es-ES"/>
        </w:rPr>
        <w:t>o</w:t>
      </w:r>
      <w:r w:rsidRPr="00456608">
        <w:rPr>
          <w:rFonts w:asciiTheme="majorHAnsi" w:hAnsiTheme="majorHAnsi"/>
          <w:sz w:val="20"/>
          <w:szCs w:val="20"/>
          <w:lang w:val="es-ES"/>
        </w:rPr>
        <w:t xml:space="preserve"> e insuficientemente </w:t>
      </w:r>
      <w:r>
        <w:rPr>
          <w:rFonts w:asciiTheme="majorHAnsi" w:hAnsiTheme="majorHAnsi"/>
          <w:sz w:val="20"/>
          <w:szCs w:val="20"/>
          <w:lang w:val="es-ES"/>
        </w:rPr>
        <w:t>argumentado</w:t>
      </w:r>
      <w:r w:rsidRPr="00456608">
        <w:rPr>
          <w:rFonts w:asciiTheme="majorHAnsi" w:hAnsiTheme="majorHAnsi"/>
          <w:sz w:val="20"/>
          <w:szCs w:val="20"/>
          <w:lang w:val="es-ES"/>
        </w:rPr>
        <w:t xml:space="preserve">. Se observa que el señor Valle reconoció que el gobernador Chiles solicitó una audiencia de clemencia el 6 de febrero de 1992 y que a la vista de la Corte se </w:t>
      </w:r>
      <w:r>
        <w:rPr>
          <w:rFonts w:asciiTheme="majorHAnsi" w:hAnsiTheme="majorHAnsi"/>
          <w:sz w:val="20"/>
          <w:szCs w:val="20"/>
          <w:lang w:val="es-ES"/>
        </w:rPr>
        <w:t>había nombrado</w:t>
      </w:r>
      <w:r w:rsidRPr="00456608">
        <w:rPr>
          <w:rFonts w:asciiTheme="majorHAnsi" w:hAnsiTheme="majorHAnsi"/>
          <w:sz w:val="20"/>
          <w:szCs w:val="20"/>
          <w:lang w:val="es-ES"/>
        </w:rPr>
        <w:t xml:space="preserve"> </w:t>
      </w:r>
      <w:r>
        <w:rPr>
          <w:rFonts w:asciiTheme="majorHAnsi" w:hAnsiTheme="majorHAnsi"/>
          <w:sz w:val="20"/>
          <w:szCs w:val="20"/>
          <w:lang w:val="es-ES"/>
        </w:rPr>
        <w:t>a</w:t>
      </w:r>
      <w:r w:rsidRPr="00456608">
        <w:rPr>
          <w:rFonts w:asciiTheme="majorHAnsi" w:hAnsiTheme="majorHAnsi"/>
          <w:sz w:val="20"/>
          <w:szCs w:val="20"/>
          <w:lang w:val="es-ES"/>
        </w:rPr>
        <w:t xml:space="preserve">l abogado Mark Evans para representar al señor Valle durante el proceso. Sin embargo, el argumento del Sr. Valle fue que no hay indicios de que se haya llevado </w:t>
      </w:r>
      <w:r w:rsidRPr="00456608">
        <w:rPr>
          <w:rFonts w:asciiTheme="majorHAnsi" w:hAnsiTheme="majorHAnsi"/>
          <w:sz w:val="20"/>
          <w:szCs w:val="20"/>
          <w:lang w:val="es-ES"/>
        </w:rPr>
        <w:lastRenderedPageBreak/>
        <w:t xml:space="preserve">a cabo realmente una investigación o procedimiento de clemencia, debido al hecho de que no tenía ningún expediente que demostrara que se llevó a cabo. La </w:t>
      </w:r>
      <w:r>
        <w:rPr>
          <w:rFonts w:asciiTheme="majorHAnsi" w:hAnsiTheme="majorHAnsi"/>
          <w:sz w:val="20"/>
          <w:szCs w:val="20"/>
          <w:lang w:val="es-ES"/>
        </w:rPr>
        <w:t>CSF</w:t>
      </w:r>
      <w:r w:rsidRPr="00456608">
        <w:rPr>
          <w:rFonts w:asciiTheme="majorHAnsi" w:hAnsiTheme="majorHAnsi"/>
          <w:sz w:val="20"/>
          <w:szCs w:val="20"/>
          <w:lang w:val="es-ES"/>
        </w:rPr>
        <w:t xml:space="preserve"> razonó que la incapacidad del Sr. Valle para determinar esto reflejaba su falta de investigación </w:t>
      </w:r>
      <w:r>
        <w:rPr>
          <w:rFonts w:asciiTheme="majorHAnsi" w:hAnsiTheme="majorHAnsi"/>
          <w:sz w:val="20"/>
          <w:szCs w:val="20"/>
          <w:lang w:val="es-ES"/>
        </w:rPr>
        <w:t xml:space="preserve">y presentación </w:t>
      </w:r>
      <w:r w:rsidRPr="00456608">
        <w:rPr>
          <w:rFonts w:asciiTheme="majorHAnsi" w:hAnsiTheme="majorHAnsi"/>
          <w:sz w:val="20"/>
          <w:szCs w:val="20"/>
          <w:lang w:val="es-ES"/>
        </w:rPr>
        <w:t xml:space="preserve">adecuada de la base fáctica del reclamo. El Sr. Valle denunció que se le negó el acceso a los registros solicitados sobre las investigaciones de </w:t>
      </w:r>
      <w:r>
        <w:rPr>
          <w:rFonts w:asciiTheme="majorHAnsi" w:hAnsiTheme="majorHAnsi"/>
          <w:sz w:val="20"/>
          <w:szCs w:val="20"/>
          <w:lang w:val="es-ES"/>
        </w:rPr>
        <w:t>clemencia</w:t>
      </w:r>
      <w:r w:rsidRPr="00456608">
        <w:rPr>
          <w:rFonts w:asciiTheme="majorHAnsi" w:hAnsiTheme="majorHAnsi"/>
          <w:sz w:val="20"/>
          <w:szCs w:val="20"/>
          <w:lang w:val="es-ES"/>
        </w:rPr>
        <w:t xml:space="preserve">. Sin embargo, no </w:t>
      </w:r>
      <w:r>
        <w:rPr>
          <w:rFonts w:asciiTheme="majorHAnsi" w:hAnsiTheme="majorHAnsi"/>
          <w:sz w:val="20"/>
          <w:szCs w:val="20"/>
          <w:lang w:val="es-ES"/>
        </w:rPr>
        <w:t xml:space="preserve">alegó ante la CSF </w:t>
      </w:r>
      <w:r w:rsidRPr="00456608">
        <w:rPr>
          <w:rFonts w:asciiTheme="majorHAnsi" w:hAnsiTheme="majorHAnsi"/>
          <w:sz w:val="20"/>
          <w:szCs w:val="20"/>
          <w:lang w:val="es-ES"/>
        </w:rPr>
        <w:t xml:space="preserve">que el </w:t>
      </w:r>
      <w:r>
        <w:rPr>
          <w:rFonts w:asciiTheme="majorHAnsi" w:hAnsiTheme="majorHAnsi"/>
          <w:sz w:val="20"/>
          <w:szCs w:val="20"/>
          <w:lang w:val="es-ES"/>
        </w:rPr>
        <w:t>T</w:t>
      </w:r>
      <w:r w:rsidRPr="00456608">
        <w:rPr>
          <w:rFonts w:asciiTheme="majorHAnsi" w:hAnsiTheme="majorHAnsi"/>
          <w:sz w:val="20"/>
          <w:szCs w:val="20"/>
          <w:lang w:val="es-ES"/>
        </w:rPr>
        <w:t xml:space="preserve">ribunal de </w:t>
      </w:r>
      <w:r>
        <w:rPr>
          <w:rFonts w:asciiTheme="majorHAnsi" w:hAnsiTheme="majorHAnsi"/>
          <w:sz w:val="20"/>
          <w:szCs w:val="20"/>
          <w:lang w:val="es-ES"/>
        </w:rPr>
        <w:t>C</w:t>
      </w:r>
      <w:r w:rsidRPr="00456608">
        <w:rPr>
          <w:rFonts w:asciiTheme="majorHAnsi" w:hAnsiTheme="majorHAnsi"/>
          <w:sz w:val="20"/>
          <w:szCs w:val="20"/>
          <w:lang w:val="es-ES"/>
        </w:rPr>
        <w:t xml:space="preserve">ircuito cometió un error al sostener las objeciones de la agencia o que se le negaron indebidamente los registros a los que tenía derecho. Con respecto a la declaración sobre la </w:t>
      </w:r>
      <w:r>
        <w:rPr>
          <w:rFonts w:asciiTheme="majorHAnsi" w:hAnsiTheme="majorHAnsi"/>
          <w:sz w:val="20"/>
          <w:szCs w:val="20"/>
          <w:lang w:val="es-ES"/>
        </w:rPr>
        <w:t>orden de ejecución que determinaba que la clemencia no resultaba apropiada</w:t>
      </w:r>
      <w:r w:rsidRPr="00456608">
        <w:rPr>
          <w:rFonts w:asciiTheme="majorHAnsi" w:hAnsiTheme="majorHAnsi"/>
          <w:sz w:val="20"/>
          <w:szCs w:val="20"/>
          <w:lang w:val="es-ES"/>
        </w:rPr>
        <w:t xml:space="preserve">; el Tribunal dio cuenta de un caso anterior en el que se concedió al recluso una audiencia de </w:t>
      </w:r>
      <w:r>
        <w:rPr>
          <w:rFonts w:asciiTheme="majorHAnsi" w:hAnsiTheme="majorHAnsi"/>
          <w:sz w:val="20"/>
          <w:szCs w:val="20"/>
          <w:lang w:val="es-ES"/>
        </w:rPr>
        <w:t>clemencia</w:t>
      </w:r>
      <w:r w:rsidRPr="00456608">
        <w:rPr>
          <w:rFonts w:asciiTheme="majorHAnsi" w:hAnsiTheme="majorHAnsi"/>
          <w:sz w:val="20"/>
          <w:szCs w:val="20"/>
          <w:lang w:val="es-ES"/>
        </w:rPr>
        <w:t xml:space="preserve"> total y la orden de ejecución que se firmó en algún momento posterior contenía la misma declaración.</w:t>
      </w:r>
    </w:p>
    <w:p w14:paraId="3D348285" w14:textId="77777777" w:rsidR="00C77B21" w:rsidRPr="00E36893" w:rsidRDefault="00C77B21" w:rsidP="00C77B2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2280102B" w14:textId="77777777" w:rsidR="00456608" w:rsidRPr="00456608" w:rsidRDefault="00456608"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456608">
        <w:rPr>
          <w:rFonts w:asciiTheme="majorHAnsi" w:hAnsiTheme="majorHAnsi"/>
          <w:sz w:val="20"/>
          <w:szCs w:val="20"/>
          <w:lang w:val="es-ES"/>
        </w:rPr>
        <w:t>Se reclamó que los treinta y tres años pasados en el corredor de la muerte constituían un</w:t>
      </w:r>
      <w:r>
        <w:rPr>
          <w:rFonts w:asciiTheme="majorHAnsi" w:hAnsiTheme="majorHAnsi"/>
          <w:sz w:val="20"/>
          <w:szCs w:val="20"/>
          <w:lang w:val="es-ES"/>
        </w:rPr>
        <w:t>a pena</w:t>
      </w:r>
      <w:r w:rsidRPr="00456608">
        <w:rPr>
          <w:rFonts w:asciiTheme="majorHAnsi" w:hAnsiTheme="majorHAnsi"/>
          <w:sz w:val="20"/>
          <w:szCs w:val="20"/>
          <w:lang w:val="es-ES"/>
        </w:rPr>
        <w:t xml:space="preserve"> cruel e inusual. </w:t>
      </w:r>
      <w:r>
        <w:rPr>
          <w:rFonts w:asciiTheme="majorHAnsi" w:hAnsiTheme="majorHAnsi"/>
          <w:sz w:val="20"/>
          <w:szCs w:val="20"/>
          <w:lang w:val="es-ES"/>
        </w:rPr>
        <w:t>La CSF</w:t>
      </w:r>
      <w:r w:rsidRPr="00456608">
        <w:rPr>
          <w:rFonts w:asciiTheme="majorHAnsi" w:hAnsiTheme="majorHAnsi"/>
          <w:sz w:val="20"/>
          <w:szCs w:val="20"/>
          <w:lang w:val="es-ES"/>
        </w:rPr>
        <w:t xml:space="preserve"> hizo referencia a la jurisprudencia </w:t>
      </w:r>
      <w:r>
        <w:rPr>
          <w:rFonts w:asciiTheme="majorHAnsi" w:hAnsiTheme="majorHAnsi"/>
          <w:sz w:val="20"/>
          <w:szCs w:val="20"/>
          <w:lang w:val="es-ES"/>
        </w:rPr>
        <w:t xml:space="preserve">y concluyó </w:t>
      </w:r>
      <w:r w:rsidRPr="00456608">
        <w:rPr>
          <w:rFonts w:asciiTheme="majorHAnsi" w:hAnsiTheme="majorHAnsi"/>
          <w:sz w:val="20"/>
          <w:szCs w:val="20"/>
          <w:lang w:val="es-ES"/>
        </w:rPr>
        <w:t xml:space="preserve">que ningún tribunal federal o estatal ha aceptado tal argumento, especialmente cuando ambas partes son responsables de la demora. El tribunal tomó nota del alegato del señor Valle de que el Estado afectó la demora de sus juicios durante los primeros diez años en el corredor de la muerte, extendiendo así su encarcelamiento. Sin embargo, el tribunal determinó que el señor Valle contribuyó a los veintitrés años restantes mediante </w:t>
      </w:r>
      <w:r>
        <w:rPr>
          <w:rFonts w:asciiTheme="majorHAnsi" w:hAnsiTheme="majorHAnsi"/>
          <w:sz w:val="20"/>
          <w:szCs w:val="20"/>
          <w:lang w:val="es-ES"/>
        </w:rPr>
        <w:t>la presentación continua</w:t>
      </w:r>
      <w:r w:rsidRPr="00456608">
        <w:rPr>
          <w:rFonts w:asciiTheme="majorHAnsi" w:hAnsiTheme="majorHAnsi"/>
          <w:sz w:val="20"/>
          <w:szCs w:val="20"/>
          <w:lang w:val="es-ES"/>
        </w:rPr>
        <w:t xml:space="preserve"> de impugnaciones constitucionales </w:t>
      </w:r>
      <w:r>
        <w:rPr>
          <w:rFonts w:asciiTheme="majorHAnsi" w:hAnsiTheme="majorHAnsi"/>
          <w:sz w:val="20"/>
          <w:szCs w:val="20"/>
          <w:lang w:val="es-ES"/>
        </w:rPr>
        <w:t xml:space="preserve">respecto </w:t>
      </w:r>
      <w:r w:rsidRPr="00456608">
        <w:rPr>
          <w:rFonts w:asciiTheme="majorHAnsi" w:hAnsiTheme="majorHAnsi"/>
          <w:sz w:val="20"/>
          <w:szCs w:val="20"/>
          <w:lang w:val="es-ES"/>
        </w:rPr>
        <w:t>de su</w:t>
      </w:r>
      <w:r>
        <w:rPr>
          <w:rFonts w:asciiTheme="majorHAnsi" w:hAnsiTheme="majorHAnsi"/>
          <w:sz w:val="20"/>
          <w:szCs w:val="20"/>
          <w:lang w:val="es-ES"/>
        </w:rPr>
        <w:t xml:space="preserve"> sentencia y</w:t>
      </w:r>
      <w:r w:rsidRPr="00456608">
        <w:rPr>
          <w:rFonts w:asciiTheme="majorHAnsi" w:hAnsiTheme="majorHAnsi"/>
          <w:sz w:val="20"/>
          <w:szCs w:val="20"/>
          <w:lang w:val="es-ES"/>
        </w:rPr>
        <w:t xml:space="preserve"> condena.</w:t>
      </w:r>
    </w:p>
    <w:p w14:paraId="25F91205" w14:textId="77777777" w:rsidR="001C52AF" w:rsidRPr="00E36893" w:rsidRDefault="001C52AF" w:rsidP="001C52A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sz w:val="20"/>
          <w:szCs w:val="20"/>
          <w:lang w:val="es-ES"/>
        </w:rPr>
      </w:pPr>
    </w:p>
    <w:p w14:paraId="5F351FD5" w14:textId="77777777" w:rsidR="00456608" w:rsidRPr="00D2426A" w:rsidRDefault="00456608" w:rsidP="007D7C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456608">
        <w:rPr>
          <w:rFonts w:asciiTheme="majorHAnsi" w:hAnsiTheme="majorHAnsi"/>
          <w:sz w:val="20"/>
          <w:szCs w:val="20"/>
          <w:lang w:val="es-ES"/>
        </w:rPr>
        <w:t xml:space="preserve">El señor Valle también alegó que tiene derecho a reparación ya que el Estado no le informó sobre el derecho de notificar al consulado de su arresto y de consultar con el consulado o un funcionario diplomático sin demora, según lo establecido en la Convención de Viena. </w:t>
      </w:r>
      <w:r w:rsidRPr="00D2426A">
        <w:rPr>
          <w:rFonts w:asciiTheme="majorHAnsi" w:hAnsiTheme="majorHAnsi"/>
          <w:sz w:val="20"/>
          <w:szCs w:val="20"/>
          <w:lang w:val="es-ES"/>
        </w:rPr>
        <w:t xml:space="preserve">El Tribunal razonó que el Tribunal de Circuito no se equivocó al negar esta reparación ya que el Sr. Valle basó su reclamo en un proyecto de ley federal que fue propuesto, pero aún no promulgado, que proporcionaría a los presos condenados a muerte un proceso para afirmar tal violación; sin embargo, se concluyó que un estado no tiene prohibido </w:t>
      </w:r>
      <w:r w:rsidR="00D2426A">
        <w:rPr>
          <w:rFonts w:asciiTheme="majorHAnsi" w:hAnsiTheme="majorHAnsi"/>
          <w:sz w:val="20"/>
          <w:szCs w:val="20"/>
          <w:lang w:val="es-ES"/>
        </w:rPr>
        <w:t>ejecutar</w:t>
      </w:r>
      <w:r w:rsidRPr="00D2426A">
        <w:rPr>
          <w:rFonts w:asciiTheme="majorHAnsi" w:hAnsiTheme="majorHAnsi"/>
          <w:sz w:val="20"/>
          <w:szCs w:val="20"/>
          <w:lang w:val="es-ES"/>
        </w:rPr>
        <w:t xml:space="preserve"> una sentencia legal a la luz de una legislación no promulgada que algún día podría autorizar un </w:t>
      </w:r>
      <w:r w:rsidR="00D2426A">
        <w:rPr>
          <w:rFonts w:asciiTheme="majorHAnsi" w:hAnsiTheme="majorHAnsi"/>
          <w:sz w:val="20"/>
          <w:szCs w:val="20"/>
          <w:lang w:val="es-ES"/>
        </w:rPr>
        <w:t>cuestionamiento</w:t>
      </w:r>
      <w:r w:rsidRPr="00D2426A">
        <w:rPr>
          <w:rFonts w:asciiTheme="majorHAnsi" w:hAnsiTheme="majorHAnsi"/>
          <w:sz w:val="20"/>
          <w:szCs w:val="20"/>
          <w:lang w:val="es-ES"/>
        </w:rPr>
        <w:t xml:space="preserve"> colateral a esa sentencia.</w:t>
      </w:r>
    </w:p>
    <w:p w14:paraId="14131C4D" w14:textId="77777777" w:rsidR="00CC06F6" w:rsidRPr="00E36893" w:rsidRDefault="00CC06F6" w:rsidP="00CC06F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textAlignment w:val="baseline"/>
        <w:rPr>
          <w:rFonts w:asciiTheme="majorHAnsi" w:hAnsiTheme="majorHAnsi"/>
          <w:b/>
          <w:sz w:val="20"/>
          <w:szCs w:val="20"/>
          <w:lang w:val="es-ES"/>
        </w:rPr>
      </w:pPr>
    </w:p>
    <w:p w14:paraId="3C317B5B" w14:textId="77777777" w:rsidR="00D2426A" w:rsidRPr="00D2426A" w:rsidRDefault="00D2426A" w:rsidP="00CC06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D2426A">
        <w:rPr>
          <w:rFonts w:asciiTheme="majorHAnsi" w:hAnsiTheme="majorHAnsi"/>
          <w:sz w:val="20"/>
          <w:szCs w:val="20"/>
          <w:lang w:val="es-ES"/>
        </w:rPr>
        <w:t xml:space="preserve">Habiendo considerado los reclamos y diversas afirmaciones, la </w:t>
      </w:r>
      <w:r>
        <w:rPr>
          <w:rFonts w:asciiTheme="majorHAnsi" w:hAnsiTheme="majorHAnsi"/>
          <w:sz w:val="20"/>
          <w:szCs w:val="20"/>
          <w:lang w:val="es-ES"/>
        </w:rPr>
        <w:t xml:space="preserve">CSF </w:t>
      </w:r>
      <w:r w:rsidRPr="00D2426A">
        <w:rPr>
          <w:rFonts w:asciiTheme="majorHAnsi" w:hAnsiTheme="majorHAnsi"/>
          <w:sz w:val="20"/>
          <w:szCs w:val="20"/>
          <w:lang w:val="es-ES"/>
        </w:rPr>
        <w:t>confirmó la negativa del Tribunal de Circuito y el señor Valle fue ejecutado el 28 de septiembre de 2011.</w:t>
      </w:r>
    </w:p>
    <w:p w14:paraId="5156338A" w14:textId="77777777" w:rsidR="00847431" w:rsidRPr="00E36893" w:rsidRDefault="00847431" w:rsidP="00EC55E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right="360"/>
        <w:jc w:val="both"/>
        <w:rPr>
          <w:rFonts w:asciiTheme="majorHAnsi" w:hAnsiTheme="majorHAnsi"/>
          <w:sz w:val="20"/>
          <w:szCs w:val="20"/>
          <w:lang w:val="es-ES"/>
        </w:rPr>
      </w:pPr>
    </w:p>
    <w:p w14:paraId="73041B08" w14:textId="77777777" w:rsidR="00677DA7" w:rsidRPr="00EC55EA" w:rsidRDefault="00B443C8" w:rsidP="00EC55EA">
      <w:pPr>
        <w:pStyle w:val="Heading1"/>
        <w:tabs>
          <w:tab w:val="left" w:pos="360"/>
        </w:tabs>
        <w:spacing w:before="0"/>
        <w:ind w:hanging="720"/>
        <w:rPr>
          <w:color w:val="auto"/>
          <w:sz w:val="20"/>
          <w:szCs w:val="20"/>
        </w:rPr>
      </w:pPr>
      <w:bookmarkStart w:id="14" w:name="_Toc90292577"/>
      <w:r>
        <w:rPr>
          <w:color w:val="auto"/>
          <w:sz w:val="20"/>
          <w:szCs w:val="20"/>
        </w:rPr>
        <w:t>ANALISIS DE DERECHO</w:t>
      </w:r>
      <w:bookmarkEnd w:id="14"/>
    </w:p>
    <w:p w14:paraId="7F8E034E" w14:textId="77777777" w:rsidR="00E57AC6" w:rsidRPr="00EC55EA" w:rsidRDefault="00E57AC6" w:rsidP="00EC55EA">
      <w:pPr>
        <w:rPr>
          <w:rFonts w:asciiTheme="majorHAnsi" w:hAnsiTheme="majorHAnsi"/>
          <w:sz w:val="20"/>
          <w:szCs w:val="20"/>
        </w:rPr>
      </w:pPr>
    </w:p>
    <w:p w14:paraId="0621BBDA" w14:textId="77777777" w:rsidR="00677DA7" w:rsidRPr="00EC55EA" w:rsidRDefault="00B443C8" w:rsidP="00EC55EA">
      <w:pPr>
        <w:pStyle w:val="Heading2"/>
        <w:numPr>
          <w:ilvl w:val="0"/>
          <w:numId w:val="61"/>
        </w:numPr>
        <w:tabs>
          <w:tab w:val="left" w:pos="360"/>
        </w:tabs>
        <w:spacing w:before="0"/>
        <w:ind w:left="0" w:firstLine="0"/>
        <w:rPr>
          <w:color w:val="auto"/>
          <w:sz w:val="20"/>
          <w:szCs w:val="20"/>
        </w:rPr>
      </w:pPr>
      <w:bookmarkStart w:id="15" w:name="_Toc90292578"/>
      <w:r>
        <w:rPr>
          <w:color w:val="auto"/>
          <w:sz w:val="20"/>
          <w:szCs w:val="20"/>
        </w:rPr>
        <w:t>Derecho</w:t>
      </w:r>
      <w:bookmarkEnd w:id="15"/>
    </w:p>
    <w:p w14:paraId="57305F0E" w14:textId="77777777" w:rsidR="00E57AC6" w:rsidRPr="00EC55EA" w:rsidRDefault="00E57AC6" w:rsidP="00EC55EA">
      <w:pPr>
        <w:pStyle w:val="ListParagraph"/>
        <w:rPr>
          <w:sz w:val="20"/>
          <w:szCs w:val="20"/>
        </w:rPr>
      </w:pPr>
    </w:p>
    <w:p w14:paraId="75BB7326" w14:textId="77777777" w:rsidR="00D2426A" w:rsidRPr="00D2426A" w:rsidRDefault="00D2426A" w:rsidP="00AF18F9">
      <w:pPr>
        <w:pStyle w:val="parrafos"/>
        <w:numPr>
          <w:ilvl w:val="0"/>
          <w:numId w:val="55"/>
        </w:numPr>
        <w:ind w:left="0" w:firstLine="0"/>
        <w:rPr>
          <w:rFonts w:ascii="Cambria" w:hAnsi="Cambria"/>
          <w:lang w:val="es-ES"/>
        </w:rPr>
      </w:pPr>
      <w:r w:rsidRPr="00D2426A">
        <w:rPr>
          <w:rFonts w:ascii="Cambria" w:hAnsi="Cambria"/>
          <w:lang w:val="es-ES"/>
        </w:rPr>
        <w:t>Las disposiciones de la Constitución de Florida con respecto a</w:t>
      </w:r>
      <w:r>
        <w:rPr>
          <w:rFonts w:ascii="Cambria" w:hAnsi="Cambria"/>
          <w:lang w:val="es-ES"/>
        </w:rPr>
        <w:t xml:space="preserve"> la clemencia</w:t>
      </w:r>
      <w:r w:rsidRPr="00D2426A">
        <w:rPr>
          <w:rFonts w:ascii="Cambria" w:hAnsi="Cambria"/>
          <w:lang w:val="es-ES"/>
        </w:rPr>
        <w:t xml:space="preserve"> se encuentran en el artículo IV, sección 8, y establecen lo siguient</w:t>
      </w:r>
      <w:r>
        <w:rPr>
          <w:rFonts w:ascii="Cambria" w:hAnsi="Cambria"/>
          <w:lang w:val="es-ES"/>
        </w:rPr>
        <w:t>e:</w:t>
      </w:r>
    </w:p>
    <w:p w14:paraId="333D7B8E" w14:textId="77777777" w:rsidR="00B46600" w:rsidRPr="00E36893" w:rsidRDefault="00B46600" w:rsidP="00AF18F9">
      <w:pPr>
        <w:pStyle w:val="parrafos"/>
        <w:ind w:left="426" w:right="288" w:firstLine="0"/>
        <w:rPr>
          <w:rFonts w:ascii="Cambria" w:hAnsi="Cambria"/>
          <w:lang w:val="es-ES"/>
        </w:rPr>
      </w:pPr>
    </w:p>
    <w:p w14:paraId="58B9CF13" w14:textId="77777777" w:rsidR="00D2426A" w:rsidRPr="00D2426A" w:rsidRDefault="00D2426A" w:rsidP="00D2426A">
      <w:pPr>
        <w:pStyle w:val="ListParagraph"/>
        <w:numPr>
          <w:ilvl w:val="0"/>
          <w:numId w:val="69"/>
        </w:numPr>
        <w:ind w:right="288"/>
        <w:jc w:val="both"/>
        <w:rPr>
          <w:rFonts w:asciiTheme="majorHAnsi" w:hAnsiTheme="majorHAnsi"/>
          <w:sz w:val="20"/>
          <w:szCs w:val="20"/>
          <w:bdr w:val="none" w:sz="0" w:space="0" w:color="auto"/>
          <w:lang w:val="es-ES"/>
        </w:rPr>
      </w:pPr>
      <w:r w:rsidRPr="00D2426A">
        <w:rPr>
          <w:rFonts w:asciiTheme="majorHAnsi" w:hAnsiTheme="majorHAnsi"/>
          <w:sz w:val="20"/>
          <w:szCs w:val="20"/>
          <w:bdr w:val="none" w:sz="0" w:space="0" w:color="auto"/>
          <w:lang w:val="es-ES"/>
        </w:rPr>
        <w:t xml:space="preserve">Excepto en casos de traición y en los casos en que el juicio político dé lugar a una condena, el gobernador podrá, mediante una orden ejecutiva presentada ante el custodio de los registros estatales, suspender el cobro de multas y decomisos, otorgar indultos que no excedan de sesenta días y, con la aprobación de dos miembros del gabinete, conceder indultos totales o condicionales, restablecer los derechos civiles, conmutar </w:t>
      </w:r>
      <w:r>
        <w:rPr>
          <w:rFonts w:asciiTheme="majorHAnsi" w:hAnsiTheme="majorHAnsi"/>
          <w:sz w:val="20"/>
          <w:szCs w:val="20"/>
          <w:bdr w:val="none" w:sz="0" w:space="0" w:color="auto"/>
          <w:lang w:val="es-ES"/>
        </w:rPr>
        <w:t>la pena</w:t>
      </w:r>
      <w:r w:rsidRPr="00D2426A">
        <w:rPr>
          <w:rFonts w:asciiTheme="majorHAnsi" w:hAnsiTheme="majorHAnsi"/>
          <w:sz w:val="20"/>
          <w:szCs w:val="20"/>
          <w:bdr w:val="none" w:sz="0" w:space="0" w:color="auto"/>
          <w:lang w:val="es-ES"/>
        </w:rPr>
        <w:t xml:space="preserve"> y </w:t>
      </w:r>
      <w:r>
        <w:rPr>
          <w:rFonts w:asciiTheme="majorHAnsi" w:hAnsiTheme="majorHAnsi"/>
          <w:sz w:val="20"/>
          <w:szCs w:val="20"/>
          <w:bdr w:val="none" w:sz="0" w:space="0" w:color="auto"/>
          <w:lang w:val="es-ES"/>
        </w:rPr>
        <w:t>cancelar</w:t>
      </w:r>
      <w:r w:rsidRPr="00D2426A">
        <w:rPr>
          <w:rFonts w:asciiTheme="majorHAnsi" w:hAnsiTheme="majorHAnsi"/>
          <w:sz w:val="20"/>
          <w:szCs w:val="20"/>
          <w:bdr w:val="none" w:sz="0" w:space="0" w:color="auto"/>
          <w:lang w:val="es-ES"/>
        </w:rPr>
        <w:t xml:space="preserve"> multas y decomisos por delitos.</w:t>
      </w:r>
    </w:p>
    <w:p w14:paraId="6B49F998" w14:textId="77777777" w:rsidR="00F24AB2" w:rsidRPr="00E36893" w:rsidRDefault="00F24AB2" w:rsidP="00F24AB2">
      <w:pPr>
        <w:rPr>
          <w:rFonts w:asciiTheme="majorHAnsi" w:hAnsiTheme="majorHAnsi"/>
          <w:sz w:val="20"/>
          <w:szCs w:val="20"/>
          <w:lang w:val="es-ES"/>
        </w:rPr>
      </w:pPr>
    </w:p>
    <w:p w14:paraId="0FF9396D" w14:textId="77777777" w:rsidR="00F24AB2" w:rsidRPr="00EC55EA" w:rsidRDefault="00B443C8" w:rsidP="00F24AB2">
      <w:pPr>
        <w:pStyle w:val="Heading2"/>
        <w:numPr>
          <w:ilvl w:val="0"/>
          <w:numId w:val="61"/>
        </w:numPr>
        <w:tabs>
          <w:tab w:val="left" w:pos="360"/>
        </w:tabs>
        <w:spacing w:before="0"/>
        <w:ind w:left="0" w:firstLine="0"/>
        <w:rPr>
          <w:color w:val="auto"/>
          <w:sz w:val="20"/>
          <w:szCs w:val="20"/>
        </w:rPr>
      </w:pPr>
      <w:bookmarkStart w:id="16" w:name="_Toc90292579"/>
      <w:r>
        <w:rPr>
          <w:color w:val="auto"/>
          <w:sz w:val="20"/>
          <w:szCs w:val="20"/>
        </w:rPr>
        <w:t>Consideraciones preliminares</w:t>
      </w:r>
      <w:bookmarkEnd w:id="16"/>
    </w:p>
    <w:p w14:paraId="671CD227" w14:textId="77777777" w:rsidR="00F24AB2" w:rsidRPr="00EC55EA" w:rsidRDefault="00F24AB2" w:rsidP="00F24AB2">
      <w:pPr>
        <w:pStyle w:val="ListParagraph"/>
        <w:rPr>
          <w:sz w:val="20"/>
          <w:szCs w:val="20"/>
        </w:rPr>
      </w:pPr>
    </w:p>
    <w:p w14:paraId="57B70DEA" w14:textId="77777777" w:rsidR="00D2426A" w:rsidRPr="00D2426A" w:rsidRDefault="00D2426A" w:rsidP="00EC55EA">
      <w:pPr>
        <w:pStyle w:val="parrafos"/>
        <w:numPr>
          <w:ilvl w:val="0"/>
          <w:numId w:val="55"/>
        </w:numPr>
        <w:ind w:left="0" w:firstLine="0"/>
        <w:rPr>
          <w:lang w:val="es-ES"/>
        </w:rPr>
      </w:pPr>
      <w:r w:rsidRPr="00D2426A">
        <w:rPr>
          <w:lang w:val="es-ES"/>
        </w:rPr>
        <w:t xml:space="preserve">Antes de emprender su análisis de fondo en el caso </w:t>
      </w:r>
      <w:r>
        <w:rPr>
          <w:lang w:val="es-ES"/>
        </w:rPr>
        <w:t xml:space="preserve">de </w:t>
      </w:r>
      <w:r w:rsidRPr="00D2426A">
        <w:rPr>
          <w:lang w:val="es-ES"/>
        </w:rPr>
        <w:t xml:space="preserve">Manuel Valle, la Comisión Interamericana reitera sus </w:t>
      </w:r>
      <w:r>
        <w:rPr>
          <w:lang w:val="es-ES"/>
        </w:rPr>
        <w:t>decisiones</w:t>
      </w:r>
      <w:r w:rsidRPr="00D2426A">
        <w:rPr>
          <w:lang w:val="es-ES"/>
        </w:rPr>
        <w:t xml:space="preserve"> anteriores sobre el escrutinio más riguroso que </w:t>
      </w:r>
      <w:r>
        <w:rPr>
          <w:lang w:val="es-ES"/>
        </w:rPr>
        <w:t>debe utilizarse</w:t>
      </w:r>
      <w:r w:rsidRPr="00D2426A">
        <w:rPr>
          <w:lang w:val="es-ES"/>
        </w:rPr>
        <w:t xml:space="preserve"> en los casos de pena de muerte. El derecho a la vida ha recibido un amplio reconocimiento como derecho humano supremo y como condición sine qua non para el disfrute de todos los demás derechos.</w:t>
      </w:r>
    </w:p>
    <w:p w14:paraId="249DAB7E" w14:textId="77777777" w:rsidR="00E57AC6" w:rsidRPr="00E36893" w:rsidRDefault="00E57AC6" w:rsidP="00EC55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4FC8C050" w14:textId="77777777" w:rsidR="00D2426A" w:rsidRPr="0029354F" w:rsidRDefault="0029354F" w:rsidP="00EC55EA">
      <w:pPr>
        <w:pStyle w:val="parrafos"/>
        <w:numPr>
          <w:ilvl w:val="0"/>
          <w:numId w:val="55"/>
        </w:numPr>
        <w:ind w:left="0" w:firstLine="0"/>
        <w:rPr>
          <w:lang w:val="es-ES"/>
        </w:rPr>
      </w:pPr>
      <w:r w:rsidRPr="0029354F">
        <w:rPr>
          <w:lang w:val="es-ES"/>
        </w:rPr>
        <w:t xml:space="preserve">Ello da lugar a la particular importancia de la obligación de la CIDH de asegurar que cualquier denegación de la vida que se derive de la ejecución de la pena de muerte, cumpla estrictamente con los requisitos establecidos en los instrumentos aplicables del sistema interamericano de derechos humanos, incluida la Declaración </w:t>
      </w:r>
      <w:r>
        <w:rPr>
          <w:lang w:val="es-ES"/>
        </w:rPr>
        <w:t>A</w:t>
      </w:r>
      <w:r w:rsidRPr="0029354F">
        <w:rPr>
          <w:lang w:val="es-ES"/>
        </w:rPr>
        <w:t xml:space="preserve">mericana. Ese mayor escrutinio es coherente con el enfoque restrictivo adoptado por otros </w:t>
      </w:r>
      <w:r w:rsidRPr="0029354F">
        <w:rPr>
          <w:lang w:val="es-ES"/>
        </w:rPr>
        <w:lastRenderedPageBreak/>
        <w:t>organismos internacionales de derechos humanos en casos de imposición de la pena de muerte,</w:t>
      </w:r>
      <w:r w:rsidRPr="00EC55EA">
        <w:rPr>
          <w:rStyle w:val="FootnoteReference"/>
        </w:rPr>
        <w:footnoteReference w:id="25"/>
      </w:r>
      <w:r w:rsidRPr="0029354F">
        <w:rPr>
          <w:lang w:val="es-ES"/>
        </w:rPr>
        <w:t xml:space="preserve"> y ha sido planteado y aplicado por la Comisión Interamericana en anteriores casos </w:t>
      </w:r>
      <w:r>
        <w:rPr>
          <w:lang w:val="es-ES"/>
        </w:rPr>
        <w:t>sobre pena de muerte</w:t>
      </w:r>
      <w:r w:rsidRPr="0029354F">
        <w:rPr>
          <w:lang w:val="es-ES"/>
        </w:rPr>
        <w:t xml:space="preserve"> presentados ante ella.</w:t>
      </w:r>
      <w:r w:rsidRPr="00EC55EA">
        <w:rPr>
          <w:rStyle w:val="FootnoteReference"/>
        </w:rPr>
        <w:footnoteReference w:id="26"/>
      </w:r>
      <w:r w:rsidRPr="0029354F">
        <w:rPr>
          <w:lang w:val="es-ES"/>
        </w:rPr>
        <w:t xml:space="preserve"> Como ha explicado la Comisión Interamericana, este estándar de revisión es la consecuencia necesaria de la pena específica en cuestión y del derecho a un juicio justo y todas las garantías del debido proceso, entre otros.</w:t>
      </w:r>
      <w:r w:rsidRPr="00EC55EA">
        <w:rPr>
          <w:rStyle w:val="FootnoteReference"/>
        </w:rPr>
        <w:footnoteReference w:id="27"/>
      </w:r>
      <w:r w:rsidRPr="0029354F">
        <w:rPr>
          <w:lang w:val="es-ES"/>
        </w:rPr>
        <w:t xml:space="preserve"> En palabras de la Comisión:</w:t>
      </w:r>
    </w:p>
    <w:p w14:paraId="63869819" w14:textId="77777777" w:rsidR="00E57AC6" w:rsidRPr="00EC55EA" w:rsidRDefault="00E57AC6" w:rsidP="00EC55EA">
      <w:pPr>
        <w:pStyle w:val="ListParagraph"/>
        <w:rPr>
          <w:sz w:val="20"/>
          <w:szCs w:val="20"/>
        </w:rPr>
      </w:pPr>
    </w:p>
    <w:p w14:paraId="3D85EB85" w14:textId="77777777" w:rsidR="0029354F" w:rsidRPr="00E36893" w:rsidRDefault="0029354F" w:rsidP="0029354F">
      <w:pPr>
        <w:autoSpaceDE w:val="0"/>
        <w:autoSpaceDN w:val="0"/>
        <w:adjustRightInd w:val="0"/>
        <w:ind w:left="360" w:right="360"/>
        <w:jc w:val="both"/>
        <w:rPr>
          <w:rFonts w:ascii="Cambria" w:hAnsi="Cambria" w:cs="Calibri"/>
          <w:sz w:val="18"/>
          <w:szCs w:val="18"/>
          <w:lang w:val="es-ES"/>
        </w:rPr>
      </w:pPr>
      <w:r w:rsidRPr="00E36893">
        <w:rPr>
          <w:rFonts w:ascii="Cambria" w:hAnsi="Cambria" w:cs="Calibri"/>
          <w:sz w:val="18"/>
          <w:szCs w:val="18"/>
          <w:lang w:val="es-ES"/>
        </w:rPr>
        <w:t>debido en parte a su carácter irrevocable e irreversible,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BF6BE9">
        <w:rPr>
          <w:rStyle w:val="FootnoteReference"/>
          <w:rFonts w:ascii="Cambria" w:hAnsi="Cambria"/>
          <w:sz w:val="18"/>
          <w:szCs w:val="18"/>
        </w:rPr>
        <w:footnoteReference w:id="28"/>
      </w:r>
    </w:p>
    <w:p w14:paraId="55A9317F" w14:textId="77777777" w:rsidR="00E57AC6" w:rsidRPr="00E36893" w:rsidRDefault="00E57AC6" w:rsidP="00EC55EA">
      <w:pPr>
        <w:jc w:val="both"/>
        <w:rPr>
          <w:rFonts w:ascii="Cambria" w:hAnsi="Cambria"/>
          <w:sz w:val="20"/>
          <w:szCs w:val="20"/>
          <w:lang w:val="es-ES"/>
        </w:rPr>
      </w:pPr>
    </w:p>
    <w:p w14:paraId="56DCA95B" w14:textId="77777777" w:rsidR="0029354F" w:rsidRPr="0029354F" w:rsidRDefault="0029354F" w:rsidP="00EC55EA">
      <w:pPr>
        <w:pStyle w:val="NormalWeb"/>
        <w:numPr>
          <w:ilvl w:val="0"/>
          <w:numId w:val="55"/>
        </w:numPr>
        <w:tabs>
          <w:tab w:val="left" w:pos="360"/>
        </w:tabs>
        <w:spacing w:before="0" w:beforeAutospacing="0" w:after="0" w:afterAutospacing="0"/>
        <w:ind w:left="0" w:firstLine="0"/>
        <w:jc w:val="both"/>
        <w:rPr>
          <w:rFonts w:ascii="Cambria" w:eastAsia="Arial Unicode MS" w:hAnsi="Cambria"/>
          <w:sz w:val="20"/>
          <w:szCs w:val="20"/>
          <w:bdr w:val="nil"/>
          <w:lang w:val="es-ES"/>
        </w:rPr>
      </w:pPr>
      <w:r w:rsidRPr="0029354F">
        <w:rPr>
          <w:rFonts w:ascii="Cambria" w:eastAsia="Arial Unicode MS" w:hAnsi="Cambria"/>
          <w:sz w:val="20"/>
          <w:szCs w:val="20"/>
          <w:bdr w:val="nil"/>
          <w:lang w:val="es-ES"/>
        </w:rPr>
        <w:t>Por lo tanto, la Comisión Interamericana revisará los alegatos de los peticionarios en el presente caso con un mayor nivel de escrutinio, para asegurar en particular que los derechos a la vida, a no recibir penas crueles, infam</w:t>
      </w:r>
      <w:r>
        <w:rPr>
          <w:rFonts w:ascii="Cambria" w:eastAsia="Arial Unicode MS" w:hAnsi="Cambria"/>
          <w:sz w:val="20"/>
          <w:szCs w:val="20"/>
          <w:bdr w:val="nil"/>
          <w:lang w:val="es-ES"/>
        </w:rPr>
        <w:t>ante</w:t>
      </w:r>
      <w:r w:rsidRPr="0029354F">
        <w:rPr>
          <w:rFonts w:ascii="Cambria" w:eastAsia="Arial Unicode MS" w:hAnsi="Cambria"/>
          <w:sz w:val="20"/>
          <w:szCs w:val="20"/>
          <w:bdr w:val="nil"/>
          <w:lang w:val="es-ES"/>
        </w:rPr>
        <w:t xml:space="preserve">s o </w:t>
      </w:r>
      <w:r>
        <w:rPr>
          <w:rFonts w:ascii="Cambria" w:eastAsia="Arial Unicode MS" w:hAnsi="Cambria"/>
          <w:sz w:val="20"/>
          <w:szCs w:val="20"/>
          <w:bdr w:val="nil"/>
          <w:lang w:val="es-ES"/>
        </w:rPr>
        <w:t>inusitadas</w:t>
      </w:r>
      <w:r w:rsidRPr="0029354F">
        <w:rPr>
          <w:rFonts w:ascii="Cambria" w:eastAsia="Arial Unicode MS" w:hAnsi="Cambria"/>
          <w:sz w:val="20"/>
          <w:szCs w:val="20"/>
          <w:bdr w:val="nil"/>
          <w:lang w:val="es-ES"/>
        </w:rPr>
        <w:t>, al debido proceso y a un juicio justo según lo prescrito en la Declaración Americana, han sido respetados por el Estado. Con respecto al estatus legal de la Declaración Americana, la CIDH reitera que:</w:t>
      </w:r>
      <w:r w:rsidRPr="00EC55EA">
        <w:rPr>
          <w:rStyle w:val="FootnoteReference"/>
          <w:rFonts w:ascii="Cambria" w:hAnsi="Cambria"/>
          <w:sz w:val="20"/>
          <w:szCs w:val="20"/>
        </w:rPr>
        <w:footnoteReference w:id="29"/>
      </w:r>
    </w:p>
    <w:p w14:paraId="6A59E830" w14:textId="77777777" w:rsidR="0029354F" w:rsidRPr="00E36893" w:rsidRDefault="0029354F" w:rsidP="0029354F">
      <w:pPr>
        <w:tabs>
          <w:tab w:val="left" w:pos="630"/>
          <w:tab w:val="left" w:pos="810"/>
        </w:tabs>
        <w:autoSpaceDE w:val="0"/>
        <w:autoSpaceDN w:val="0"/>
        <w:adjustRightInd w:val="0"/>
        <w:jc w:val="both"/>
        <w:rPr>
          <w:rFonts w:ascii="Cambria" w:hAnsi="Cambria" w:cs="Calibri"/>
          <w:sz w:val="20"/>
          <w:szCs w:val="20"/>
          <w:lang w:val="es-ES"/>
        </w:rPr>
      </w:pPr>
      <w:r w:rsidRPr="00E36893">
        <w:rPr>
          <w:rFonts w:ascii="Cambria" w:hAnsi="Cambria" w:cs="Calibri"/>
          <w:sz w:val="20"/>
          <w:szCs w:val="20"/>
          <w:lang w:val="es-ES"/>
        </w:rPr>
        <w:tab/>
      </w:r>
    </w:p>
    <w:p w14:paraId="162D7B5E" w14:textId="77777777" w:rsidR="0029354F" w:rsidRPr="0029354F" w:rsidRDefault="0029354F" w:rsidP="0029354F">
      <w:pPr>
        <w:tabs>
          <w:tab w:val="left" w:pos="630"/>
          <w:tab w:val="left" w:pos="810"/>
        </w:tabs>
        <w:autoSpaceDE w:val="0"/>
        <w:autoSpaceDN w:val="0"/>
        <w:adjustRightInd w:val="0"/>
        <w:ind w:left="360" w:right="360"/>
        <w:jc w:val="both"/>
        <w:rPr>
          <w:rFonts w:ascii="Cambria" w:hAnsi="Cambria"/>
          <w:sz w:val="18"/>
          <w:szCs w:val="18"/>
          <w:lang w:val="es-ES"/>
        </w:rPr>
      </w:pPr>
      <w:r w:rsidRPr="00E36893">
        <w:rPr>
          <w:rFonts w:ascii="Cambria" w:hAnsi="Cambria"/>
          <w:sz w:val="18"/>
          <w:szCs w:val="18"/>
          <w:lang w:val="es-ES"/>
        </w:rPr>
        <w:t xml:space="preserve">Para los Estados Miembros que no son parte de la Convención Americana, la Declaración es la fuente de obligaciones internacionales relacionadas con la Carta de la OEA. </w:t>
      </w:r>
      <w:r w:rsidRPr="0029354F">
        <w:rPr>
          <w:rFonts w:ascii="Cambria" w:hAnsi="Cambria"/>
          <w:sz w:val="18"/>
          <w:szCs w:val="18"/>
          <w:lang w:val="es-ES"/>
        </w:rPr>
        <w:t>La Carta de la Organización confirió a la CIDH la función principal de promover la observancia y la protección de los derechos humanos en los Estados Miembros. El artículo 106 de la Carta de la OEA, sin embargo, no enumera o define esos derechos. La Asamblea General de la OEA, en su noveno período ordinario de sesiones celebrado en La Paz, Bolivia, en octubre de 1979, convino en que esos derechos son aquellos enunciados y definidos en la Declaración Americana143. Por lo tanto, la Declaración Americana cristaliza los principios fundamentales reconocidos por los Estados americanos. La Asamblea General de la OEA también ha reconocido repetidamente que la Declaración constituye una fuente de obligaciones internacionales para los Estados Miembros de la OEA.</w:t>
      </w:r>
    </w:p>
    <w:p w14:paraId="69E27746" w14:textId="77777777" w:rsidR="00E57AC6" w:rsidRPr="0029354F" w:rsidRDefault="00E57AC6" w:rsidP="0029354F">
      <w:pPr>
        <w:rPr>
          <w:sz w:val="20"/>
          <w:szCs w:val="20"/>
          <w:lang w:val="es-ES"/>
        </w:rPr>
      </w:pPr>
    </w:p>
    <w:p w14:paraId="3006A620" w14:textId="77777777" w:rsidR="0029354F" w:rsidRPr="00BC71C5" w:rsidRDefault="00BC71C5" w:rsidP="00EC55EA">
      <w:pPr>
        <w:pStyle w:val="NormalWeb"/>
        <w:numPr>
          <w:ilvl w:val="0"/>
          <w:numId w:val="55"/>
        </w:numPr>
        <w:tabs>
          <w:tab w:val="left" w:pos="360"/>
        </w:tabs>
        <w:spacing w:before="0" w:beforeAutospacing="0" w:after="0" w:afterAutospacing="0"/>
        <w:ind w:left="0" w:firstLine="0"/>
        <w:jc w:val="both"/>
        <w:rPr>
          <w:rFonts w:asciiTheme="majorHAnsi" w:eastAsia="Arial Unicode MS" w:hAnsiTheme="majorHAnsi"/>
          <w:sz w:val="20"/>
          <w:szCs w:val="20"/>
          <w:bdr w:val="nil"/>
          <w:lang w:val="es-ES"/>
        </w:rPr>
      </w:pPr>
      <w:r w:rsidRPr="00BC71C5">
        <w:rPr>
          <w:rFonts w:asciiTheme="majorHAnsi" w:eastAsia="Arial Unicode MS" w:hAnsiTheme="majorHAnsi"/>
          <w:sz w:val="20"/>
          <w:szCs w:val="20"/>
          <w:bdr w:val="nil"/>
          <w:lang w:val="es-ES"/>
        </w:rPr>
        <w:t>Por último, la Comisión recuerda que su revisión no consiste en determinar que la pena de muerte en sí misma viola la Declaración Americana. Lo que se aborda en esta sección es el estándar de revisión de las presuntas violaciones de derechos humanos en el contexto de un proceso penal en un caso de aplicación de la pena de muerte.</w:t>
      </w:r>
    </w:p>
    <w:p w14:paraId="0A1FF078" w14:textId="77777777" w:rsidR="00847431" w:rsidRPr="00E36893" w:rsidRDefault="00847431" w:rsidP="00EC55EA">
      <w:pPr>
        <w:rPr>
          <w:lang w:val="es-ES"/>
        </w:rPr>
      </w:pPr>
    </w:p>
    <w:p w14:paraId="0658F314" w14:textId="77777777" w:rsidR="00677DA7" w:rsidRPr="00126FD8" w:rsidRDefault="00B443C8" w:rsidP="00EC55EA">
      <w:pPr>
        <w:pStyle w:val="Heading2"/>
        <w:numPr>
          <w:ilvl w:val="0"/>
          <w:numId w:val="61"/>
        </w:numPr>
        <w:tabs>
          <w:tab w:val="left" w:pos="360"/>
        </w:tabs>
        <w:spacing w:before="0"/>
        <w:ind w:left="0" w:firstLine="0"/>
        <w:jc w:val="both"/>
        <w:rPr>
          <w:color w:val="auto"/>
          <w:sz w:val="20"/>
          <w:szCs w:val="20"/>
          <w:lang w:val="es-ES"/>
        </w:rPr>
      </w:pPr>
      <w:bookmarkStart w:id="17" w:name="_Toc90292580"/>
      <w:r w:rsidRPr="00126FD8">
        <w:rPr>
          <w:color w:val="auto"/>
          <w:sz w:val="20"/>
          <w:szCs w:val="20"/>
          <w:lang w:val="es-ES"/>
        </w:rPr>
        <w:t xml:space="preserve">Derecho </w:t>
      </w:r>
      <w:r w:rsidR="00126FD8" w:rsidRPr="00126FD8">
        <w:rPr>
          <w:color w:val="auto"/>
          <w:sz w:val="20"/>
          <w:szCs w:val="20"/>
          <w:lang w:val="es-ES"/>
        </w:rPr>
        <w:t>de justicia</w:t>
      </w:r>
      <w:r w:rsidR="002E3921" w:rsidRPr="00126FD8">
        <w:rPr>
          <w:color w:val="auto"/>
          <w:sz w:val="20"/>
          <w:szCs w:val="20"/>
          <w:lang w:val="es-ES"/>
        </w:rPr>
        <w:t>,</w:t>
      </w:r>
      <w:r w:rsidR="00F61B4C" w:rsidRPr="00EC55EA">
        <w:rPr>
          <w:rStyle w:val="FootnoteReference"/>
          <w:color w:val="auto"/>
          <w:sz w:val="20"/>
          <w:szCs w:val="20"/>
        </w:rPr>
        <w:footnoteReference w:id="30"/>
      </w:r>
      <w:r w:rsidR="002E3921" w:rsidRPr="00126FD8">
        <w:rPr>
          <w:color w:val="auto"/>
          <w:sz w:val="20"/>
          <w:szCs w:val="20"/>
          <w:lang w:val="es-ES"/>
        </w:rPr>
        <w:t xml:space="preserve"> </w:t>
      </w:r>
      <w:r w:rsidR="00126FD8" w:rsidRPr="00126FD8">
        <w:rPr>
          <w:color w:val="auto"/>
          <w:sz w:val="20"/>
          <w:szCs w:val="20"/>
          <w:lang w:val="es-ES"/>
        </w:rPr>
        <w:t>derecho de petición</w:t>
      </w:r>
      <w:r w:rsidR="002E3921" w:rsidRPr="00126FD8">
        <w:rPr>
          <w:color w:val="auto"/>
          <w:sz w:val="20"/>
          <w:szCs w:val="20"/>
          <w:lang w:val="es-ES"/>
        </w:rPr>
        <w:t>,</w:t>
      </w:r>
      <w:r w:rsidR="009C03AE" w:rsidRPr="00EC55EA">
        <w:rPr>
          <w:rStyle w:val="FootnoteReference"/>
          <w:color w:val="auto"/>
          <w:sz w:val="20"/>
          <w:szCs w:val="20"/>
        </w:rPr>
        <w:footnoteReference w:id="31"/>
      </w:r>
      <w:r w:rsidR="00BE66B0" w:rsidRPr="00126FD8">
        <w:rPr>
          <w:color w:val="auto"/>
          <w:sz w:val="20"/>
          <w:szCs w:val="20"/>
          <w:lang w:val="es-ES"/>
        </w:rPr>
        <w:t xml:space="preserve"> </w:t>
      </w:r>
      <w:r w:rsidR="00126FD8" w:rsidRPr="00126FD8">
        <w:rPr>
          <w:color w:val="auto"/>
          <w:sz w:val="20"/>
          <w:szCs w:val="20"/>
          <w:lang w:val="es-ES"/>
        </w:rPr>
        <w:t xml:space="preserve">y derecho </w:t>
      </w:r>
      <w:r w:rsidR="00126FD8">
        <w:rPr>
          <w:color w:val="auto"/>
          <w:sz w:val="20"/>
          <w:szCs w:val="20"/>
          <w:lang w:val="es-ES"/>
        </w:rPr>
        <w:t>a proceso regular</w:t>
      </w:r>
      <w:r w:rsidR="00F61B4C" w:rsidRPr="00EC55EA">
        <w:rPr>
          <w:rStyle w:val="FootnoteReference"/>
          <w:color w:val="auto"/>
          <w:sz w:val="20"/>
          <w:szCs w:val="20"/>
        </w:rPr>
        <w:footnoteReference w:id="32"/>
      </w:r>
      <w:bookmarkEnd w:id="17"/>
      <w:r w:rsidR="00B55F23" w:rsidRPr="00126FD8">
        <w:rPr>
          <w:color w:val="auto"/>
          <w:sz w:val="20"/>
          <w:szCs w:val="20"/>
          <w:lang w:val="es-ES"/>
        </w:rPr>
        <w:t xml:space="preserve"> </w:t>
      </w:r>
    </w:p>
    <w:p w14:paraId="1D7204AF" w14:textId="77777777" w:rsidR="005D447F" w:rsidRPr="00126FD8" w:rsidRDefault="005D447F" w:rsidP="00EC55EA">
      <w:pPr>
        <w:pStyle w:val="NormalWeb"/>
        <w:tabs>
          <w:tab w:val="left" w:pos="360"/>
        </w:tabs>
        <w:spacing w:before="0" w:beforeAutospacing="0" w:after="0" w:afterAutospacing="0"/>
        <w:jc w:val="both"/>
        <w:rPr>
          <w:rFonts w:asciiTheme="majorHAnsi" w:hAnsiTheme="majorHAnsi"/>
          <w:sz w:val="20"/>
          <w:szCs w:val="20"/>
          <w:lang w:val="es-ES"/>
        </w:rPr>
      </w:pPr>
    </w:p>
    <w:p w14:paraId="3A2A6CD0" w14:textId="77777777" w:rsidR="004C5505" w:rsidRPr="00126FD8" w:rsidRDefault="00126FD8" w:rsidP="00EC55EA">
      <w:pPr>
        <w:pStyle w:val="Heading3"/>
        <w:numPr>
          <w:ilvl w:val="1"/>
          <w:numId w:val="53"/>
        </w:numPr>
        <w:spacing w:before="0"/>
        <w:ind w:left="360"/>
        <w:rPr>
          <w:color w:val="auto"/>
          <w:sz w:val="20"/>
          <w:szCs w:val="20"/>
          <w:lang w:val="es-ES"/>
        </w:rPr>
      </w:pPr>
      <w:bookmarkStart w:id="18" w:name="_Toc90292581"/>
      <w:r w:rsidRPr="00126FD8">
        <w:rPr>
          <w:color w:val="auto"/>
          <w:sz w:val="20"/>
          <w:szCs w:val="20"/>
          <w:lang w:val="es-ES"/>
        </w:rPr>
        <w:t>Derecho a la información sobre asistencia consultar</w:t>
      </w:r>
      <w:bookmarkEnd w:id="18"/>
      <w:r w:rsidR="00EB0BBC" w:rsidRPr="00126FD8">
        <w:rPr>
          <w:color w:val="auto"/>
          <w:sz w:val="20"/>
          <w:szCs w:val="20"/>
          <w:lang w:val="es-ES"/>
        </w:rPr>
        <w:t xml:space="preserve"> </w:t>
      </w:r>
    </w:p>
    <w:p w14:paraId="089D4D18" w14:textId="77777777" w:rsidR="004C5505" w:rsidRPr="00126FD8" w:rsidRDefault="004C5505" w:rsidP="00EC55EA">
      <w:pPr>
        <w:pStyle w:val="NormalWeb"/>
        <w:tabs>
          <w:tab w:val="left" w:pos="360"/>
        </w:tabs>
        <w:spacing w:before="0" w:beforeAutospacing="0" w:after="0" w:afterAutospacing="0"/>
        <w:jc w:val="both"/>
        <w:rPr>
          <w:rFonts w:asciiTheme="majorHAnsi" w:hAnsiTheme="majorHAnsi"/>
          <w:sz w:val="20"/>
          <w:szCs w:val="20"/>
          <w:lang w:val="es-ES"/>
        </w:rPr>
      </w:pPr>
    </w:p>
    <w:p w14:paraId="15A349EB" w14:textId="77777777" w:rsidR="00BC71C5" w:rsidRPr="00BC71C5" w:rsidRDefault="00BC71C5" w:rsidP="00EC55EA">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lang w:val="es-ES"/>
        </w:rPr>
      </w:pPr>
      <w:r w:rsidRPr="00BC71C5">
        <w:rPr>
          <w:rFonts w:asciiTheme="majorHAnsi" w:hAnsiTheme="majorHAnsi"/>
          <w:sz w:val="20"/>
          <w:szCs w:val="20"/>
          <w:lang w:val="es-ES"/>
        </w:rPr>
        <w:t xml:space="preserve">La Comisión ha determinado en casos anteriores que es necesario y apropiado considerar en qué medida un Estado parte ha dado efecto a los requisitos del artículo 36 de la Convención de Viena con el fin de evaluar </w:t>
      </w:r>
      <w:r w:rsidRPr="00BC71C5">
        <w:rPr>
          <w:rFonts w:asciiTheme="majorHAnsi" w:hAnsiTheme="majorHAnsi"/>
          <w:sz w:val="20"/>
          <w:szCs w:val="20"/>
          <w:lang w:val="es-ES"/>
        </w:rPr>
        <w:lastRenderedPageBreak/>
        <w:t>el cumplimiento de ese Estado con los derechos al debido proceso de un ciudadano extranjero</w:t>
      </w:r>
      <w:r>
        <w:rPr>
          <w:rFonts w:asciiTheme="majorHAnsi" w:hAnsiTheme="majorHAnsi"/>
          <w:sz w:val="20"/>
          <w:szCs w:val="20"/>
          <w:lang w:val="es-ES"/>
        </w:rPr>
        <w:t>,</w:t>
      </w:r>
      <w:r w:rsidRPr="00BC71C5">
        <w:rPr>
          <w:rFonts w:asciiTheme="majorHAnsi" w:hAnsiTheme="majorHAnsi"/>
          <w:sz w:val="20"/>
          <w:szCs w:val="20"/>
          <w:lang w:val="es-ES"/>
        </w:rPr>
        <w:t xml:space="preserve"> de conformidad con los artículos XVIII y XXVI de la Declaración Americana. Por lo tanto, sí considera el cumplimiento del artículo 36 de la Convención de Viena al interpretar y aplicar las disposiciones de la Declaración Americana a un extranjero que haya sido detenido, </w:t>
      </w:r>
      <w:r>
        <w:rPr>
          <w:rFonts w:asciiTheme="majorHAnsi" w:hAnsiTheme="majorHAnsi"/>
          <w:sz w:val="20"/>
          <w:szCs w:val="20"/>
          <w:lang w:val="es-ES"/>
        </w:rPr>
        <w:t>llevad</w:t>
      </w:r>
      <w:r w:rsidRPr="00BC71C5">
        <w:rPr>
          <w:rFonts w:asciiTheme="majorHAnsi" w:hAnsiTheme="majorHAnsi"/>
          <w:sz w:val="20"/>
          <w:szCs w:val="20"/>
          <w:lang w:val="es-ES"/>
        </w:rPr>
        <w:t>o a juicio</w:t>
      </w:r>
      <w:r>
        <w:rPr>
          <w:rFonts w:asciiTheme="majorHAnsi" w:hAnsiTheme="majorHAnsi"/>
          <w:sz w:val="20"/>
          <w:szCs w:val="20"/>
          <w:lang w:val="es-ES"/>
        </w:rPr>
        <w:t xml:space="preserve"> o </w:t>
      </w:r>
      <w:r w:rsidRPr="00BC71C5">
        <w:rPr>
          <w:rFonts w:asciiTheme="majorHAnsi" w:hAnsiTheme="majorHAnsi"/>
          <w:sz w:val="20"/>
          <w:szCs w:val="20"/>
          <w:lang w:val="es-ES"/>
        </w:rPr>
        <w:t xml:space="preserve">detenido en espera de juicio, o se encuentre detenido de cualquier otra forma por ese </w:t>
      </w:r>
      <w:r>
        <w:rPr>
          <w:rFonts w:asciiTheme="majorHAnsi" w:hAnsiTheme="majorHAnsi"/>
          <w:sz w:val="20"/>
          <w:szCs w:val="20"/>
          <w:lang w:val="es-ES"/>
        </w:rPr>
        <w:t>E</w:t>
      </w:r>
      <w:r w:rsidRPr="00BC71C5">
        <w:rPr>
          <w:rFonts w:asciiTheme="majorHAnsi" w:hAnsiTheme="majorHAnsi"/>
          <w:sz w:val="20"/>
          <w:szCs w:val="20"/>
          <w:lang w:val="es-ES"/>
        </w:rPr>
        <w:t>stado.</w:t>
      </w:r>
      <w:r w:rsidRPr="00EC55EA">
        <w:rPr>
          <w:rStyle w:val="FootnoteReference"/>
          <w:rFonts w:asciiTheme="majorHAnsi" w:hAnsiTheme="majorHAnsi"/>
          <w:sz w:val="20"/>
          <w:szCs w:val="20"/>
        </w:rPr>
        <w:footnoteReference w:id="33"/>
      </w:r>
    </w:p>
    <w:p w14:paraId="345778B0" w14:textId="77777777" w:rsidR="00FD3996" w:rsidRPr="00E36893" w:rsidRDefault="00FD3996" w:rsidP="00EC55EA">
      <w:pPr>
        <w:pStyle w:val="NormalWeb"/>
        <w:tabs>
          <w:tab w:val="left" w:pos="360"/>
        </w:tabs>
        <w:spacing w:before="0" w:beforeAutospacing="0" w:after="0" w:afterAutospacing="0"/>
        <w:jc w:val="both"/>
        <w:rPr>
          <w:rFonts w:asciiTheme="majorHAnsi" w:hAnsiTheme="majorHAnsi"/>
          <w:sz w:val="20"/>
          <w:szCs w:val="20"/>
          <w:lang w:val="es-ES"/>
        </w:rPr>
      </w:pPr>
    </w:p>
    <w:p w14:paraId="1ABDDA3F" w14:textId="77777777" w:rsidR="00BC71C5" w:rsidRPr="00BC71C5" w:rsidRDefault="00BC71C5" w:rsidP="00EB0BBC">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lang w:val="es-ES"/>
        </w:rPr>
      </w:pPr>
      <w:r w:rsidRPr="00BC71C5">
        <w:rPr>
          <w:rFonts w:asciiTheme="majorHAnsi" w:hAnsiTheme="majorHAnsi"/>
          <w:sz w:val="20"/>
          <w:szCs w:val="20"/>
          <w:lang w:val="es-ES"/>
        </w:rPr>
        <w:t>En su Opinión Consultiva OC-16/99, la Corte Interamericana estableció que los incisos (b) y (c) del artículo 36(1) de la Convención de Viena “</w:t>
      </w:r>
      <w:r>
        <w:rPr>
          <w:rFonts w:asciiTheme="majorHAnsi" w:hAnsiTheme="majorHAnsi"/>
          <w:sz w:val="20"/>
          <w:szCs w:val="20"/>
          <w:lang w:val="es-ES"/>
        </w:rPr>
        <w:t>consagra, entre otros, el derecho del extranjero privado de la libertad a ser informado, “sin dilación”, de que tiene</w:t>
      </w:r>
      <w:r w:rsidRPr="00BC71C5">
        <w:rPr>
          <w:rFonts w:asciiTheme="majorHAnsi" w:hAnsiTheme="majorHAnsi"/>
          <w:sz w:val="20"/>
          <w:szCs w:val="20"/>
          <w:lang w:val="es-ES"/>
        </w:rPr>
        <w:t>:</w:t>
      </w:r>
    </w:p>
    <w:p w14:paraId="006A625B" w14:textId="77777777" w:rsidR="00BC71C5" w:rsidRPr="00E36893" w:rsidRDefault="00BC71C5" w:rsidP="00BC71C5">
      <w:pPr>
        <w:rPr>
          <w:rFonts w:asciiTheme="majorHAnsi" w:hAnsiTheme="majorHAnsi"/>
          <w:sz w:val="20"/>
          <w:szCs w:val="20"/>
          <w:lang w:val="es-ES"/>
        </w:rPr>
      </w:pPr>
    </w:p>
    <w:p w14:paraId="0C4BEAC5" w14:textId="77777777" w:rsidR="00BC71C5" w:rsidRPr="00BC71C5" w:rsidRDefault="00BC71C5" w:rsidP="00BC71C5">
      <w:pPr>
        <w:pStyle w:val="NormalWeb"/>
        <w:tabs>
          <w:tab w:val="left" w:pos="360"/>
        </w:tabs>
        <w:spacing w:before="0" w:beforeAutospacing="0" w:after="0" w:afterAutospacing="0"/>
        <w:ind w:left="360" w:right="360"/>
        <w:jc w:val="both"/>
        <w:rPr>
          <w:rFonts w:asciiTheme="majorHAnsi" w:hAnsiTheme="majorHAnsi"/>
          <w:sz w:val="18"/>
          <w:szCs w:val="18"/>
          <w:lang w:val="es-ES"/>
        </w:rPr>
      </w:pPr>
      <w:r w:rsidRPr="00BC71C5">
        <w:rPr>
          <w:rFonts w:asciiTheme="majorHAnsi" w:hAnsiTheme="majorHAnsi"/>
          <w:sz w:val="18"/>
          <w:szCs w:val="18"/>
          <w:lang w:val="es-ES"/>
        </w:rPr>
        <w:t>a) derecho a solicitar y obtener que las autoridades competentes del Estado receptor informen a la oficina consular competente sobre su arresto, detención o puesta en prisión preventiva, y</w:t>
      </w:r>
    </w:p>
    <w:p w14:paraId="577A3366" w14:textId="77777777" w:rsidR="00EB0BBC" w:rsidRDefault="00BC71C5" w:rsidP="00BC71C5">
      <w:pPr>
        <w:pStyle w:val="NormalWeb"/>
        <w:tabs>
          <w:tab w:val="left" w:pos="360"/>
        </w:tabs>
        <w:spacing w:before="0" w:beforeAutospacing="0" w:after="0" w:afterAutospacing="0"/>
        <w:ind w:left="360" w:right="360"/>
        <w:jc w:val="both"/>
        <w:rPr>
          <w:rFonts w:asciiTheme="majorHAnsi" w:hAnsiTheme="majorHAnsi"/>
          <w:sz w:val="18"/>
          <w:szCs w:val="18"/>
          <w:lang w:val="es-ES"/>
        </w:rPr>
      </w:pPr>
      <w:r w:rsidRPr="00BC71C5">
        <w:rPr>
          <w:rFonts w:asciiTheme="majorHAnsi" w:hAnsiTheme="majorHAnsi"/>
          <w:sz w:val="18"/>
          <w:szCs w:val="18"/>
          <w:lang w:val="es-ES"/>
        </w:rPr>
        <w:t>b) derecho a dirigir a la oficina consular competente cualquier comunicación, para que ésta le sea transmitida “sin demora</w:t>
      </w:r>
      <w:r w:rsidR="00EB0BBC" w:rsidRPr="00BC71C5">
        <w:rPr>
          <w:rFonts w:asciiTheme="majorHAnsi" w:hAnsiTheme="majorHAnsi"/>
          <w:sz w:val="18"/>
          <w:szCs w:val="18"/>
          <w:lang w:val="es-ES"/>
        </w:rPr>
        <w:t>.”</w:t>
      </w:r>
      <w:r w:rsidR="00EB0BBC" w:rsidRPr="00EB0BBC">
        <w:rPr>
          <w:rStyle w:val="FootnoteReference"/>
          <w:rFonts w:asciiTheme="majorHAnsi" w:hAnsiTheme="majorHAnsi"/>
          <w:sz w:val="18"/>
          <w:szCs w:val="18"/>
        </w:rPr>
        <w:footnoteReference w:id="34"/>
      </w:r>
    </w:p>
    <w:p w14:paraId="0612BF5D" w14:textId="77777777" w:rsidR="00BC71C5" w:rsidRPr="00BC71C5" w:rsidRDefault="00BC71C5" w:rsidP="00BC71C5">
      <w:pPr>
        <w:pStyle w:val="NormalWeb"/>
        <w:tabs>
          <w:tab w:val="left" w:pos="360"/>
        </w:tabs>
        <w:spacing w:before="0" w:beforeAutospacing="0" w:after="0" w:afterAutospacing="0"/>
        <w:ind w:right="360"/>
        <w:jc w:val="both"/>
        <w:rPr>
          <w:rFonts w:asciiTheme="majorHAnsi" w:hAnsiTheme="majorHAnsi"/>
          <w:sz w:val="18"/>
          <w:szCs w:val="18"/>
          <w:lang w:val="es-ES"/>
        </w:rPr>
      </w:pPr>
    </w:p>
    <w:p w14:paraId="184412C7" w14:textId="77777777" w:rsidR="00FD3996" w:rsidRPr="00BC71C5" w:rsidRDefault="00BC71C5" w:rsidP="00BC71C5">
      <w:pPr>
        <w:pStyle w:val="NormalWeb"/>
        <w:numPr>
          <w:ilvl w:val="0"/>
          <w:numId w:val="55"/>
        </w:numPr>
        <w:tabs>
          <w:tab w:val="left" w:pos="360"/>
        </w:tabs>
        <w:spacing w:before="0" w:beforeAutospacing="0" w:after="0" w:afterAutospacing="0"/>
        <w:ind w:left="0" w:firstLine="0"/>
        <w:jc w:val="both"/>
        <w:rPr>
          <w:rFonts w:asciiTheme="majorHAnsi" w:hAnsiTheme="majorHAnsi"/>
          <w:sz w:val="20"/>
          <w:szCs w:val="20"/>
          <w:lang w:val="es-ES"/>
        </w:rPr>
      </w:pPr>
      <w:r w:rsidRPr="00BC71C5">
        <w:rPr>
          <w:rFonts w:asciiTheme="majorHAnsi" w:hAnsiTheme="majorHAnsi"/>
          <w:sz w:val="20"/>
          <w:szCs w:val="20"/>
          <w:lang w:val="es-ES"/>
        </w:rPr>
        <w:t xml:space="preserve">La importancia del derecho a la información sobre la asistencia consular también se refleja en pautas prácticas como las adoptadas por la </w:t>
      </w:r>
      <w:r w:rsidRPr="00BC71C5">
        <w:rPr>
          <w:rFonts w:asciiTheme="majorHAnsi" w:hAnsiTheme="majorHAnsi"/>
          <w:i/>
          <w:iCs/>
          <w:sz w:val="20"/>
          <w:szCs w:val="20"/>
          <w:lang w:val="es-ES"/>
        </w:rPr>
        <w:t>American Bar Association</w:t>
      </w:r>
      <w:r w:rsidRPr="00BC71C5">
        <w:rPr>
          <w:rFonts w:asciiTheme="majorHAnsi" w:hAnsiTheme="majorHAnsi"/>
          <w:sz w:val="20"/>
          <w:szCs w:val="20"/>
          <w:lang w:val="es-ES"/>
        </w:rPr>
        <w:t xml:space="preserve">, una organización nacional para la profesión jurídica en los Estados Unidos, en relación con los derechos al debido proceso de los extranjeros en los procesos penales. La ABA ha indicado en sus </w:t>
      </w:r>
      <w:r>
        <w:rPr>
          <w:rFonts w:asciiTheme="majorHAnsi" w:hAnsiTheme="majorHAnsi"/>
          <w:sz w:val="20"/>
          <w:szCs w:val="20"/>
          <w:lang w:val="es-ES"/>
        </w:rPr>
        <w:t>“</w:t>
      </w:r>
      <w:r w:rsidRPr="00BC71C5">
        <w:rPr>
          <w:rFonts w:asciiTheme="majorHAnsi" w:hAnsiTheme="majorHAnsi"/>
          <w:sz w:val="20"/>
          <w:szCs w:val="20"/>
          <w:lang w:val="es-ES"/>
        </w:rPr>
        <w:t xml:space="preserve">Directrices para el </w:t>
      </w:r>
      <w:r>
        <w:rPr>
          <w:rFonts w:asciiTheme="majorHAnsi" w:hAnsiTheme="majorHAnsi"/>
          <w:sz w:val="20"/>
          <w:szCs w:val="20"/>
          <w:lang w:val="es-ES"/>
        </w:rPr>
        <w:t>N</w:t>
      </w:r>
      <w:r w:rsidRPr="00BC71C5">
        <w:rPr>
          <w:rFonts w:asciiTheme="majorHAnsi" w:hAnsiTheme="majorHAnsi"/>
          <w:sz w:val="20"/>
          <w:szCs w:val="20"/>
          <w:lang w:val="es-ES"/>
        </w:rPr>
        <w:t xml:space="preserve">ombramiento y </w:t>
      </w:r>
      <w:r>
        <w:rPr>
          <w:rFonts w:asciiTheme="majorHAnsi" w:hAnsiTheme="majorHAnsi"/>
          <w:sz w:val="20"/>
          <w:szCs w:val="20"/>
          <w:lang w:val="es-ES"/>
        </w:rPr>
        <w:t>D</w:t>
      </w:r>
      <w:r w:rsidRPr="00BC71C5">
        <w:rPr>
          <w:rFonts w:asciiTheme="majorHAnsi" w:hAnsiTheme="majorHAnsi"/>
          <w:sz w:val="20"/>
          <w:szCs w:val="20"/>
          <w:lang w:val="es-ES"/>
        </w:rPr>
        <w:t xml:space="preserve">esempeño de </w:t>
      </w:r>
      <w:r>
        <w:rPr>
          <w:rFonts w:asciiTheme="majorHAnsi" w:hAnsiTheme="majorHAnsi"/>
          <w:sz w:val="20"/>
          <w:szCs w:val="20"/>
          <w:lang w:val="es-ES"/>
        </w:rPr>
        <w:t>A</w:t>
      </w:r>
      <w:r w:rsidRPr="00BC71C5">
        <w:rPr>
          <w:rFonts w:asciiTheme="majorHAnsi" w:hAnsiTheme="majorHAnsi"/>
          <w:sz w:val="20"/>
          <w:szCs w:val="20"/>
          <w:lang w:val="es-ES"/>
        </w:rPr>
        <w:t xml:space="preserve">bogados </w:t>
      </w:r>
      <w:r>
        <w:rPr>
          <w:rFonts w:asciiTheme="majorHAnsi" w:hAnsiTheme="majorHAnsi"/>
          <w:sz w:val="20"/>
          <w:szCs w:val="20"/>
          <w:lang w:val="es-ES"/>
        </w:rPr>
        <w:t>D</w:t>
      </w:r>
      <w:r w:rsidRPr="00BC71C5">
        <w:rPr>
          <w:rFonts w:asciiTheme="majorHAnsi" w:hAnsiTheme="majorHAnsi"/>
          <w:sz w:val="20"/>
          <w:szCs w:val="20"/>
          <w:lang w:val="es-ES"/>
        </w:rPr>
        <w:t xml:space="preserve">efensores en </w:t>
      </w:r>
      <w:r>
        <w:rPr>
          <w:rFonts w:asciiTheme="majorHAnsi" w:hAnsiTheme="majorHAnsi"/>
          <w:sz w:val="20"/>
          <w:szCs w:val="20"/>
          <w:lang w:val="es-ES"/>
        </w:rPr>
        <w:t>C</w:t>
      </w:r>
      <w:r w:rsidRPr="00BC71C5">
        <w:rPr>
          <w:rFonts w:asciiTheme="majorHAnsi" w:hAnsiTheme="majorHAnsi"/>
          <w:sz w:val="20"/>
          <w:szCs w:val="20"/>
          <w:lang w:val="es-ES"/>
        </w:rPr>
        <w:t xml:space="preserve">asos de </w:t>
      </w:r>
      <w:r>
        <w:rPr>
          <w:rFonts w:asciiTheme="majorHAnsi" w:hAnsiTheme="majorHAnsi"/>
          <w:sz w:val="20"/>
          <w:szCs w:val="20"/>
          <w:lang w:val="es-ES"/>
        </w:rPr>
        <w:t>P</w:t>
      </w:r>
      <w:r w:rsidRPr="00BC71C5">
        <w:rPr>
          <w:rFonts w:asciiTheme="majorHAnsi" w:hAnsiTheme="majorHAnsi"/>
          <w:sz w:val="20"/>
          <w:szCs w:val="20"/>
          <w:lang w:val="es-ES"/>
        </w:rPr>
        <w:t xml:space="preserve">ena de </w:t>
      </w:r>
      <w:r>
        <w:rPr>
          <w:rFonts w:asciiTheme="majorHAnsi" w:hAnsiTheme="majorHAnsi"/>
          <w:sz w:val="20"/>
          <w:szCs w:val="20"/>
          <w:lang w:val="es-ES"/>
        </w:rPr>
        <w:t>M</w:t>
      </w:r>
      <w:r w:rsidRPr="00BC71C5">
        <w:rPr>
          <w:rFonts w:asciiTheme="majorHAnsi" w:hAnsiTheme="majorHAnsi"/>
          <w:sz w:val="20"/>
          <w:szCs w:val="20"/>
          <w:lang w:val="es-ES"/>
        </w:rPr>
        <w:t>uerte que</w:t>
      </w:r>
      <w:r w:rsidR="00FD3996" w:rsidRPr="00BC71C5">
        <w:rPr>
          <w:rFonts w:ascii="Cambria" w:hAnsi="Cambria"/>
          <w:sz w:val="20"/>
          <w:szCs w:val="20"/>
          <w:lang w:val="es-ES"/>
        </w:rPr>
        <w:t>:</w:t>
      </w:r>
      <w:r w:rsidR="00FD3996" w:rsidRPr="00EC55EA">
        <w:rPr>
          <w:rStyle w:val="FootnoteReference"/>
          <w:rFonts w:ascii="Cambria" w:hAnsi="Cambria" w:cs="Arial"/>
          <w:sz w:val="20"/>
          <w:szCs w:val="20"/>
        </w:rPr>
        <w:footnoteReference w:id="35"/>
      </w:r>
    </w:p>
    <w:p w14:paraId="0691146B" w14:textId="77777777" w:rsidR="00FD3996" w:rsidRPr="00BC71C5" w:rsidRDefault="00FD3996" w:rsidP="00EC55EA">
      <w:pPr>
        <w:jc w:val="both"/>
        <w:rPr>
          <w:rFonts w:ascii="Cambria" w:hAnsi="Cambria" w:cs="Arial"/>
          <w:sz w:val="20"/>
          <w:szCs w:val="20"/>
          <w:lang w:val="es-ES"/>
        </w:rPr>
      </w:pPr>
    </w:p>
    <w:p w14:paraId="06C90239" w14:textId="1557C351" w:rsidR="00FD3996" w:rsidRPr="008448B4" w:rsidRDefault="008448B4" w:rsidP="008448B4">
      <w:pPr>
        <w:ind w:left="360" w:right="360"/>
        <w:jc w:val="both"/>
        <w:rPr>
          <w:rFonts w:ascii="Cambria" w:hAnsi="Cambria" w:cs="Arial"/>
          <w:sz w:val="18"/>
          <w:szCs w:val="18"/>
          <w:lang w:val="es-ES"/>
        </w:rPr>
      </w:pPr>
      <w:r w:rsidRPr="008448B4">
        <w:rPr>
          <w:rFonts w:ascii="Cambria" w:hAnsi="Cambria" w:cs="Arial"/>
          <w:sz w:val="18"/>
          <w:szCs w:val="18"/>
          <w:lang w:val="es-ES"/>
        </w:rPr>
        <w:t>[a] menos que el abogado predecesor ya lo haya hecho, el abogado que represente a un ciudadano extranjero debe: 1. informar inmediatamente al cliente de su derecho a comunicarse con la oficina consular correspondiente; y 2. obtener el consentimiento del cliente para comunicarse con la oficina consular. Después de obtener el consentimiento, el abogado debe comunicarse inmediatamente con la oficina consular del cliente e informarle de la detención o arresto del cliente</w:t>
      </w:r>
      <w:r w:rsidR="003E7F11">
        <w:rPr>
          <w:rFonts w:ascii="Cambria" w:hAnsi="Cambria" w:cs="Arial"/>
          <w:sz w:val="18"/>
          <w:szCs w:val="18"/>
          <w:lang w:val="es-ES"/>
        </w:rPr>
        <w:t xml:space="preserve"> </w:t>
      </w:r>
      <w:r w:rsidR="00FD3996" w:rsidRPr="008448B4">
        <w:rPr>
          <w:rFonts w:ascii="Cambria" w:hAnsi="Cambria" w:cs="Arial"/>
          <w:sz w:val="18"/>
          <w:szCs w:val="18"/>
          <w:lang w:val="es-ES"/>
        </w:rPr>
        <w:t>[…]</w:t>
      </w:r>
    </w:p>
    <w:p w14:paraId="686704C5" w14:textId="77777777" w:rsidR="00FD3996" w:rsidRPr="008448B4" w:rsidRDefault="00FD3996" w:rsidP="00EC55EA">
      <w:pPr>
        <w:pStyle w:val="NormalWeb"/>
        <w:tabs>
          <w:tab w:val="left" w:pos="360"/>
        </w:tabs>
        <w:spacing w:before="0" w:beforeAutospacing="0" w:after="0" w:afterAutospacing="0"/>
        <w:jc w:val="both"/>
        <w:rPr>
          <w:rFonts w:ascii="Cambria" w:hAnsi="Cambria"/>
          <w:sz w:val="20"/>
          <w:szCs w:val="20"/>
          <w:lang w:val="es-ES"/>
        </w:rPr>
      </w:pPr>
    </w:p>
    <w:p w14:paraId="532EDF05" w14:textId="77777777" w:rsidR="008448B4" w:rsidRPr="008448B4" w:rsidRDefault="008448B4"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lang w:val="es-ES"/>
        </w:rPr>
      </w:pPr>
      <w:r w:rsidRPr="008448B4">
        <w:rPr>
          <w:rFonts w:ascii="Cambria" w:hAnsi="Cambria"/>
          <w:sz w:val="20"/>
          <w:szCs w:val="20"/>
          <w:lang w:val="es-ES"/>
        </w:rPr>
        <w:t>En este caso, la Comisión observa que los peticionarios afirman que el señor Valle es nacional de Cuba; afirmaciones que hasta la fecha no han sido impugnadas por el Estado. Los peticionarios alegan que el señor Valle no fue informado de su derecho a la información sobre asistencia consular al momento de su arresto y nunca se contactó ni recibió asistencia del gobierno cubano. Se afirma que si el Sr. Valle conociera sus derechos en virtud del artículo 36 de la Convención de Viena, se habría valido de sus derechos y es probable que el contacto con el cónsul hubiera resultado en asistencia.</w:t>
      </w:r>
    </w:p>
    <w:p w14:paraId="482E9A68" w14:textId="77777777" w:rsidR="00F810EB" w:rsidRPr="00E36893" w:rsidRDefault="00F810EB" w:rsidP="00057843">
      <w:pPr>
        <w:pStyle w:val="NormalWeb"/>
        <w:tabs>
          <w:tab w:val="left" w:pos="360"/>
        </w:tabs>
        <w:spacing w:before="0" w:beforeAutospacing="0" w:after="0" w:afterAutospacing="0"/>
        <w:jc w:val="both"/>
        <w:rPr>
          <w:rFonts w:ascii="Cambria" w:hAnsi="Cambria"/>
          <w:sz w:val="20"/>
          <w:szCs w:val="20"/>
          <w:lang w:val="es-ES"/>
        </w:rPr>
      </w:pPr>
    </w:p>
    <w:p w14:paraId="3EE66E95" w14:textId="77777777" w:rsidR="008448B4" w:rsidRPr="008448B4" w:rsidRDefault="008448B4"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lang w:val="es-ES"/>
        </w:rPr>
      </w:pPr>
      <w:r w:rsidRPr="008448B4">
        <w:rPr>
          <w:rFonts w:ascii="Cambria" w:hAnsi="Cambria"/>
          <w:sz w:val="20"/>
          <w:szCs w:val="20"/>
          <w:lang w:val="es-ES"/>
        </w:rPr>
        <w:t>El Estado no ha refutado los argumentos de los peticionarios al respecto. En consecuencia, con base en la información y argumentos presentados, la Comisión concluye que la presunta víctima no fue notificada de su derecho a la notificación consular en el momento de sus respectivas detenciones o posteriormente.</w:t>
      </w:r>
    </w:p>
    <w:p w14:paraId="292D2C10" w14:textId="77777777" w:rsidR="002F023D" w:rsidRPr="00E36893" w:rsidRDefault="002F023D" w:rsidP="00EC55EA">
      <w:pPr>
        <w:rPr>
          <w:sz w:val="20"/>
          <w:szCs w:val="20"/>
          <w:lang w:val="es-ES"/>
        </w:rPr>
      </w:pPr>
    </w:p>
    <w:p w14:paraId="450024CC" w14:textId="77777777" w:rsidR="008448B4" w:rsidRPr="008448B4" w:rsidRDefault="008448B4" w:rsidP="00EC55EA">
      <w:pPr>
        <w:pStyle w:val="NormalWeb"/>
        <w:numPr>
          <w:ilvl w:val="0"/>
          <w:numId w:val="55"/>
        </w:numPr>
        <w:tabs>
          <w:tab w:val="left" w:pos="360"/>
        </w:tabs>
        <w:spacing w:before="0" w:beforeAutospacing="0" w:after="0" w:afterAutospacing="0"/>
        <w:ind w:left="0" w:firstLine="0"/>
        <w:jc w:val="both"/>
        <w:rPr>
          <w:rFonts w:ascii="Cambria" w:hAnsi="Cambria"/>
          <w:sz w:val="20"/>
          <w:szCs w:val="20"/>
          <w:lang w:val="es-ES"/>
        </w:rPr>
      </w:pPr>
      <w:r w:rsidRPr="008448B4">
        <w:rPr>
          <w:rFonts w:ascii="Cambria" w:hAnsi="Cambria"/>
          <w:sz w:val="20"/>
          <w:szCs w:val="20"/>
          <w:lang w:val="es-ES"/>
        </w:rPr>
        <w:t>Con base en lo anterior, la Comisión concluye que la obligación del Estado en virtud del artículo 36 de la Convención de Viena de informar al señor Valle (al momento de su detención) de su derecho a la información sobre la asistencia consular constituyó un componente fundamental de l</w:t>
      </w:r>
      <w:r>
        <w:rPr>
          <w:rFonts w:ascii="Cambria" w:hAnsi="Cambria"/>
          <w:sz w:val="20"/>
          <w:szCs w:val="20"/>
          <w:lang w:val="es-ES"/>
        </w:rPr>
        <w:t xml:space="preserve">os estándares </w:t>
      </w:r>
      <w:r w:rsidRPr="008448B4">
        <w:rPr>
          <w:rFonts w:ascii="Cambria" w:hAnsi="Cambria"/>
          <w:sz w:val="20"/>
          <w:szCs w:val="20"/>
          <w:lang w:val="es-ES"/>
        </w:rPr>
        <w:t>del debido proceso que le corresponde en virtud de los artículos XVIII y XXVI de la Declaración, y que la falta de respeto y garantía por parte del Estado de esta obligación privó a la presunta víctima de un proceso penal que cumplió con los estándares mínimos del debido proceso y un juicio justo requeridos por los artículos XVIII y XXVI de la Declaración.</w:t>
      </w:r>
    </w:p>
    <w:p w14:paraId="31908EC9" w14:textId="77777777" w:rsidR="003D684D" w:rsidRPr="00E36893" w:rsidRDefault="003D684D" w:rsidP="003D684D">
      <w:pPr>
        <w:pStyle w:val="NormalWeb"/>
        <w:tabs>
          <w:tab w:val="left" w:pos="360"/>
        </w:tabs>
        <w:spacing w:before="0" w:beforeAutospacing="0" w:after="0" w:afterAutospacing="0"/>
        <w:jc w:val="both"/>
        <w:rPr>
          <w:rFonts w:asciiTheme="majorHAnsi" w:hAnsiTheme="majorHAnsi"/>
          <w:sz w:val="20"/>
          <w:szCs w:val="20"/>
          <w:lang w:val="es-ES"/>
        </w:rPr>
      </w:pPr>
    </w:p>
    <w:p w14:paraId="11C28559" w14:textId="77777777" w:rsidR="003D684D" w:rsidRPr="00126FD8" w:rsidRDefault="00126FD8" w:rsidP="003D684D">
      <w:pPr>
        <w:pStyle w:val="Heading3"/>
        <w:numPr>
          <w:ilvl w:val="1"/>
          <w:numId w:val="53"/>
        </w:numPr>
        <w:spacing w:before="0"/>
        <w:ind w:left="360"/>
        <w:rPr>
          <w:color w:val="auto"/>
          <w:sz w:val="20"/>
          <w:szCs w:val="20"/>
          <w:lang w:val="es-ES"/>
        </w:rPr>
      </w:pPr>
      <w:bookmarkStart w:id="19" w:name="_Toc90292582"/>
      <w:r w:rsidRPr="00126FD8">
        <w:rPr>
          <w:color w:val="auto"/>
          <w:sz w:val="20"/>
          <w:szCs w:val="20"/>
          <w:lang w:val="es-ES"/>
        </w:rPr>
        <w:t>Derecho a pro</w:t>
      </w:r>
      <w:r w:rsidR="008448B4">
        <w:rPr>
          <w:color w:val="auto"/>
          <w:sz w:val="20"/>
          <w:szCs w:val="20"/>
          <w:lang w:val="es-ES"/>
        </w:rPr>
        <w:t>ced</w:t>
      </w:r>
      <w:r w:rsidRPr="00126FD8">
        <w:rPr>
          <w:color w:val="auto"/>
          <w:sz w:val="20"/>
          <w:szCs w:val="20"/>
          <w:lang w:val="es-ES"/>
        </w:rPr>
        <w:t>imientos de clemencia</w:t>
      </w:r>
      <w:bookmarkEnd w:id="19"/>
      <w:r w:rsidR="003D684D" w:rsidRPr="00126FD8">
        <w:rPr>
          <w:color w:val="auto"/>
          <w:sz w:val="20"/>
          <w:szCs w:val="20"/>
          <w:lang w:val="es-ES"/>
        </w:rPr>
        <w:t xml:space="preserve"> </w:t>
      </w:r>
    </w:p>
    <w:p w14:paraId="6E825004" w14:textId="77777777" w:rsidR="00A3072C" w:rsidRPr="00126FD8" w:rsidRDefault="00A3072C" w:rsidP="00A3072C">
      <w:pPr>
        <w:pStyle w:val="ListParagraph"/>
        <w:rPr>
          <w:sz w:val="20"/>
          <w:szCs w:val="20"/>
          <w:lang w:val="es-ES"/>
        </w:rPr>
      </w:pPr>
    </w:p>
    <w:p w14:paraId="18449B7F" w14:textId="77777777" w:rsidR="008448B4" w:rsidRPr="008448B4" w:rsidRDefault="008448B4" w:rsidP="00D31511">
      <w:pPr>
        <w:pStyle w:val="NormalWeb"/>
        <w:numPr>
          <w:ilvl w:val="0"/>
          <w:numId w:val="55"/>
        </w:numPr>
        <w:tabs>
          <w:tab w:val="left" w:pos="360"/>
        </w:tabs>
        <w:spacing w:beforeLines="1" w:before="2" w:beforeAutospacing="0" w:afterLines="1" w:after="2" w:afterAutospacing="0"/>
        <w:ind w:left="0" w:firstLine="0"/>
        <w:jc w:val="both"/>
        <w:rPr>
          <w:rFonts w:asciiTheme="majorHAnsi" w:eastAsiaTheme="minorHAnsi" w:hAnsiTheme="majorHAnsi"/>
          <w:sz w:val="20"/>
          <w:szCs w:val="20"/>
          <w:lang w:val="es-ES"/>
        </w:rPr>
      </w:pPr>
      <w:r w:rsidRPr="008448B4">
        <w:rPr>
          <w:rFonts w:asciiTheme="majorHAnsi" w:eastAsiaTheme="minorHAnsi" w:hAnsiTheme="majorHAnsi"/>
          <w:sz w:val="20"/>
          <w:szCs w:val="20"/>
          <w:lang w:val="es-ES"/>
        </w:rPr>
        <w:lastRenderedPageBreak/>
        <w:t>Como se señaló en Medellín y otros,</w:t>
      </w:r>
      <w:r w:rsidRPr="002F0138">
        <w:rPr>
          <w:rStyle w:val="FootnoteReference"/>
          <w:rFonts w:asciiTheme="majorHAnsi" w:eastAsiaTheme="minorHAnsi" w:hAnsiTheme="majorHAnsi"/>
          <w:sz w:val="20"/>
          <w:szCs w:val="20"/>
        </w:rPr>
        <w:footnoteReference w:id="36"/>
      </w:r>
      <w:r w:rsidRPr="008448B4">
        <w:rPr>
          <w:rFonts w:asciiTheme="majorHAnsi" w:eastAsiaTheme="minorHAnsi" w:hAnsiTheme="majorHAnsi"/>
          <w:sz w:val="20"/>
          <w:szCs w:val="20"/>
          <w:lang w:val="es-ES"/>
        </w:rPr>
        <w:t xml:space="preserve"> la Comisión ha sostenido anteriormente que el derecho a solicitar la amnistía, el indulto o la conmutación de la pena en los instrumentos interamericanos de derechos humanos, aunque no necesariamente está sujeto a las protecciones plenas del debido proceso, está sujeto a ciertas garantías mínimas de </w:t>
      </w:r>
      <w:r>
        <w:rPr>
          <w:rFonts w:asciiTheme="majorHAnsi" w:eastAsiaTheme="minorHAnsi" w:hAnsiTheme="majorHAnsi"/>
          <w:sz w:val="20"/>
          <w:szCs w:val="20"/>
          <w:lang w:val="es-ES"/>
        </w:rPr>
        <w:t>justicia</w:t>
      </w:r>
      <w:r w:rsidRPr="008448B4">
        <w:rPr>
          <w:rFonts w:asciiTheme="majorHAnsi" w:eastAsiaTheme="minorHAnsi" w:hAnsiTheme="majorHAnsi"/>
          <w:sz w:val="20"/>
          <w:szCs w:val="20"/>
          <w:lang w:val="es-ES"/>
        </w:rPr>
        <w:t xml:space="preserve"> para presos condenados a fin de que el derecho sea efectivamente respetado y disfrutado.</w:t>
      </w:r>
      <w:r w:rsidRPr="002F0138">
        <w:rPr>
          <w:rStyle w:val="FootnoteReference"/>
          <w:rFonts w:asciiTheme="majorHAnsi" w:eastAsiaTheme="minorHAnsi" w:hAnsiTheme="majorHAnsi"/>
          <w:sz w:val="20"/>
          <w:szCs w:val="20"/>
        </w:rPr>
        <w:footnoteReference w:id="37"/>
      </w:r>
      <w:r w:rsidRPr="008448B4">
        <w:rPr>
          <w:rFonts w:asciiTheme="majorHAnsi" w:eastAsiaTheme="minorHAnsi" w:hAnsiTheme="majorHAnsi"/>
          <w:sz w:val="20"/>
          <w:szCs w:val="20"/>
          <w:lang w:val="es-ES"/>
        </w:rPr>
        <w:t xml:space="preserve"> </w:t>
      </w:r>
      <w:r>
        <w:rPr>
          <w:rFonts w:asciiTheme="majorHAnsi" w:eastAsiaTheme="minorHAnsi" w:hAnsiTheme="majorHAnsi"/>
          <w:sz w:val="20"/>
          <w:szCs w:val="20"/>
          <w:lang w:val="es-ES"/>
        </w:rPr>
        <w:t>Se ha considerado que e</w:t>
      </w:r>
      <w:r w:rsidRPr="008448B4">
        <w:rPr>
          <w:rFonts w:asciiTheme="majorHAnsi" w:eastAsiaTheme="minorHAnsi" w:hAnsiTheme="majorHAnsi"/>
          <w:sz w:val="20"/>
          <w:szCs w:val="20"/>
          <w:lang w:val="es-ES"/>
        </w:rPr>
        <w:t xml:space="preserve">stas protecciones procesales </w:t>
      </w:r>
      <w:r>
        <w:rPr>
          <w:rFonts w:asciiTheme="majorHAnsi" w:eastAsiaTheme="minorHAnsi" w:hAnsiTheme="majorHAnsi"/>
          <w:sz w:val="20"/>
          <w:szCs w:val="20"/>
          <w:lang w:val="es-ES"/>
        </w:rPr>
        <w:t>incluyen</w:t>
      </w:r>
      <w:r w:rsidRPr="008448B4">
        <w:rPr>
          <w:rFonts w:asciiTheme="majorHAnsi" w:eastAsiaTheme="minorHAnsi" w:hAnsiTheme="majorHAnsi"/>
          <w:sz w:val="20"/>
          <w:szCs w:val="20"/>
          <w:lang w:val="es-ES"/>
        </w:rPr>
        <w:t xml:space="preserve"> el derecho de los presos condenados a presentar una solicitud de amnistía, indulto o conmutación de pena, a ser informados de cuándo la autoridad competente considerará el caso del infractor, a realizar gestiones, en persona o por un abogado </w:t>
      </w:r>
      <w:r>
        <w:rPr>
          <w:rFonts w:asciiTheme="majorHAnsi" w:eastAsiaTheme="minorHAnsi" w:hAnsiTheme="majorHAnsi"/>
          <w:sz w:val="20"/>
          <w:szCs w:val="20"/>
          <w:lang w:val="es-ES"/>
        </w:rPr>
        <w:t>ante</w:t>
      </w:r>
      <w:r w:rsidRPr="008448B4">
        <w:rPr>
          <w:rFonts w:asciiTheme="majorHAnsi" w:eastAsiaTheme="minorHAnsi" w:hAnsiTheme="majorHAnsi"/>
          <w:sz w:val="20"/>
          <w:szCs w:val="20"/>
          <w:lang w:val="es-ES"/>
        </w:rPr>
        <w:t xml:space="preserve"> la autoridad competente, y recibir una decisión de dicha autoridad dentro de un plazo razonable antes de su ejecución.</w:t>
      </w:r>
      <w:r w:rsidRPr="002F0138">
        <w:rPr>
          <w:rStyle w:val="FootnoteReference"/>
          <w:rFonts w:asciiTheme="majorHAnsi" w:eastAsiaTheme="minorHAnsi" w:hAnsiTheme="majorHAnsi"/>
          <w:sz w:val="20"/>
          <w:szCs w:val="20"/>
        </w:rPr>
        <w:footnoteReference w:id="38"/>
      </w:r>
    </w:p>
    <w:p w14:paraId="1B0E1C4C" w14:textId="77777777" w:rsidR="00792021" w:rsidRPr="00E36893" w:rsidRDefault="00792021" w:rsidP="00D31511">
      <w:pPr>
        <w:pStyle w:val="NormalWeb"/>
        <w:tabs>
          <w:tab w:val="left" w:pos="360"/>
        </w:tabs>
        <w:spacing w:beforeLines="1" w:before="2" w:beforeAutospacing="0" w:afterLines="1" w:after="2" w:afterAutospacing="0"/>
        <w:jc w:val="both"/>
        <w:rPr>
          <w:rFonts w:asciiTheme="majorHAnsi" w:eastAsiaTheme="minorHAnsi" w:hAnsiTheme="majorHAnsi"/>
          <w:sz w:val="20"/>
          <w:szCs w:val="20"/>
          <w:lang w:val="es-ES"/>
        </w:rPr>
      </w:pPr>
    </w:p>
    <w:p w14:paraId="07605C31" w14:textId="77777777" w:rsidR="008448B4" w:rsidRPr="008448B4" w:rsidRDefault="008448B4" w:rsidP="00D31511">
      <w:pPr>
        <w:pStyle w:val="NormalWeb"/>
        <w:numPr>
          <w:ilvl w:val="0"/>
          <w:numId w:val="55"/>
        </w:numPr>
        <w:tabs>
          <w:tab w:val="left" w:pos="360"/>
        </w:tabs>
        <w:spacing w:beforeLines="1" w:before="2" w:beforeAutospacing="0" w:afterLines="1" w:after="2" w:afterAutospacing="0"/>
        <w:ind w:left="0" w:firstLine="0"/>
        <w:jc w:val="both"/>
        <w:rPr>
          <w:rFonts w:asciiTheme="majorHAnsi" w:eastAsiaTheme="minorHAnsi" w:hAnsiTheme="majorHAnsi"/>
          <w:sz w:val="20"/>
          <w:szCs w:val="20"/>
          <w:lang w:val="es-ES"/>
        </w:rPr>
      </w:pPr>
      <w:r w:rsidRPr="008448B4">
        <w:rPr>
          <w:rFonts w:asciiTheme="majorHAnsi" w:eastAsiaTheme="minorHAnsi" w:hAnsiTheme="majorHAnsi"/>
          <w:sz w:val="20"/>
          <w:szCs w:val="20"/>
          <w:lang w:val="es-ES"/>
        </w:rPr>
        <w:t xml:space="preserve">Como se indicó </w:t>
      </w:r>
      <w:r w:rsidRPr="008448B4">
        <w:rPr>
          <w:rFonts w:asciiTheme="majorHAnsi" w:eastAsiaTheme="minorHAnsi" w:hAnsiTheme="majorHAnsi"/>
          <w:i/>
          <w:iCs/>
          <w:sz w:val="20"/>
          <w:szCs w:val="20"/>
          <w:lang w:val="es-ES"/>
        </w:rPr>
        <w:t>supra</w:t>
      </w:r>
      <w:r w:rsidRPr="008448B4">
        <w:rPr>
          <w:rFonts w:asciiTheme="majorHAnsi" w:eastAsiaTheme="minorHAnsi" w:hAnsiTheme="majorHAnsi"/>
          <w:sz w:val="20"/>
          <w:szCs w:val="20"/>
          <w:lang w:val="es-ES"/>
        </w:rPr>
        <w:t xml:space="preserve">, la Comisión tiene la obligación reforzada de asegurar que cualquier privación de la vida que pueda ocurrir a través de la aplicación de la pena de muerte cumpla estrictamente con los requisitos de los instrumentos interamericanos de derechos humanos aplicables, incluida la Declaración Americana. Por lo tanto, las alegaciones en el presente caso requieren un mayor nivel de escrutinio para asegurar que los derechos a la vida, </w:t>
      </w:r>
      <w:r>
        <w:rPr>
          <w:rFonts w:asciiTheme="majorHAnsi" w:eastAsiaTheme="minorHAnsi" w:hAnsiTheme="majorHAnsi"/>
          <w:sz w:val="20"/>
          <w:szCs w:val="20"/>
          <w:lang w:val="es-ES"/>
        </w:rPr>
        <w:t>al proceso regular</w:t>
      </w:r>
      <w:r w:rsidRPr="008448B4">
        <w:rPr>
          <w:rFonts w:asciiTheme="majorHAnsi" w:eastAsiaTheme="minorHAnsi" w:hAnsiTheme="majorHAnsi"/>
          <w:sz w:val="20"/>
          <w:szCs w:val="20"/>
          <w:lang w:val="es-ES"/>
        </w:rPr>
        <w:t xml:space="preserve"> y un juicio justo </w:t>
      </w:r>
      <w:r>
        <w:rPr>
          <w:rFonts w:asciiTheme="majorHAnsi" w:eastAsiaTheme="minorHAnsi" w:hAnsiTheme="majorHAnsi"/>
          <w:sz w:val="20"/>
          <w:szCs w:val="20"/>
          <w:lang w:val="es-ES"/>
        </w:rPr>
        <w:t>como son reconocidos</w:t>
      </w:r>
      <w:r w:rsidRPr="008448B4">
        <w:rPr>
          <w:rFonts w:asciiTheme="majorHAnsi" w:eastAsiaTheme="minorHAnsi" w:hAnsiTheme="majorHAnsi"/>
          <w:sz w:val="20"/>
          <w:szCs w:val="20"/>
          <w:lang w:val="es-ES"/>
        </w:rPr>
        <w:t xml:space="preserve"> en la Declaración Americana han sido debidamente respetados por el Estado. En el caso de los procedimientos de clemencia en espera de la ejecución de una sentencia de muerte, las garantías mínimas de </w:t>
      </w:r>
      <w:r>
        <w:rPr>
          <w:rFonts w:asciiTheme="majorHAnsi" w:eastAsiaTheme="minorHAnsi" w:hAnsiTheme="majorHAnsi"/>
          <w:sz w:val="20"/>
          <w:szCs w:val="20"/>
          <w:lang w:val="es-ES"/>
        </w:rPr>
        <w:t>justicia</w:t>
      </w:r>
      <w:r w:rsidRPr="008448B4">
        <w:rPr>
          <w:rFonts w:asciiTheme="majorHAnsi" w:eastAsiaTheme="minorHAnsi" w:hAnsiTheme="majorHAnsi"/>
          <w:sz w:val="20"/>
          <w:szCs w:val="20"/>
          <w:lang w:val="es-ES"/>
        </w:rPr>
        <w:t xml:space="preserve"> otorgadas al solicitante deben incluir la oportunidad de recibir una audiencia imparcial.</w:t>
      </w:r>
    </w:p>
    <w:p w14:paraId="16BD6958" w14:textId="77777777" w:rsidR="00792021" w:rsidRPr="00E36893" w:rsidRDefault="00792021" w:rsidP="00D31511">
      <w:pPr>
        <w:pStyle w:val="NormalWeb"/>
        <w:tabs>
          <w:tab w:val="left" w:pos="360"/>
        </w:tabs>
        <w:spacing w:beforeLines="1" w:before="2" w:beforeAutospacing="0" w:afterLines="1" w:after="2" w:afterAutospacing="0"/>
        <w:jc w:val="both"/>
        <w:rPr>
          <w:rFonts w:asciiTheme="majorHAnsi" w:eastAsiaTheme="minorHAnsi" w:hAnsiTheme="majorHAnsi"/>
          <w:sz w:val="20"/>
          <w:szCs w:val="20"/>
          <w:lang w:val="es-ES"/>
        </w:rPr>
      </w:pPr>
    </w:p>
    <w:p w14:paraId="7B7F0884" w14:textId="3F981F9A" w:rsidR="008448B4" w:rsidRPr="008448B4" w:rsidRDefault="008448B4" w:rsidP="00D31511">
      <w:pPr>
        <w:pStyle w:val="NormalWeb"/>
        <w:numPr>
          <w:ilvl w:val="0"/>
          <w:numId w:val="55"/>
        </w:numPr>
        <w:tabs>
          <w:tab w:val="left" w:pos="360"/>
        </w:tabs>
        <w:spacing w:beforeLines="1" w:before="2" w:beforeAutospacing="0" w:afterLines="1" w:after="2" w:afterAutospacing="0"/>
        <w:ind w:left="0" w:firstLine="0"/>
        <w:jc w:val="both"/>
        <w:rPr>
          <w:rFonts w:asciiTheme="majorHAnsi" w:eastAsiaTheme="minorHAnsi" w:hAnsiTheme="majorHAnsi"/>
          <w:sz w:val="20"/>
          <w:szCs w:val="20"/>
          <w:lang w:val="es-ES"/>
        </w:rPr>
      </w:pPr>
      <w:r w:rsidRPr="008448B4">
        <w:rPr>
          <w:rFonts w:asciiTheme="majorHAnsi" w:eastAsiaTheme="minorHAnsi" w:hAnsiTheme="majorHAnsi"/>
          <w:sz w:val="20"/>
          <w:szCs w:val="20"/>
          <w:lang w:val="es-ES"/>
        </w:rPr>
        <w:t>Los alegatos de los peticionarios indican que la práctica seguida por el estado de Florida no permite determinar si se llevó a cabo un proc</w:t>
      </w:r>
      <w:r>
        <w:rPr>
          <w:rFonts w:asciiTheme="majorHAnsi" w:eastAsiaTheme="minorHAnsi" w:hAnsiTheme="majorHAnsi"/>
          <w:sz w:val="20"/>
          <w:szCs w:val="20"/>
          <w:lang w:val="es-ES"/>
        </w:rPr>
        <w:t>edimiento</w:t>
      </w:r>
      <w:r w:rsidRPr="008448B4">
        <w:rPr>
          <w:rFonts w:asciiTheme="majorHAnsi" w:eastAsiaTheme="minorHAnsi" w:hAnsiTheme="majorHAnsi"/>
          <w:sz w:val="20"/>
          <w:szCs w:val="20"/>
          <w:lang w:val="es-ES"/>
        </w:rPr>
        <w:t xml:space="preserve"> de clemencia y</w:t>
      </w:r>
      <w:r w:rsidR="003E7F11">
        <w:rPr>
          <w:rFonts w:asciiTheme="majorHAnsi" w:eastAsiaTheme="minorHAnsi" w:hAnsiTheme="majorHAnsi"/>
          <w:sz w:val="20"/>
          <w:szCs w:val="20"/>
          <w:lang w:val="es-ES"/>
        </w:rPr>
        <w:t>a</w:t>
      </w:r>
      <w:r w:rsidRPr="008448B4">
        <w:rPr>
          <w:rFonts w:asciiTheme="majorHAnsi" w:eastAsiaTheme="minorHAnsi" w:hAnsiTheme="majorHAnsi"/>
          <w:sz w:val="20"/>
          <w:szCs w:val="20"/>
          <w:lang w:val="es-ES"/>
        </w:rPr>
        <w:t xml:space="preserve"> que no </w:t>
      </w:r>
      <w:r>
        <w:rPr>
          <w:rFonts w:asciiTheme="majorHAnsi" w:eastAsiaTheme="minorHAnsi" w:hAnsiTheme="majorHAnsi"/>
          <w:sz w:val="20"/>
          <w:szCs w:val="20"/>
          <w:lang w:val="es-ES"/>
        </w:rPr>
        <w:t>se provee información</w:t>
      </w:r>
      <w:r w:rsidRPr="008448B4">
        <w:rPr>
          <w:rFonts w:asciiTheme="majorHAnsi" w:eastAsiaTheme="minorHAnsi" w:hAnsiTheme="majorHAnsi"/>
          <w:sz w:val="20"/>
          <w:szCs w:val="20"/>
          <w:lang w:val="es-ES"/>
        </w:rPr>
        <w:t xml:space="preserve"> sobre los motivos de su recomendación de rechazar una petición de clemencia. El Estado no ha negado la afirmación de que no existe un conjunto de reglas o criterios a tener en cuenta a la hora de tomar decisiones sobre </w:t>
      </w:r>
      <w:r>
        <w:rPr>
          <w:rFonts w:asciiTheme="majorHAnsi" w:eastAsiaTheme="minorHAnsi" w:hAnsiTheme="majorHAnsi"/>
          <w:sz w:val="20"/>
          <w:szCs w:val="20"/>
          <w:lang w:val="es-ES"/>
        </w:rPr>
        <w:t>clemencia</w:t>
      </w:r>
      <w:r w:rsidRPr="008448B4">
        <w:rPr>
          <w:rFonts w:asciiTheme="majorHAnsi" w:eastAsiaTheme="minorHAnsi" w:hAnsiTheme="majorHAnsi"/>
          <w:sz w:val="20"/>
          <w:szCs w:val="20"/>
          <w:lang w:val="es-ES"/>
        </w:rPr>
        <w:t xml:space="preserve"> en los casos de pena de muerte.</w:t>
      </w:r>
    </w:p>
    <w:p w14:paraId="5376AEF5" w14:textId="77777777" w:rsidR="004E7578" w:rsidRPr="00E36893" w:rsidRDefault="004E7578" w:rsidP="00D31511">
      <w:pPr>
        <w:pStyle w:val="NormalWeb"/>
        <w:tabs>
          <w:tab w:val="left" w:pos="360"/>
        </w:tabs>
        <w:spacing w:beforeLines="1" w:before="2" w:beforeAutospacing="0" w:afterLines="1" w:after="2" w:afterAutospacing="0"/>
        <w:jc w:val="both"/>
        <w:rPr>
          <w:rFonts w:asciiTheme="majorHAnsi" w:eastAsiaTheme="minorHAnsi" w:hAnsiTheme="majorHAnsi"/>
          <w:sz w:val="20"/>
          <w:szCs w:val="20"/>
          <w:lang w:val="es-ES"/>
        </w:rPr>
      </w:pPr>
    </w:p>
    <w:p w14:paraId="0B22C25A" w14:textId="77777777" w:rsidR="008448B4" w:rsidRPr="008448B4" w:rsidRDefault="008448B4" w:rsidP="00D31511">
      <w:pPr>
        <w:pStyle w:val="NormalWeb"/>
        <w:numPr>
          <w:ilvl w:val="0"/>
          <w:numId w:val="55"/>
        </w:numPr>
        <w:tabs>
          <w:tab w:val="left" w:pos="360"/>
        </w:tabs>
        <w:spacing w:beforeLines="1" w:before="2" w:beforeAutospacing="0" w:afterLines="1" w:after="2" w:afterAutospacing="0"/>
        <w:ind w:left="0" w:firstLine="0"/>
        <w:jc w:val="both"/>
        <w:rPr>
          <w:rFonts w:ascii="Cambria" w:eastAsiaTheme="minorHAnsi" w:hAnsi="Cambria"/>
          <w:sz w:val="20"/>
          <w:szCs w:val="20"/>
          <w:lang w:val="es-ES"/>
        </w:rPr>
      </w:pPr>
      <w:r w:rsidRPr="008448B4">
        <w:rPr>
          <w:rFonts w:ascii="Cambria" w:eastAsiaTheme="minorHAnsi" w:hAnsi="Cambria"/>
          <w:sz w:val="20"/>
          <w:szCs w:val="20"/>
          <w:lang w:val="es-ES"/>
        </w:rPr>
        <w:t>La ley de Florida establece un proceso mediante el cual el Gobernador puede ejercer la autoridad para otorgar indultos totales o condicionales, restaurar los derechos civiles y conmutar</w:t>
      </w:r>
      <w:r>
        <w:rPr>
          <w:rFonts w:ascii="Cambria" w:eastAsiaTheme="minorHAnsi" w:hAnsi="Cambria"/>
          <w:sz w:val="20"/>
          <w:szCs w:val="20"/>
          <w:lang w:val="es-ES"/>
        </w:rPr>
        <w:t xml:space="preserve"> la pena.</w:t>
      </w:r>
      <w:r w:rsidRPr="008448B4">
        <w:rPr>
          <w:rFonts w:ascii="Cambria" w:eastAsiaTheme="minorHAnsi" w:hAnsi="Cambria"/>
          <w:sz w:val="20"/>
          <w:szCs w:val="20"/>
          <w:lang w:val="es-ES"/>
        </w:rPr>
        <w:t xml:space="preserve"> Sin embargo, la Comisión no tiene conocimiento de ningún criterio prescrito que se aplique en el ejercicio de las funciones o la discreción del Gobernador. La Comisión tampoco tiene conocimiento de que un delincuente tenga derecho a presentar una solicitud al gobernador, a ser informado del momento en que se lleve a cabo la investigación de clemencia o la audiencia del caso del delincuente, a presentar comunicaciones orales o escritas al gobernador o</w:t>
      </w:r>
      <w:r>
        <w:rPr>
          <w:rFonts w:ascii="Cambria" w:eastAsiaTheme="minorHAnsi" w:hAnsi="Cambria"/>
          <w:sz w:val="20"/>
          <w:szCs w:val="20"/>
          <w:lang w:val="es-ES"/>
        </w:rPr>
        <w:t xml:space="preserve"> </w:t>
      </w:r>
      <w:r w:rsidRPr="008448B4">
        <w:rPr>
          <w:rFonts w:ascii="Cambria" w:eastAsiaTheme="minorHAnsi" w:hAnsi="Cambria"/>
          <w:sz w:val="20"/>
          <w:szCs w:val="20"/>
          <w:lang w:val="es-ES"/>
        </w:rPr>
        <w:t>a presentar, recibir o impugnar las pruebas consideradas salvo las que un abogado designado pueda presentar en su nombre.</w:t>
      </w:r>
    </w:p>
    <w:p w14:paraId="4F86A5E6" w14:textId="77777777" w:rsidR="001947BA" w:rsidRPr="00E36893" w:rsidRDefault="001947BA" w:rsidP="00D31511">
      <w:pPr>
        <w:pStyle w:val="NormalWeb"/>
        <w:tabs>
          <w:tab w:val="left" w:pos="360"/>
        </w:tabs>
        <w:spacing w:beforeLines="1" w:before="2" w:beforeAutospacing="0" w:afterLines="1" w:after="2" w:afterAutospacing="0"/>
        <w:jc w:val="both"/>
        <w:rPr>
          <w:rFonts w:ascii="Cambria" w:eastAsiaTheme="minorHAnsi" w:hAnsi="Cambria"/>
          <w:sz w:val="20"/>
          <w:szCs w:val="20"/>
          <w:lang w:val="es-ES"/>
        </w:rPr>
      </w:pPr>
    </w:p>
    <w:p w14:paraId="7B975306" w14:textId="77777777" w:rsidR="008448B4" w:rsidRPr="008448B4" w:rsidRDefault="008448B4" w:rsidP="00D31511">
      <w:pPr>
        <w:pStyle w:val="NormalWeb"/>
        <w:numPr>
          <w:ilvl w:val="0"/>
          <w:numId w:val="55"/>
        </w:numPr>
        <w:tabs>
          <w:tab w:val="left" w:pos="360"/>
        </w:tabs>
        <w:spacing w:beforeLines="1" w:before="2" w:beforeAutospacing="0" w:afterLines="1" w:after="2" w:afterAutospacing="0"/>
        <w:ind w:left="0" w:firstLine="0"/>
        <w:jc w:val="both"/>
        <w:rPr>
          <w:rFonts w:ascii="Cambria" w:eastAsiaTheme="minorHAnsi" w:hAnsi="Cambria"/>
          <w:sz w:val="20"/>
          <w:szCs w:val="20"/>
          <w:lang w:val="es-ES"/>
        </w:rPr>
      </w:pPr>
      <w:r w:rsidRPr="008448B4">
        <w:rPr>
          <w:rFonts w:ascii="Cambria" w:eastAsiaTheme="minorHAnsi" w:hAnsi="Cambria"/>
          <w:sz w:val="20"/>
          <w:szCs w:val="20"/>
          <w:lang w:val="es-ES"/>
        </w:rPr>
        <w:t xml:space="preserve">Además, con base en la información que tiene ante sí, la Comisión concluye que el procedimiento para </w:t>
      </w:r>
      <w:r>
        <w:rPr>
          <w:rFonts w:ascii="Cambria" w:eastAsiaTheme="minorHAnsi" w:hAnsi="Cambria"/>
          <w:sz w:val="20"/>
          <w:szCs w:val="20"/>
          <w:lang w:val="es-ES"/>
        </w:rPr>
        <w:t>conceder clemencia</w:t>
      </w:r>
      <w:r w:rsidRPr="008448B4">
        <w:rPr>
          <w:rFonts w:ascii="Cambria" w:eastAsiaTheme="minorHAnsi" w:hAnsi="Cambria"/>
          <w:sz w:val="20"/>
          <w:szCs w:val="20"/>
          <w:lang w:val="es-ES"/>
        </w:rPr>
        <w:t xml:space="preserve"> no garantiza a los condenados una oportunidad efectiva o adecuada de participar en el proceso y, por lo tanto, no asegura debidamente los derechos del señor Valle en virtud del artículo XXIV de la Declaración </w:t>
      </w:r>
      <w:r>
        <w:rPr>
          <w:rFonts w:ascii="Cambria" w:eastAsiaTheme="minorHAnsi" w:hAnsi="Cambria"/>
          <w:sz w:val="20"/>
          <w:szCs w:val="20"/>
          <w:lang w:val="es-ES"/>
        </w:rPr>
        <w:t xml:space="preserve">a </w:t>
      </w:r>
      <w:r w:rsidRPr="008448B4">
        <w:rPr>
          <w:rFonts w:ascii="Cambria" w:eastAsiaTheme="minorHAnsi" w:hAnsi="Cambria"/>
          <w:sz w:val="20"/>
          <w:szCs w:val="20"/>
          <w:lang w:val="es-ES"/>
        </w:rPr>
        <w:t>presentar peticiones respetuosas ante cualquier autoridad competente, por motivos de interés general o p</w:t>
      </w:r>
      <w:r w:rsidR="006B7AD6">
        <w:rPr>
          <w:rFonts w:ascii="Cambria" w:eastAsiaTheme="minorHAnsi" w:hAnsi="Cambria"/>
          <w:sz w:val="20"/>
          <w:szCs w:val="20"/>
          <w:lang w:val="es-ES"/>
        </w:rPr>
        <w:t>articular</w:t>
      </w:r>
      <w:r w:rsidRPr="008448B4">
        <w:rPr>
          <w:rFonts w:ascii="Cambria" w:eastAsiaTheme="minorHAnsi" w:hAnsi="Cambria"/>
          <w:sz w:val="20"/>
          <w:szCs w:val="20"/>
          <w:lang w:val="es-ES"/>
        </w:rPr>
        <w:t>, y a obtener una pronta resolución al respecto.</w:t>
      </w:r>
    </w:p>
    <w:p w14:paraId="775911A6" w14:textId="77777777" w:rsidR="001947BA" w:rsidRPr="006B7AD6" w:rsidRDefault="001947BA" w:rsidP="00D31511">
      <w:pPr>
        <w:pStyle w:val="NormalWeb"/>
        <w:tabs>
          <w:tab w:val="left" w:pos="360"/>
        </w:tabs>
        <w:spacing w:beforeLines="1" w:before="2" w:beforeAutospacing="0" w:afterLines="1" w:after="2" w:afterAutospacing="0"/>
        <w:jc w:val="both"/>
        <w:rPr>
          <w:rFonts w:ascii="Cambria" w:eastAsiaTheme="minorHAnsi" w:hAnsi="Cambria"/>
          <w:sz w:val="20"/>
          <w:szCs w:val="20"/>
          <w:lang w:val="es-ES"/>
        </w:rPr>
      </w:pPr>
    </w:p>
    <w:p w14:paraId="2F0712E7" w14:textId="77777777" w:rsidR="006B7AD6" w:rsidRPr="006B7AD6" w:rsidRDefault="006B7AD6" w:rsidP="00D31511">
      <w:pPr>
        <w:pStyle w:val="NormalWeb"/>
        <w:numPr>
          <w:ilvl w:val="0"/>
          <w:numId w:val="55"/>
        </w:numPr>
        <w:tabs>
          <w:tab w:val="left" w:pos="360"/>
        </w:tabs>
        <w:spacing w:beforeLines="1" w:before="2" w:beforeAutospacing="0" w:afterLines="1" w:after="2" w:afterAutospacing="0"/>
        <w:ind w:left="0" w:firstLine="0"/>
        <w:jc w:val="both"/>
        <w:rPr>
          <w:rFonts w:ascii="Cambria" w:eastAsiaTheme="minorHAnsi" w:hAnsi="Cambria"/>
          <w:sz w:val="20"/>
          <w:szCs w:val="20"/>
          <w:lang w:val="es-ES"/>
        </w:rPr>
      </w:pPr>
      <w:r w:rsidRPr="006B7AD6">
        <w:rPr>
          <w:rFonts w:ascii="Cambria" w:eastAsiaTheme="minorHAnsi" w:hAnsi="Cambria"/>
          <w:sz w:val="20"/>
          <w:szCs w:val="20"/>
          <w:lang w:val="es-ES"/>
        </w:rPr>
        <w:t xml:space="preserve">En opinión de la Comisión, el derecho de petición en virtud del artículo XXIV de la Declaración, cuando se lee junto con las obligaciones del Estado en virtud de la Declaración, debe interpretarse como que abarca ciertas protecciones procesales mínimas para los presos condenados si se </w:t>
      </w:r>
      <w:r>
        <w:rPr>
          <w:rFonts w:ascii="Cambria" w:eastAsiaTheme="minorHAnsi" w:hAnsi="Cambria"/>
          <w:sz w:val="20"/>
          <w:szCs w:val="20"/>
          <w:lang w:val="es-ES"/>
        </w:rPr>
        <w:t>busca</w:t>
      </w:r>
      <w:r w:rsidRPr="006B7AD6">
        <w:rPr>
          <w:rFonts w:ascii="Cambria" w:eastAsiaTheme="minorHAnsi" w:hAnsi="Cambria"/>
          <w:sz w:val="20"/>
          <w:szCs w:val="20"/>
          <w:lang w:val="es-ES"/>
        </w:rPr>
        <w:t xml:space="preserve"> que el derecho sea efectivamente respetado y disfrutado. Estas protecciones incluyen el derecho de los presos condenados a solicitar la amnistía, el indulto o la conmutación de la pena, a ser informados de cuándo la autoridad competente considerará el caso del delincuente, a hacer gestiones en persona o </w:t>
      </w:r>
      <w:r>
        <w:rPr>
          <w:rFonts w:ascii="Cambria" w:eastAsiaTheme="minorHAnsi" w:hAnsi="Cambria"/>
          <w:sz w:val="20"/>
          <w:szCs w:val="20"/>
          <w:lang w:val="es-ES"/>
        </w:rPr>
        <w:t>mediante</w:t>
      </w:r>
      <w:r w:rsidRPr="006B7AD6">
        <w:rPr>
          <w:rFonts w:ascii="Cambria" w:eastAsiaTheme="minorHAnsi" w:hAnsi="Cambria"/>
          <w:sz w:val="20"/>
          <w:szCs w:val="20"/>
          <w:lang w:val="es-ES"/>
        </w:rPr>
        <w:t xml:space="preserve"> abogado a</w:t>
      </w:r>
      <w:r>
        <w:rPr>
          <w:rFonts w:ascii="Cambria" w:eastAsiaTheme="minorHAnsi" w:hAnsi="Cambria"/>
          <w:sz w:val="20"/>
          <w:szCs w:val="20"/>
          <w:lang w:val="es-ES"/>
        </w:rPr>
        <w:t>nte</w:t>
      </w:r>
      <w:r w:rsidRPr="006B7AD6">
        <w:rPr>
          <w:rFonts w:ascii="Cambria" w:eastAsiaTheme="minorHAnsi" w:hAnsi="Cambria"/>
          <w:sz w:val="20"/>
          <w:szCs w:val="20"/>
          <w:lang w:val="es-ES"/>
        </w:rPr>
        <w:t xml:space="preserve"> la autoridad competente y, recibir una decisión de esa autoridad dentro de un período de tiempo razonable antes de su ejecución. También implica el derecho a que no se imponga la pena capital mientras dicha petición esté pendiente de decisión de la autoridad competente.</w:t>
      </w:r>
    </w:p>
    <w:p w14:paraId="3D6CFCAA" w14:textId="77777777" w:rsidR="00937CFA" w:rsidRPr="00E36893" w:rsidRDefault="00937CFA" w:rsidP="006B7AD6">
      <w:pPr>
        <w:rPr>
          <w:rFonts w:eastAsiaTheme="minorHAnsi"/>
          <w:sz w:val="20"/>
          <w:szCs w:val="20"/>
          <w:lang w:val="es-ES"/>
        </w:rPr>
      </w:pPr>
    </w:p>
    <w:p w14:paraId="1925C9F2" w14:textId="28F8F4DE" w:rsidR="004A0895" w:rsidRPr="006B7AD6" w:rsidRDefault="006B7AD6" w:rsidP="006B7AD6">
      <w:pPr>
        <w:pStyle w:val="NormalWeb"/>
        <w:numPr>
          <w:ilvl w:val="0"/>
          <w:numId w:val="55"/>
        </w:numPr>
        <w:tabs>
          <w:tab w:val="left" w:pos="360"/>
        </w:tabs>
        <w:spacing w:beforeLines="1" w:before="2" w:beforeAutospacing="0" w:afterLines="1" w:after="2" w:afterAutospacing="0"/>
        <w:ind w:left="0" w:firstLine="0"/>
        <w:jc w:val="both"/>
        <w:rPr>
          <w:rFonts w:ascii="Cambria" w:eastAsiaTheme="minorHAnsi" w:hAnsi="Cambria"/>
          <w:sz w:val="20"/>
          <w:szCs w:val="20"/>
          <w:lang w:val="es-ES"/>
        </w:rPr>
      </w:pPr>
      <w:r w:rsidRPr="006B7AD6">
        <w:rPr>
          <w:rFonts w:ascii="Cambria" w:eastAsiaTheme="minorHAnsi" w:hAnsi="Cambria"/>
          <w:sz w:val="20"/>
          <w:szCs w:val="20"/>
          <w:lang w:val="es-ES"/>
        </w:rPr>
        <w:t>Con el fin de brindar a las personas condenadas una oportunidad efectiva de ejercer este derecho, el Estado debe prescribir y poner a disposición un procedimiento a través del cual los presos pued</w:t>
      </w:r>
      <w:r w:rsidR="003E7F11">
        <w:rPr>
          <w:rFonts w:ascii="Cambria" w:eastAsiaTheme="minorHAnsi" w:hAnsi="Cambria"/>
          <w:sz w:val="20"/>
          <w:szCs w:val="20"/>
          <w:lang w:val="es-ES"/>
        </w:rPr>
        <w:t>a</w:t>
      </w:r>
      <w:r w:rsidRPr="006B7AD6">
        <w:rPr>
          <w:rFonts w:ascii="Cambria" w:eastAsiaTheme="minorHAnsi" w:hAnsi="Cambria"/>
          <w:sz w:val="20"/>
          <w:szCs w:val="20"/>
          <w:lang w:val="es-ES"/>
        </w:rPr>
        <w:t xml:space="preserve">n presentar una solicitud de amnistía, indulto o conmutación de pena y presentar manifestaciones en apoyo de su </w:t>
      </w:r>
      <w:r>
        <w:rPr>
          <w:rFonts w:ascii="Cambria" w:eastAsiaTheme="minorHAnsi" w:hAnsi="Cambria"/>
          <w:sz w:val="20"/>
          <w:szCs w:val="20"/>
          <w:lang w:val="es-ES"/>
        </w:rPr>
        <w:t>solicitud</w:t>
      </w:r>
      <w:r w:rsidRPr="006B7AD6">
        <w:rPr>
          <w:rFonts w:ascii="Cambria" w:eastAsiaTheme="minorHAnsi" w:hAnsi="Cambria"/>
          <w:sz w:val="20"/>
          <w:szCs w:val="20"/>
          <w:lang w:val="es-ES"/>
        </w:rPr>
        <w:t>. En ausencia de protecciones y procedimientos mínimos de esta naturaleza, el artículo XXIV de la Declaración Americana se vuelve sin sentido, un derecho sin remedio. Tal interpretación no puede sostenerse a la luz del objeto y fin de la Declaración Americana</w:t>
      </w:r>
      <w:r w:rsidR="00937CFA" w:rsidRPr="006B7AD6">
        <w:rPr>
          <w:rFonts w:ascii="Cambria" w:eastAsiaTheme="minorHAnsi" w:hAnsi="Cambria"/>
          <w:sz w:val="20"/>
          <w:szCs w:val="20"/>
          <w:lang w:val="es-ES"/>
        </w:rPr>
        <w:t>.</w:t>
      </w:r>
      <w:r w:rsidR="008C4234">
        <w:rPr>
          <w:rStyle w:val="FootnoteReference"/>
          <w:rFonts w:ascii="Cambria" w:eastAsiaTheme="minorHAnsi" w:hAnsi="Cambria"/>
          <w:sz w:val="20"/>
          <w:szCs w:val="20"/>
        </w:rPr>
        <w:footnoteReference w:id="39"/>
      </w:r>
      <w:r w:rsidR="004E7578" w:rsidRPr="006B7AD6">
        <w:rPr>
          <w:rFonts w:ascii="Cambria" w:eastAsiaTheme="minorHAnsi" w:hAnsi="Cambria"/>
          <w:sz w:val="20"/>
          <w:szCs w:val="20"/>
          <w:lang w:val="es-ES"/>
        </w:rPr>
        <w:t xml:space="preserve"> </w:t>
      </w:r>
      <w:r w:rsidR="0041749E" w:rsidRPr="006B7AD6">
        <w:rPr>
          <w:rFonts w:ascii="Cambria" w:eastAsiaTheme="minorHAnsi" w:hAnsi="Cambria"/>
          <w:sz w:val="20"/>
          <w:szCs w:val="20"/>
          <w:lang w:val="es-ES"/>
        </w:rPr>
        <w:t xml:space="preserve"> </w:t>
      </w:r>
    </w:p>
    <w:p w14:paraId="59C107A1" w14:textId="77777777" w:rsidR="004A0895" w:rsidRPr="006B7AD6" w:rsidRDefault="004A0895" w:rsidP="004A0895">
      <w:pPr>
        <w:pStyle w:val="ListParagraph"/>
        <w:rPr>
          <w:rFonts w:eastAsiaTheme="minorHAnsi"/>
          <w:sz w:val="20"/>
          <w:szCs w:val="20"/>
          <w:lang w:val="es-ES"/>
        </w:rPr>
      </w:pPr>
    </w:p>
    <w:p w14:paraId="5D4E869A" w14:textId="77777777" w:rsidR="006B7AD6" w:rsidRPr="006B7AD6" w:rsidRDefault="006B7AD6" w:rsidP="004A0895">
      <w:pPr>
        <w:pStyle w:val="NormalWeb"/>
        <w:numPr>
          <w:ilvl w:val="0"/>
          <w:numId w:val="55"/>
        </w:numPr>
        <w:tabs>
          <w:tab w:val="left" w:pos="360"/>
        </w:tabs>
        <w:spacing w:beforeLines="1" w:before="2" w:beforeAutospacing="0" w:afterLines="1" w:after="2" w:afterAutospacing="0"/>
        <w:ind w:left="0" w:firstLine="0"/>
        <w:jc w:val="both"/>
        <w:rPr>
          <w:rFonts w:ascii="Cambria" w:eastAsiaTheme="minorHAnsi" w:hAnsi="Cambria"/>
          <w:sz w:val="20"/>
          <w:szCs w:val="20"/>
          <w:lang w:val="es-ES"/>
        </w:rPr>
      </w:pPr>
      <w:r w:rsidRPr="006B7AD6">
        <w:rPr>
          <w:rFonts w:ascii="Cambria" w:eastAsiaTheme="minorHAnsi" w:hAnsi="Cambria"/>
          <w:sz w:val="20"/>
          <w:szCs w:val="20"/>
          <w:lang w:val="es-ES"/>
        </w:rPr>
        <w:t xml:space="preserve">En este sentido, la CIDH recuerda, por ejemplo, que la Corte Interamericana de Derechos Humanos ha establecido que “el derecho </w:t>
      </w:r>
      <w:r>
        <w:rPr>
          <w:rFonts w:ascii="Cambria" w:eastAsiaTheme="minorHAnsi" w:hAnsi="Cambria"/>
          <w:sz w:val="20"/>
          <w:szCs w:val="20"/>
          <w:lang w:val="es-ES"/>
        </w:rPr>
        <w:t>de</w:t>
      </w:r>
      <w:r w:rsidRPr="006B7AD6">
        <w:rPr>
          <w:rFonts w:ascii="Cambria" w:eastAsiaTheme="minorHAnsi" w:hAnsi="Cambria"/>
          <w:sz w:val="20"/>
          <w:szCs w:val="20"/>
          <w:lang w:val="es-ES"/>
        </w:rPr>
        <w:t xml:space="preserve"> gracia forma parte del corpus juris internacional, específicamente de la Convención Americana y el Pacto Internacional de Derechos Civiles y Políticos”</w:t>
      </w:r>
      <w:r>
        <w:rPr>
          <w:rStyle w:val="FootnoteReference"/>
          <w:rFonts w:ascii="Cambria" w:eastAsiaTheme="minorHAnsi" w:hAnsi="Cambria"/>
          <w:sz w:val="20"/>
          <w:szCs w:val="20"/>
        </w:rPr>
        <w:footnoteReference w:id="40"/>
      </w:r>
      <w:r w:rsidRPr="006B7AD6">
        <w:rPr>
          <w:rFonts w:ascii="Cambria" w:eastAsiaTheme="minorHAnsi" w:hAnsi="Cambria"/>
          <w:sz w:val="20"/>
          <w:szCs w:val="20"/>
          <w:lang w:val="es-ES"/>
        </w:rPr>
        <w:t>. Dicho Tribunal ha establecido que como parte de este derecho el Estado tiene “</w:t>
      </w:r>
      <w:r>
        <w:rPr>
          <w:rFonts w:ascii="Cambria" w:eastAsiaTheme="minorHAnsi" w:hAnsi="Cambria"/>
          <w:sz w:val="20"/>
          <w:szCs w:val="20"/>
          <w:lang w:val="es-ES"/>
        </w:rPr>
        <w:t>la obligación de garantizar que este derecho pueda ser ejercido por el condenado a pena de muerte de manera efectiva. Así, el Estado tiene la obligación de implementar un procedimiento de esta índole que se caracterice por ser imparcial y transparente, en donde el condenado a pena capital pueda hacer valer de manera cierta todos los antecedentes que crea pertinentes para ser favorecido con el acto de clemencia</w:t>
      </w:r>
      <w:r w:rsidRPr="006B7AD6">
        <w:rPr>
          <w:rFonts w:ascii="Cambria" w:eastAsiaTheme="minorHAnsi" w:hAnsi="Cambria"/>
          <w:sz w:val="20"/>
          <w:szCs w:val="20"/>
          <w:lang w:val="es-ES"/>
        </w:rPr>
        <w:t>”</w:t>
      </w:r>
      <w:r>
        <w:rPr>
          <w:rStyle w:val="FootnoteReference"/>
          <w:rFonts w:ascii="Cambria" w:eastAsiaTheme="minorHAnsi" w:hAnsi="Cambria"/>
          <w:sz w:val="20"/>
          <w:szCs w:val="20"/>
        </w:rPr>
        <w:footnoteReference w:id="41"/>
      </w:r>
      <w:r w:rsidRPr="006B7AD6">
        <w:rPr>
          <w:rFonts w:ascii="Cambria" w:eastAsiaTheme="minorHAnsi" w:hAnsi="Cambria"/>
          <w:sz w:val="20"/>
          <w:szCs w:val="20"/>
          <w:lang w:val="es-ES"/>
        </w:rPr>
        <w:t>. De igual forma el Comité de Derechos Humanos de la Organización de Naciones Unidas ha manifestado que el Estado</w:t>
      </w:r>
    </w:p>
    <w:p w14:paraId="288E96FE" w14:textId="77777777" w:rsidR="004A0895" w:rsidRPr="00E36893" w:rsidRDefault="004A0895" w:rsidP="004A0895">
      <w:pPr>
        <w:pStyle w:val="NormalWeb"/>
        <w:tabs>
          <w:tab w:val="left" w:pos="360"/>
        </w:tabs>
        <w:spacing w:beforeLines="1" w:before="2" w:beforeAutospacing="0" w:afterLines="1" w:after="2" w:afterAutospacing="0"/>
        <w:jc w:val="both"/>
        <w:rPr>
          <w:rFonts w:ascii="Cambria" w:eastAsiaTheme="minorHAnsi" w:hAnsi="Cambria" w:cs="Cambria"/>
          <w:color w:val="000000"/>
          <w:sz w:val="20"/>
          <w:szCs w:val="20"/>
          <w:u w:color="000000"/>
          <w:bdr w:val="nil"/>
          <w:lang w:val="es-ES" w:eastAsia="es-ES"/>
        </w:rPr>
      </w:pPr>
    </w:p>
    <w:p w14:paraId="014347F9" w14:textId="77777777" w:rsidR="004A0895" w:rsidRPr="006B7AD6" w:rsidRDefault="004A0895" w:rsidP="004A0895">
      <w:pPr>
        <w:pStyle w:val="NormalWeb"/>
        <w:tabs>
          <w:tab w:val="left" w:pos="360"/>
        </w:tabs>
        <w:spacing w:beforeLines="1" w:before="2" w:beforeAutospacing="0" w:afterLines="1" w:after="2" w:afterAutospacing="0"/>
        <w:ind w:left="450" w:right="630"/>
        <w:jc w:val="both"/>
        <w:rPr>
          <w:rFonts w:ascii="Cambria" w:eastAsiaTheme="minorHAnsi" w:hAnsi="Cambria"/>
          <w:sz w:val="20"/>
          <w:szCs w:val="20"/>
          <w:lang w:val="es-ES"/>
        </w:rPr>
      </w:pPr>
      <w:r w:rsidRPr="006B7AD6">
        <w:rPr>
          <w:rFonts w:ascii="Cambria" w:eastAsiaTheme="minorHAnsi" w:hAnsi="Cambria"/>
          <w:sz w:val="20"/>
          <w:szCs w:val="20"/>
          <w:lang w:val="es-ES"/>
        </w:rPr>
        <w:t xml:space="preserve">[…] </w:t>
      </w:r>
      <w:r w:rsidR="006B7AD6" w:rsidRPr="006B7AD6">
        <w:rPr>
          <w:rFonts w:ascii="Cambria" w:eastAsiaTheme="minorHAnsi" w:hAnsi="Cambria"/>
          <w:sz w:val="20"/>
          <w:szCs w:val="20"/>
          <w:lang w:val="es-ES"/>
        </w:rPr>
        <w:t>El Estado Parte debe garantizar que toda persona condenada a muerte tenga derecho a solicitar el indulto o la conmutación de la pena, conformando la legislación con las obligaciones del Pacto y dictando las normas correspondientes para que ese derecho de petición pueda ser ejercido</w:t>
      </w:r>
      <w:r>
        <w:rPr>
          <w:rStyle w:val="FootnoteReference"/>
          <w:rFonts w:ascii="Cambria" w:eastAsiaTheme="minorHAnsi" w:hAnsi="Cambria"/>
          <w:sz w:val="20"/>
          <w:szCs w:val="20"/>
        </w:rPr>
        <w:footnoteReference w:id="42"/>
      </w:r>
      <w:r w:rsidRPr="006B7AD6">
        <w:rPr>
          <w:rFonts w:ascii="Cambria" w:eastAsiaTheme="minorHAnsi" w:hAnsi="Cambria"/>
          <w:sz w:val="20"/>
          <w:szCs w:val="20"/>
          <w:lang w:val="es-ES"/>
        </w:rPr>
        <w:t>.</w:t>
      </w:r>
    </w:p>
    <w:p w14:paraId="0D2CC9B1" w14:textId="77777777" w:rsidR="004E7578" w:rsidRPr="00AC31F6" w:rsidRDefault="004E7578" w:rsidP="00D31511">
      <w:pPr>
        <w:pStyle w:val="NormalWeb"/>
        <w:tabs>
          <w:tab w:val="left" w:pos="360"/>
        </w:tabs>
        <w:spacing w:beforeLines="1" w:before="2" w:beforeAutospacing="0" w:afterLines="1" w:after="2" w:afterAutospacing="0"/>
        <w:jc w:val="both"/>
        <w:rPr>
          <w:rFonts w:ascii="Cambria" w:eastAsiaTheme="minorHAnsi" w:hAnsi="Cambria"/>
          <w:sz w:val="20"/>
          <w:szCs w:val="20"/>
          <w:lang w:val="es-ES"/>
        </w:rPr>
      </w:pPr>
    </w:p>
    <w:p w14:paraId="0A42418E" w14:textId="77777777" w:rsidR="006B7AD6" w:rsidRPr="00AC31F6" w:rsidRDefault="00AC31F6" w:rsidP="00D31511">
      <w:pPr>
        <w:pStyle w:val="NormalWeb"/>
        <w:numPr>
          <w:ilvl w:val="0"/>
          <w:numId w:val="55"/>
        </w:numPr>
        <w:tabs>
          <w:tab w:val="left" w:pos="360"/>
        </w:tabs>
        <w:spacing w:beforeLines="1" w:before="2" w:beforeAutospacing="0" w:afterLines="1" w:after="2" w:afterAutospacing="0"/>
        <w:ind w:left="0" w:firstLine="0"/>
        <w:jc w:val="both"/>
        <w:rPr>
          <w:rFonts w:ascii="Cambria" w:eastAsiaTheme="minorHAnsi" w:hAnsi="Cambria"/>
          <w:sz w:val="20"/>
          <w:szCs w:val="20"/>
          <w:lang w:val="es-ES"/>
        </w:rPr>
      </w:pPr>
      <w:r w:rsidRPr="00AC31F6">
        <w:rPr>
          <w:rFonts w:ascii="Cambria" w:eastAsiaTheme="minorHAnsi" w:hAnsi="Cambria"/>
          <w:sz w:val="20"/>
          <w:szCs w:val="20"/>
          <w:lang w:val="es-ES"/>
        </w:rPr>
        <w:t xml:space="preserve">Por lo tanto, la Comisión encuentra que el procedimiento vigente no llega a establecer salvaguardias mínimas para hacer efectiva una solicitud de </w:t>
      </w:r>
      <w:r>
        <w:rPr>
          <w:rFonts w:ascii="Cambria" w:eastAsiaTheme="minorHAnsi" w:hAnsi="Cambria"/>
          <w:sz w:val="20"/>
          <w:szCs w:val="20"/>
          <w:lang w:val="es-ES"/>
        </w:rPr>
        <w:t>clemencia</w:t>
      </w:r>
      <w:r w:rsidRPr="00AC31F6">
        <w:rPr>
          <w:rFonts w:ascii="Cambria" w:eastAsiaTheme="minorHAnsi" w:hAnsi="Cambria"/>
          <w:sz w:val="20"/>
          <w:szCs w:val="20"/>
          <w:lang w:val="es-ES"/>
        </w:rPr>
        <w:t xml:space="preserve"> </w:t>
      </w:r>
      <w:r>
        <w:rPr>
          <w:rFonts w:ascii="Cambria" w:eastAsiaTheme="minorHAnsi" w:hAnsi="Cambria"/>
          <w:sz w:val="20"/>
          <w:szCs w:val="20"/>
          <w:lang w:val="es-ES"/>
        </w:rPr>
        <w:t>antes</w:t>
      </w:r>
      <w:r w:rsidRPr="00AC31F6">
        <w:rPr>
          <w:rFonts w:ascii="Cambria" w:eastAsiaTheme="minorHAnsi" w:hAnsi="Cambria"/>
          <w:sz w:val="20"/>
          <w:szCs w:val="20"/>
          <w:lang w:val="es-ES"/>
        </w:rPr>
        <w:t xml:space="preserve"> de la ejecución de la pena de muerte y, por lo tanto, para evitar decisiones arbitrarias. En consecuencia, la Comisión también concluye que el Estado ha violado los derechos del señor Valle de conformidad con el artículo XXIV de la Convención Americana al no garantizarle el derecho efectivo de petición y solicitud de amnistía, indulto o conmutación de pena, para hacer gestiones, en persona o por un abogado, al Gobernador y, para recibir una pronta decisión del Gobernador dentro de un tiempo razonable antes de su ejecución.</w:t>
      </w:r>
    </w:p>
    <w:p w14:paraId="2AD990AF" w14:textId="77777777" w:rsidR="00792021" w:rsidRPr="00E36893" w:rsidRDefault="00792021" w:rsidP="00D31511">
      <w:pPr>
        <w:pStyle w:val="NormalWeb"/>
        <w:tabs>
          <w:tab w:val="left" w:pos="360"/>
        </w:tabs>
        <w:spacing w:beforeLines="1" w:before="2" w:beforeAutospacing="0" w:afterLines="1" w:after="2" w:afterAutospacing="0"/>
        <w:jc w:val="both"/>
        <w:rPr>
          <w:rFonts w:asciiTheme="majorHAnsi" w:eastAsiaTheme="minorHAnsi" w:hAnsiTheme="majorHAnsi"/>
          <w:sz w:val="20"/>
          <w:szCs w:val="20"/>
          <w:lang w:val="es-ES"/>
        </w:rPr>
      </w:pPr>
    </w:p>
    <w:p w14:paraId="77904C38" w14:textId="77777777" w:rsidR="00AC31F6" w:rsidRPr="00AC31F6" w:rsidRDefault="00AC31F6" w:rsidP="00D31511">
      <w:pPr>
        <w:pStyle w:val="NormalWeb"/>
        <w:numPr>
          <w:ilvl w:val="0"/>
          <w:numId w:val="55"/>
        </w:numPr>
        <w:tabs>
          <w:tab w:val="left" w:pos="360"/>
        </w:tabs>
        <w:spacing w:beforeLines="1" w:before="2" w:beforeAutospacing="0" w:afterLines="1" w:after="2" w:afterAutospacing="0"/>
        <w:ind w:left="0" w:firstLine="0"/>
        <w:jc w:val="both"/>
        <w:rPr>
          <w:rFonts w:asciiTheme="majorHAnsi" w:eastAsiaTheme="minorHAnsi" w:hAnsiTheme="majorHAnsi"/>
          <w:sz w:val="20"/>
          <w:szCs w:val="20"/>
          <w:lang w:val="es-ES"/>
        </w:rPr>
      </w:pPr>
      <w:r w:rsidRPr="00AC31F6">
        <w:rPr>
          <w:rFonts w:asciiTheme="majorHAnsi" w:eastAsiaTheme="minorHAnsi" w:hAnsiTheme="majorHAnsi"/>
          <w:sz w:val="20"/>
          <w:szCs w:val="20"/>
          <w:lang w:val="es-ES"/>
        </w:rPr>
        <w:t>Con base en lo anterior, la Comisión concluye que los procedimientos de clemencia en Florida no garantizan el derecho a una audiencia imparcial conforme al artículo XXVI de la Declaración Americana y que el incumplimiento por parte del Estado de esta obligación puede resultar en una violación adicional de los derechos</w:t>
      </w:r>
      <w:r>
        <w:rPr>
          <w:rFonts w:asciiTheme="majorHAnsi" w:eastAsiaTheme="minorHAnsi" w:hAnsiTheme="majorHAnsi"/>
          <w:sz w:val="20"/>
          <w:szCs w:val="20"/>
          <w:lang w:val="es-ES"/>
        </w:rPr>
        <w:t xml:space="preserve"> de justicia</w:t>
      </w:r>
      <w:r w:rsidRPr="00AC31F6">
        <w:rPr>
          <w:rFonts w:asciiTheme="majorHAnsi" w:eastAsiaTheme="minorHAnsi" w:hAnsiTheme="majorHAnsi"/>
          <w:sz w:val="20"/>
          <w:szCs w:val="20"/>
          <w:lang w:val="es-ES"/>
        </w:rPr>
        <w:t xml:space="preserve"> en virtud de la Declaración.</w:t>
      </w:r>
    </w:p>
    <w:p w14:paraId="75C90334" w14:textId="77777777" w:rsidR="004C5505" w:rsidRPr="00E36893" w:rsidRDefault="004C5505" w:rsidP="00EC55EA">
      <w:pPr>
        <w:pStyle w:val="NormalWeb"/>
        <w:tabs>
          <w:tab w:val="left" w:pos="360"/>
        </w:tabs>
        <w:spacing w:before="0" w:beforeAutospacing="0" w:after="0" w:afterAutospacing="0"/>
        <w:jc w:val="both"/>
        <w:rPr>
          <w:rFonts w:asciiTheme="majorHAnsi" w:hAnsiTheme="majorHAnsi"/>
          <w:sz w:val="20"/>
          <w:szCs w:val="20"/>
          <w:lang w:val="es-ES"/>
        </w:rPr>
      </w:pPr>
    </w:p>
    <w:p w14:paraId="3B8CD80E" w14:textId="77777777" w:rsidR="00126FD8" w:rsidRPr="00126FD8" w:rsidRDefault="00126FD8" w:rsidP="00F47B79">
      <w:pPr>
        <w:pStyle w:val="Heading2"/>
        <w:numPr>
          <w:ilvl w:val="0"/>
          <w:numId w:val="61"/>
        </w:numPr>
        <w:tabs>
          <w:tab w:val="left" w:pos="360"/>
        </w:tabs>
        <w:spacing w:before="0"/>
        <w:ind w:left="0" w:firstLine="0"/>
        <w:jc w:val="both"/>
        <w:rPr>
          <w:color w:val="auto"/>
          <w:sz w:val="20"/>
          <w:szCs w:val="20"/>
          <w:lang w:val="es-ES"/>
        </w:rPr>
      </w:pPr>
      <w:bookmarkStart w:id="20" w:name="_Toc90292583"/>
      <w:r w:rsidRPr="00126FD8">
        <w:rPr>
          <w:color w:val="auto"/>
          <w:sz w:val="20"/>
          <w:szCs w:val="20"/>
          <w:lang w:val="es-ES"/>
        </w:rPr>
        <w:t>La privación de la libertad en el corr</w:t>
      </w:r>
      <w:r>
        <w:rPr>
          <w:color w:val="auto"/>
          <w:sz w:val="20"/>
          <w:szCs w:val="20"/>
          <w:lang w:val="es-ES"/>
        </w:rPr>
        <w:t>e</w:t>
      </w:r>
      <w:r w:rsidRPr="00126FD8">
        <w:rPr>
          <w:color w:val="auto"/>
          <w:sz w:val="20"/>
          <w:szCs w:val="20"/>
          <w:lang w:val="es-ES"/>
        </w:rPr>
        <w:t xml:space="preserve">dor de la muerte y el derecho </w:t>
      </w:r>
      <w:r>
        <w:rPr>
          <w:color w:val="auto"/>
          <w:sz w:val="20"/>
          <w:szCs w:val="20"/>
          <w:lang w:val="es-ES"/>
        </w:rPr>
        <w:t>a la protección contra penas crueles, infamantes o inusitadas</w:t>
      </w:r>
      <w:bookmarkEnd w:id="20"/>
    </w:p>
    <w:p w14:paraId="254955CC" w14:textId="77777777" w:rsidR="0050076E" w:rsidRPr="00126FD8" w:rsidRDefault="0050076E" w:rsidP="005007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096D3C3E" w14:textId="77777777" w:rsidR="0050076E" w:rsidRPr="00126FD8" w:rsidRDefault="00126FD8" w:rsidP="0050076E">
      <w:pPr>
        <w:pStyle w:val="Heading2"/>
        <w:numPr>
          <w:ilvl w:val="1"/>
          <w:numId w:val="68"/>
        </w:numPr>
        <w:spacing w:before="0"/>
        <w:ind w:left="360" w:hanging="360"/>
        <w:rPr>
          <w:rFonts w:eastAsia="Arial Unicode MS"/>
          <w:color w:val="auto"/>
          <w:sz w:val="20"/>
          <w:szCs w:val="20"/>
          <w:lang w:val="es-ES"/>
        </w:rPr>
      </w:pPr>
      <w:bookmarkStart w:id="21" w:name="_Toc31968749"/>
      <w:bookmarkStart w:id="22" w:name="_Toc90292584"/>
      <w:r w:rsidRPr="00126FD8">
        <w:rPr>
          <w:color w:val="auto"/>
          <w:sz w:val="20"/>
          <w:szCs w:val="20"/>
          <w:lang w:val="es-ES"/>
        </w:rPr>
        <w:t>El fenómeno del corr</w:t>
      </w:r>
      <w:r>
        <w:rPr>
          <w:color w:val="auto"/>
          <w:sz w:val="20"/>
          <w:szCs w:val="20"/>
          <w:lang w:val="es-ES"/>
        </w:rPr>
        <w:t>e</w:t>
      </w:r>
      <w:r w:rsidRPr="00126FD8">
        <w:rPr>
          <w:color w:val="auto"/>
          <w:sz w:val="20"/>
          <w:szCs w:val="20"/>
          <w:lang w:val="es-ES"/>
        </w:rPr>
        <w:t>dor de la muerte</w:t>
      </w:r>
      <w:r w:rsidR="0050076E" w:rsidRPr="009E075C">
        <w:rPr>
          <w:rStyle w:val="FootnoteReference"/>
          <w:rFonts w:eastAsia="Arial Unicode MS"/>
          <w:color w:val="auto"/>
          <w:sz w:val="20"/>
          <w:szCs w:val="20"/>
        </w:rPr>
        <w:footnoteReference w:id="43"/>
      </w:r>
      <w:bookmarkEnd w:id="21"/>
      <w:bookmarkEnd w:id="22"/>
      <w:r w:rsidR="0050076E" w:rsidRPr="00126FD8">
        <w:rPr>
          <w:rFonts w:eastAsia="Arial Unicode MS"/>
          <w:color w:val="auto"/>
          <w:sz w:val="20"/>
          <w:szCs w:val="20"/>
          <w:lang w:val="es-ES"/>
        </w:rPr>
        <w:t xml:space="preserve">  </w:t>
      </w:r>
    </w:p>
    <w:p w14:paraId="3EACD4CA" w14:textId="77777777" w:rsidR="0050076E" w:rsidRPr="00126FD8" w:rsidDel="00416F46" w:rsidRDefault="0050076E" w:rsidP="0038245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076C210D" w14:textId="77777777" w:rsidR="0050076E" w:rsidRPr="00AC31F6" w:rsidRDefault="00AC31F6" w:rsidP="005B22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AC31F6">
        <w:rPr>
          <w:rFonts w:asciiTheme="majorHAnsi" w:eastAsia="Times New Roman" w:hAnsiTheme="majorHAnsi"/>
          <w:sz w:val="20"/>
          <w:szCs w:val="20"/>
          <w:lang w:val="es-ES"/>
        </w:rPr>
        <w:t xml:space="preserve">La privación de libertad a largo plazo en el corredor de la muerte se denomina tanto en el derecho internacional de los derechos humanos como en el derecho comparado como el "fenómeno del corredor de la muerte" y atenta contra la libertad de una persona de sufrir penas crueles, inhumanas o degradantes. Dicho </w:t>
      </w:r>
      <w:r w:rsidRPr="00AC31F6">
        <w:rPr>
          <w:rFonts w:asciiTheme="majorHAnsi" w:eastAsia="Times New Roman" w:hAnsiTheme="majorHAnsi"/>
          <w:sz w:val="20"/>
          <w:szCs w:val="20"/>
          <w:lang w:val="es-ES"/>
        </w:rPr>
        <w:lastRenderedPageBreak/>
        <w:t>trato viola la prohibición de l</w:t>
      </w:r>
      <w:r>
        <w:rPr>
          <w:rFonts w:asciiTheme="majorHAnsi" w:eastAsia="Times New Roman" w:hAnsiTheme="majorHAnsi"/>
          <w:sz w:val="20"/>
          <w:szCs w:val="20"/>
          <w:lang w:val="es-ES"/>
        </w:rPr>
        <w:t>as pena</w:t>
      </w:r>
      <w:r w:rsidRPr="00AC31F6">
        <w:rPr>
          <w:rFonts w:asciiTheme="majorHAnsi" w:eastAsia="Times New Roman" w:hAnsiTheme="majorHAnsi"/>
          <w:sz w:val="20"/>
          <w:szCs w:val="20"/>
          <w:lang w:val="es-ES"/>
        </w:rPr>
        <w:t>s crueles, inhuman</w:t>
      </w:r>
      <w:r>
        <w:rPr>
          <w:rFonts w:asciiTheme="majorHAnsi" w:eastAsia="Times New Roman" w:hAnsiTheme="majorHAnsi"/>
          <w:sz w:val="20"/>
          <w:szCs w:val="20"/>
          <w:lang w:val="es-ES"/>
        </w:rPr>
        <w:t>a</w:t>
      </w:r>
      <w:r w:rsidRPr="00AC31F6">
        <w:rPr>
          <w:rFonts w:asciiTheme="majorHAnsi" w:eastAsia="Times New Roman" w:hAnsiTheme="majorHAnsi"/>
          <w:sz w:val="20"/>
          <w:szCs w:val="20"/>
          <w:lang w:val="es-ES"/>
        </w:rPr>
        <w:t>s o degradantes en las Constituciones y en múltiples tratados internacionales, incluida la Declaración Americana (artículos XXV y XXVI).</w:t>
      </w:r>
      <w:r w:rsidR="0050076E" w:rsidRPr="007B6018">
        <w:rPr>
          <w:rStyle w:val="FootnoteReference"/>
          <w:rFonts w:asciiTheme="majorHAnsi" w:hAnsiTheme="majorHAnsi"/>
          <w:sz w:val="20"/>
          <w:szCs w:val="20"/>
        </w:rPr>
        <w:footnoteReference w:id="44"/>
      </w:r>
    </w:p>
    <w:p w14:paraId="5A3CB721" w14:textId="77777777" w:rsidR="0050076E" w:rsidRPr="00AC31F6" w:rsidDel="00152A34" w:rsidRDefault="0050076E" w:rsidP="0038245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lang w:val="es-ES"/>
        </w:rPr>
      </w:pPr>
    </w:p>
    <w:p w14:paraId="664A4ACC" w14:textId="77777777" w:rsidR="00AC31F6" w:rsidRPr="00AC31F6" w:rsidRDefault="00AC31F6"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AC31F6">
        <w:rPr>
          <w:rFonts w:asciiTheme="majorHAnsi" w:eastAsia="Times New Roman" w:hAnsiTheme="majorHAnsi"/>
          <w:sz w:val="20"/>
          <w:szCs w:val="20"/>
          <w:lang w:val="es-ES"/>
        </w:rPr>
        <w:t xml:space="preserve">La Comisión toma nota </w:t>
      </w:r>
      <w:r>
        <w:rPr>
          <w:rFonts w:asciiTheme="majorHAnsi" w:eastAsia="Times New Roman" w:hAnsiTheme="majorHAnsi"/>
          <w:sz w:val="20"/>
          <w:szCs w:val="20"/>
          <w:lang w:val="es-ES"/>
        </w:rPr>
        <w:t xml:space="preserve">de que </w:t>
      </w:r>
      <w:r w:rsidRPr="00AC31F6">
        <w:rPr>
          <w:rFonts w:asciiTheme="majorHAnsi" w:eastAsia="Times New Roman" w:hAnsiTheme="majorHAnsi"/>
          <w:sz w:val="20"/>
          <w:szCs w:val="20"/>
          <w:lang w:val="es-ES"/>
        </w:rPr>
        <w:t>el concepto de fenómeno del corredor de la muerte del Relator Especial de las Naciones Unidas sobre la tortura y otros tratos o penas crueles, inhumanos o degradantes:</w:t>
      </w:r>
    </w:p>
    <w:p w14:paraId="4B245DD5" w14:textId="77777777" w:rsidR="00AC31F6" w:rsidRDefault="00AC31F6" w:rsidP="00AC31F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60" w:right="360"/>
        <w:jc w:val="both"/>
        <w:rPr>
          <w:rFonts w:ascii="Cambria" w:hAnsi="Cambria"/>
          <w:sz w:val="18"/>
          <w:szCs w:val="18"/>
          <w:lang w:val="es-ES"/>
        </w:rPr>
      </w:pPr>
    </w:p>
    <w:p w14:paraId="4D309988" w14:textId="77777777" w:rsidR="0050076E" w:rsidRPr="00AC31F6" w:rsidRDefault="00AC31F6" w:rsidP="00AC31F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360" w:right="360"/>
        <w:jc w:val="both"/>
        <w:rPr>
          <w:rFonts w:ascii="Cambria" w:hAnsi="Cambria"/>
          <w:sz w:val="18"/>
          <w:szCs w:val="18"/>
          <w:lang w:val="es-ES"/>
        </w:rPr>
      </w:pPr>
      <w:r>
        <w:rPr>
          <w:rFonts w:ascii="Cambria" w:hAnsi="Cambria"/>
          <w:sz w:val="18"/>
          <w:szCs w:val="18"/>
          <w:lang w:val="es-ES"/>
        </w:rPr>
        <w:t xml:space="preserve">(…) </w:t>
      </w:r>
      <w:r w:rsidRPr="00AC31F6">
        <w:rPr>
          <w:rFonts w:ascii="Cambria" w:hAnsi="Cambria"/>
          <w:sz w:val="18"/>
          <w:szCs w:val="18"/>
          <w:lang w:val="es-ES"/>
        </w:rPr>
        <w:t>Consiste en una combinación de circunstancias que producen graves traumas mentales y deterioro físico en los presos sentenciados a muerte.</w:t>
      </w:r>
      <w:r w:rsidRPr="00E43FF8">
        <w:rPr>
          <w:rFonts w:ascii="Cambria" w:hAnsi="Cambria"/>
          <w:sz w:val="18"/>
          <w:szCs w:val="18"/>
          <w:vertAlign w:val="superscript"/>
        </w:rPr>
        <w:footnoteReference w:id="45"/>
      </w:r>
      <w:r w:rsidRPr="00AC31F6">
        <w:rPr>
          <w:rFonts w:ascii="Cambria" w:hAnsi="Cambria"/>
          <w:sz w:val="18"/>
          <w:szCs w:val="18"/>
          <w:lang w:val="es-ES"/>
        </w:rPr>
        <w:t xml:space="preserve"> Entre esas circunstancias figuran la prolongada y ansiosa espera de resultados plenos de incertidumbre, el aislamiento, el contacto humano drásticamente reducido e incluso las condiciones físicas en que están alojados algunos reclusos. Con frecuencia, las condiciones del pabellón de los condenados a muerte son peores que las que afectan al resto de la población carcelaria y se deniegan a los presos alojados en ese pabellón muchas cuestiones básicas y de primera necesidad.</w:t>
      </w:r>
      <w:r w:rsidR="00B343BE">
        <w:rPr>
          <w:rStyle w:val="FootnoteReference"/>
          <w:rFonts w:ascii="Cambria" w:hAnsi="Cambria"/>
          <w:sz w:val="18"/>
          <w:szCs w:val="18"/>
          <w:lang w:val="es-ES"/>
        </w:rPr>
        <w:footnoteReference w:id="46"/>
      </w:r>
      <w:r w:rsidRPr="00AC31F6">
        <w:rPr>
          <w:rFonts w:ascii="Cambria" w:hAnsi="Cambria"/>
          <w:sz w:val="18"/>
          <w:szCs w:val="18"/>
          <w:vertAlign w:val="superscript"/>
          <w:lang w:val="es-ES"/>
        </w:rPr>
        <w:t xml:space="preserve"> </w:t>
      </w:r>
    </w:p>
    <w:p w14:paraId="5C7ED87C" w14:textId="77777777" w:rsidR="0050076E" w:rsidRPr="00B343BE" w:rsidRDefault="0050076E" w:rsidP="00500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right="720"/>
        <w:jc w:val="both"/>
        <w:rPr>
          <w:rFonts w:ascii="Cambria" w:hAnsi="Cambria"/>
          <w:bCs/>
          <w:sz w:val="20"/>
          <w:szCs w:val="20"/>
          <w:lang w:val="es-ES"/>
        </w:rPr>
      </w:pPr>
    </w:p>
    <w:p w14:paraId="09440456" w14:textId="77777777" w:rsidR="00AC31F6" w:rsidRPr="00AC31F6" w:rsidRDefault="00AC31F6"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AC31F6">
        <w:rPr>
          <w:rFonts w:asciiTheme="majorHAnsi" w:eastAsia="Times New Roman" w:hAnsiTheme="majorHAnsi"/>
          <w:sz w:val="20"/>
          <w:szCs w:val="20"/>
          <w:lang w:val="es-ES"/>
        </w:rPr>
        <w:t xml:space="preserve">En el caso </w:t>
      </w:r>
      <w:r w:rsidRPr="00AC31F6">
        <w:rPr>
          <w:rFonts w:asciiTheme="majorHAnsi" w:eastAsia="Times New Roman" w:hAnsiTheme="majorHAnsi"/>
          <w:i/>
          <w:iCs/>
          <w:sz w:val="20"/>
          <w:szCs w:val="20"/>
          <w:lang w:val="es-ES"/>
        </w:rPr>
        <w:t>Soering vs. Reino Unido</w:t>
      </w:r>
      <w:r w:rsidRPr="00AC31F6">
        <w:rPr>
          <w:rFonts w:asciiTheme="majorHAnsi" w:eastAsia="Times New Roman" w:hAnsiTheme="majorHAnsi"/>
          <w:sz w:val="20"/>
          <w:szCs w:val="20"/>
          <w:lang w:val="es-ES"/>
        </w:rPr>
        <w:t>, el Tribunal Europeo de Derechos Humanos, en su interpretación de la norma que prohíbe las penas crueles, inhumanos e inusuales y en referencia a la pena de muerte, señaló que:</w:t>
      </w:r>
    </w:p>
    <w:p w14:paraId="11671151" w14:textId="77777777" w:rsidR="00AC31F6" w:rsidRPr="00E36893" w:rsidRDefault="00AC31F6" w:rsidP="00AC31F6">
      <w:pPr>
        <w:ind w:right="360"/>
        <w:jc w:val="both"/>
        <w:rPr>
          <w:rStyle w:val="sb8d990e2"/>
          <w:sz w:val="18"/>
          <w:szCs w:val="18"/>
          <w:lang w:val="es-ES"/>
        </w:rPr>
      </w:pPr>
    </w:p>
    <w:p w14:paraId="3A0FFB23" w14:textId="77777777" w:rsidR="0050076E" w:rsidRPr="00AC31F6" w:rsidRDefault="00AC31F6" w:rsidP="00AC31F6">
      <w:pPr>
        <w:pStyle w:val="ListParagraph"/>
        <w:ind w:left="360" w:right="360"/>
        <w:jc w:val="both"/>
        <w:rPr>
          <w:rStyle w:val="sb8d990e2"/>
          <w:sz w:val="18"/>
          <w:szCs w:val="18"/>
          <w:lang w:val="es-ES"/>
        </w:rPr>
      </w:pPr>
      <w:r w:rsidRPr="00AC31F6">
        <w:rPr>
          <w:rStyle w:val="sb8d990e2"/>
          <w:sz w:val="18"/>
          <w:szCs w:val="18"/>
          <w:lang w:val="es-ES"/>
        </w:rPr>
        <w:t>La manera en que se dicte o aplique, la personalidad del condenado y la desproporción en relación con la gravedad del delito, así como las condiciones de la prisión mientras espera la ejecución, son algunos de</w:t>
      </w:r>
      <w:r>
        <w:rPr>
          <w:rStyle w:val="sb8d990e2"/>
          <w:sz w:val="18"/>
          <w:szCs w:val="18"/>
          <w:lang w:val="es-ES"/>
        </w:rPr>
        <w:t xml:space="preserve"> </w:t>
      </w:r>
      <w:r w:rsidRPr="00AC31F6">
        <w:rPr>
          <w:rStyle w:val="sb8d990e2"/>
          <w:sz w:val="18"/>
          <w:szCs w:val="18"/>
          <w:lang w:val="es-ES"/>
        </w:rPr>
        <w:t>los factores que pueden hacer que el trato y la pena que sufre el reo incidan en el artículo 3.</w:t>
      </w:r>
      <w:r w:rsidR="0050076E" w:rsidRPr="00E43FF8">
        <w:rPr>
          <w:rStyle w:val="FootnoteReference"/>
          <w:sz w:val="18"/>
          <w:szCs w:val="18"/>
        </w:rPr>
        <w:footnoteReference w:id="47"/>
      </w:r>
      <w:r w:rsidR="0050076E" w:rsidRPr="00AC31F6">
        <w:rPr>
          <w:rStyle w:val="sb8d990e2"/>
          <w:sz w:val="18"/>
          <w:szCs w:val="18"/>
          <w:lang w:val="es-ES"/>
        </w:rPr>
        <w:t xml:space="preserve"> </w:t>
      </w:r>
    </w:p>
    <w:p w14:paraId="122235B9" w14:textId="77777777" w:rsidR="0050076E" w:rsidRPr="00AC31F6" w:rsidRDefault="0050076E" w:rsidP="0050076E">
      <w:pPr>
        <w:pBdr>
          <w:top w:val="none" w:sz="0" w:space="0" w:color="auto"/>
          <w:left w:val="none" w:sz="0" w:space="0" w:color="auto"/>
          <w:bottom w:val="none" w:sz="0" w:space="0" w:color="auto"/>
          <w:right w:val="none" w:sz="0" w:space="0" w:color="auto"/>
          <w:between w:val="none" w:sz="0" w:space="0" w:color="auto"/>
          <w:bar w:val="none" w:sz="0" w:color="auto"/>
        </w:pBdr>
        <w:jc w:val="both"/>
        <w:rPr>
          <w:rStyle w:val="sb8d990e2"/>
          <w:rFonts w:ascii="Cambria" w:eastAsia="Cambria" w:hAnsi="Cambria" w:cs="Cambria"/>
          <w:color w:val="000000"/>
          <w:u w:color="000000"/>
          <w:lang w:val="es-ES" w:eastAsia="es-ES"/>
        </w:rPr>
      </w:pPr>
    </w:p>
    <w:p w14:paraId="4573C30A" w14:textId="77777777" w:rsidR="0050076E" w:rsidRPr="0098528B" w:rsidRDefault="0098528B" w:rsidP="009852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98528B">
        <w:rPr>
          <w:rFonts w:asciiTheme="majorHAnsi" w:eastAsia="Times New Roman" w:hAnsiTheme="majorHAnsi"/>
          <w:sz w:val="20"/>
          <w:szCs w:val="20"/>
          <w:lang w:val="es-ES"/>
        </w:rPr>
        <w:t>El Tribunal Europeo determinó que el "fenómeno del corredor de la muerte" es un trato cruel, inhumano y degradante y se caracteriza por un período prolongado de detención en espera de ejecución, durante el cual los presos condenados a muerte sufren ansiedad mental grave, tensión psicológica extrema y trauma.</w:t>
      </w:r>
      <w:r w:rsidR="0050076E" w:rsidRPr="00E43FF8">
        <w:rPr>
          <w:rStyle w:val="FootnoteReference"/>
          <w:rFonts w:asciiTheme="majorHAnsi" w:hAnsiTheme="majorHAnsi"/>
          <w:sz w:val="20"/>
          <w:szCs w:val="20"/>
        </w:rPr>
        <w:footnoteReference w:id="48"/>
      </w:r>
    </w:p>
    <w:p w14:paraId="050E1F64" w14:textId="77777777" w:rsidR="0050076E" w:rsidRPr="00E36893" w:rsidRDefault="0050076E" w:rsidP="0050076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09D7011E" w14:textId="71D6B8BE" w:rsidR="0050076E" w:rsidRPr="0098528B" w:rsidRDefault="0098528B" w:rsidP="009852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98528B">
        <w:rPr>
          <w:rFonts w:asciiTheme="majorHAnsi" w:eastAsia="Times New Roman" w:hAnsiTheme="majorHAnsi"/>
          <w:sz w:val="20"/>
          <w:szCs w:val="20"/>
          <w:lang w:val="es-ES"/>
        </w:rPr>
        <w:t>El Tribunal Europeo se refería a un promedio de seis a ocho años en el corredor de la muerte desde la imposición de la pena hasta la ejecución y mencionó cómo los procedimientos y los recursos posteriores a la imposición de la pena de muerte inciden en el tiempo de espera mencionado anteriormente en el corredor de la muerte. El tribunal mencionó que el lapso de tiempo entre la sentencia y la ejecución es inevitable, sin embargo, la consecuencia es que el preso condenado tiene que soportar durante muchos años las condiciones en el corredor de la muerte y la angustia y tensión creciente de vivir en la sombra omnipresente de la muerte</w:t>
      </w:r>
      <w:r w:rsidR="0050076E" w:rsidRPr="00FE4BF7">
        <w:rPr>
          <w:rFonts w:asciiTheme="majorHAnsi" w:eastAsia="Times New Roman" w:hAnsiTheme="majorHAnsi"/>
          <w:sz w:val="20"/>
          <w:szCs w:val="20"/>
          <w:lang w:val="es-ES"/>
        </w:rPr>
        <w:t>.</w:t>
      </w:r>
      <w:r w:rsidR="0050076E" w:rsidRPr="00E43FF8">
        <w:rPr>
          <w:rFonts w:ascii="Cambria" w:hAnsi="Cambria"/>
          <w:sz w:val="20"/>
          <w:vertAlign w:val="superscript"/>
        </w:rPr>
        <w:footnoteReference w:id="49"/>
      </w:r>
    </w:p>
    <w:p w14:paraId="1852A1CF" w14:textId="77777777" w:rsidR="0050076E" w:rsidRPr="00FE4BF7" w:rsidRDefault="0050076E" w:rsidP="0050076E">
      <w:pPr>
        <w:pStyle w:val="ListParagraph"/>
        <w:tabs>
          <w:tab w:val="left" w:pos="360"/>
        </w:tabs>
        <w:rPr>
          <w:sz w:val="20"/>
          <w:lang w:val="es-ES"/>
        </w:rPr>
      </w:pPr>
    </w:p>
    <w:p w14:paraId="351647BC" w14:textId="77777777" w:rsidR="0050076E" w:rsidRPr="00FE4BF7" w:rsidRDefault="00FE4BF7" w:rsidP="00FE4B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FE4BF7">
        <w:rPr>
          <w:rFonts w:asciiTheme="majorHAnsi" w:eastAsia="Times New Roman" w:hAnsiTheme="majorHAnsi"/>
          <w:sz w:val="20"/>
          <w:szCs w:val="20"/>
          <w:lang w:val="es-ES"/>
        </w:rPr>
        <w:t>El Tribunal reconoció además que algún elemento de retraso entre la imposición y ejecución de la sentencia y la experiencia de estrés severo en las condiciones necesarias para un encarcelamiento estricto son inevitables y consider</w:t>
      </w:r>
      <w:r>
        <w:rPr>
          <w:rFonts w:asciiTheme="majorHAnsi" w:eastAsia="Times New Roman" w:hAnsiTheme="majorHAnsi"/>
          <w:sz w:val="20"/>
          <w:szCs w:val="20"/>
          <w:lang w:val="es-ES"/>
        </w:rPr>
        <w:t xml:space="preserve">ó elementos </w:t>
      </w:r>
      <w:r w:rsidRPr="00FE4BF7">
        <w:rPr>
          <w:rFonts w:asciiTheme="majorHAnsi" w:eastAsia="Times New Roman" w:hAnsiTheme="majorHAnsi"/>
          <w:sz w:val="20"/>
          <w:szCs w:val="20"/>
          <w:lang w:val="es-ES"/>
        </w:rPr>
        <w:t>como el largo período de tiempo pasado en el corredor de la muerte en condiciones tan extremas, con la angustia siempre presente y creciente de esperar la ejecución de la pena de muerte, lo que llev</w:t>
      </w:r>
      <w:r>
        <w:rPr>
          <w:rFonts w:asciiTheme="majorHAnsi" w:eastAsia="Times New Roman" w:hAnsiTheme="majorHAnsi"/>
          <w:sz w:val="20"/>
          <w:szCs w:val="20"/>
          <w:lang w:val="es-ES"/>
        </w:rPr>
        <w:t>aría</w:t>
      </w:r>
      <w:r w:rsidRPr="00FE4BF7">
        <w:rPr>
          <w:rFonts w:asciiTheme="majorHAnsi" w:eastAsia="Times New Roman" w:hAnsiTheme="majorHAnsi"/>
          <w:sz w:val="20"/>
          <w:szCs w:val="20"/>
          <w:lang w:val="es-ES"/>
        </w:rPr>
        <w:t xml:space="preserve"> la demora a</w:t>
      </w:r>
      <w:r>
        <w:rPr>
          <w:rFonts w:asciiTheme="majorHAnsi" w:eastAsia="Times New Roman" w:hAnsiTheme="majorHAnsi"/>
          <w:sz w:val="20"/>
          <w:szCs w:val="20"/>
          <w:lang w:val="es-ES"/>
        </w:rPr>
        <w:t xml:space="preserve"> exponerlo a un </w:t>
      </w:r>
      <w:r w:rsidRPr="00FE4BF7">
        <w:rPr>
          <w:rFonts w:asciiTheme="majorHAnsi" w:eastAsia="Times New Roman" w:hAnsiTheme="majorHAnsi"/>
          <w:sz w:val="20"/>
          <w:szCs w:val="20"/>
          <w:lang w:val="es-ES"/>
        </w:rPr>
        <w:t>riesgo real de que el trat</w:t>
      </w:r>
      <w:r>
        <w:rPr>
          <w:rFonts w:asciiTheme="majorHAnsi" w:eastAsia="Times New Roman" w:hAnsiTheme="majorHAnsi"/>
          <w:sz w:val="20"/>
          <w:szCs w:val="20"/>
          <w:lang w:val="es-ES"/>
        </w:rPr>
        <w:t>o</w:t>
      </w:r>
      <w:r w:rsidRPr="00FE4BF7">
        <w:rPr>
          <w:rFonts w:asciiTheme="majorHAnsi" w:eastAsia="Times New Roman" w:hAnsiTheme="majorHAnsi"/>
          <w:sz w:val="20"/>
          <w:szCs w:val="20"/>
          <w:lang w:val="es-ES"/>
        </w:rPr>
        <w:t xml:space="preserve"> supere el umbral establecido por el artículo 3.</w:t>
      </w:r>
      <w:r w:rsidR="0050076E" w:rsidRPr="008C614F">
        <w:rPr>
          <w:rFonts w:ascii="Cambria" w:hAnsi="Cambria"/>
          <w:sz w:val="20"/>
          <w:vertAlign w:val="superscript"/>
        </w:rPr>
        <w:footnoteReference w:id="50"/>
      </w:r>
    </w:p>
    <w:p w14:paraId="32CAC05A" w14:textId="77777777" w:rsidR="0050076E" w:rsidRPr="00FE4BF7" w:rsidRDefault="0050076E" w:rsidP="0050076E">
      <w:pPr>
        <w:pStyle w:val="ListParagraph"/>
        <w:tabs>
          <w:tab w:val="left" w:pos="360"/>
        </w:tabs>
        <w:rPr>
          <w:sz w:val="20"/>
          <w:lang w:val="es-ES"/>
        </w:rPr>
      </w:pPr>
    </w:p>
    <w:p w14:paraId="27421A5C" w14:textId="77777777" w:rsidR="00FE4BF7" w:rsidRPr="00FE4BF7" w:rsidRDefault="00FE4BF7"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FE4BF7">
        <w:rPr>
          <w:rFonts w:asciiTheme="majorHAnsi" w:eastAsia="Times New Roman" w:hAnsiTheme="majorHAnsi"/>
          <w:sz w:val="20"/>
          <w:szCs w:val="20"/>
          <w:lang w:val="es-ES"/>
        </w:rPr>
        <w:t xml:space="preserve">Además, en un contexto de derecho comparado, la Comisión observa que en el caso </w:t>
      </w:r>
      <w:r w:rsidRPr="00FE4BF7">
        <w:rPr>
          <w:rFonts w:asciiTheme="majorHAnsi" w:eastAsia="Times New Roman" w:hAnsiTheme="majorHAnsi"/>
          <w:i/>
          <w:iCs/>
          <w:sz w:val="20"/>
          <w:szCs w:val="20"/>
          <w:lang w:val="es-ES"/>
        </w:rPr>
        <w:t>Pratt y Morgan c. Jamaica</w:t>
      </w:r>
      <w:r w:rsidRPr="00FE4BF7">
        <w:rPr>
          <w:rFonts w:asciiTheme="majorHAnsi" w:eastAsia="Times New Roman" w:hAnsiTheme="majorHAnsi"/>
          <w:sz w:val="20"/>
          <w:szCs w:val="20"/>
          <w:lang w:val="es-ES"/>
        </w:rPr>
        <w:t xml:space="preserve"> antes citado, el Privy Council consideró la cuestión del fenómeno del corredor de la muerte y sostuvo que:</w:t>
      </w:r>
    </w:p>
    <w:p w14:paraId="2DF9F0D9" w14:textId="77777777" w:rsidR="0050076E" w:rsidRPr="00E36893" w:rsidRDefault="0050076E" w:rsidP="0050076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lang w:val="es-ES"/>
        </w:rPr>
      </w:pPr>
    </w:p>
    <w:p w14:paraId="68997BDD" w14:textId="77777777" w:rsidR="00EA66A2" w:rsidRPr="00EA66A2" w:rsidRDefault="00EA66A2" w:rsidP="005007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Cambria" w:eastAsia="Calibri" w:hAnsi="Cambria"/>
          <w:sz w:val="18"/>
          <w:szCs w:val="18"/>
          <w:bdr w:val="none" w:sz="0" w:space="0" w:color="auto"/>
          <w:lang w:val="es-ES"/>
        </w:rPr>
      </w:pPr>
      <w:r w:rsidRPr="00EA66A2">
        <w:rPr>
          <w:rFonts w:ascii="Cambria" w:eastAsia="Calibri" w:hAnsi="Cambria"/>
          <w:sz w:val="18"/>
          <w:szCs w:val="18"/>
          <w:bdr w:val="none" w:sz="0" w:space="0" w:color="auto"/>
          <w:lang w:val="es-ES"/>
        </w:rPr>
        <w:t xml:space="preserve">En opinión de sus Señorías, un Estado que desee mantener la pena capital debe aceptar la responsabilidad de garantizar que la ejecución se lleve a cabo tan pronto como sea posible después de la sentencia, permitiendo un tiempo razonable para apelar y considerar el indulto. Es parte de la condición humana que un condenado </w:t>
      </w:r>
      <w:r w:rsidRPr="00EA66A2">
        <w:rPr>
          <w:rFonts w:ascii="Cambria" w:eastAsia="Calibri" w:hAnsi="Cambria"/>
          <w:sz w:val="18"/>
          <w:szCs w:val="18"/>
          <w:bdr w:val="none" w:sz="0" w:space="0" w:color="auto"/>
          <w:lang w:val="es-ES"/>
        </w:rPr>
        <w:lastRenderedPageBreak/>
        <w:t xml:space="preserve">aproveche cada oportunidad para salvar su vida mediante el uso del procedimiento de apelación. Si el procedimiento de apelación permite al recluso prolongar las audiencias de apelación por un período de años, la culpa será atribuida al sistema de apelación que permite tal demora y no al recluso que se aprovecha de ella. Los procedimientos de apelación que </w:t>
      </w:r>
      <w:r>
        <w:rPr>
          <w:rFonts w:ascii="Cambria" w:eastAsia="Calibri" w:hAnsi="Cambria"/>
          <w:sz w:val="18"/>
          <w:szCs w:val="18"/>
          <w:bdr w:val="none" w:sz="0" w:space="0" w:color="auto"/>
          <w:lang w:val="es-ES"/>
        </w:rPr>
        <w:t>se prolonga</w:t>
      </w:r>
      <w:r w:rsidRPr="00EA66A2">
        <w:rPr>
          <w:rFonts w:ascii="Cambria" w:eastAsia="Calibri" w:hAnsi="Cambria"/>
          <w:sz w:val="18"/>
          <w:szCs w:val="18"/>
          <w:bdr w:val="none" w:sz="0" w:space="0" w:color="auto"/>
          <w:lang w:val="es-ES"/>
        </w:rPr>
        <w:t xml:space="preserve">n a lo largo de los años no son compatibles con la pena capital. El fenómeno del corredor de la muerte no debe </w:t>
      </w:r>
      <w:r>
        <w:rPr>
          <w:rFonts w:ascii="Cambria" w:eastAsia="Calibri" w:hAnsi="Cambria"/>
          <w:sz w:val="18"/>
          <w:szCs w:val="18"/>
          <w:bdr w:val="none" w:sz="0" w:space="0" w:color="auto"/>
          <w:lang w:val="es-ES"/>
        </w:rPr>
        <w:t xml:space="preserve">convertirse en una </w:t>
      </w:r>
      <w:r w:rsidRPr="00EA66A2">
        <w:rPr>
          <w:rFonts w:ascii="Cambria" w:eastAsia="Calibri" w:hAnsi="Cambria"/>
          <w:sz w:val="18"/>
          <w:szCs w:val="18"/>
          <w:bdr w:val="none" w:sz="0" w:space="0" w:color="auto"/>
          <w:lang w:val="es-ES"/>
        </w:rPr>
        <w:t>parte</w:t>
      </w:r>
      <w:r>
        <w:rPr>
          <w:rFonts w:ascii="Cambria" w:eastAsia="Calibri" w:hAnsi="Cambria"/>
          <w:sz w:val="18"/>
          <w:szCs w:val="18"/>
          <w:bdr w:val="none" w:sz="0" w:space="0" w:color="auto"/>
          <w:lang w:val="es-ES"/>
        </w:rPr>
        <w:t xml:space="preserve"> establecida</w:t>
      </w:r>
      <w:r w:rsidRPr="00EA66A2">
        <w:rPr>
          <w:rFonts w:ascii="Cambria" w:eastAsia="Calibri" w:hAnsi="Cambria"/>
          <w:sz w:val="18"/>
          <w:szCs w:val="18"/>
          <w:bdr w:val="none" w:sz="0" w:space="0" w:color="auto"/>
          <w:lang w:val="es-ES"/>
        </w:rPr>
        <w:t xml:space="preserve"> de nuestra jurisprudencia.</w:t>
      </w:r>
    </w:p>
    <w:p w14:paraId="6331AE9D" w14:textId="77777777" w:rsidR="0050076E" w:rsidRPr="00EA66A2" w:rsidRDefault="0050076E" w:rsidP="005007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Cambria" w:eastAsia="Calibri" w:hAnsi="Cambria" w:cs="Tahoma"/>
          <w:sz w:val="18"/>
          <w:szCs w:val="18"/>
          <w:bdr w:val="none" w:sz="0" w:space="0" w:color="auto"/>
          <w:lang w:val="es-ES"/>
        </w:rPr>
      </w:pPr>
      <w:r w:rsidRPr="00EA66A2">
        <w:rPr>
          <w:rFonts w:ascii="Cambria" w:eastAsia="Calibri" w:hAnsi="Cambria"/>
          <w:sz w:val="18"/>
          <w:szCs w:val="18"/>
          <w:bdr w:val="none" w:sz="0" w:space="0" w:color="auto"/>
          <w:lang w:val="es-ES"/>
        </w:rPr>
        <w:t>(…)</w:t>
      </w:r>
    </w:p>
    <w:p w14:paraId="0404BB5E" w14:textId="77777777" w:rsidR="0050076E" w:rsidRPr="00EA66A2" w:rsidRDefault="00EA66A2" w:rsidP="00EA66A2">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Calibri" w:hAnsi="Cambria"/>
          <w:sz w:val="18"/>
          <w:szCs w:val="18"/>
          <w:bdr w:val="none" w:sz="0" w:space="0" w:color="auto"/>
          <w:lang w:val="es-ES"/>
        </w:rPr>
      </w:pPr>
      <w:r w:rsidRPr="00EA66A2">
        <w:rPr>
          <w:rFonts w:ascii="Cambria" w:eastAsia="Calibri" w:hAnsi="Cambria"/>
          <w:sz w:val="18"/>
          <w:szCs w:val="18"/>
          <w:bdr w:val="none" w:sz="0" w:space="0" w:color="auto"/>
          <w:lang w:val="es-ES"/>
        </w:rPr>
        <w:t>Estas consideraciones llevan a sus Señorías a la conclusión de que en cualquier caso en el que la ejecución se lleve a cabo más de cinco años después de la sentencia, habrá fuertes motivos para creer que la demora constituye "una pena u otro trato inhumano o degradante".</w:t>
      </w:r>
      <w:r w:rsidR="0050076E" w:rsidRPr="00E5217B">
        <w:rPr>
          <w:rFonts w:ascii="Cambria" w:eastAsia="Calibri" w:hAnsi="Cambria"/>
          <w:sz w:val="18"/>
          <w:szCs w:val="18"/>
          <w:bdr w:val="none" w:sz="0" w:space="0" w:color="auto"/>
          <w:vertAlign w:val="superscript"/>
        </w:rPr>
        <w:footnoteReference w:id="51"/>
      </w:r>
    </w:p>
    <w:p w14:paraId="4494C211" w14:textId="77777777" w:rsidR="0050076E" w:rsidRPr="00E36893" w:rsidRDefault="0050076E" w:rsidP="0050076E">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Calibri" w:hAnsi="Cambria"/>
          <w:sz w:val="20"/>
          <w:szCs w:val="22"/>
          <w:bdr w:val="none" w:sz="0" w:space="0" w:color="auto"/>
          <w:lang w:val="es-ES"/>
        </w:rPr>
      </w:pPr>
    </w:p>
    <w:p w14:paraId="19E5D381" w14:textId="77777777" w:rsidR="00EA66A2" w:rsidRPr="00EA66A2" w:rsidRDefault="00EA66A2" w:rsidP="00500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lang w:val="es-ES"/>
        </w:rPr>
      </w:pPr>
      <w:r w:rsidRPr="00EA66A2">
        <w:rPr>
          <w:rFonts w:asciiTheme="majorHAnsi" w:eastAsia="Times New Roman" w:hAnsiTheme="majorHAnsi"/>
          <w:sz w:val="20"/>
          <w:szCs w:val="20"/>
          <w:lang w:val="es-ES"/>
        </w:rPr>
        <w:t xml:space="preserve">En la misma línea, la Corte Suprema de Uganda consideró en 2009 que "ejecutar a una persona después de una demora de tres años en condiciones que no eran aceptables para los estándares de Uganda equivaldría a un </w:t>
      </w:r>
      <w:r>
        <w:rPr>
          <w:rFonts w:asciiTheme="majorHAnsi" w:eastAsia="Times New Roman" w:hAnsiTheme="majorHAnsi"/>
          <w:sz w:val="20"/>
          <w:szCs w:val="20"/>
          <w:lang w:val="es-ES"/>
        </w:rPr>
        <w:t>pena</w:t>
      </w:r>
      <w:r w:rsidRPr="00EA66A2">
        <w:rPr>
          <w:rFonts w:asciiTheme="majorHAnsi" w:eastAsia="Times New Roman" w:hAnsiTheme="majorHAnsi"/>
          <w:sz w:val="20"/>
          <w:szCs w:val="20"/>
          <w:lang w:val="es-ES"/>
        </w:rPr>
        <w:t xml:space="preserve"> cruel e inhuman</w:t>
      </w:r>
      <w:r>
        <w:rPr>
          <w:rFonts w:asciiTheme="majorHAnsi" w:eastAsia="Times New Roman" w:hAnsiTheme="majorHAnsi"/>
          <w:sz w:val="20"/>
          <w:szCs w:val="20"/>
          <w:lang w:val="es-ES"/>
        </w:rPr>
        <w:t>a</w:t>
      </w:r>
      <w:r w:rsidRPr="00EA66A2">
        <w:rPr>
          <w:rFonts w:asciiTheme="majorHAnsi" w:eastAsia="Times New Roman" w:hAnsiTheme="majorHAnsi"/>
          <w:sz w:val="20"/>
          <w:szCs w:val="20"/>
          <w:lang w:val="es-ES"/>
        </w:rPr>
        <w:t>".</w:t>
      </w:r>
      <w:r w:rsidRPr="00E5217B">
        <w:rPr>
          <w:rFonts w:ascii="Cambria" w:hAnsi="Cambria"/>
          <w:sz w:val="20"/>
          <w:vertAlign w:val="superscript"/>
        </w:rPr>
        <w:footnoteReference w:id="52"/>
      </w:r>
      <w:r w:rsidRPr="00EA66A2">
        <w:rPr>
          <w:rFonts w:asciiTheme="majorHAnsi" w:eastAsia="Times New Roman" w:hAnsiTheme="majorHAnsi"/>
          <w:sz w:val="20"/>
          <w:szCs w:val="20"/>
          <w:lang w:val="es-ES"/>
        </w:rPr>
        <w:t xml:space="preserve"> Por su parte, la Corte Suprema de Zimbabwe ha señalado desde 1993 que “teniendo en cuenta el consenso judicial y académico sobre el fenómeno del corredor de la muerte, las prolongadas demoras y las duras condiciones de encarcelamiento, se había alcanzado un grado de gravedad suficiente para dar derecho al solicitante para invocar la protección relativa a la prohibición de la tortura y las penas inhumanas o degradantes ”. Ese Tribunal Supremo sostuvo que “52 y 72 meses, respectivamente, en el corredor de la muerte constituían una violación a la prohibición de la tortura y harían inconstitucional una ejecución real”.</w:t>
      </w:r>
      <w:r w:rsidRPr="00E5217B">
        <w:rPr>
          <w:rFonts w:ascii="Cambria" w:hAnsi="Cambria"/>
          <w:sz w:val="20"/>
          <w:vertAlign w:val="superscript"/>
        </w:rPr>
        <w:footnoteReference w:id="53"/>
      </w:r>
    </w:p>
    <w:p w14:paraId="20EFC0B9" w14:textId="77777777" w:rsidR="0050076E" w:rsidRPr="00E36893" w:rsidRDefault="0050076E" w:rsidP="005007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28C15047" w14:textId="77777777" w:rsidR="003E0ABC" w:rsidRPr="00EA66A2" w:rsidRDefault="00EA66A2" w:rsidP="00F47B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lang w:val="es-ES"/>
        </w:rPr>
      </w:pPr>
      <w:r w:rsidRPr="00EA66A2">
        <w:rPr>
          <w:rFonts w:ascii="Cambria" w:hAnsi="Cambria"/>
          <w:sz w:val="20"/>
          <w:lang w:val="es-ES"/>
        </w:rPr>
        <w:t xml:space="preserve">La Comisión observa que el señor Valle estuvo en el corredor de la muerte desde 1978 hasta septiembre de 2011. Por lo tanto, el señor Valle estuvo privado de su libertad en el corredor de la muerte durante 33 años. La Comisión observa que el solo hecho de pasar 33 años en el corredor de la muerte fue, </w:t>
      </w:r>
      <w:r>
        <w:rPr>
          <w:rFonts w:ascii="Cambria" w:hAnsi="Cambria"/>
          <w:sz w:val="20"/>
          <w:lang w:val="es-ES"/>
        </w:rPr>
        <w:t>en cualquier caso</w:t>
      </w:r>
      <w:r w:rsidRPr="00EA66A2">
        <w:rPr>
          <w:rFonts w:ascii="Cambria" w:hAnsi="Cambria"/>
          <w:sz w:val="20"/>
          <w:lang w:val="es-ES"/>
        </w:rPr>
        <w:t xml:space="preserve">, excesivo e inhumano, y se vio agravado por la prolongada expectativa de que la pena de muerte pudiera ser ejecutada. En consecuencia, Estados Unidos es responsable de haber violado, en perjuicio de la presunta víctima, el derecho a la integridad personal y a no recibir </w:t>
      </w:r>
      <w:r>
        <w:rPr>
          <w:rFonts w:ascii="Cambria" w:hAnsi="Cambria"/>
          <w:sz w:val="20"/>
          <w:lang w:val="es-ES"/>
        </w:rPr>
        <w:t>penas</w:t>
      </w:r>
      <w:r w:rsidRPr="00EA66A2">
        <w:rPr>
          <w:rFonts w:ascii="Cambria" w:hAnsi="Cambria"/>
          <w:sz w:val="20"/>
          <w:lang w:val="es-ES"/>
        </w:rPr>
        <w:t xml:space="preserve"> crueles, infam</w:t>
      </w:r>
      <w:r>
        <w:rPr>
          <w:rFonts w:ascii="Cambria" w:hAnsi="Cambria"/>
          <w:sz w:val="20"/>
          <w:lang w:val="es-ES"/>
        </w:rPr>
        <w:t>antes</w:t>
      </w:r>
      <w:r w:rsidRPr="00EA66A2">
        <w:rPr>
          <w:rFonts w:ascii="Cambria" w:hAnsi="Cambria"/>
          <w:sz w:val="20"/>
          <w:lang w:val="es-ES"/>
        </w:rPr>
        <w:t xml:space="preserve"> o inus</w:t>
      </w:r>
      <w:r>
        <w:rPr>
          <w:rFonts w:ascii="Cambria" w:hAnsi="Cambria"/>
          <w:sz w:val="20"/>
          <w:lang w:val="es-ES"/>
        </w:rPr>
        <w:t>itado</w:t>
      </w:r>
      <w:r w:rsidRPr="00EA66A2">
        <w:rPr>
          <w:rFonts w:ascii="Cambria" w:hAnsi="Cambria"/>
          <w:sz w:val="20"/>
          <w:lang w:val="es-ES"/>
        </w:rPr>
        <w:t>s establecidos en los artículos XXV y XXVI de la Declaración Americana.</w:t>
      </w:r>
    </w:p>
    <w:p w14:paraId="1B3169D2" w14:textId="77777777" w:rsidR="003E0ABC" w:rsidRPr="00E36893" w:rsidRDefault="003E0ABC" w:rsidP="00F47B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51B54F57" w14:textId="77777777" w:rsidR="00F47B79" w:rsidRPr="00186608" w:rsidRDefault="00126FD8" w:rsidP="00F47B79">
      <w:pPr>
        <w:pStyle w:val="Heading2"/>
        <w:numPr>
          <w:ilvl w:val="1"/>
          <w:numId w:val="68"/>
        </w:numPr>
        <w:spacing w:before="0"/>
        <w:ind w:left="360" w:hanging="360"/>
        <w:rPr>
          <w:rFonts w:eastAsia="Arial Unicode MS"/>
          <w:color w:val="auto"/>
          <w:sz w:val="20"/>
          <w:szCs w:val="20"/>
        </w:rPr>
      </w:pPr>
      <w:bookmarkStart w:id="23" w:name="_Toc90292585"/>
      <w:r>
        <w:rPr>
          <w:color w:val="auto"/>
          <w:sz w:val="20"/>
          <w:szCs w:val="20"/>
        </w:rPr>
        <w:t>Método de ejecución</w:t>
      </w:r>
      <w:bookmarkEnd w:id="23"/>
    </w:p>
    <w:p w14:paraId="33B1A355" w14:textId="77777777" w:rsidR="00F47B79" w:rsidRPr="00771B62" w:rsidRDefault="00F47B79" w:rsidP="00F47B79">
      <w:pPr>
        <w:rPr>
          <w:rFonts w:asciiTheme="majorHAnsi" w:hAnsiTheme="majorHAnsi"/>
          <w:sz w:val="20"/>
          <w:szCs w:val="20"/>
        </w:rPr>
      </w:pPr>
    </w:p>
    <w:p w14:paraId="40D3CED8" w14:textId="1DC4ABF7" w:rsidR="00F76ADB" w:rsidRPr="00EA66A2" w:rsidRDefault="00EA66A2" w:rsidP="00EA66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lang w:val="es-ES"/>
        </w:rPr>
      </w:pPr>
      <w:r w:rsidRPr="00EA66A2">
        <w:rPr>
          <w:rFonts w:ascii="Cambria" w:hAnsi="Cambria"/>
          <w:sz w:val="20"/>
          <w:szCs w:val="20"/>
          <w:lang w:val="es-ES"/>
        </w:rPr>
        <w:t>La Comisión observa que si bien la Declaración Americana no prohíbe la pena de muerte, diversos órganos han considerado que un método de ejecución es incompatible con el derecho a la integridad personal y la prohibición de la tortura cuando no está diseñado para infligir el menor sufrimiento posible.</w:t>
      </w:r>
      <w:r w:rsidR="002B29F1">
        <w:rPr>
          <w:rStyle w:val="FootnoteReference"/>
          <w:rFonts w:ascii="Cambria" w:hAnsi="Cambria"/>
          <w:sz w:val="20"/>
          <w:szCs w:val="20"/>
          <w:bdr w:val="none" w:sz="0" w:space="0" w:color="auto"/>
        </w:rPr>
        <w:footnoteReference w:id="54"/>
      </w:r>
    </w:p>
    <w:p w14:paraId="18B2FB94" w14:textId="77777777" w:rsidR="00F76ADB" w:rsidRPr="00EA66A2" w:rsidRDefault="00F76ADB" w:rsidP="00F76AD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lang w:val="es-ES"/>
        </w:rPr>
      </w:pPr>
    </w:p>
    <w:p w14:paraId="256A1EB4" w14:textId="085ACC7F" w:rsidR="00186608" w:rsidRPr="00E36893" w:rsidRDefault="00EA66A2" w:rsidP="00EA66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lang w:val="es-ES"/>
        </w:rPr>
      </w:pPr>
      <w:r w:rsidRPr="00EA66A2">
        <w:rPr>
          <w:rFonts w:ascii="Cambria" w:hAnsi="Cambria"/>
          <w:sz w:val="20"/>
          <w:szCs w:val="20"/>
          <w:lang w:val="es-ES"/>
        </w:rPr>
        <w:t>Las salvaguardias de las Naciones Unidas que garantizan la protección de los derechos de los que enfrentan la pena de muerte establecen que "</w:t>
      </w:r>
      <w:r>
        <w:rPr>
          <w:rFonts w:ascii="Cambria" w:hAnsi="Cambria"/>
          <w:sz w:val="20"/>
          <w:szCs w:val="20"/>
          <w:lang w:val="es-ES"/>
        </w:rPr>
        <w:t>cuando se aplique la pena capital, su ejecución se hará de forma que se cause el menor sufrimiento posible</w:t>
      </w:r>
      <w:r w:rsidRPr="00EA66A2">
        <w:rPr>
          <w:rFonts w:ascii="Cambria" w:hAnsi="Cambria"/>
          <w:sz w:val="20"/>
          <w:szCs w:val="20"/>
          <w:lang w:val="es-ES"/>
        </w:rPr>
        <w:t>"</w:t>
      </w:r>
      <w:r>
        <w:rPr>
          <w:rFonts w:ascii="Cambria" w:hAnsi="Cambria"/>
          <w:sz w:val="20"/>
          <w:szCs w:val="20"/>
          <w:lang w:val="es-ES"/>
        </w:rPr>
        <w:t>.</w:t>
      </w:r>
      <w:r>
        <w:rPr>
          <w:rStyle w:val="FootnoteReference"/>
          <w:rFonts w:ascii="Cambria" w:hAnsi="Cambria"/>
          <w:sz w:val="20"/>
          <w:szCs w:val="20"/>
          <w:bdr w:val="none" w:sz="0" w:space="0" w:color="auto"/>
        </w:rPr>
        <w:footnoteReference w:id="55"/>
      </w:r>
      <w:r w:rsidRPr="00EA66A2">
        <w:rPr>
          <w:rFonts w:ascii="Cambria" w:hAnsi="Cambria"/>
          <w:sz w:val="20"/>
          <w:szCs w:val="20"/>
          <w:lang w:val="es-ES"/>
        </w:rPr>
        <w:t xml:space="preserve"> El Relator Especial sobre la Tortura, refiriéndose a las Salvaguardias, ha señalado que no existe evidencia contundente que demuestre que alguno de los métodos de ejecución actualmente utilizados para implementar la pena de muerte cumplen con la prohibición de tortura y tratos crueles, inhumanos y degradantes y </w:t>
      </w:r>
      <w:r>
        <w:rPr>
          <w:rFonts w:ascii="Cambria" w:hAnsi="Cambria"/>
          <w:sz w:val="20"/>
          <w:szCs w:val="20"/>
          <w:lang w:val="es-ES"/>
        </w:rPr>
        <w:t>agregó que</w:t>
      </w:r>
      <w:r w:rsidRPr="00EA66A2">
        <w:rPr>
          <w:rFonts w:ascii="Cambria" w:hAnsi="Cambria"/>
          <w:sz w:val="20"/>
          <w:szCs w:val="20"/>
          <w:lang w:val="es-ES"/>
        </w:rPr>
        <w:t xml:space="preserve"> “incluso si se respeta</w:t>
      </w:r>
      <w:r>
        <w:rPr>
          <w:rFonts w:ascii="Cambria" w:hAnsi="Cambria"/>
          <w:sz w:val="20"/>
          <w:szCs w:val="20"/>
          <w:lang w:val="es-ES"/>
        </w:rPr>
        <w:t>ban</w:t>
      </w:r>
      <w:r w:rsidRPr="00EA66A2">
        <w:rPr>
          <w:rFonts w:ascii="Cambria" w:hAnsi="Cambria"/>
          <w:sz w:val="20"/>
          <w:szCs w:val="20"/>
          <w:lang w:val="es-ES"/>
        </w:rPr>
        <w:t xml:space="preserve"> las salvaguardias</w:t>
      </w:r>
      <w:r>
        <w:rPr>
          <w:rFonts w:ascii="Cambria" w:hAnsi="Cambria"/>
          <w:sz w:val="20"/>
          <w:szCs w:val="20"/>
          <w:lang w:val="es-ES"/>
        </w:rPr>
        <w:t xml:space="preserve"> necesarias</w:t>
      </w:r>
      <w:r w:rsidRPr="00EA66A2">
        <w:rPr>
          <w:rFonts w:ascii="Cambria" w:hAnsi="Cambria"/>
          <w:sz w:val="20"/>
          <w:szCs w:val="20"/>
          <w:lang w:val="es-ES"/>
        </w:rPr>
        <w:t xml:space="preserve">, todos los métodos de ejecución </w:t>
      </w:r>
      <w:r>
        <w:rPr>
          <w:rFonts w:ascii="Cambria" w:hAnsi="Cambria"/>
          <w:sz w:val="20"/>
          <w:szCs w:val="20"/>
          <w:lang w:val="es-ES"/>
        </w:rPr>
        <w:t xml:space="preserve">actualmente </w:t>
      </w:r>
      <w:r w:rsidRPr="00EA66A2">
        <w:rPr>
          <w:rFonts w:ascii="Cambria" w:hAnsi="Cambria"/>
          <w:sz w:val="20"/>
          <w:szCs w:val="20"/>
          <w:lang w:val="es-ES"/>
        </w:rPr>
        <w:t xml:space="preserve">utilizados </w:t>
      </w:r>
      <w:r>
        <w:rPr>
          <w:rFonts w:ascii="Cambria" w:hAnsi="Cambria"/>
          <w:sz w:val="20"/>
          <w:szCs w:val="20"/>
          <w:lang w:val="es-ES"/>
        </w:rPr>
        <w:t xml:space="preserve">podía </w:t>
      </w:r>
      <w:r w:rsidR="003201AA">
        <w:rPr>
          <w:rFonts w:ascii="Cambria" w:hAnsi="Cambria"/>
          <w:sz w:val="20"/>
          <w:szCs w:val="20"/>
          <w:lang w:val="es-ES"/>
        </w:rPr>
        <w:t>infligir</w:t>
      </w:r>
      <w:r w:rsidRPr="00EA66A2">
        <w:rPr>
          <w:rFonts w:ascii="Cambria" w:hAnsi="Cambria"/>
          <w:sz w:val="20"/>
          <w:szCs w:val="20"/>
          <w:lang w:val="es-ES"/>
        </w:rPr>
        <w:t xml:space="preserve"> dolor </w:t>
      </w:r>
      <w:r>
        <w:rPr>
          <w:rFonts w:ascii="Cambria" w:hAnsi="Cambria"/>
          <w:sz w:val="20"/>
          <w:szCs w:val="20"/>
          <w:lang w:val="es-ES"/>
        </w:rPr>
        <w:t>o</w:t>
      </w:r>
      <w:r w:rsidRPr="00EA66A2">
        <w:rPr>
          <w:rFonts w:ascii="Cambria" w:hAnsi="Cambria"/>
          <w:sz w:val="20"/>
          <w:szCs w:val="20"/>
          <w:lang w:val="es-ES"/>
        </w:rPr>
        <w:t xml:space="preserve"> sufrimiento </w:t>
      </w:r>
      <w:r>
        <w:rPr>
          <w:rFonts w:ascii="Cambria" w:hAnsi="Cambria"/>
          <w:sz w:val="20"/>
          <w:szCs w:val="20"/>
          <w:lang w:val="es-ES"/>
        </w:rPr>
        <w:t>intensos</w:t>
      </w:r>
      <w:r w:rsidRPr="00EA66A2">
        <w:rPr>
          <w:rFonts w:ascii="Cambria" w:hAnsi="Cambria"/>
          <w:sz w:val="20"/>
          <w:szCs w:val="20"/>
          <w:lang w:val="es-ES"/>
        </w:rPr>
        <w:t>".</w:t>
      </w:r>
      <w:r w:rsidR="00CC1B33">
        <w:rPr>
          <w:rStyle w:val="FootnoteReference"/>
          <w:rFonts w:ascii="Cambria" w:hAnsi="Cambria"/>
          <w:sz w:val="20"/>
          <w:szCs w:val="20"/>
          <w:bdr w:val="none" w:sz="0" w:space="0" w:color="auto"/>
        </w:rPr>
        <w:footnoteReference w:id="56"/>
      </w:r>
    </w:p>
    <w:p w14:paraId="7328B33C" w14:textId="77777777" w:rsidR="00186608" w:rsidRPr="00E36893" w:rsidRDefault="00186608" w:rsidP="001866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lang w:val="es-ES"/>
        </w:rPr>
      </w:pPr>
    </w:p>
    <w:p w14:paraId="7B70E873" w14:textId="77777777" w:rsidR="00186608" w:rsidRPr="00B92AA7" w:rsidRDefault="00EA66A2" w:rsidP="00B92A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lang w:val="es-ES"/>
        </w:rPr>
      </w:pPr>
      <w:r w:rsidRPr="00EA66A2">
        <w:rPr>
          <w:rFonts w:ascii="Cambria" w:hAnsi="Cambria"/>
          <w:sz w:val="20"/>
          <w:szCs w:val="20"/>
          <w:lang w:val="es-ES"/>
        </w:rPr>
        <w:t xml:space="preserve">El Relator Especial sobre Ejecuciones Extrajudiciales, Sumarias o Arbitrarias ha señalado con respecto a los métodos para la ejecución de la pena de muerte que </w:t>
      </w:r>
      <w:r w:rsidR="00B92AA7">
        <w:rPr>
          <w:rFonts w:ascii="Cambria" w:hAnsi="Cambria"/>
          <w:sz w:val="20"/>
          <w:szCs w:val="20"/>
          <w:lang w:val="es-ES"/>
        </w:rPr>
        <w:t>“l</w:t>
      </w:r>
      <w:r w:rsidR="00B92AA7" w:rsidRPr="00B92AA7">
        <w:rPr>
          <w:rFonts w:ascii="Cambria" w:hAnsi="Cambria"/>
          <w:sz w:val="20"/>
          <w:szCs w:val="20"/>
          <w:lang w:val="es-ES"/>
        </w:rPr>
        <w:t xml:space="preserve">a extraordinaria facultad conferida al Estado de tomar </w:t>
      </w:r>
      <w:r w:rsidR="00B92AA7" w:rsidRPr="00B92AA7">
        <w:rPr>
          <w:rFonts w:ascii="Cambria" w:hAnsi="Cambria"/>
          <w:sz w:val="20"/>
          <w:szCs w:val="20"/>
          <w:lang w:val="es-ES"/>
        </w:rPr>
        <w:lastRenderedPageBreak/>
        <w:t>la vida de una persona mediante un pelotón de fusilamiento, la horca, una inyección letal o cualquier otro medio de matar, plantea un grave riesgo de abuso. Esta facultad solo puede mantenerse a raya de manera segura mediante la supervisión pública del castigo público. Es aceptado que las garantías procesales sirven para proteger a los acusados. Sin embargo, también son el mecanismo por el cual la sociedad garantiza que los castigos infligidos en su nombre sean justos e imparciales”</w:t>
      </w:r>
      <w:r w:rsidR="00B92AA7" w:rsidRPr="00B92AA7">
        <w:rPr>
          <w:lang w:val="es-ES"/>
        </w:rPr>
        <w:t>.</w:t>
      </w:r>
      <w:r w:rsidR="000C59A4">
        <w:rPr>
          <w:rStyle w:val="FootnoteReference"/>
          <w:rFonts w:ascii="Cambria" w:hAnsi="Cambria"/>
          <w:sz w:val="20"/>
          <w:szCs w:val="20"/>
          <w:bdr w:val="none" w:sz="0" w:space="0" w:color="auto"/>
        </w:rPr>
        <w:footnoteReference w:id="57"/>
      </w:r>
    </w:p>
    <w:p w14:paraId="35927419" w14:textId="77777777" w:rsidR="00186608" w:rsidRPr="00B92AA7" w:rsidRDefault="00186608" w:rsidP="001866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lang w:val="es-ES"/>
        </w:rPr>
      </w:pPr>
    </w:p>
    <w:p w14:paraId="4E7CA159" w14:textId="77777777" w:rsidR="00186608" w:rsidRPr="00B92AA7" w:rsidRDefault="00B92AA7" w:rsidP="00B92A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sidRPr="00B92AA7">
        <w:rPr>
          <w:rFonts w:ascii="Cambria" w:hAnsi="Cambria"/>
          <w:sz w:val="20"/>
          <w:szCs w:val="20"/>
          <w:lang w:val="es-ES"/>
        </w:rPr>
        <w:t>Los Estados tienen el deber especial reforzado de garantizar que el método de ejecución no constituya un pena cruel, infame o inusual. En este sentido, los fármacos y dosis a utilizar en caso de ejecuciones por inyección letal, así como la composición del equipo ejecutor y la formación de sus integrantes deben estar sujetos a los más altos estándares de control de calidad. En particular, los medicamentos utilizados deben estar sujetos a la aprobación y regulación del gobierno, el equipo de ejecución debe tener la formación médica adecuada y los protocolos de inyección letal deben estar disponibles para el público para garantizar el escrutinio público</w:t>
      </w:r>
      <w:r w:rsidR="00EB22B0" w:rsidRPr="00B92AA7">
        <w:rPr>
          <w:rFonts w:ascii="Cambria" w:hAnsi="Cambria"/>
          <w:sz w:val="20"/>
          <w:szCs w:val="20"/>
          <w:bdr w:val="none" w:sz="0" w:space="0" w:color="auto"/>
          <w:lang w:val="es-ES"/>
        </w:rPr>
        <w:t>.</w:t>
      </w:r>
      <w:r w:rsidR="00E25A6B">
        <w:rPr>
          <w:rStyle w:val="FootnoteReference"/>
          <w:rFonts w:ascii="Cambria" w:hAnsi="Cambria"/>
          <w:sz w:val="20"/>
          <w:szCs w:val="20"/>
          <w:bdr w:val="none" w:sz="0" w:space="0" w:color="auto"/>
        </w:rPr>
        <w:footnoteReference w:id="58"/>
      </w:r>
      <w:r w:rsidR="00676888" w:rsidRPr="00B92AA7">
        <w:rPr>
          <w:rFonts w:ascii="Cambria" w:hAnsi="Cambria"/>
          <w:sz w:val="20"/>
          <w:szCs w:val="20"/>
          <w:bdr w:val="none" w:sz="0" w:space="0" w:color="auto"/>
          <w:lang w:val="es-ES"/>
        </w:rPr>
        <w:t xml:space="preserve"> </w:t>
      </w:r>
    </w:p>
    <w:p w14:paraId="1E46AB00" w14:textId="77777777" w:rsidR="00186608" w:rsidRPr="00B92AA7" w:rsidRDefault="00186608" w:rsidP="001866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lang w:val="es-ES"/>
        </w:rPr>
      </w:pPr>
    </w:p>
    <w:p w14:paraId="181AE669" w14:textId="77777777" w:rsidR="00B92AA7" w:rsidRPr="00B92AA7" w:rsidRDefault="00B92AA7" w:rsidP="001866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sidRPr="00B92AA7">
        <w:rPr>
          <w:rFonts w:ascii="Cambria" w:hAnsi="Cambria"/>
          <w:sz w:val="20"/>
          <w:szCs w:val="20"/>
          <w:lang w:val="es-ES"/>
        </w:rPr>
        <w:t>La Comisión Interamericana observa al respecto que el requisito del debido proceso no se limita a los procedimientos de condena y pos</w:t>
      </w:r>
      <w:r>
        <w:rPr>
          <w:rFonts w:ascii="Cambria" w:hAnsi="Cambria"/>
          <w:sz w:val="20"/>
          <w:szCs w:val="20"/>
          <w:lang w:val="es-ES"/>
        </w:rPr>
        <w:t>-</w:t>
      </w:r>
      <w:r w:rsidRPr="00B92AA7">
        <w:rPr>
          <w:rFonts w:ascii="Cambria" w:hAnsi="Cambria"/>
          <w:sz w:val="20"/>
          <w:szCs w:val="20"/>
          <w:lang w:val="es-ES"/>
        </w:rPr>
        <w:t>condena.</w:t>
      </w:r>
      <w:r w:rsidRPr="00B92AA7">
        <w:rPr>
          <w:rStyle w:val="FootnoteReference"/>
          <w:rFonts w:ascii="Cambria" w:hAnsi="Cambria"/>
          <w:sz w:val="20"/>
          <w:szCs w:val="20"/>
          <w:bdr w:val="none" w:sz="0" w:space="0" w:color="auto"/>
          <w:lang w:val="es-ES"/>
        </w:rPr>
        <w:t xml:space="preserve"> </w:t>
      </w:r>
      <w:r>
        <w:rPr>
          <w:rStyle w:val="FootnoteReference"/>
          <w:rFonts w:ascii="Cambria" w:hAnsi="Cambria"/>
          <w:sz w:val="20"/>
          <w:szCs w:val="20"/>
          <w:bdr w:val="none" w:sz="0" w:space="0" w:color="auto"/>
        </w:rPr>
        <w:footnoteReference w:id="59"/>
      </w:r>
      <w:r w:rsidRPr="00B92AA7">
        <w:rPr>
          <w:rFonts w:ascii="Cambria" w:hAnsi="Cambria"/>
          <w:sz w:val="20"/>
          <w:szCs w:val="20"/>
          <w:lang w:val="es-ES"/>
        </w:rPr>
        <w:t xml:space="preserve"> Por tanto, el Estado tiene el deber de informar oportunamente a la persona condenada a muerte sobre la droga y método de ejecución que se utilizará</w:t>
      </w:r>
      <w:r>
        <w:rPr>
          <w:rFonts w:ascii="Cambria" w:hAnsi="Cambria"/>
          <w:sz w:val="20"/>
          <w:szCs w:val="20"/>
          <w:lang w:val="es-ES"/>
        </w:rPr>
        <w:t>, de modo</w:t>
      </w:r>
      <w:r w:rsidRPr="00B92AA7">
        <w:rPr>
          <w:rFonts w:ascii="Cambria" w:hAnsi="Cambria"/>
          <w:sz w:val="20"/>
          <w:szCs w:val="20"/>
          <w:lang w:val="es-ES"/>
        </w:rPr>
        <w:t xml:space="preserve"> que no se le impid</w:t>
      </w:r>
      <w:r>
        <w:rPr>
          <w:rFonts w:ascii="Cambria" w:hAnsi="Cambria"/>
          <w:sz w:val="20"/>
          <w:szCs w:val="20"/>
          <w:lang w:val="es-ES"/>
        </w:rPr>
        <w:t>a</w:t>
      </w:r>
      <w:r w:rsidRPr="00B92AA7">
        <w:rPr>
          <w:rFonts w:ascii="Cambria" w:hAnsi="Cambria"/>
          <w:sz w:val="20"/>
          <w:szCs w:val="20"/>
          <w:lang w:val="es-ES"/>
        </w:rPr>
        <w:t xml:space="preserve"> litigar el derecho a ser ejecutado </w:t>
      </w:r>
      <w:r>
        <w:rPr>
          <w:rFonts w:ascii="Cambria" w:hAnsi="Cambria"/>
          <w:sz w:val="20"/>
          <w:szCs w:val="20"/>
          <w:lang w:val="es-ES"/>
        </w:rPr>
        <w:t>de</w:t>
      </w:r>
      <w:r w:rsidRPr="00B92AA7">
        <w:rPr>
          <w:rFonts w:ascii="Cambria" w:hAnsi="Cambria"/>
          <w:sz w:val="20"/>
          <w:szCs w:val="20"/>
          <w:lang w:val="es-ES"/>
        </w:rPr>
        <w:t xml:space="preserve"> forma carente de sufrimiento cruel e inusual.</w:t>
      </w:r>
    </w:p>
    <w:p w14:paraId="5B060197" w14:textId="77777777" w:rsidR="00186608" w:rsidRPr="00B92AA7" w:rsidRDefault="00186608" w:rsidP="001866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lang w:val="es-ES"/>
        </w:rPr>
      </w:pPr>
    </w:p>
    <w:p w14:paraId="1077E795" w14:textId="77777777" w:rsidR="00186608" w:rsidRPr="00B92AA7" w:rsidRDefault="00B92AA7" w:rsidP="00B92A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lang w:val="es-ES"/>
        </w:rPr>
      </w:pPr>
      <w:r w:rsidRPr="00B92AA7">
        <w:rPr>
          <w:rFonts w:ascii="Cambria" w:hAnsi="Cambria"/>
          <w:sz w:val="20"/>
          <w:szCs w:val="20"/>
          <w:lang w:val="es-ES"/>
        </w:rPr>
        <w:t>Asimismo, la CIDH observa que el Comité Contra la Tortura de Naciones Unidas recibió información fundamentada que indica que las ejecuciones en Estados Unidos pueden ir acompañadas de dolores y sufrimientos severos y solicitó al Estado que “</w:t>
      </w:r>
      <w:r>
        <w:rPr>
          <w:rFonts w:ascii="Cambria" w:hAnsi="Cambria"/>
          <w:sz w:val="20"/>
          <w:szCs w:val="20"/>
          <w:lang w:val="es-ES"/>
        </w:rPr>
        <w:t>examinar atentamente las técnicas de ejecución, especialmente la inyección letal, a fin de no causar un dolor o sufrimiento grave.</w:t>
      </w:r>
      <w:r w:rsidRPr="00B92AA7">
        <w:rPr>
          <w:rFonts w:ascii="Cambria" w:hAnsi="Cambria"/>
          <w:sz w:val="20"/>
          <w:szCs w:val="20"/>
          <w:lang w:val="es-ES"/>
        </w:rPr>
        <w:t>"</w:t>
      </w:r>
      <w:r w:rsidR="00076BDB">
        <w:rPr>
          <w:rStyle w:val="FootnoteReference"/>
          <w:rFonts w:ascii="Cambria" w:hAnsi="Cambria"/>
          <w:sz w:val="20"/>
          <w:szCs w:val="20"/>
          <w:bdr w:val="none" w:sz="0" w:space="0" w:color="auto"/>
        </w:rPr>
        <w:footnoteReference w:id="60"/>
      </w:r>
    </w:p>
    <w:p w14:paraId="62FBFDEB" w14:textId="77777777" w:rsidR="00186608" w:rsidRPr="00B92AA7" w:rsidRDefault="00186608" w:rsidP="0018660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bdr w:val="none" w:sz="0" w:space="0" w:color="auto"/>
          <w:lang w:val="es-ES"/>
        </w:rPr>
      </w:pPr>
    </w:p>
    <w:p w14:paraId="78490273" w14:textId="77777777" w:rsidR="00B92AA7" w:rsidRPr="00B92AA7" w:rsidRDefault="00B92AA7" w:rsidP="00B83D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sidRPr="00B92AA7">
        <w:rPr>
          <w:rFonts w:ascii="Cambria" w:hAnsi="Cambria"/>
          <w:sz w:val="20"/>
          <w:szCs w:val="20"/>
          <w:lang w:val="es-ES"/>
        </w:rPr>
        <w:t>Los peticionarios originalmente argumentaron que la sustitución de drogas dentro del protocolo de inyección letal en Florida al momento de la presentación de la petición no cumplía con el requisito de que un método de ejecución causara “el menor sufrimiento físico y mental posible”. Según los peticionarios, la inyección letal prescrita es un castigo cruel, infam</w:t>
      </w:r>
      <w:r>
        <w:rPr>
          <w:rFonts w:ascii="Cambria" w:hAnsi="Cambria"/>
          <w:sz w:val="20"/>
          <w:szCs w:val="20"/>
          <w:lang w:val="es-ES"/>
        </w:rPr>
        <w:t>ante e inusitado</w:t>
      </w:r>
      <w:r w:rsidRPr="00B92AA7">
        <w:rPr>
          <w:rFonts w:ascii="Cambria" w:hAnsi="Cambria"/>
          <w:sz w:val="20"/>
          <w:szCs w:val="20"/>
          <w:lang w:val="es-ES"/>
        </w:rPr>
        <w:t>. También alegaron que el fabricante del medicamento declaró que no podían "asegurar los perfiles de seguridad y eficacia asociados en tales casos" y que el medicamento nunca se probó en humanos.</w:t>
      </w:r>
    </w:p>
    <w:p w14:paraId="23EFED11" w14:textId="77777777" w:rsidR="00B83D79" w:rsidRPr="00E36893" w:rsidRDefault="00B83D79" w:rsidP="00B83D7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lang w:val="es-ES"/>
        </w:rPr>
      </w:pPr>
    </w:p>
    <w:p w14:paraId="46665F3F" w14:textId="64E4C8E0" w:rsidR="009E3762" w:rsidRPr="00B92AA7" w:rsidRDefault="00B92AA7" w:rsidP="00B92A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Theme="majorHAnsi" w:hAnsiTheme="majorHAnsi"/>
          <w:sz w:val="20"/>
          <w:szCs w:val="20"/>
          <w:lang w:val="es-ES"/>
        </w:rPr>
      </w:pPr>
      <w:r w:rsidRPr="00B92AA7">
        <w:rPr>
          <w:rFonts w:asciiTheme="majorHAnsi" w:hAnsiTheme="majorHAnsi"/>
          <w:sz w:val="20"/>
          <w:szCs w:val="20"/>
          <w:lang w:val="es-ES"/>
        </w:rPr>
        <w:t>El recurso enmendad</w:t>
      </w:r>
      <w:r w:rsidR="003201AA">
        <w:rPr>
          <w:rFonts w:asciiTheme="majorHAnsi" w:hAnsiTheme="majorHAnsi"/>
          <w:sz w:val="20"/>
          <w:szCs w:val="20"/>
          <w:lang w:val="es-ES"/>
        </w:rPr>
        <w:t>o</w:t>
      </w:r>
      <w:r w:rsidRPr="00B92AA7">
        <w:rPr>
          <w:rFonts w:asciiTheme="majorHAnsi" w:hAnsiTheme="majorHAnsi"/>
          <w:sz w:val="20"/>
          <w:szCs w:val="20"/>
          <w:lang w:val="es-ES"/>
        </w:rPr>
        <w:t xml:space="preserve"> del Sr. Valle para una reparación posterior a la condena argumentó, entre otras afirmaciones, que el plan del DOC de usar la droga sustituida constituye un</w:t>
      </w:r>
      <w:r>
        <w:rPr>
          <w:rFonts w:asciiTheme="majorHAnsi" w:hAnsiTheme="majorHAnsi"/>
          <w:sz w:val="20"/>
          <w:szCs w:val="20"/>
          <w:lang w:val="es-ES"/>
        </w:rPr>
        <w:t>a pena</w:t>
      </w:r>
      <w:r w:rsidRPr="00B92AA7">
        <w:rPr>
          <w:rFonts w:asciiTheme="majorHAnsi" w:hAnsiTheme="majorHAnsi"/>
          <w:sz w:val="20"/>
          <w:szCs w:val="20"/>
          <w:lang w:val="es-ES"/>
        </w:rPr>
        <w:t xml:space="preserve"> cruel e inusual, porque el Sr. Valle puede permanecer consciente después de haber sido inyectado con el pentobarbital, lo que lo somete a importante dolor durante la administración de los dos últimos fármacos. El Tribunal de Circuito finalmente negó el reclamo y el asunto fue devuelto a la Corte Suprema de Florida. La </w:t>
      </w:r>
      <w:r>
        <w:rPr>
          <w:rFonts w:asciiTheme="majorHAnsi" w:hAnsiTheme="majorHAnsi"/>
          <w:sz w:val="20"/>
          <w:szCs w:val="20"/>
          <w:lang w:val="es-ES"/>
        </w:rPr>
        <w:t>CSF</w:t>
      </w:r>
      <w:r w:rsidRPr="00B92AA7">
        <w:rPr>
          <w:rFonts w:asciiTheme="majorHAnsi" w:hAnsiTheme="majorHAnsi"/>
          <w:sz w:val="20"/>
          <w:szCs w:val="20"/>
          <w:lang w:val="es-ES"/>
        </w:rPr>
        <w:t xml:space="preserve"> indicó que el </w:t>
      </w:r>
      <w:r>
        <w:rPr>
          <w:rFonts w:asciiTheme="majorHAnsi" w:hAnsiTheme="majorHAnsi"/>
          <w:sz w:val="20"/>
          <w:szCs w:val="20"/>
          <w:lang w:val="es-ES"/>
        </w:rPr>
        <w:t>presto</w:t>
      </w:r>
      <w:r w:rsidRPr="00B92AA7">
        <w:rPr>
          <w:rFonts w:asciiTheme="majorHAnsi" w:hAnsiTheme="majorHAnsi"/>
          <w:sz w:val="20"/>
          <w:szCs w:val="20"/>
          <w:lang w:val="es-ES"/>
        </w:rPr>
        <w:t xml:space="preserve"> debe demostrar que las condiciones que presentan el riesgo deben </w:t>
      </w:r>
      <w:r>
        <w:rPr>
          <w:rFonts w:asciiTheme="majorHAnsi" w:hAnsiTheme="majorHAnsi"/>
          <w:sz w:val="20"/>
          <w:szCs w:val="20"/>
          <w:lang w:val="es-ES"/>
        </w:rPr>
        <w:t>con seguridad o muy probablemente</w:t>
      </w:r>
      <w:r w:rsidRPr="00B92AA7">
        <w:rPr>
          <w:rFonts w:asciiTheme="majorHAnsi" w:hAnsiTheme="majorHAnsi"/>
          <w:sz w:val="20"/>
          <w:szCs w:val="20"/>
          <w:lang w:val="es-ES"/>
        </w:rPr>
        <w:t xml:space="preserve"> causar enfermedades graves y sufrimientos innecesarios y dar lugar a peligros suficientemente inminentes.</w:t>
      </w:r>
      <w:r w:rsidR="009E3762" w:rsidRPr="00B92AA7">
        <w:rPr>
          <w:rFonts w:asciiTheme="majorHAnsi" w:hAnsiTheme="majorHAnsi"/>
          <w:sz w:val="20"/>
          <w:szCs w:val="20"/>
          <w:lang w:val="es-ES"/>
        </w:rPr>
        <w:t xml:space="preserve"> </w:t>
      </w:r>
    </w:p>
    <w:p w14:paraId="6060C4F5" w14:textId="77777777" w:rsidR="009E3762" w:rsidRPr="00B92AA7" w:rsidRDefault="009E3762" w:rsidP="003E0ABC">
      <w:pPr>
        <w:pStyle w:val="ListParagraph"/>
        <w:rPr>
          <w:rFonts w:asciiTheme="majorHAnsi" w:hAnsiTheme="majorHAnsi"/>
          <w:sz w:val="20"/>
          <w:szCs w:val="20"/>
          <w:lang w:val="es-ES"/>
        </w:rPr>
      </w:pPr>
    </w:p>
    <w:p w14:paraId="7B70D95F" w14:textId="41272687" w:rsidR="00B92AA7" w:rsidRPr="00B92AA7" w:rsidRDefault="00B92AA7" w:rsidP="00B92A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textAlignment w:val="baseline"/>
        <w:rPr>
          <w:rFonts w:ascii="Cambria" w:hAnsi="Cambria"/>
          <w:sz w:val="20"/>
          <w:szCs w:val="20"/>
          <w:lang w:val="es-ES"/>
        </w:rPr>
      </w:pPr>
      <w:r w:rsidRPr="00B92AA7">
        <w:rPr>
          <w:rFonts w:ascii="Cambria" w:hAnsi="Cambria"/>
          <w:sz w:val="20"/>
          <w:szCs w:val="20"/>
          <w:lang w:val="es-ES"/>
        </w:rPr>
        <w:t>La Comisión obser</w:t>
      </w:r>
      <w:r w:rsidR="00A53B54">
        <w:rPr>
          <w:rFonts w:ascii="Cambria" w:hAnsi="Cambria"/>
          <w:sz w:val="20"/>
          <w:szCs w:val="20"/>
          <w:lang w:val="es-ES"/>
        </w:rPr>
        <w:t>v</w:t>
      </w:r>
      <w:r w:rsidR="003201AA">
        <w:rPr>
          <w:rFonts w:ascii="Cambria" w:hAnsi="Cambria"/>
          <w:sz w:val="20"/>
          <w:szCs w:val="20"/>
          <w:lang w:val="es-ES"/>
        </w:rPr>
        <w:t>a</w:t>
      </w:r>
      <w:r w:rsidRPr="00B92AA7">
        <w:rPr>
          <w:rFonts w:ascii="Cambria" w:hAnsi="Cambria"/>
          <w:sz w:val="20"/>
          <w:szCs w:val="20"/>
          <w:lang w:val="es-ES"/>
        </w:rPr>
        <w:t xml:space="preserve"> que el tribunal señaló que la norma impone una pesada carga al </w:t>
      </w:r>
      <w:r>
        <w:rPr>
          <w:rFonts w:ascii="Cambria" w:hAnsi="Cambria"/>
          <w:sz w:val="20"/>
          <w:szCs w:val="20"/>
          <w:lang w:val="es-ES"/>
        </w:rPr>
        <w:t>preso</w:t>
      </w:r>
      <w:r w:rsidRPr="00B92AA7">
        <w:rPr>
          <w:rFonts w:ascii="Cambria" w:hAnsi="Cambria"/>
          <w:sz w:val="20"/>
          <w:szCs w:val="20"/>
          <w:lang w:val="es-ES"/>
        </w:rPr>
        <w:t xml:space="preserve"> para demostrar que los procedimientos de inyección letal violaron la Octava Enmienda. También observa que el perito estatal reconoció la no aprobación del pentobarbital por parte de la FDA para su uso en inyecciones letales, y que otro experto opinó que no podría determinar los efectos previstos del fármaco por no contar con datos suficientes sobre </w:t>
      </w:r>
      <w:r w:rsidR="005B2F88">
        <w:rPr>
          <w:rFonts w:ascii="Cambria" w:hAnsi="Cambria"/>
          <w:sz w:val="20"/>
          <w:szCs w:val="20"/>
          <w:lang w:val="es-ES"/>
        </w:rPr>
        <w:t>su</w:t>
      </w:r>
      <w:r w:rsidRPr="00B92AA7">
        <w:rPr>
          <w:rFonts w:ascii="Cambria" w:hAnsi="Cambria"/>
          <w:sz w:val="20"/>
          <w:szCs w:val="20"/>
          <w:lang w:val="es-ES"/>
        </w:rPr>
        <w:t xml:space="preserve"> uso. A pesar de estas afirmaciones, según la información disponible, los tribunales no abordaron directamente la falta de aprobación por parte de la FDA del pentobarbital para su uso en inyecciones letales.</w:t>
      </w:r>
    </w:p>
    <w:p w14:paraId="335000B5" w14:textId="77777777" w:rsidR="0056549F" w:rsidRPr="00E36893" w:rsidRDefault="0056549F" w:rsidP="003E0AB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lang w:val="es-ES"/>
        </w:rPr>
      </w:pPr>
    </w:p>
    <w:p w14:paraId="1F37E883" w14:textId="77777777" w:rsidR="005B2F88" w:rsidRPr="005B2F88" w:rsidRDefault="005B2F88" w:rsidP="003E0A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sidRPr="005B2F88">
        <w:rPr>
          <w:rFonts w:ascii="Cambria" w:hAnsi="Cambria"/>
          <w:sz w:val="20"/>
          <w:szCs w:val="20"/>
          <w:lang w:val="es-ES"/>
        </w:rPr>
        <w:t xml:space="preserve">Dado el deber especial reforzado del Estado de asegurar que el método de ejecución no constituya un castigo cruel, infamante o inusitado y, en particular, de someter las drogas utilizadas a la aprobación y </w:t>
      </w:r>
      <w:r w:rsidRPr="005B2F88">
        <w:rPr>
          <w:rFonts w:ascii="Cambria" w:hAnsi="Cambria"/>
          <w:sz w:val="20"/>
          <w:szCs w:val="20"/>
          <w:lang w:val="es-ES"/>
        </w:rPr>
        <w:lastRenderedPageBreak/>
        <w:t xml:space="preserve">regulación del gobierno, la CIDH concluye que en el caso del señor Valle </w:t>
      </w:r>
      <w:r>
        <w:rPr>
          <w:rFonts w:ascii="Cambria" w:hAnsi="Cambria"/>
          <w:sz w:val="20"/>
          <w:szCs w:val="20"/>
          <w:lang w:val="es-ES"/>
        </w:rPr>
        <w:t xml:space="preserve">el Estado </w:t>
      </w:r>
      <w:r w:rsidRPr="005B2F88">
        <w:rPr>
          <w:rFonts w:ascii="Cambria" w:hAnsi="Cambria"/>
          <w:sz w:val="20"/>
          <w:szCs w:val="20"/>
          <w:lang w:val="es-ES"/>
        </w:rPr>
        <w:t>violó el artículo XXVI de la Declaración Americana.</w:t>
      </w:r>
    </w:p>
    <w:p w14:paraId="3EDFAB61" w14:textId="77777777" w:rsidR="0063586E" w:rsidRPr="00E36893" w:rsidRDefault="0063586E" w:rsidP="0074375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lang w:val="es-ES"/>
        </w:rPr>
      </w:pPr>
    </w:p>
    <w:p w14:paraId="25BE6E26" w14:textId="77777777" w:rsidR="0063586E" w:rsidRPr="0074375D" w:rsidRDefault="00126FD8" w:rsidP="0063586E">
      <w:pPr>
        <w:pStyle w:val="Heading2"/>
        <w:numPr>
          <w:ilvl w:val="0"/>
          <w:numId w:val="61"/>
        </w:numPr>
        <w:tabs>
          <w:tab w:val="left" w:pos="360"/>
        </w:tabs>
        <w:spacing w:before="0"/>
        <w:ind w:left="0" w:firstLine="0"/>
        <w:jc w:val="both"/>
        <w:rPr>
          <w:rFonts w:ascii="Cambria" w:eastAsia="Arial Unicode MS" w:hAnsi="Cambria"/>
          <w:color w:val="auto"/>
          <w:sz w:val="20"/>
          <w:szCs w:val="20"/>
        </w:rPr>
      </w:pPr>
      <w:bookmarkStart w:id="24" w:name="_Toc25764133"/>
      <w:bookmarkStart w:id="25" w:name="_Toc90292586"/>
      <w:r>
        <w:rPr>
          <w:rFonts w:ascii="Cambria" w:eastAsia="Arial Unicode MS" w:hAnsi="Cambria"/>
          <w:color w:val="auto"/>
          <w:sz w:val="20"/>
          <w:szCs w:val="20"/>
        </w:rPr>
        <w:t xml:space="preserve">Derecho de </w:t>
      </w:r>
      <w:r w:rsidR="001A45C1">
        <w:rPr>
          <w:rFonts w:ascii="Cambria" w:eastAsia="Arial Unicode MS" w:hAnsi="Cambria"/>
          <w:color w:val="auto"/>
          <w:sz w:val="20"/>
          <w:szCs w:val="20"/>
        </w:rPr>
        <w:t>petición</w:t>
      </w:r>
      <w:r w:rsidR="0063586E" w:rsidRPr="0074375D">
        <w:rPr>
          <w:rStyle w:val="FootnoteReference"/>
          <w:rFonts w:ascii="Cambria" w:eastAsia="Arial Unicode MS" w:hAnsi="Cambria"/>
          <w:color w:val="auto"/>
          <w:sz w:val="20"/>
          <w:szCs w:val="20"/>
        </w:rPr>
        <w:footnoteReference w:id="61"/>
      </w:r>
      <w:bookmarkEnd w:id="24"/>
      <w:bookmarkEnd w:id="25"/>
      <w:r w:rsidR="0063586E" w:rsidRPr="0074375D">
        <w:rPr>
          <w:rFonts w:ascii="Cambria" w:eastAsia="Arial Unicode MS" w:hAnsi="Cambria"/>
          <w:color w:val="auto"/>
          <w:sz w:val="20"/>
          <w:szCs w:val="20"/>
        </w:rPr>
        <w:t xml:space="preserve"> </w:t>
      </w:r>
    </w:p>
    <w:p w14:paraId="15946D57" w14:textId="77777777" w:rsidR="0063586E" w:rsidRPr="0074375D" w:rsidRDefault="0063586E" w:rsidP="0063586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rPr>
      </w:pPr>
    </w:p>
    <w:p w14:paraId="7A336BA8" w14:textId="5B2D5C77" w:rsidR="0063586E" w:rsidRPr="005B2F88" w:rsidRDefault="005B2F88" w:rsidP="005B2F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lang w:val="es-ES"/>
        </w:rPr>
      </w:pPr>
      <w:r w:rsidRPr="005B2F88">
        <w:rPr>
          <w:rFonts w:ascii="Cambria" w:hAnsi="Cambria"/>
          <w:sz w:val="20"/>
          <w:szCs w:val="20"/>
          <w:lang w:val="es-ES"/>
        </w:rPr>
        <w:t xml:space="preserve">La Comisión recuerda que en su decisión en el caso Juan </w:t>
      </w:r>
      <w:r w:rsidR="00FF3E59" w:rsidRPr="005B2F88">
        <w:rPr>
          <w:rFonts w:ascii="Cambria" w:hAnsi="Cambria"/>
          <w:sz w:val="20"/>
          <w:szCs w:val="20"/>
          <w:lang w:val="es-ES"/>
        </w:rPr>
        <w:t>Raúl</w:t>
      </w:r>
      <w:r w:rsidRPr="005B2F88">
        <w:rPr>
          <w:rFonts w:ascii="Cambria" w:hAnsi="Cambria"/>
          <w:sz w:val="20"/>
          <w:szCs w:val="20"/>
          <w:lang w:val="es-ES"/>
        </w:rPr>
        <w:t xml:space="preserve"> Garza v.</w:t>
      </w:r>
      <w:r w:rsidR="003201AA">
        <w:rPr>
          <w:rFonts w:ascii="Cambria" w:hAnsi="Cambria"/>
          <w:sz w:val="20"/>
          <w:szCs w:val="20"/>
          <w:lang w:val="es-ES"/>
        </w:rPr>
        <w:t xml:space="preserve"> </w:t>
      </w:r>
      <w:r w:rsidRPr="005B2F88">
        <w:rPr>
          <w:rFonts w:ascii="Cambria" w:hAnsi="Cambria"/>
          <w:sz w:val="20"/>
          <w:szCs w:val="20"/>
          <w:lang w:val="es-ES"/>
        </w:rPr>
        <w:t>Estados Unidos, la Comisión sostuvo que en los casos de pena capital, la omisión de un Estado miembro de la OEA de preservar la vida de un condenado en espera de la revisión de su denuncia por parte de la Comisión menoscaba la eficacia del proceso de la Comisión, priva a las personas condenadas de su derecho de petición en el sistema interamericano de derechos humanos, y genera daños graves e irreparables a esas personas, por lo que es incompatible con las obligaciones del Estado en materia de derechos humanos</w:t>
      </w:r>
      <w:r w:rsidR="0063586E" w:rsidRPr="005B2F88">
        <w:rPr>
          <w:rFonts w:ascii="Cambria" w:eastAsia="Times New Roman" w:hAnsi="Cambria"/>
          <w:sz w:val="20"/>
          <w:szCs w:val="20"/>
          <w:lang w:val="es-ES"/>
        </w:rPr>
        <w:t>.</w:t>
      </w:r>
      <w:r w:rsidR="0063586E" w:rsidRPr="0074375D">
        <w:rPr>
          <w:rStyle w:val="FootnoteReference"/>
          <w:rFonts w:ascii="Cambria" w:eastAsia="Times New Roman" w:hAnsi="Cambria"/>
          <w:sz w:val="20"/>
          <w:szCs w:val="20"/>
        </w:rPr>
        <w:footnoteReference w:id="62"/>
      </w:r>
      <w:r w:rsidR="0063586E" w:rsidRPr="005B2F88">
        <w:rPr>
          <w:rFonts w:ascii="Cambria" w:eastAsia="Times New Roman" w:hAnsi="Cambria"/>
          <w:sz w:val="20"/>
          <w:szCs w:val="20"/>
          <w:lang w:val="es-ES"/>
        </w:rPr>
        <w:t xml:space="preserve"> </w:t>
      </w:r>
    </w:p>
    <w:p w14:paraId="21B6100F" w14:textId="77777777" w:rsidR="0063586E" w:rsidRPr="005B2F88" w:rsidRDefault="0063586E" w:rsidP="0063586E">
      <w:pPr>
        <w:pStyle w:val="ListParagraph"/>
        <w:rPr>
          <w:rFonts w:eastAsia="Times New Roman"/>
          <w:sz w:val="20"/>
          <w:szCs w:val="20"/>
          <w:lang w:val="es-ES"/>
        </w:rPr>
      </w:pPr>
    </w:p>
    <w:p w14:paraId="6092C505" w14:textId="77777777" w:rsidR="005B2F88" w:rsidRPr="005B2F88" w:rsidRDefault="005B2F88" w:rsidP="006358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5B2F88">
        <w:rPr>
          <w:rFonts w:asciiTheme="majorHAnsi" w:hAnsiTheme="majorHAnsi"/>
          <w:sz w:val="20"/>
          <w:szCs w:val="20"/>
          <w:lang w:val="es-ES"/>
        </w:rPr>
        <w:t>La Comisión basó estas obligaciones en la conclusión de que los Estados miembros de la OEA, al crear la Comisión y encomendarle mediante la Carta de la OEA y el Estatuto de la Comisión promover la observancia y protección de los derechos humanos de los pueblos americanos, se han comprometido implícitamente a implementar medidas de esta naturaleza cuando sean esenciales para preservar el mandato de la Comisión</w:t>
      </w:r>
      <w:r>
        <w:rPr>
          <w:rFonts w:asciiTheme="majorHAnsi" w:eastAsia="Times New Roman" w:hAnsiTheme="majorHAnsi"/>
          <w:sz w:val="20"/>
          <w:szCs w:val="20"/>
          <w:lang w:val="es-ES"/>
        </w:rPr>
        <w:t>.</w:t>
      </w:r>
      <w:r w:rsidRPr="00256677">
        <w:rPr>
          <w:rStyle w:val="FootnoteReference"/>
          <w:rFonts w:asciiTheme="majorHAnsi" w:eastAsia="Times New Roman" w:hAnsiTheme="majorHAnsi"/>
          <w:sz w:val="20"/>
          <w:szCs w:val="20"/>
        </w:rPr>
        <w:footnoteReference w:id="63"/>
      </w:r>
      <w:r w:rsidRPr="005B2F88">
        <w:rPr>
          <w:rFonts w:asciiTheme="majorHAnsi" w:hAnsiTheme="majorHAnsi"/>
          <w:sz w:val="20"/>
          <w:szCs w:val="20"/>
          <w:lang w:val="es-ES"/>
        </w:rPr>
        <w:t xml:space="preserve"> La Comisión encontró apoyo para esta determinación en su propia jurisprudencia, así como en las conclusiones de otros órganos judiciales regionales e internacionales, incluido el Comité de Derechos Humanos de la ONU, </w:t>
      </w:r>
      <w:r>
        <w:rPr>
          <w:rFonts w:asciiTheme="majorHAnsi" w:hAnsiTheme="majorHAnsi"/>
          <w:sz w:val="20"/>
          <w:szCs w:val="20"/>
          <w:lang w:val="es-ES"/>
        </w:rPr>
        <w:t xml:space="preserve">el Tribunal </w:t>
      </w:r>
      <w:r w:rsidRPr="005B2F88">
        <w:rPr>
          <w:rFonts w:asciiTheme="majorHAnsi" w:hAnsiTheme="majorHAnsi"/>
          <w:sz w:val="20"/>
          <w:szCs w:val="20"/>
          <w:lang w:val="es-ES"/>
        </w:rPr>
        <w:t>Europe</w:t>
      </w:r>
      <w:r>
        <w:rPr>
          <w:rFonts w:asciiTheme="majorHAnsi" w:hAnsiTheme="majorHAnsi"/>
          <w:sz w:val="20"/>
          <w:szCs w:val="20"/>
          <w:lang w:val="es-ES"/>
        </w:rPr>
        <w:t>o</w:t>
      </w:r>
      <w:r w:rsidRPr="005B2F88">
        <w:rPr>
          <w:rFonts w:asciiTheme="majorHAnsi" w:hAnsiTheme="majorHAnsi"/>
          <w:sz w:val="20"/>
          <w:szCs w:val="20"/>
          <w:lang w:val="es-ES"/>
        </w:rPr>
        <w:t xml:space="preserve"> de Derechos Humanos y la Corte Internacional de Justicia.</w:t>
      </w:r>
      <w:r w:rsidRPr="00256677">
        <w:rPr>
          <w:rStyle w:val="FootnoteReference"/>
          <w:rFonts w:asciiTheme="majorHAnsi" w:eastAsia="Times New Roman" w:hAnsiTheme="majorHAnsi"/>
          <w:sz w:val="20"/>
          <w:szCs w:val="20"/>
        </w:rPr>
        <w:footnoteReference w:id="64"/>
      </w:r>
      <w:r w:rsidRPr="005B2F88">
        <w:rPr>
          <w:rFonts w:asciiTheme="majorHAnsi" w:hAnsiTheme="majorHAnsi"/>
          <w:sz w:val="20"/>
          <w:szCs w:val="20"/>
          <w:lang w:val="es-ES"/>
        </w:rPr>
        <w:t xml:space="preserve"> A juicio de la Comisión, esta jurisprudencia articula un principio común al funcionamiento de los sistemas judiciales internacionales según el cual los Estados miembros deben implementar medidas cautelares o </w:t>
      </w:r>
      <w:r>
        <w:rPr>
          <w:rFonts w:asciiTheme="majorHAnsi" w:hAnsiTheme="majorHAnsi"/>
          <w:sz w:val="20"/>
          <w:szCs w:val="20"/>
          <w:lang w:val="es-ES"/>
        </w:rPr>
        <w:t>precautorias</w:t>
      </w:r>
      <w:r w:rsidRPr="005B2F88">
        <w:rPr>
          <w:rFonts w:asciiTheme="majorHAnsi" w:hAnsiTheme="majorHAnsi"/>
          <w:sz w:val="20"/>
          <w:szCs w:val="20"/>
          <w:lang w:val="es-ES"/>
        </w:rPr>
        <w:t xml:space="preserve"> cuando sea necesario para preservar los fines mismos para los cuales fueron creados y prevenir daños irreparables a las partes cuyos intereses se determinan a través de esos procesos.</w:t>
      </w:r>
    </w:p>
    <w:p w14:paraId="799D4C25" w14:textId="77777777" w:rsidR="0063586E" w:rsidRPr="00E36893" w:rsidRDefault="0063586E" w:rsidP="00157AAB">
      <w:pPr>
        <w:tabs>
          <w:tab w:val="left" w:pos="360"/>
        </w:tabs>
        <w:rPr>
          <w:rFonts w:asciiTheme="majorHAnsi" w:eastAsia="Times" w:hAnsiTheme="majorHAnsi" w:cs="Times"/>
          <w:sz w:val="20"/>
          <w:szCs w:val="20"/>
          <w:lang w:val="es-ES"/>
        </w:rPr>
      </w:pPr>
    </w:p>
    <w:p w14:paraId="227F26E6" w14:textId="77777777" w:rsidR="005B2F88" w:rsidRPr="005B2F88" w:rsidRDefault="005B2F88" w:rsidP="006358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5B2F88">
        <w:rPr>
          <w:rFonts w:asciiTheme="majorHAnsi" w:hAnsiTheme="majorHAnsi"/>
          <w:sz w:val="20"/>
          <w:szCs w:val="20"/>
          <w:lang w:val="es-ES"/>
        </w:rPr>
        <w:t xml:space="preserve">La denegación por parte del Estado de la suspensión de la ejecución ante una medida cautelar de la Comisión para evaluar las violaciones a los derechos humanos y su omisión </w:t>
      </w:r>
      <w:r>
        <w:rPr>
          <w:rFonts w:asciiTheme="majorHAnsi" w:hAnsiTheme="majorHAnsi"/>
          <w:sz w:val="20"/>
          <w:szCs w:val="20"/>
          <w:lang w:val="es-ES"/>
        </w:rPr>
        <w:t>de preservar</w:t>
      </w:r>
      <w:r w:rsidRPr="005B2F88">
        <w:rPr>
          <w:rFonts w:asciiTheme="majorHAnsi" w:hAnsiTheme="majorHAnsi"/>
          <w:sz w:val="20"/>
          <w:szCs w:val="20"/>
          <w:lang w:val="es-ES"/>
        </w:rPr>
        <w:t xml:space="preserve"> la vida de un condenado a la espera de la culminación del proceso, incluida la implementación de las recomendaciones finales de la Comisión, menoscaba la eficacia del proce</w:t>
      </w:r>
      <w:r>
        <w:rPr>
          <w:rFonts w:asciiTheme="majorHAnsi" w:hAnsiTheme="majorHAnsi"/>
          <w:sz w:val="20"/>
          <w:szCs w:val="20"/>
          <w:lang w:val="es-ES"/>
        </w:rPr>
        <w:t>dimiento</w:t>
      </w:r>
      <w:r w:rsidRPr="005B2F88">
        <w:rPr>
          <w:rFonts w:asciiTheme="majorHAnsi" w:hAnsiTheme="majorHAnsi"/>
          <w:sz w:val="20"/>
          <w:szCs w:val="20"/>
          <w:lang w:val="es-ES"/>
        </w:rPr>
        <w:t xml:space="preserve"> de la Comisión, priva a las personas condenadas de su derecho de petición y les ocasiona daños graves e irreparables. Una ejecución en esas circunstancias obstaculiza la capacidad de la Comisión o de la Corte para investigar de manera efectiva y emitir determinaciones en casos de pena capital.</w:t>
      </w:r>
    </w:p>
    <w:p w14:paraId="0303F7FC" w14:textId="77777777" w:rsidR="0063586E" w:rsidRPr="00E36893" w:rsidRDefault="0063586E" w:rsidP="005B2F88">
      <w:pPr>
        <w:tabs>
          <w:tab w:val="left" w:pos="360"/>
        </w:tabs>
        <w:rPr>
          <w:rFonts w:asciiTheme="majorHAnsi" w:eastAsia="Times" w:hAnsiTheme="majorHAnsi" w:cs="Times"/>
          <w:sz w:val="20"/>
          <w:szCs w:val="20"/>
          <w:lang w:val="es-ES"/>
        </w:rPr>
      </w:pPr>
    </w:p>
    <w:p w14:paraId="4A4D3B63" w14:textId="77777777" w:rsidR="0063586E" w:rsidRPr="005B2F88" w:rsidRDefault="005B2F88" w:rsidP="005B2F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lang w:val="es-ES"/>
        </w:rPr>
      </w:pPr>
      <w:r w:rsidRPr="005B2F88">
        <w:rPr>
          <w:rFonts w:asciiTheme="majorHAnsi" w:hAnsiTheme="majorHAnsi"/>
          <w:sz w:val="20"/>
          <w:szCs w:val="20"/>
          <w:lang w:val="es-ES"/>
        </w:rPr>
        <w:t>Tanto la Comisión como la Corte Interamericana han señalado que la ejecución de una persona bajo medidas cautelares o provisionales, respectivamente, constituye una violación agravada del derecho a la vida. Como se señala en este informe, el derecho a la vida está ampliamente reconocido como el derecho supremo del ser humano. Asimismo, la Corte Interamericana ha confirmado que “[</w:t>
      </w:r>
      <w:r>
        <w:rPr>
          <w:rFonts w:asciiTheme="majorHAnsi" w:hAnsiTheme="majorHAnsi"/>
          <w:sz w:val="20"/>
          <w:szCs w:val="20"/>
          <w:lang w:val="es-ES"/>
        </w:rPr>
        <w:t>s</w:t>
      </w:r>
      <w:r w:rsidRPr="005B2F88">
        <w:rPr>
          <w:rFonts w:asciiTheme="majorHAnsi" w:hAnsiTheme="majorHAnsi"/>
          <w:sz w:val="20"/>
          <w:szCs w:val="20"/>
          <w:lang w:val="es-ES"/>
        </w:rPr>
        <w:t>]</w:t>
      </w:r>
      <w:r>
        <w:rPr>
          <w:rFonts w:asciiTheme="majorHAnsi" w:hAnsiTheme="majorHAnsi"/>
          <w:sz w:val="20"/>
          <w:szCs w:val="20"/>
          <w:lang w:val="es-ES"/>
        </w:rPr>
        <w:t>iendo la ejecución de la pena de muerte una medida de carácter irreversible, exige del Estado el más estricto y riguroso respeto de las garantías judiciales, de modo a evitar una violación de éstas, que, a su vez, acarrearía una privación arbitraria de la vida.”</w:t>
      </w:r>
      <w:r w:rsidR="0063586E" w:rsidRPr="00256677">
        <w:rPr>
          <w:rStyle w:val="FootnoteReference"/>
          <w:rFonts w:asciiTheme="majorHAnsi" w:eastAsia="Times New Roman" w:hAnsiTheme="majorHAnsi"/>
          <w:sz w:val="20"/>
          <w:szCs w:val="20"/>
        </w:rPr>
        <w:footnoteReference w:id="65"/>
      </w:r>
    </w:p>
    <w:p w14:paraId="0FEC31B1" w14:textId="77777777" w:rsidR="0063586E" w:rsidRPr="005B2F88" w:rsidRDefault="0063586E" w:rsidP="0063586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733B0CEB" w14:textId="77777777" w:rsidR="005B2F88" w:rsidRPr="005B2F88" w:rsidRDefault="005B2F88" w:rsidP="006358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5B2F88">
        <w:rPr>
          <w:rFonts w:asciiTheme="majorHAnsi" w:hAnsiTheme="majorHAnsi"/>
          <w:sz w:val="20"/>
          <w:szCs w:val="20"/>
          <w:lang w:val="es-ES"/>
        </w:rPr>
        <w:lastRenderedPageBreak/>
        <w:t>La Comisión ha condenado de manera consistente y enfática la práctica de ciertos Estados de ejecutar a personas condenadas a muerte en violación de las medidas cautelares dictadas por ella, incluso en los casos en que la Comisión tuvo ante sí una petición pendiente que presenta alegatos de debido proceso u otras violaciones en la acusación</w:t>
      </w:r>
      <w:r>
        <w:rPr>
          <w:rFonts w:asciiTheme="majorHAnsi" w:hAnsiTheme="majorHAnsi"/>
          <w:sz w:val="20"/>
          <w:szCs w:val="20"/>
          <w:lang w:val="es-ES"/>
        </w:rPr>
        <w:t xml:space="preserve"> </w:t>
      </w:r>
      <w:r w:rsidRPr="005B2F88">
        <w:rPr>
          <w:rFonts w:asciiTheme="majorHAnsi" w:hAnsiTheme="majorHAnsi"/>
          <w:sz w:val="20"/>
          <w:szCs w:val="20"/>
          <w:lang w:val="es-ES"/>
        </w:rPr>
        <w:t>que produjo la sentencia.</w:t>
      </w:r>
    </w:p>
    <w:p w14:paraId="3B6B875C" w14:textId="77777777" w:rsidR="0063586E" w:rsidRPr="00E36893" w:rsidRDefault="0063586E" w:rsidP="005B2F88">
      <w:pPr>
        <w:tabs>
          <w:tab w:val="left" w:pos="360"/>
        </w:tabs>
        <w:rPr>
          <w:rFonts w:asciiTheme="majorHAnsi" w:hAnsiTheme="majorHAnsi"/>
          <w:sz w:val="20"/>
          <w:szCs w:val="20"/>
          <w:lang w:val="es-ES"/>
        </w:rPr>
      </w:pPr>
    </w:p>
    <w:p w14:paraId="2734B528" w14:textId="77777777" w:rsidR="005B2F88" w:rsidRPr="005B2F88" w:rsidRDefault="005B2F88" w:rsidP="008046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5B2F88">
        <w:rPr>
          <w:rFonts w:asciiTheme="majorHAnsi" w:hAnsiTheme="majorHAnsi"/>
          <w:sz w:val="20"/>
          <w:szCs w:val="20"/>
          <w:lang w:val="es-ES"/>
        </w:rPr>
        <w:t>La ejecución de la pena de muerte contra el señor Valle representa un incumplimiento por parte del Estado de la medida cautelar. Al permitir que la ejecución del señor Valle procediera en estas circunstancias, la Comisión considera que Estados Unidos violó los artículos I y XXIV de la Declaración Americana y no actuó de conformidad con sus obligaciones fundamentales en materia de derechos humanos como miembro de la Organización de los Estados Americanos.</w:t>
      </w:r>
    </w:p>
    <w:p w14:paraId="2C16861E" w14:textId="77777777" w:rsidR="003A5E9B" w:rsidRPr="00E36893" w:rsidRDefault="003A5E9B" w:rsidP="00804686">
      <w:pPr>
        <w:pStyle w:val="NormalWeb"/>
        <w:tabs>
          <w:tab w:val="left" w:pos="360"/>
        </w:tabs>
        <w:spacing w:before="0" w:beforeAutospacing="0" w:after="0" w:afterAutospacing="0"/>
        <w:jc w:val="both"/>
        <w:rPr>
          <w:rFonts w:ascii="Cambria" w:hAnsi="Cambria"/>
          <w:sz w:val="20"/>
          <w:lang w:val="es-ES"/>
        </w:rPr>
      </w:pPr>
    </w:p>
    <w:p w14:paraId="7723E46B" w14:textId="5AC44184" w:rsidR="00801C7F" w:rsidRPr="001A45C1" w:rsidRDefault="001A45C1" w:rsidP="00EC55EA">
      <w:pPr>
        <w:pStyle w:val="Heading2"/>
        <w:numPr>
          <w:ilvl w:val="0"/>
          <w:numId w:val="61"/>
        </w:numPr>
        <w:tabs>
          <w:tab w:val="left" w:pos="360"/>
        </w:tabs>
        <w:spacing w:before="0"/>
        <w:ind w:left="0" w:firstLine="0"/>
        <w:jc w:val="both"/>
        <w:rPr>
          <w:color w:val="auto"/>
          <w:sz w:val="20"/>
          <w:szCs w:val="20"/>
          <w:lang w:val="es-ES"/>
        </w:rPr>
      </w:pPr>
      <w:bookmarkStart w:id="26" w:name="_Toc90292587"/>
      <w:r w:rsidRPr="001A45C1">
        <w:rPr>
          <w:color w:val="auto"/>
          <w:sz w:val="20"/>
          <w:szCs w:val="20"/>
          <w:lang w:val="es-ES"/>
        </w:rPr>
        <w:t>Derecho a la vida</w:t>
      </w:r>
      <w:r w:rsidR="00C535F1" w:rsidRPr="00EC55EA">
        <w:rPr>
          <w:rStyle w:val="FootnoteReference"/>
          <w:color w:val="auto"/>
          <w:sz w:val="20"/>
          <w:szCs w:val="20"/>
        </w:rPr>
        <w:footnoteReference w:id="66"/>
      </w:r>
      <w:r w:rsidR="00DD5501" w:rsidRPr="001A45C1">
        <w:rPr>
          <w:color w:val="auto"/>
          <w:sz w:val="20"/>
          <w:szCs w:val="20"/>
          <w:lang w:val="es-ES"/>
        </w:rPr>
        <w:t xml:space="preserve"> </w:t>
      </w:r>
      <w:r w:rsidRPr="001A45C1">
        <w:rPr>
          <w:color w:val="auto"/>
          <w:sz w:val="20"/>
          <w:szCs w:val="20"/>
          <w:lang w:val="es-ES"/>
        </w:rPr>
        <w:t>y a la protección contra penas crueles, infamantes o inusitadas con respect</w:t>
      </w:r>
      <w:r w:rsidR="003201AA">
        <w:rPr>
          <w:color w:val="auto"/>
          <w:sz w:val="20"/>
          <w:szCs w:val="20"/>
          <w:lang w:val="es-ES"/>
        </w:rPr>
        <w:t>o</w:t>
      </w:r>
      <w:r w:rsidRPr="001A45C1">
        <w:rPr>
          <w:color w:val="auto"/>
          <w:sz w:val="20"/>
          <w:szCs w:val="20"/>
          <w:lang w:val="es-ES"/>
        </w:rPr>
        <w:t xml:space="preserve"> a la ejecución de Manuel Valle</w:t>
      </w:r>
      <w:bookmarkEnd w:id="26"/>
      <w:r w:rsidR="009D45F5" w:rsidRPr="001A45C1">
        <w:rPr>
          <w:sz w:val="20"/>
          <w:szCs w:val="20"/>
          <w:lang w:val="es-ES"/>
        </w:rPr>
        <w:t xml:space="preserve"> </w:t>
      </w:r>
    </w:p>
    <w:p w14:paraId="36FECD90" w14:textId="77777777" w:rsidR="00867DA3" w:rsidRPr="001A45C1" w:rsidRDefault="00867DA3" w:rsidP="00EC55EA">
      <w:pPr>
        <w:rPr>
          <w:rFonts w:asciiTheme="majorHAnsi" w:hAnsiTheme="majorHAnsi"/>
          <w:sz w:val="20"/>
          <w:szCs w:val="20"/>
          <w:lang w:val="es-ES"/>
        </w:rPr>
      </w:pPr>
    </w:p>
    <w:p w14:paraId="6820EE58" w14:textId="77777777" w:rsidR="00BE3560" w:rsidRPr="005B2F88" w:rsidRDefault="005B2F88" w:rsidP="005B2F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sidRPr="005B2F88">
        <w:rPr>
          <w:rFonts w:ascii="Cambria" w:hAnsi="Cambria"/>
          <w:sz w:val="20"/>
          <w:szCs w:val="20"/>
          <w:lang w:val="es-ES"/>
        </w:rPr>
        <w:t>Como se indicó anteriormente, la Comisión Interamericana considera que corresponde a los tribunales nacionales, no a la Comisión, interpretar y aplicar el derecho nacional. No obstante, la CIDH debe garantizar que toda privación de la vida derivada de la imposición de la pena de muerte cumpla con los requisitos de la Declaración Americana</w:t>
      </w:r>
      <w:r w:rsidR="00BE3560" w:rsidRPr="005B2F88">
        <w:rPr>
          <w:rFonts w:ascii="Cambria" w:hAnsi="Cambria"/>
          <w:sz w:val="20"/>
          <w:szCs w:val="20"/>
          <w:lang w:val="es-ES"/>
        </w:rPr>
        <w:t>.</w:t>
      </w:r>
      <w:r w:rsidR="00BE3560" w:rsidRPr="00EC55EA">
        <w:rPr>
          <w:rStyle w:val="FootnoteReference"/>
          <w:rFonts w:ascii="Cambria" w:hAnsi="Cambria"/>
          <w:sz w:val="20"/>
          <w:szCs w:val="20"/>
        </w:rPr>
        <w:footnoteReference w:id="67"/>
      </w:r>
    </w:p>
    <w:p w14:paraId="5264886C" w14:textId="77777777" w:rsidR="00BE3560" w:rsidRPr="005B2F88" w:rsidRDefault="00BE3560" w:rsidP="00EC55EA">
      <w:pPr>
        <w:rPr>
          <w:sz w:val="20"/>
          <w:szCs w:val="20"/>
          <w:lang w:val="es-ES"/>
        </w:rPr>
      </w:pPr>
    </w:p>
    <w:p w14:paraId="75D28AFF" w14:textId="0575F069" w:rsidR="005B2F88" w:rsidRDefault="005B2F88" w:rsidP="009F60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sidRPr="005B2F88">
        <w:rPr>
          <w:rFonts w:ascii="Cambria" w:hAnsi="Cambria"/>
          <w:sz w:val="20"/>
          <w:szCs w:val="20"/>
          <w:lang w:val="es-ES"/>
        </w:rPr>
        <w:t>En estas circunstancias, la CIDH ha sostenido que la ejecución de una persona, luego de procesos que se desarrollaron en violación de sus derechos, sería sumamente grave y constituiría una violación deliberada del derecho a la vida consagrado en el artículo I de la Declaración Americana</w:t>
      </w:r>
      <w:r w:rsidR="00FF3E59">
        <w:rPr>
          <w:rFonts w:ascii="Cambria" w:hAnsi="Cambria"/>
          <w:sz w:val="20"/>
          <w:szCs w:val="20"/>
          <w:lang w:val="es-ES"/>
        </w:rPr>
        <w:t>.</w:t>
      </w:r>
      <w:r w:rsidR="00FF3E59" w:rsidRPr="00CE58F6">
        <w:rPr>
          <w:rStyle w:val="FootnoteReference"/>
          <w:rFonts w:ascii="Cambria" w:hAnsi="Cambria"/>
          <w:sz w:val="20"/>
          <w:szCs w:val="20"/>
        </w:rPr>
        <w:footnoteReference w:id="68"/>
      </w:r>
      <w:r w:rsidRPr="005B2F88">
        <w:rPr>
          <w:rFonts w:ascii="Cambria" w:hAnsi="Cambria"/>
          <w:sz w:val="20"/>
          <w:szCs w:val="20"/>
          <w:lang w:val="es-ES"/>
        </w:rPr>
        <w:t xml:space="preserve"> Asimismo, con base en las conclusiones sobre la privación de libertad en el corredor de la muerte, así como las violaciones a los derechos </w:t>
      </w:r>
      <w:r>
        <w:rPr>
          <w:rFonts w:ascii="Cambria" w:hAnsi="Cambria"/>
          <w:sz w:val="20"/>
          <w:szCs w:val="20"/>
          <w:lang w:val="es-ES"/>
        </w:rPr>
        <w:t>de justicia</w:t>
      </w:r>
      <w:r w:rsidRPr="005B2F88">
        <w:rPr>
          <w:rFonts w:ascii="Cambria" w:hAnsi="Cambria"/>
          <w:sz w:val="20"/>
          <w:szCs w:val="20"/>
          <w:lang w:val="es-ES"/>
        </w:rPr>
        <w:t xml:space="preserve">, derecho de petición y derecho al </w:t>
      </w:r>
      <w:r>
        <w:rPr>
          <w:rFonts w:ascii="Cambria" w:hAnsi="Cambria"/>
          <w:sz w:val="20"/>
          <w:szCs w:val="20"/>
          <w:lang w:val="es-ES"/>
        </w:rPr>
        <w:t>proceso regular</w:t>
      </w:r>
      <w:r w:rsidRPr="005B2F88">
        <w:rPr>
          <w:rFonts w:ascii="Cambria" w:hAnsi="Cambria"/>
          <w:sz w:val="20"/>
          <w:szCs w:val="20"/>
          <w:lang w:val="es-ES"/>
        </w:rPr>
        <w:t>, y teniendo en cuenta las determinaciones realizadas a lo largo de este informe, la CIDH concluye que la ejecución del señor Valle constituyó una grave violación a su derecho a la vida consagrado en el artículo I de la Declaración Americana.</w:t>
      </w:r>
    </w:p>
    <w:p w14:paraId="50E6D8E5" w14:textId="77777777" w:rsidR="001A1FD8" w:rsidRDefault="001A1FD8" w:rsidP="001A1FD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lang w:val="es-ES"/>
        </w:rPr>
      </w:pPr>
    </w:p>
    <w:p w14:paraId="729FB86A" w14:textId="32B662D7" w:rsidR="001A1FD8" w:rsidRPr="00873D49" w:rsidRDefault="001A1FD8" w:rsidP="001A1FD8">
      <w:pPr>
        <w:pStyle w:val="Heading1"/>
        <w:tabs>
          <w:tab w:val="left" w:pos="360"/>
        </w:tabs>
        <w:spacing w:before="0"/>
        <w:ind w:left="0" w:firstLine="0"/>
        <w:rPr>
          <w:color w:val="auto"/>
          <w:sz w:val="20"/>
          <w:szCs w:val="20"/>
          <w:lang w:val="es-ES_tradnl"/>
        </w:rPr>
      </w:pPr>
      <w:bookmarkStart w:id="27" w:name="_Toc87434319"/>
      <w:bookmarkStart w:id="28" w:name="_Toc87538754"/>
      <w:bookmarkStart w:id="29" w:name="_Toc90292588"/>
      <w:r w:rsidRPr="00873D49">
        <w:rPr>
          <w:color w:val="auto"/>
          <w:sz w:val="20"/>
          <w:szCs w:val="20"/>
          <w:lang w:val="es-ES_tradnl"/>
        </w:rPr>
        <w:t>INFORME Nº 305/20 E INFORMACIÓN SOBRE EL CUMPLIMIENTO</w:t>
      </w:r>
      <w:bookmarkEnd w:id="27"/>
      <w:bookmarkEnd w:id="28"/>
      <w:bookmarkEnd w:id="29"/>
    </w:p>
    <w:p w14:paraId="7472B22A" w14:textId="77777777" w:rsidR="001A1FD8" w:rsidRPr="00873D49" w:rsidRDefault="001A1FD8" w:rsidP="001A1FD8">
      <w:pPr>
        <w:rPr>
          <w:lang w:val="es-ES_tradnl"/>
        </w:rPr>
      </w:pPr>
    </w:p>
    <w:p w14:paraId="6F29F89B" w14:textId="6AC867D5" w:rsidR="001A1FD8" w:rsidRPr="00873D49" w:rsidRDefault="001A1FD8" w:rsidP="001A1F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Theme="majorHAnsi" w:hAnsiTheme="majorHAnsi"/>
          <w:color w:val="000000" w:themeColor="text1"/>
          <w:sz w:val="20"/>
          <w:szCs w:val="20"/>
          <w:lang w:val="es-ES_tradnl"/>
        </w:rPr>
      </w:pPr>
      <w:r w:rsidRPr="006E3733">
        <w:rPr>
          <w:rFonts w:asciiTheme="majorHAnsi" w:hAnsiTheme="majorHAnsi"/>
          <w:color w:val="000000" w:themeColor="text1"/>
          <w:sz w:val="20"/>
          <w:szCs w:val="20"/>
          <w:lang w:val="es-US"/>
        </w:rPr>
        <w:t>El</w:t>
      </w:r>
      <w:r w:rsidRPr="00873D49">
        <w:rPr>
          <w:rFonts w:asciiTheme="majorHAnsi" w:hAnsiTheme="majorHAnsi"/>
          <w:color w:val="000000" w:themeColor="text1"/>
          <w:sz w:val="20"/>
          <w:szCs w:val="20"/>
          <w:lang w:val="es-ES_tradnl"/>
        </w:rPr>
        <w:t xml:space="preserve"> 29 de octubre de 2020, la Comisión aprobó el Informe No. 305/20 sobre la admisibilidad y el fondo del presente caso, que comprende los párrafos 1 a 81 supra, y emitió las siguientes recomendaciones al Estado:</w:t>
      </w:r>
    </w:p>
    <w:p w14:paraId="1B25F038" w14:textId="77777777" w:rsidR="000932C2" w:rsidRPr="005B2F88" w:rsidRDefault="000932C2" w:rsidP="000932C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lang w:val="es-ES"/>
        </w:rPr>
      </w:pPr>
    </w:p>
    <w:p w14:paraId="2D828529" w14:textId="77777777" w:rsidR="000932C2" w:rsidRPr="005B2F88" w:rsidRDefault="000932C2" w:rsidP="000932C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5B2F88">
        <w:rPr>
          <w:rFonts w:eastAsia="Times New Roman" w:cs="Tahoma"/>
          <w:sz w:val="20"/>
          <w:szCs w:val="20"/>
          <w:bdr w:val="none" w:sz="0" w:space="0" w:color="auto" w:frame="1"/>
          <w:lang w:val="es-ES"/>
        </w:rPr>
        <w:t>Provea reparaciones a la familia de Manuel Valle como consecuencia de las violaciones establecidas en este informe.</w:t>
      </w:r>
    </w:p>
    <w:p w14:paraId="033B43F9" w14:textId="77777777" w:rsidR="000932C2" w:rsidRPr="00E36893" w:rsidRDefault="000932C2" w:rsidP="000932C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p>
    <w:p w14:paraId="13AB6547" w14:textId="77777777" w:rsidR="000932C2" w:rsidRPr="005B2F88" w:rsidRDefault="000932C2" w:rsidP="000932C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5B2F88">
        <w:rPr>
          <w:rFonts w:eastAsia="Times New Roman" w:cs="Tahoma"/>
          <w:sz w:val="20"/>
          <w:szCs w:val="20"/>
          <w:bdr w:val="none" w:sz="0" w:space="0" w:color="auto" w:frame="1"/>
          <w:lang w:val="es-ES"/>
        </w:rPr>
        <w:t>Asegure el cumplimiento de las medidas cautelares conce</w:t>
      </w:r>
      <w:r>
        <w:rPr>
          <w:rFonts w:eastAsia="Times New Roman" w:cs="Tahoma"/>
          <w:sz w:val="20"/>
          <w:szCs w:val="20"/>
          <w:bdr w:val="none" w:sz="0" w:space="0" w:color="auto" w:frame="1"/>
          <w:lang w:val="es-ES"/>
        </w:rPr>
        <w:t>didas por la CIDH a personas que enfrentan la pena de muerte.</w:t>
      </w:r>
    </w:p>
    <w:p w14:paraId="315902A7" w14:textId="77777777" w:rsidR="000932C2" w:rsidRPr="00E36893" w:rsidRDefault="000932C2" w:rsidP="000932C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lang w:val="es-ES"/>
        </w:rPr>
      </w:pPr>
    </w:p>
    <w:p w14:paraId="3EC79171" w14:textId="77777777" w:rsidR="000932C2" w:rsidRPr="005B2F88" w:rsidRDefault="000932C2" w:rsidP="000932C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5B2F88">
        <w:rPr>
          <w:rFonts w:eastAsia="Times New Roman" w:cs="Tahoma"/>
          <w:sz w:val="20"/>
          <w:szCs w:val="20"/>
          <w:bdr w:val="none" w:sz="0" w:space="0" w:color="auto" w:frame="1"/>
          <w:lang w:val="es-ES"/>
        </w:rPr>
        <w:t xml:space="preserve">Revise sus leyes, procedimientos y </w:t>
      </w:r>
      <w:r>
        <w:rPr>
          <w:rFonts w:eastAsia="Times New Roman" w:cs="Tahoma"/>
          <w:sz w:val="20"/>
          <w:szCs w:val="20"/>
          <w:bdr w:val="none" w:sz="0" w:space="0" w:color="auto" w:frame="1"/>
          <w:lang w:val="es-ES"/>
        </w:rPr>
        <w:t>prácticas en el nivel federal para asegurar que las personas acusadas de delitos susceptibles de recibir condena de muerta sean juzgadas y, si son halladas culpables, condenadas de acuerdo con los derechos establecidos en la Declaración Americana,</w:t>
      </w:r>
      <w:r w:rsidRPr="00EC55EA">
        <w:rPr>
          <w:rStyle w:val="FootnoteReference"/>
          <w:sz w:val="20"/>
        </w:rPr>
        <w:footnoteReference w:id="69"/>
      </w:r>
      <w:r>
        <w:rPr>
          <w:rFonts w:eastAsia="Times New Roman" w:cs="Tahoma"/>
          <w:sz w:val="20"/>
          <w:szCs w:val="20"/>
          <w:bdr w:val="none" w:sz="0" w:space="0" w:color="auto" w:frame="1"/>
          <w:lang w:val="es-ES"/>
        </w:rPr>
        <w:t xml:space="preserve"> incluyendo sus artículos</w:t>
      </w:r>
      <w:r w:rsidRPr="005B2F88">
        <w:rPr>
          <w:sz w:val="20"/>
          <w:lang w:val="es-ES"/>
        </w:rPr>
        <w:t xml:space="preserve"> I, XVIII, XXIV, XXV and XXVI</w:t>
      </w:r>
      <w:r>
        <w:rPr>
          <w:sz w:val="20"/>
          <w:lang w:val="es-ES"/>
        </w:rPr>
        <w:t xml:space="preserve"> y en particular:</w:t>
      </w:r>
    </w:p>
    <w:p w14:paraId="09236E8D" w14:textId="77777777" w:rsidR="000932C2" w:rsidRPr="00E36893" w:rsidRDefault="000932C2" w:rsidP="000932C2">
      <w:pPr>
        <w:pStyle w:val="ListParagraph"/>
        <w:rPr>
          <w:rFonts w:asciiTheme="majorHAnsi" w:eastAsia="Times New Roman" w:hAnsiTheme="majorHAnsi" w:cs="Tahoma"/>
          <w:sz w:val="20"/>
          <w:szCs w:val="20"/>
          <w:bdr w:val="none" w:sz="0" w:space="0" w:color="auto"/>
          <w:lang w:val="es-ES"/>
        </w:rPr>
      </w:pPr>
    </w:p>
    <w:p w14:paraId="2F54CA2D" w14:textId="77777777" w:rsidR="000932C2" w:rsidRPr="005B222E" w:rsidRDefault="000932C2" w:rsidP="000932C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sidRPr="005B222E">
        <w:rPr>
          <w:rFonts w:eastAsia="Times New Roman" w:cs="Tahoma"/>
          <w:sz w:val="20"/>
          <w:szCs w:val="20"/>
          <w:bdr w:val="none" w:sz="0" w:space="0" w:color="auto" w:frame="1"/>
          <w:lang w:val="es-ES"/>
        </w:rPr>
        <w:t>Asegurar que todo ciudadano extran</w:t>
      </w:r>
      <w:r>
        <w:rPr>
          <w:rFonts w:eastAsia="Times New Roman" w:cs="Tahoma"/>
          <w:sz w:val="20"/>
          <w:szCs w:val="20"/>
          <w:bdr w:val="none" w:sz="0" w:space="0" w:color="auto" w:frame="1"/>
          <w:lang w:val="es-ES"/>
        </w:rPr>
        <w:t>jero privado de su libertad sea informado, sin demora y antes de su primera declaración, del derecho a solicitar que sus autoridades consulares sean inmediatamente notificadas de su arresto o detención; y</w:t>
      </w:r>
    </w:p>
    <w:p w14:paraId="62DCE79A" w14:textId="77777777" w:rsidR="000932C2" w:rsidRPr="00E36893" w:rsidRDefault="000932C2" w:rsidP="000932C2">
      <w:pPr>
        <w:pStyle w:val="ListParagraph"/>
        <w:ind w:left="1080"/>
        <w:rPr>
          <w:sz w:val="20"/>
          <w:szCs w:val="20"/>
          <w:bdr w:val="none" w:sz="0" w:space="0" w:color="auto" w:frame="1"/>
          <w:lang w:val="es-ES"/>
        </w:rPr>
      </w:pPr>
    </w:p>
    <w:p w14:paraId="4FADF52E" w14:textId="77777777" w:rsidR="000932C2" w:rsidRPr="005B222E" w:rsidRDefault="000932C2" w:rsidP="000932C2">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heme="minorHAnsi"/>
          <w:sz w:val="20"/>
          <w:szCs w:val="20"/>
          <w:lang w:val="es-ES"/>
        </w:rPr>
      </w:pPr>
      <w:r w:rsidRPr="005B222E">
        <w:rPr>
          <w:rFonts w:eastAsiaTheme="minorHAnsi"/>
          <w:sz w:val="20"/>
          <w:szCs w:val="20"/>
          <w:lang w:val="es-ES"/>
        </w:rPr>
        <w:t>Adoptar las medidas necesarias para garantizar que el mar</w:t>
      </w:r>
      <w:r>
        <w:rPr>
          <w:rFonts w:eastAsiaTheme="minorHAnsi"/>
          <w:sz w:val="20"/>
          <w:szCs w:val="20"/>
          <w:lang w:val="es-ES"/>
        </w:rPr>
        <w:t xml:space="preserve">co legal del estado de Florida asegurar de manera efectiva que toda persona condenada a muerte tenga el derecho de solicitar un indulto o una conmutación de la pena de acuerdo con sus derechos de petición, proceso regular y justicia. </w:t>
      </w:r>
      <w:r>
        <w:rPr>
          <w:rFonts w:eastAsiaTheme="minorHAnsi"/>
          <w:sz w:val="20"/>
          <w:szCs w:val="20"/>
          <w:lang w:val="es-ES"/>
        </w:rPr>
        <w:lastRenderedPageBreak/>
        <w:t>Ello incluye establecer un procedimiento que asegure una oportunidad efectiva y adecuada para que los prisioneros participen de los procedimientos de clemencia.</w:t>
      </w:r>
    </w:p>
    <w:p w14:paraId="5FA3D7AD" w14:textId="77777777" w:rsidR="000932C2" w:rsidRPr="00E36893" w:rsidRDefault="000932C2" w:rsidP="000932C2">
      <w:pPr>
        <w:tabs>
          <w:tab w:val="left" w:pos="360"/>
        </w:tabs>
        <w:jc w:val="both"/>
        <w:rPr>
          <w:rFonts w:eastAsia="Times New Roman" w:cs="Tahoma"/>
          <w:sz w:val="20"/>
          <w:szCs w:val="20"/>
          <w:bdr w:val="none" w:sz="0" w:space="0" w:color="auto" w:frame="1"/>
          <w:lang w:val="es-ES"/>
        </w:rPr>
      </w:pPr>
    </w:p>
    <w:p w14:paraId="2B95EC41" w14:textId="77777777" w:rsidR="000932C2" w:rsidRDefault="000932C2" w:rsidP="000932C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5B222E">
        <w:rPr>
          <w:rFonts w:eastAsia="Times New Roman" w:cs="Tahoma"/>
          <w:sz w:val="20"/>
          <w:szCs w:val="20"/>
          <w:bdr w:val="none" w:sz="0" w:space="0" w:color="auto" w:frame="1"/>
          <w:lang w:val="es-ES"/>
        </w:rPr>
        <w:t>Dadas las violaciones de la Declaración America</w:t>
      </w:r>
      <w:r>
        <w:rPr>
          <w:rFonts w:eastAsia="Times New Roman" w:cs="Tahoma"/>
          <w:sz w:val="20"/>
          <w:szCs w:val="20"/>
          <w:bdr w:val="none" w:sz="0" w:space="0" w:color="auto" w:frame="1"/>
          <w:lang w:val="es-ES"/>
        </w:rPr>
        <w:t>na que la CIDH ha establecido en este y otros casos que involucran la aplicación de la pena de muerte, la Comisión Interamericana también recomienda a los Estados Unidos que abola la pena de muerte en el estado de Florida.</w:t>
      </w:r>
    </w:p>
    <w:p w14:paraId="6317A6B4" w14:textId="77777777" w:rsidR="000932C2" w:rsidRPr="000932C2" w:rsidRDefault="000932C2" w:rsidP="000932C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lang w:val="es-ES"/>
        </w:rPr>
      </w:pPr>
    </w:p>
    <w:p w14:paraId="7600D86F" w14:textId="3EF226D4" w:rsidR="000932C2" w:rsidRPr="00873D49" w:rsidRDefault="000932C2" w:rsidP="000932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
        </w:rPr>
      </w:pPr>
      <w:r w:rsidRPr="00873D49">
        <w:rPr>
          <w:rFonts w:ascii="Cambria" w:hAnsi="Cambria"/>
          <w:sz w:val="20"/>
          <w:szCs w:val="20"/>
          <w:lang w:val="es-ES"/>
        </w:rPr>
        <w:t xml:space="preserve">El </w:t>
      </w:r>
      <w:r w:rsidR="00967150" w:rsidRPr="00873D49">
        <w:rPr>
          <w:rFonts w:ascii="Cambria" w:hAnsi="Cambria"/>
          <w:sz w:val="20"/>
          <w:szCs w:val="20"/>
          <w:lang w:val="es-ES"/>
        </w:rPr>
        <w:t>3 de diciembre de</w:t>
      </w:r>
      <w:r w:rsidRPr="00873D49">
        <w:rPr>
          <w:rFonts w:ascii="Cambria" w:hAnsi="Cambria"/>
          <w:sz w:val="20"/>
          <w:szCs w:val="20"/>
          <w:lang w:val="es-ES"/>
        </w:rPr>
        <w:t xml:space="preserve"> 2020 la CIDH transmitió el informe al Estado con un plazo de dos meses para informar a la Comisión sobre las medidas adoptadas para cumplir con sus recomendaciones. Hasta la fecha, la Comisión no ha recibido ninguna respuesta de Estados Unidos en relación con el informe No. </w:t>
      </w:r>
      <w:r w:rsidR="001A1FD8" w:rsidRPr="00873D49">
        <w:rPr>
          <w:rFonts w:ascii="Cambria" w:hAnsi="Cambria"/>
          <w:sz w:val="20"/>
          <w:szCs w:val="20"/>
          <w:lang w:val="es-ES"/>
        </w:rPr>
        <w:t>305</w:t>
      </w:r>
      <w:r w:rsidRPr="00873D49">
        <w:rPr>
          <w:rFonts w:ascii="Cambria" w:hAnsi="Cambria"/>
          <w:sz w:val="20"/>
          <w:szCs w:val="20"/>
          <w:lang w:val="es-ES"/>
        </w:rPr>
        <w:t>/</w:t>
      </w:r>
      <w:r w:rsidR="001A1FD8" w:rsidRPr="00873D49">
        <w:rPr>
          <w:rFonts w:ascii="Cambria" w:hAnsi="Cambria"/>
          <w:sz w:val="20"/>
          <w:szCs w:val="20"/>
          <w:lang w:val="es-ES"/>
        </w:rPr>
        <w:t>20</w:t>
      </w:r>
      <w:r w:rsidRPr="00873D49">
        <w:rPr>
          <w:rFonts w:ascii="Cambria" w:hAnsi="Cambria"/>
          <w:sz w:val="20"/>
          <w:szCs w:val="20"/>
          <w:lang w:val="es-ES"/>
        </w:rPr>
        <w:t>.</w:t>
      </w:r>
    </w:p>
    <w:p w14:paraId="0FDD8570" w14:textId="77777777" w:rsidR="00873D49" w:rsidRPr="00D006F7" w:rsidRDefault="00873D49" w:rsidP="00873D49">
      <w:pPr>
        <w:tabs>
          <w:tab w:val="left" w:pos="0"/>
          <w:tab w:val="left" w:pos="360"/>
        </w:tabs>
        <w:jc w:val="both"/>
        <w:rPr>
          <w:rFonts w:ascii="Cambria" w:hAnsi="Cambria"/>
          <w:color w:val="000000"/>
          <w:sz w:val="20"/>
          <w:szCs w:val="20"/>
          <w:lang w:val="es-ES_tradnl"/>
        </w:rPr>
      </w:pPr>
    </w:p>
    <w:p w14:paraId="4054DCC0" w14:textId="19747476" w:rsidR="00873D49" w:rsidRPr="008379F8" w:rsidRDefault="00873D49" w:rsidP="00873D49">
      <w:pPr>
        <w:pStyle w:val="Heading1"/>
        <w:tabs>
          <w:tab w:val="left" w:pos="360"/>
        </w:tabs>
        <w:spacing w:before="0"/>
        <w:ind w:hanging="720"/>
        <w:rPr>
          <w:color w:val="auto"/>
          <w:sz w:val="20"/>
          <w:szCs w:val="20"/>
          <w:lang w:val="es-ES"/>
        </w:rPr>
      </w:pPr>
      <w:bookmarkStart w:id="30" w:name="_Toc26552694"/>
      <w:bookmarkStart w:id="31" w:name="_Toc87522750"/>
      <w:bookmarkStart w:id="32" w:name="_Toc90117848"/>
      <w:bookmarkStart w:id="33" w:name="_Toc90283158"/>
      <w:bookmarkStart w:id="34" w:name="_Toc90284835"/>
      <w:bookmarkStart w:id="35" w:name="_Toc90289330"/>
      <w:bookmarkStart w:id="36" w:name="_Toc90292589"/>
      <w:r w:rsidRPr="008379F8">
        <w:rPr>
          <w:color w:val="auto"/>
          <w:sz w:val="20"/>
          <w:szCs w:val="20"/>
          <w:lang w:val="es-ES"/>
        </w:rPr>
        <w:t>ACCIONES POSTERIORES AL INFORME No. 331/</w:t>
      </w:r>
      <w:bookmarkEnd w:id="30"/>
      <w:r w:rsidRPr="008379F8">
        <w:rPr>
          <w:color w:val="auto"/>
          <w:sz w:val="20"/>
          <w:szCs w:val="20"/>
          <w:lang w:val="es-ES"/>
        </w:rPr>
        <w:t>2</w:t>
      </w:r>
      <w:bookmarkEnd w:id="31"/>
      <w:r w:rsidRPr="008379F8">
        <w:rPr>
          <w:color w:val="auto"/>
          <w:sz w:val="20"/>
          <w:szCs w:val="20"/>
          <w:lang w:val="es-ES"/>
        </w:rPr>
        <w:t>1</w:t>
      </w:r>
      <w:bookmarkEnd w:id="32"/>
      <w:bookmarkEnd w:id="33"/>
      <w:bookmarkEnd w:id="34"/>
      <w:bookmarkEnd w:id="35"/>
      <w:bookmarkEnd w:id="36"/>
    </w:p>
    <w:p w14:paraId="12A57B08" w14:textId="77777777" w:rsidR="00873D49" w:rsidRPr="008379F8" w:rsidRDefault="00873D49" w:rsidP="00873D49">
      <w:pPr>
        <w:tabs>
          <w:tab w:val="left" w:pos="0"/>
          <w:tab w:val="left" w:pos="360"/>
        </w:tabs>
        <w:jc w:val="both"/>
        <w:rPr>
          <w:lang w:val="es-AR"/>
        </w:rPr>
      </w:pPr>
    </w:p>
    <w:p w14:paraId="716DAE1B" w14:textId="2CF4B13C" w:rsidR="00873D49" w:rsidRPr="008379F8" w:rsidRDefault="00873D49" w:rsidP="00873D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540"/>
        </w:tabs>
        <w:ind w:left="0" w:firstLine="0"/>
        <w:jc w:val="both"/>
        <w:rPr>
          <w:rFonts w:ascii="Cambria" w:hAnsi="Cambria"/>
          <w:sz w:val="20"/>
          <w:szCs w:val="20"/>
          <w:lang w:val="es-UY"/>
        </w:rPr>
      </w:pPr>
      <w:r w:rsidRPr="006E3733">
        <w:rPr>
          <w:rFonts w:asciiTheme="majorHAnsi" w:hAnsiTheme="majorHAnsi"/>
          <w:color w:val="000000" w:themeColor="text1"/>
          <w:sz w:val="20"/>
          <w:szCs w:val="20"/>
          <w:lang w:val="es-US"/>
        </w:rPr>
        <w:t>El</w:t>
      </w:r>
      <w:r w:rsidRPr="008379F8">
        <w:rPr>
          <w:rFonts w:ascii="Cambria" w:hAnsi="Cambria"/>
          <w:sz w:val="20"/>
          <w:szCs w:val="20"/>
          <w:lang w:val="es-UY"/>
        </w:rPr>
        <w:t xml:space="preserve"> 19 de noviembre de 2021, la Comisión aprobó el Informe de Fondo Final No. 331/21, que abarca los párrafos 1 a 83 </w:t>
      </w:r>
      <w:r w:rsidRPr="008379F8">
        <w:rPr>
          <w:rFonts w:ascii="Cambria" w:hAnsi="Cambria"/>
          <w:i/>
          <w:sz w:val="20"/>
          <w:szCs w:val="20"/>
          <w:lang w:val="es-UY"/>
        </w:rPr>
        <w:t>supra</w:t>
      </w:r>
      <w:r w:rsidRPr="008379F8">
        <w:rPr>
          <w:rFonts w:ascii="Cambria" w:hAnsi="Cambria"/>
          <w:sz w:val="20"/>
          <w:szCs w:val="20"/>
          <w:lang w:val="es-UY"/>
        </w:rPr>
        <w:t>, y emitió sus conclusiones y recomendaciones finales al Estado. El 2 de diciembre de 2021, la Comisión transmitió el informe al Estado y a los peticionarios con un plazo de tres semanas para informar a la Comisión Interamericana sobre las medidas adoptadas para dar cumplimiento a sus recomendaciones. Hasta la fecha, la CIDH no ha recibido respuesta de los Estados Unidos ni de los peticionarios en relación con el Informe 331/21.</w:t>
      </w:r>
    </w:p>
    <w:p w14:paraId="7033D775" w14:textId="77777777" w:rsidR="00873D49" w:rsidRPr="00E36893" w:rsidRDefault="00873D49" w:rsidP="00EC55EA">
      <w:pPr>
        <w:rPr>
          <w:rFonts w:asciiTheme="majorHAnsi" w:hAnsiTheme="majorHAnsi"/>
          <w:sz w:val="20"/>
          <w:szCs w:val="20"/>
          <w:lang w:val="es-ES"/>
        </w:rPr>
      </w:pPr>
    </w:p>
    <w:p w14:paraId="7CE279F5" w14:textId="646B9726" w:rsidR="00C55560" w:rsidRPr="00873D49" w:rsidRDefault="001A45C1" w:rsidP="001A1FD8">
      <w:pPr>
        <w:pStyle w:val="Heading1"/>
        <w:tabs>
          <w:tab w:val="left" w:pos="360"/>
        </w:tabs>
        <w:spacing w:before="0"/>
        <w:ind w:hanging="720"/>
        <w:rPr>
          <w:color w:val="auto"/>
          <w:sz w:val="20"/>
          <w:szCs w:val="20"/>
          <w:lang w:val="es-ES_tradnl"/>
        </w:rPr>
      </w:pPr>
      <w:bookmarkStart w:id="37" w:name="_Toc90292590"/>
      <w:r w:rsidRPr="00873D49">
        <w:rPr>
          <w:color w:val="auto"/>
          <w:sz w:val="20"/>
          <w:szCs w:val="20"/>
          <w:lang w:val="es-ES_tradnl"/>
        </w:rPr>
        <w:t>CONCLUSIONES Y RECOMENDACIONES</w:t>
      </w:r>
      <w:r w:rsidR="000932C2" w:rsidRPr="00873D49">
        <w:rPr>
          <w:color w:val="auto"/>
          <w:sz w:val="20"/>
          <w:szCs w:val="20"/>
          <w:lang w:val="es-ES_tradnl"/>
        </w:rPr>
        <w:t xml:space="preserve"> FINALES</w:t>
      </w:r>
      <w:bookmarkEnd w:id="37"/>
    </w:p>
    <w:p w14:paraId="176DAF22" w14:textId="77777777" w:rsidR="00BC5766" w:rsidRPr="00873D49" w:rsidRDefault="00BC5766" w:rsidP="00EC55EA">
      <w:pPr>
        <w:rPr>
          <w:lang w:val="es-ES_tradnl"/>
        </w:rPr>
      </w:pPr>
    </w:p>
    <w:p w14:paraId="65E45A08" w14:textId="77777777" w:rsidR="005B2F88" w:rsidRPr="00873D49" w:rsidRDefault="005B2F88" w:rsidP="000932C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lang w:val="es-ES_tradnl"/>
        </w:rPr>
      </w:pPr>
      <w:r w:rsidRPr="00873D49">
        <w:rPr>
          <w:rFonts w:ascii="Cambria" w:hAnsi="Cambria"/>
          <w:sz w:val="20"/>
          <w:szCs w:val="20"/>
          <w:lang w:val="es-ES_tradnl"/>
        </w:rPr>
        <w:t>Con base en determinaciones de hecho y de derecho, la Comisión Interamericana concluye que el Estado es responsable por la violación de los artículos I (vida, libertad y seguridad), XVIII (justicia), XXIV (petición), XXV (protección contra la detención arbitraria), y XXVI (proceso regular) de la Declaración Americana.</w:t>
      </w:r>
    </w:p>
    <w:p w14:paraId="045EC4F8" w14:textId="77777777" w:rsidR="00DE01CB" w:rsidRPr="00873D49" w:rsidRDefault="00DE01CB" w:rsidP="00EC55EA">
      <w:pPr>
        <w:tabs>
          <w:tab w:val="left" w:pos="360"/>
        </w:tabs>
        <w:jc w:val="both"/>
        <w:rPr>
          <w:rFonts w:ascii="Cambria" w:hAnsi="Cambria"/>
          <w:b/>
          <w:sz w:val="20"/>
          <w:szCs w:val="20"/>
          <w:lang w:val="es-ES_tradnl"/>
        </w:rPr>
      </w:pPr>
    </w:p>
    <w:p w14:paraId="42B70C53" w14:textId="3988A705" w:rsidR="00BC5766" w:rsidRPr="00873D49" w:rsidRDefault="001A45C1" w:rsidP="00EC55EA">
      <w:pPr>
        <w:tabs>
          <w:tab w:val="left" w:pos="360"/>
        </w:tabs>
        <w:jc w:val="both"/>
        <w:rPr>
          <w:rFonts w:ascii="Cambria" w:hAnsi="Cambria"/>
          <w:b/>
          <w:sz w:val="20"/>
          <w:szCs w:val="20"/>
          <w:lang w:val="es-ES_tradnl"/>
        </w:rPr>
      </w:pPr>
      <w:r w:rsidRPr="00873D49">
        <w:rPr>
          <w:rFonts w:ascii="Cambria" w:hAnsi="Cambria"/>
          <w:b/>
          <w:sz w:val="20"/>
          <w:szCs w:val="20"/>
          <w:lang w:val="es-ES_tradnl"/>
        </w:rPr>
        <w:t xml:space="preserve">LA </w:t>
      </w:r>
      <w:r w:rsidR="00873D49" w:rsidRPr="00873D49">
        <w:rPr>
          <w:rFonts w:ascii="Cambria" w:hAnsi="Cambria"/>
          <w:b/>
          <w:sz w:val="20"/>
          <w:szCs w:val="20"/>
          <w:lang w:val="es-ES_tradnl"/>
        </w:rPr>
        <w:t>COMISIÓN</w:t>
      </w:r>
      <w:r w:rsidRPr="00873D49">
        <w:rPr>
          <w:rFonts w:ascii="Cambria" w:hAnsi="Cambria"/>
          <w:b/>
          <w:sz w:val="20"/>
          <w:szCs w:val="20"/>
          <w:lang w:val="es-ES_tradnl"/>
        </w:rPr>
        <w:t xml:space="preserve"> INTERAMERICANA DE DERECHOS HUMANOS RE</w:t>
      </w:r>
      <w:r w:rsidR="000932C2" w:rsidRPr="00873D49">
        <w:rPr>
          <w:rFonts w:ascii="Cambria" w:hAnsi="Cambria"/>
          <w:b/>
          <w:sz w:val="20"/>
          <w:szCs w:val="20"/>
          <w:lang w:val="es-ES_tradnl"/>
        </w:rPr>
        <w:t>ITERA</w:t>
      </w:r>
      <w:r w:rsidRPr="00873D49">
        <w:rPr>
          <w:rFonts w:ascii="Cambria" w:hAnsi="Cambria"/>
          <w:b/>
          <w:sz w:val="20"/>
          <w:szCs w:val="20"/>
          <w:lang w:val="es-ES_tradnl"/>
        </w:rPr>
        <w:t xml:space="preserve"> QUE LOS ESTADOS UNIDOS DE </w:t>
      </w:r>
      <w:r w:rsidR="00873D49" w:rsidRPr="00873D49">
        <w:rPr>
          <w:rFonts w:ascii="Cambria" w:hAnsi="Cambria"/>
          <w:b/>
          <w:sz w:val="20"/>
          <w:szCs w:val="20"/>
          <w:lang w:val="es-ES_tradnl"/>
        </w:rPr>
        <w:t>AMÉRICA</w:t>
      </w:r>
      <w:r w:rsidR="00BC5766" w:rsidRPr="00873D49">
        <w:rPr>
          <w:rFonts w:ascii="Cambria" w:hAnsi="Cambria"/>
          <w:b/>
          <w:sz w:val="20"/>
          <w:szCs w:val="20"/>
          <w:lang w:val="es-ES_tradnl"/>
        </w:rPr>
        <w:t>,</w:t>
      </w:r>
    </w:p>
    <w:p w14:paraId="0360A8C5" w14:textId="77777777" w:rsidR="00AA3C9F" w:rsidRPr="001A45C1" w:rsidRDefault="00AA3C9F" w:rsidP="00EC55EA">
      <w:pPr>
        <w:rPr>
          <w:lang w:val="es-ES"/>
        </w:rPr>
      </w:pPr>
    </w:p>
    <w:p w14:paraId="2E372E29" w14:textId="3ECDFEC0" w:rsidR="005B2F88" w:rsidRPr="005B2F88" w:rsidRDefault="005B2F88" w:rsidP="000932C2">
      <w:pPr>
        <w:pStyle w:val="ListParagraph"/>
        <w:numPr>
          <w:ilvl w:val="3"/>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sidRPr="005B2F88">
        <w:rPr>
          <w:rFonts w:eastAsia="Times New Roman" w:cs="Tahoma"/>
          <w:sz w:val="20"/>
          <w:szCs w:val="20"/>
          <w:bdr w:val="none" w:sz="0" w:space="0" w:color="auto" w:frame="1"/>
          <w:lang w:val="es-ES"/>
        </w:rPr>
        <w:t>Provea reparaciones a la familia de Manuel Valle como consecuencia de las violaciones establecidas en este informe.</w:t>
      </w:r>
    </w:p>
    <w:p w14:paraId="15F2B543" w14:textId="77777777" w:rsidR="008E6153" w:rsidRPr="00E36893" w:rsidRDefault="008E6153" w:rsidP="008E615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p>
    <w:p w14:paraId="1B208111" w14:textId="77777777" w:rsidR="005B2F88" w:rsidRPr="005B2F88" w:rsidRDefault="005B2F88" w:rsidP="000932C2">
      <w:pPr>
        <w:pStyle w:val="ListParagraph"/>
        <w:numPr>
          <w:ilvl w:val="3"/>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sidRPr="005B2F88">
        <w:rPr>
          <w:rFonts w:eastAsia="Times New Roman" w:cs="Tahoma"/>
          <w:sz w:val="20"/>
          <w:szCs w:val="20"/>
          <w:bdr w:val="none" w:sz="0" w:space="0" w:color="auto" w:frame="1"/>
          <w:lang w:val="es-ES"/>
        </w:rPr>
        <w:t>Asegure el cumplimiento de las medidas cautelares conce</w:t>
      </w:r>
      <w:r>
        <w:rPr>
          <w:rFonts w:eastAsia="Times New Roman" w:cs="Tahoma"/>
          <w:sz w:val="20"/>
          <w:szCs w:val="20"/>
          <w:bdr w:val="none" w:sz="0" w:space="0" w:color="auto" w:frame="1"/>
          <w:lang w:val="es-ES"/>
        </w:rPr>
        <w:t>didas por la CIDH a personas que enfrentan la pena de muerte.</w:t>
      </w:r>
    </w:p>
    <w:p w14:paraId="490425B8" w14:textId="77777777" w:rsidR="002237F3" w:rsidRPr="00E36893" w:rsidRDefault="002237F3" w:rsidP="00DE4E1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lang w:val="es-ES"/>
        </w:rPr>
      </w:pPr>
    </w:p>
    <w:p w14:paraId="3F27D4B1" w14:textId="77777777" w:rsidR="005B2F88" w:rsidRPr="005B2F88" w:rsidRDefault="005B2F88" w:rsidP="000932C2">
      <w:pPr>
        <w:pStyle w:val="ListParagraph"/>
        <w:numPr>
          <w:ilvl w:val="3"/>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sidRPr="005B2F88">
        <w:rPr>
          <w:rFonts w:eastAsia="Times New Roman" w:cs="Tahoma"/>
          <w:sz w:val="20"/>
          <w:szCs w:val="20"/>
          <w:bdr w:val="none" w:sz="0" w:space="0" w:color="auto" w:frame="1"/>
          <w:lang w:val="es-ES"/>
        </w:rPr>
        <w:t xml:space="preserve">Revise sus leyes, procedimientos y </w:t>
      </w:r>
      <w:r>
        <w:rPr>
          <w:rFonts w:eastAsia="Times New Roman" w:cs="Tahoma"/>
          <w:sz w:val="20"/>
          <w:szCs w:val="20"/>
          <w:bdr w:val="none" w:sz="0" w:space="0" w:color="auto" w:frame="1"/>
          <w:lang w:val="es-ES"/>
        </w:rPr>
        <w:t>prácticas en el nivel federal para asegurar que las personas acusadas de delitos susceptibles de recibir condena de muerta sean juzgadas y, si son halladas culpables, condenadas de acuerdo con los derechos establecidos en la Declaración Americana,</w:t>
      </w:r>
      <w:r w:rsidRPr="00EC55EA">
        <w:rPr>
          <w:rStyle w:val="FootnoteReference"/>
          <w:sz w:val="20"/>
        </w:rPr>
        <w:footnoteReference w:id="70"/>
      </w:r>
      <w:r>
        <w:rPr>
          <w:rFonts w:eastAsia="Times New Roman" w:cs="Tahoma"/>
          <w:sz w:val="20"/>
          <w:szCs w:val="20"/>
          <w:bdr w:val="none" w:sz="0" w:space="0" w:color="auto" w:frame="1"/>
          <w:lang w:val="es-ES"/>
        </w:rPr>
        <w:t xml:space="preserve"> incluyendo sus artículos</w:t>
      </w:r>
      <w:r w:rsidRPr="005B2F88">
        <w:rPr>
          <w:sz w:val="20"/>
          <w:lang w:val="es-ES"/>
        </w:rPr>
        <w:t xml:space="preserve"> I, XVIII, XXIV, XXV and XXVI</w:t>
      </w:r>
      <w:r>
        <w:rPr>
          <w:sz w:val="20"/>
          <w:lang w:val="es-ES"/>
        </w:rPr>
        <w:t xml:space="preserve"> y en particular:</w:t>
      </w:r>
    </w:p>
    <w:p w14:paraId="761763C3" w14:textId="77777777" w:rsidR="000060AC" w:rsidRPr="00E36893" w:rsidRDefault="000060AC" w:rsidP="00EC55EA">
      <w:pPr>
        <w:pStyle w:val="ListParagraph"/>
        <w:rPr>
          <w:rFonts w:asciiTheme="majorHAnsi" w:eastAsia="Times New Roman" w:hAnsiTheme="majorHAnsi" w:cs="Tahoma"/>
          <w:sz w:val="20"/>
          <w:szCs w:val="20"/>
          <w:bdr w:val="none" w:sz="0" w:space="0" w:color="auto"/>
          <w:lang w:val="es-ES"/>
        </w:rPr>
      </w:pPr>
    </w:p>
    <w:p w14:paraId="7A5B2B65" w14:textId="056BCA13" w:rsidR="000060AC" w:rsidRPr="003B4B47" w:rsidRDefault="005B222E" w:rsidP="003B4B47">
      <w:pPr>
        <w:pStyle w:val="ListParagraph"/>
        <w:numPr>
          <w:ilvl w:val="4"/>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sidRPr="003B4B47">
        <w:rPr>
          <w:rFonts w:eastAsia="Times New Roman" w:cs="Tahoma"/>
          <w:sz w:val="20"/>
          <w:szCs w:val="20"/>
          <w:bdr w:val="none" w:sz="0" w:space="0" w:color="auto" w:frame="1"/>
          <w:lang w:val="es-ES"/>
        </w:rPr>
        <w:t>Asegurar que todo ciudadano extranjero privado de su libertad sea informado, sin demora y antes de su primera declaración, del derecho a solicitar que sus autoridades consulares sean inmediatamente notificadas de su arresto o detención; y</w:t>
      </w:r>
    </w:p>
    <w:p w14:paraId="169CAFC4" w14:textId="77777777" w:rsidR="000060AC" w:rsidRPr="00E36893" w:rsidRDefault="000060AC" w:rsidP="00EC55EA">
      <w:pPr>
        <w:pStyle w:val="ListParagraph"/>
        <w:ind w:left="1080"/>
        <w:rPr>
          <w:sz w:val="20"/>
          <w:szCs w:val="20"/>
          <w:bdr w:val="none" w:sz="0" w:space="0" w:color="auto" w:frame="1"/>
          <w:lang w:val="es-ES"/>
        </w:rPr>
      </w:pPr>
    </w:p>
    <w:p w14:paraId="140F9F3D" w14:textId="77777777" w:rsidR="005B222E" w:rsidRPr="005B222E" w:rsidRDefault="005B222E" w:rsidP="0075074D">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heme="minorHAnsi"/>
          <w:sz w:val="20"/>
          <w:szCs w:val="20"/>
          <w:lang w:val="es-ES"/>
        </w:rPr>
      </w:pPr>
      <w:r w:rsidRPr="005B222E">
        <w:rPr>
          <w:rFonts w:eastAsiaTheme="minorHAnsi"/>
          <w:sz w:val="20"/>
          <w:szCs w:val="20"/>
          <w:lang w:val="es-ES"/>
        </w:rPr>
        <w:t>Adoptar las medidas necesarias para garantizar que el mar</w:t>
      </w:r>
      <w:r>
        <w:rPr>
          <w:rFonts w:eastAsiaTheme="minorHAnsi"/>
          <w:sz w:val="20"/>
          <w:szCs w:val="20"/>
          <w:lang w:val="es-ES"/>
        </w:rPr>
        <w:t>co legal del estado de Florida asegurar de manera efectiva que toda persona condenada a muerte tenga el derecho de solicitar un indulto o una conmutación de la pena de acuerdo con sus derechos de petición, proceso regular y justicia. Ello incluye establecer un procedimiento que asegure una oportunidad efectiva y adecuada para que los prisioneros participen de los procedimientos de clemencia.</w:t>
      </w:r>
    </w:p>
    <w:p w14:paraId="365CA101" w14:textId="77777777" w:rsidR="00AA3C9F" w:rsidRPr="00E36893" w:rsidRDefault="00AA3C9F" w:rsidP="00EC55EA">
      <w:pPr>
        <w:tabs>
          <w:tab w:val="left" w:pos="360"/>
        </w:tabs>
        <w:jc w:val="both"/>
        <w:rPr>
          <w:rFonts w:eastAsia="Times New Roman" w:cs="Tahoma"/>
          <w:sz w:val="20"/>
          <w:szCs w:val="20"/>
          <w:bdr w:val="none" w:sz="0" w:space="0" w:color="auto" w:frame="1"/>
          <w:lang w:val="es-ES"/>
        </w:rPr>
      </w:pPr>
    </w:p>
    <w:p w14:paraId="5DCBD8E6" w14:textId="6A845EA6" w:rsidR="000932C2" w:rsidRPr="008379F8" w:rsidRDefault="005B222E" w:rsidP="00873D49">
      <w:pPr>
        <w:pStyle w:val="ListParagraph"/>
        <w:numPr>
          <w:ilvl w:val="3"/>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r w:rsidRPr="003B4B47">
        <w:rPr>
          <w:rFonts w:eastAsia="Times New Roman" w:cs="Tahoma"/>
          <w:sz w:val="20"/>
          <w:szCs w:val="20"/>
          <w:bdr w:val="none" w:sz="0" w:space="0" w:color="auto" w:frame="1"/>
          <w:lang w:val="es-ES"/>
        </w:rPr>
        <w:lastRenderedPageBreak/>
        <w:t xml:space="preserve">Dadas las violaciones de la Declaración Americana que la CIDH ha establecido en este y otros casos que involucran la aplicación de la pena de muerte, la Comisión Interamericana también recomienda a los Estados Unidos que abola la pena de muerte en el estado </w:t>
      </w:r>
      <w:r w:rsidRPr="008379F8">
        <w:rPr>
          <w:rFonts w:eastAsia="Times New Roman" w:cs="Tahoma"/>
          <w:sz w:val="20"/>
          <w:szCs w:val="20"/>
          <w:bdr w:val="none" w:sz="0" w:space="0" w:color="auto" w:frame="1"/>
          <w:lang w:val="es-ES"/>
        </w:rPr>
        <w:t>de Florida.</w:t>
      </w:r>
    </w:p>
    <w:p w14:paraId="4F0805FF" w14:textId="77777777" w:rsidR="00873D49" w:rsidRPr="008379F8" w:rsidRDefault="00873D49" w:rsidP="00873D49">
      <w:pPr>
        <w:jc w:val="both"/>
        <w:rPr>
          <w:rFonts w:ascii="Cambria" w:eastAsia="Times New Roman" w:hAnsi="Cambria" w:cs="Tahoma"/>
          <w:color w:val="000000"/>
          <w:sz w:val="20"/>
          <w:szCs w:val="20"/>
          <w:u w:color="000000"/>
          <w:bdr w:val="none" w:sz="0" w:space="0" w:color="auto" w:frame="1"/>
          <w:lang w:val="es-ES_tradnl" w:eastAsia="es-ES"/>
        </w:rPr>
      </w:pPr>
    </w:p>
    <w:p w14:paraId="01DAE201" w14:textId="77777777" w:rsidR="00873D49" w:rsidRPr="008379F8" w:rsidRDefault="00873D49" w:rsidP="00873D49">
      <w:pPr>
        <w:pStyle w:val="Heading1"/>
        <w:tabs>
          <w:tab w:val="left" w:pos="360"/>
        </w:tabs>
        <w:spacing w:before="0"/>
        <w:ind w:hanging="720"/>
        <w:rPr>
          <w:color w:val="auto"/>
          <w:sz w:val="20"/>
          <w:szCs w:val="20"/>
          <w:lang w:val="es-ES"/>
        </w:rPr>
      </w:pPr>
      <w:bookmarkStart w:id="38" w:name="_Toc26552696"/>
      <w:bookmarkStart w:id="39" w:name="_Toc87522752"/>
      <w:bookmarkStart w:id="40" w:name="_Toc90117850"/>
      <w:bookmarkStart w:id="41" w:name="_Toc90283160"/>
      <w:bookmarkStart w:id="42" w:name="_Toc90284837"/>
      <w:bookmarkStart w:id="43" w:name="_Toc90289332"/>
      <w:bookmarkStart w:id="44" w:name="_Toc90292591"/>
      <w:r w:rsidRPr="008379F8">
        <w:rPr>
          <w:color w:val="auto"/>
          <w:sz w:val="20"/>
          <w:szCs w:val="20"/>
          <w:lang w:val="es-ES"/>
        </w:rPr>
        <w:t>PUBLICACIÓN</w:t>
      </w:r>
      <w:bookmarkEnd w:id="38"/>
      <w:bookmarkEnd w:id="39"/>
      <w:bookmarkEnd w:id="40"/>
      <w:bookmarkEnd w:id="41"/>
      <w:bookmarkEnd w:id="42"/>
      <w:bookmarkEnd w:id="43"/>
      <w:bookmarkEnd w:id="44"/>
    </w:p>
    <w:p w14:paraId="451CF616" w14:textId="77777777" w:rsidR="00873D49" w:rsidRPr="008379F8" w:rsidRDefault="00873D49" w:rsidP="00873D49">
      <w:pPr>
        <w:ind w:left="360"/>
        <w:jc w:val="both"/>
        <w:rPr>
          <w:lang w:val="es-UY"/>
        </w:rPr>
      </w:pPr>
    </w:p>
    <w:p w14:paraId="03198CE7" w14:textId="77777777" w:rsidR="00873D49" w:rsidRPr="008379F8" w:rsidRDefault="00873D49" w:rsidP="00873D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color w:val="000000"/>
          <w:sz w:val="20"/>
          <w:szCs w:val="20"/>
          <w:lang w:val="es-AR"/>
        </w:rPr>
      </w:pPr>
      <w:r w:rsidRPr="008379F8">
        <w:rPr>
          <w:rFonts w:asciiTheme="majorHAnsi" w:hAnsiTheme="majorHAnsi"/>
          <w:color w:val="000000" w:themeColor="text1"/>
          <w:sz w:val="20"/>
          <w:szCs w:val="20"/>
          <w:lang w:val="es-ES"/>
        </w:rPr>
        <w:t>En</w:t>
      </w:r>
      <w:r w:rsidRPr="008379F8">
        <w:rPr>
          <w:rFonts w:ascii="Cambria" w:hAnsi="Cambria"/>
          <w:color w:val="000000"/>
          <w:sz w:val="20"/>
          <w:szCs w:val="20"/>
          <w:lang w:val="es-AR"/>
        </w:rPr>
        <w:t xml:space="preserve"> vista de lo anterior y de conformidad con el artículo 47.3 de su Reglamento, la CIDH decide hacer público el presente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referidas recomendaciones hasta que determine que se han cumplido plenamente.</w:t>
      </w:r>
    </w:p>
    <w:p w14:paraId="31211914" w14:textId="20617562" w:rsidR="000932C2" w:rsidRDefault="000932C2" w:rsidP="000932C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lang w:val="es-ES"/>
        </w:rPr>
      </w:pPr>
    </w:p>
    <w:p w14:paraId="0B1E7D6A" w14:textId="26B62581" w:rsidR="009F7EDD" w:rsidRPr="006E3733" w:rsidRDefault="009F7EDD" w:rsidP="006E3733">
      <w:pPr>
        <w:pStyle w:val="xmsonormal"/>
        <w:spacing w:before="0" w:beforeAutospacing="0" w:after="0" w:afterAutospacing="0"/>
        <w:jc w:val="both"/>
        <w:rPr>
          <w:rFonts w:ascii="Calibri" w:hAnsi="Calibri" w:cs="Calibri"/>
          <w:color w:val="201F1E"/>
          <w:sz w:val="22"/>
          <w:szCs w:val="22"/>
        </w:rPr>
      </w:pPr>
      <w:r>
        <w:rPr>
          <w:rFonts w:ascii="Cambria" w:hAnsi="Cambria" w:cs="Calibri"/>
          <w:color w:val="201F1E"/>
          <w:spacing w:val="-2"/>
          <w:sz w:val="20"/>
          <w:szCs w:val="20"/>
          <w:bdr w:val="none" w:sz="0" w:space="0" w:color="auto" w:frame="1"/>
          <w:lang w:val="es-CL"/>
        </w:rPr>
        <w:t>Aprobado por la Comisión Interamericana de Derechos Humanos a los</w:t>
      </w:r>
      <w:r>
        <w:rPr>
          <w:rStyle w:val="apple-converted-space"/>
          <w:rFonts w:ascii="Cambria" w:eastAsia="Trebuchet MS" w:hAnsi="Cambria" w:cs="Calibri"/>
          <w:color w:val="201F1E"/>
          <w:spacing w:val="-2"/>
          <w:sz w:val="20"/>
          <w:szCs w:val="20"/>
          <w:bdr w:val="none" w:sz="0" w:space="0" w:color="auto" w:frame="1"/>
          <w:lang w:val="es-CL"/>
        </w:rPr>
        <w:t xml:space="preserve"> 31 días del mes de diciembre de 2021. </w:t>
      </w:r>
      <w:r>
        <w:rPr>
          <w:rFonts w:ascii="Cambria" w:hAnsi="Cambria" w:cs="Calibri"/>
          <w:color w:val="201F1E"/>
          <w:spacing w:val="-2"/>
          <w:sz w:val="20"/>
          <w:szCs w:val="20"/>
          <w:bdr w:val="none" w:sz="0" w:space="0" w:color="auto" w:frame="1"/>
          <w:lang w:val="es-CL"/>
        </w:rPr>
        <w:t>(Firmado): Antonia Urrejola Noguera, Presidenta; Julissa Mantilla Falcón, Primera Vicepresidenta; Flávia Piovesan, Segunda Vicepresidenta; Margarette May Macaulay, Esmeralda E. Arosemena de Troitiño, Joel Hernández Gracía y Edgar Stuardo Ralón Orellana, Miembros de la Comisión.</w:t>
      </w:r>
    </w:p>
    <w:sectPr w:rsidR="009F7EDD" w:rsidRPr="006E3733"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743E" w14:textId="77777777" w:rsidR="000F4996" w:rsidRDefault="000F4996" w:rsidP="00036A8A">
      <w:r>
        <w:separator/>
      </w:r>
    </w:p>
  </w:endnote>
  <w:endnote w:type="continuationSeparator" w:id="0">
    <w:p w14:paraId="22AE9BCF" w14:textId="77777777" w:rsidR="000F4996" w:rsidRDefault="000F499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8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ans-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3B651C25" w14:textId="77777777" w:rsidR="00873D49" w:rsidRPr="006311DA" w:rsidRDefault="00873D49">
        <w:pPr>
          <w:pStyle w:val="Footer"/>
          <w:jc w:val="center"/>
          <w:rPr>
            <w:sz w:val="16"/>
          </w:rPr>
        </w:pPr>
        <w:r>
          <w:fldChar w:fldCharType="begin"/>
        </w:r>
        <w:r>
          <w:instrText xml:space="preserve"> PAGE   \* MERGEFORMAT </w:instrText>
        </w:r>
        <w:r>
          <w:fldChar w:fldCharType="separate"/>
        </w:r>
        <w:r w:rsidRPr="001B6216">
          <w:rPr>
            <w:noProof/>
            <w:sz w:val="16"/>
          </w:rPr>
          <w:t>3</w:t>
        </w:r>
        <w:r>
          <w:rPr>
            <w:noProof/>
            <w:sz w:val="16"/>
          </w:rPr>
          <w:fldChar w:fldCharType="end"/>
        </w:r>
      </w:p>
    </w:sdtContent>
  </w:sdt>
  <w:p w14:paraId="30F58990" w14:textId="77777777" w:rsidR="00873D49" w:rsidRDefault="00873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2BAC" w14:textId="77777777" w:rsidR="00873D49" w:rsidRDefault="00873D49">
    <w:pPr>
      <w:pStyle w:val="Footer"/>
      <w:jc w:val="center"/>
    </w:pPr>
  </w:p>
  <w:p w14:paraId="6F1D0D1E" w14:textId="77777777" w:rsidR="00873D49" w:rsidRDefault="00873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D2F74D6" w14:textId="77777777" w:rsidR="00873D49" w:rsidRDefault="00873D4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0A21473" w14:textId="77777777" w:rsidR="00873D49" w:rsidRDefault="00873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3381" w14:textId="77777777" w:rsidR="000F4996" w:rsidRPr="00036A8A" w:rsidRDefault="000F499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677B698" w14:textId="77777777" w:rsidR="000F4996" w:rsidRPr="00036A8A" w:rsidRDefault="000F4996" w:rsidP="00036A8A">
      <w:pPr>
        <w:rPr>
          <w:rFonts w:asciiTheme="majorHAnsi" w:hAnsiTheme="majorHAnsi"/>
          <w:sz w:val="16"/>
          <w:szCs w:val="16"/>
        </w:rPr>
      </w:pPr>
      <w:r w:rsidRPr="00036A8A">
        <w:rPr>
          <w:rFonts w:asciiTheme="majorHAnsi" w:hAnsiTheme="majorHAnsi"/>
          <w:sz w:val="16"/>
          <w:szCs w:val="16"/>
        </w:rPr>
        <w:separator/>
      </w:r>
    </w:p>
    <w:p w14:paraId="79A4C50D" w14:textId="77777777" w:rsidR="000F4996" w:rsidRPr="00036A8A" w:rsidRDefault="000F499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66EBA0E" w14:textId="77777777" w:rsidR="000F4996" w:rsidRPr="0093441A" w:rsidRDefault="000F499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DC7065E" w14:textId="56B093DD" w:rsidR="00873D49" w:rsidRPr="005B222E" w:rsidRDefault="00873D49" w:rsidP="001A45C1">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Style w:val="FootnoteReference"/>
          <w:rFonts w:asciiTheme="majorHAnsi" w:hAnsiTheme="majorHAnsi"/>
          <w:color w:val="auto"/>
          <w:sz w:val="16"/>
          <w:szCs w:val="16"/>
          <w:lang w:val="es-ES"/>
        </w:rPr>
        <w:t xml:space="preserve"> </w:t>
      </w:r>
      <w:r w:rsidRPr="005B222E">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El 10 de agosto de 2011 </w:t>
      </w:r>
      <w:proofErr w:type="spellStart"/>
      <w:r w:rsidRPr="005B222E">
        <w:rPr>
          <w:rFonts w:asciiTheme="majorHAnsi" w:hAnsiTheme="majorHAnsi"/>
          <w:color w:val="auto"/>
          <w:sz w:val="16"/>
          <w:szCs w:val="16"/>
          <w:lang w:val="es-ES"/>
        </w:rPr>
        <w:t>Chaitanya</w:t>
      </w:r>
      <w:proofErr w:type="spellEnd"/>
      <w:r w:rsidRPr="005B222E">
        <w:rPr>
          <w:rFonts w:asciiTheme="majorHAnsi" w:hAnsiTheme="majorHAnsi"/>
          <w:color w:val="auto"/>
          <w:sz w:val="16"/>
          <w:szCs w:val="16"/>
          <w:lang w:val="es-ES"/>
        </w:rPr>
        <w:t xml:space="preserve"> Patel de </w:t>
      </w:r>
      <w:proofErr w:type="spellStart"/>
      <w:r w:rsidRPr="005B222E">
        <w:rPr>
          <w:rFonts w:asciiTheme="majorHAnsi" w:hAnsiTheme="majorHAnsi"/>
          <w:color w:val="auto"/>
          <w:sz w:val="16"/>
          <w:szCs w:val="16"/>
          <w:lang w:val="es-ES"/>
        </w:rPr>
        <w:t>Reprieve</w:t>
      </w:r>
      <w:proofErr w:type="spellEnd"/>
      <w:r w:rsidRPr="005B222E">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fue agregado como </w:t>
      </w:r>
      <w:proofErr w:type="spellStart"/>
      <w:r>
        <w:rPr>
          <w:rFonts w:asciiTheme="majorHAnsi" w:hAnsiTheme="majorHAnsi"/>
          <w:color w:val="auto"/>
          <w:sz w:val="16"/>
          <w:szCs w:val="16"/>
          <w:lang w:val="es-ES"/>
        </w:rPr>
        <w:t>co-peticionario</w:t>
      </w:r>
      <w:proofErr w:type="spellEnd"/>
      <w:r>
        <w:rPr>
          <w:rFonts w:asciiTheme="majorHAnsi" w:hAnsiTheme="majorHAnsi"/>
          <w:color w:val="auto"/>
          <w:sz w:val="16"/>
          <w:szCs w:val="16"/>
          <w:lang w:val="es-ES"/>
        </w:rPr>
        <w:t>.</w:t>
      </w:r>
    </w:p>
  </w:footnote>
  <w:footnote w:id="3">
    <w:p w14:paraId="174C27CE" w14:textId="77777777" w:rsidR="00873D49" w:rsidRPr="004B16F9" w:rsidRDefault="00873D49" w:rsidP="001A45C1">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El 19 de </w:t>
      </w:r>
      <w:r>
        <w:rPr>
          <w:rFonts w:asciiTheme="majorHAnsi" w:hAnsiTheme="majorHAnsi"/>
          <w:color w:val="auto"/>
          <w:sz w:val="16"/>
          <w:szCs w:val="16"/>
          <w:lang w:val="es-ES"/>
        </w:rPr>
        <w:t>a</w:t>
      </w:r>
      <w:r w:rsidRPr="005B222E">
        <w:rPr>
          <w:rFonts w:asciiTheme="majorHAnsi" w:hAnsiTheme="majorHAnsi"/>
          <w:color w:val="auto"/>
          <w:sz w:val="16"/>
          <w:szCs w:val="16"/>
          <w:lang w:val="es-ES"/>
        </w:rPr>
        <w:t xml:space="preserve">gosto de 2011, la </w:t>
      </w:r>
      <w:r>
        <w:rPr>
          <w:rFonts w:asciiTheme="majorHAnsi" w:hAnsiTheme="majorHAnsi"/>
          <w:color w:val="auto"/>
          <w:sz w:val="16"/>
          <w:szCs w:val="16"/>
          <w:lang w:val="es-ES"/>
        </w:rPr>
        <w:t>CIDH concedió medidas cautelares en beneficio del Sr. Valle en aplicación del Artículo 25(1) de sus Reglamento y solicitó a Estados Unidos que tome las medidas necesarias para preservar la vida y la integridad física de la presunta víctima de modo de no entorpecer el procesamiento de su caso ante el sistema Interameric</w:t>
      </w:r>
      <w:r w:rsidRPr="004B16F9">
        <w:rPr>
          <w:rFonts w:asciiTheme="majorHAnsi" w:hAnsiTheme="majorHAnsi"/>
          <w:color w:val="auto"/>
          <w:sz w:val="16"/>
          <w:szCs w:val="16"/>
          <w:lang w:val="es-ES"/>
        </w:rPr>
        <w:t>ano.</w:t>
      </w:r>
    </w:p>
  </w:footnote>
  <w:footnote w:id="4">
    <w:p w14:paraId="5F9FD3A4" w14:textId="77777777" w:rsidR="00873D49" w:rsidRPr="00E36893" w:rsidRDefault="00873D49" w:rsidP="001A45C1">
      <w:pPr>
        <w:pStyle w:val="NormalWeb"/>
        <w:spacing w:before="0" w:beforeAutospacing="0" w:after="0" w:afterAutospacing="0"/>
        <w:jc w:val="both"/>
        <w:rPr>
          <w:rFonts w:asciiTheme="majorHAnsi" w:eastAsia="Arial Unicode MS" w:hAnsiTheme="majorHAnsi"/>
          <w:sz w:val="16"/>
          <w:szCs w:val="16"/>
          <w:lang w:val="es-ES"/>
        </w:rPr>
      </w:pPr>
      <w:r w:rsidRPr="004B16F9">
        <w:rPr>
          <w:rStyle w:val="FootnoteReference"/>
          <w:rFonts w:asciiTheme="majorHAnsi" w:hAnsiTheme="majorHAnsi"/>
          <w:sz w:val="16"/>
          <w:szCs w:val="16"/>
        </w:rPr>
        <w:footnoteRef/>
      </w:r>
      <w:r w:rsidRPr="004B16F9">
        <w:rPr>
          <w:rFonts w:asciiTheme="majorHAnsi" w:hAnsiTheme="majorHAnsi"/>
          <w:sz w:val="16"/>
          <w:szCs w:val="16"/>
          <w:lang w:val="es-ES"/>
        </w:rPr>
        <w:t xml:space="preserve"> </w:t>
      </w:r>
      <w:r w:rsidRPr="004B16F9">
        <w:rPr>
          <w:rFonts w:asciiTheme="majorHAnsi" w:eastAsia="Arial Unicode MS" w:hAnsiTheme="majorHAnsi"/>
          <w:i/>
          <w:iCs/>
          <w:sz w:val="16"/>
          <w:szCs w:val="16"/>
          <w:lang w:val="es-ES"/>
        </w:rPr>
        <w:t xml:space="preserve">Valle v Florida, </w:t>
      </w:r>
      <w:r w:rsidRPr="004B16F9">
        <w:rPr>
          <w:rFonts w:asciiTheme="majorHAnsi" w:eastAsia="Arial Unicode MS" w:hAnsiTheme="majorHAnsi"/>
          <w:sz w:val="16"/>
          <w:szCs w:val="16"/>
          <w:lang w:val="es-ES"/>
        </w:rPr>
        <w:t xml:space="preserve">Escrito Inicial del Apelante, Corte Suprema de Florida No. </w:t>
      </w:r>
      <w:r w:rsidRPr="00E36893">
        <w:rPr>
          <w:rFonts w:asciiTheme="majorHAnsi" w:eastAsia="Arial Unicode MS" w:hAnsiTheme="majorHAnsi"/>
          <w:sz w:val="16"/>
          <w:szCs w:val="16"/>
          <w:lang w:val="es-ES"/>
        </w:rPr>
        <w:t xml:space="preserve">SC11-1387. </w:t>
      </w:r>
    </w:p>
  </w:footnote>
  <w:footnote w:id="5">
    <w:p w14:paraId="11871133" w14:textId="77777777" w:rsidR="00873D49" w:rsidRPr="005B222E" w:rsidRDefault="00873D49" w:rsidP="00E86C3A">
      <w:pPr>
        <w:pStyle w:val="NormalWeb"/>
        <w:spacing w:before="0" w:beforeAutospacing="0" w:after="0" w:afterAutospacing="0"/>
        <w:jc w:val="both"/>
        <w:rPr>
          <w:rFonts w:asciiTheme="majorHAnsi" w:eastAsia="Arial Unicode MS" w:hAnsiTheme="majorHAnsi"/>
          <w:sz w:val="16"/>
          <w:szCs w:val="16"/>
          <w:lang w:val="es-ES"/>
        </w:rPr>
      </w:pPr>
      <w:r w:rsidRPr="004B16F9">
        <w:rPr>
          <w:rStyle w:val="FootnoteReference"/>
          <w:rFonts w:asciiTheme="majorHAnsi" w:hAnsiTheme="majorHAnsi"/>
          <w:sz w:val="16"/>
          <w:szCs w:val="16"/>
        </w:rPr>
        <w:footnoteRef/>
      </w:r>
      <w:r w:rsidRPr="004B16F9">
        <w:rPr>
          <w:rFonts w:asciiTheme="majorHAnsi" w:hAnsiTheme="majorHAnsi"/>
          <w:sz w:val="16"/>
          <w:szCs w:val="16"/>
          <w:lang w:val="es-ES"/>
        </w:rPr>
        <w:t xml:space="preserve"> Solicitud de medidas cautelares del peticionario presentada el 10 de</w:t>
      </w:r>
      <w:r w:rsidRPr="005B222E">
        <w:rPr>
          <w:rFonts w:asciiTheme="majorHAnsi" w:hAnsiTheme="majorHAnsi"/>
          <w:sz w:val="16"/>
          <w:szCs w:val="16"/>
          <w:lang w:val="es-ES"/>
        </w:rPr>
        <w:t xml:space="preserve"> agosto de 2011</w:t>
      </w:r>
    </w:p>
    <w:p w14:paraId="05AB841C" w14:textId="77777777" w:rsidR="00873D49" w:rsidRPr="005B222E" w:rsidRDefault="00873D49" w:rsidP="00E86C3A">
      <w:pPr>
        <w:pStyle w:val="FootnoteText"/>
        <w:jc w:val="both"/>
        <w:rPr>
          <w:rFonts w:asciiTheme="majorHAnsi" w:hAnsiTheme="majorHAnsi"/>
          <w:color w:val="auto"/>
          <w:sz w:val="16"/>
          <w:szCs w:val="16"/>
          <w:lang w:val="es-ES"/>
        </w:rPr>
      </w:pPr>
    </w:p>
  </w:footnote>
  <w:footnote w:id="6">
    <w:p w14:paraId="1FF7CA97" w14:textId="77777777" w:rsidR="00873D49" w:rsidRPr="005B222E" w:rsidRDefault="00873D49" w:rsidP="00E86C3A">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w:t>
      </w:r>
      <w:r w:rsidRPr="005B222E">
        <w:rPr>
          <w:rFonts w:asciiTheme="majorHAnsi" w:hAnsiTheme="majorHAnsi"/>
          <w:sz w:val="16"/>
          <w:szCs w:val="16"/>
          <w:lang w:val="es-ES"/>
        </w:rPr>
        <w:t>Solicitud de medidas cautelares del peticionario presentada el 10 de agosto de 2011</w:t>
      </w:r>
    </w:p>
  </w:footnote>
  <w:footnote w:id="7">
    <w:p w14:paraId="0023C0FA" w14:textId="77777777" w:rsidR="00873D49" w:rsidRPr="005B222E" w:rsidRDefault="00873D49" w:rsidP="00E86C3A">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w:t>
      </w:r>
      <w:r w:rsidRPr="005B222E">
        <w:rPr>
          <w:rFonts w:asciiTheme="majorHAnsi" w:hAnsiTheme="majorHAnsi"/>
          <w:sz w:val="16"/>
          <w:szCs w:val="16"/>
          <w:lang w:val="es-ES"/>
        </w:rPr>
        <w:t>Solicitud de medidas cautelares del peticionario presentada el 10 de agosto de 2011</w:t>
      </w:r>
      <w:r w:rsidRPr="005B222E">
        <w:rPr>
          <w:rFonts w:asciiTheme="majorHAnsi" w:hAnsiTheme="majorHAnsi"/>
          <w:color w:val="auto"/>
          <w:sz w:val="16"/>
          <w:szCs w:val="16"/>
          <w:lang w:val="es-ES"/>
        </w:rPr>
        <w:t xml:space="preserve">, </w:t>
      </w:r>
      <w:r>
        <w:rPr>
          <w:rFonts w:asciiTheme="majorHAnsi" w:hAnsiTheme="majorHAnsi"/>
          <w:color w:val="auto"/>
          <w:sz w:val="16"/>
          <w:szCs w:val="16"/>
          <w:lang w:val="es-ES"/>
        </w:rPr>
        <w:t>citando</w:t>
      </w:r>
      <w:r w:rsidRPr="005B222E">
        <w:rPr>
          <w:rFonts w:asciiTheme="majorHAnsi" w:hAnsiTheme="majorHAnsi"/>
          <w:color w:val="auto"/>
          <w:sz w:val="16"/>
          <w:szCs w:val="16"/>
          <w:lang w:val="es-ES"/>
        </w:rPr>
        <w:t xml:space="preserve"> </w:t>
      </w:r>
      <w:r w:rsidRPr="005B222E">
        <w:rPr>
          <w:rFonts w:asciiTheme="majorHAnsi" w:eastAsiaTheme="minorHAnsi" w:hAnsiTheme="majorHAnsi"/>
          <w:i/>
          <w:iCs/>
          <w:color w:val="auto"/>
          <w:sz w:val="16"/>
          <w:szCs w:val="16"/>
          <w:bdr w:val="none" w:sz="0" w:space="0" w:color="auto"/>
          <w:lang w:val="es-ES"/>
        </w:rPr>
        <w:t xml:space="preserve">Valle v. </w:t>
      </w:r>
      <w:proofErr w:type="spellStart"/>
      <w:r w:rsidRPr="005B222E">
        <w:rPr>
          <w:rFonts w:asciiTheme="majorHAnsi" w:eastAsiaTheme="minorHAnsi" w:hAnsiTheme="majorHAnsi"/>
          <w:i/>
          <w:iCs/>
          <w:color w:val="auto"/>
          <w:sz w:val="16"/>
          <w:szCs w:val="16"/>
          <w:bdr w:val="none" w:sz="0" w:space="0" w:color="auto"/>
          <w:lang w:val="es-ES"/>
        </w:rPr>
        <w:t>State</w:t>
      </w:r>
      <w:proofErr w:type="spellEnd"/>
      <w:r w:rsidRPr="005B222E">
        <w:rPr>
          <w:rFonts w:asciiTheme="majorHAnsi" w:eastAsiaTheme="minorHAnsi" w:hAnsiTheme="majorHAnsi"/>
          <w:color w:val="auto"/>
          <w:sz w:val="16"/>
          <w:szCs w:val="16"/>
          <w:bdr w:val="none" w:sz="0" w:space="0" w:color="auto"/>
          <w:lang w:val="es-ES"/>
        </w:rPr>
        <w:t>, 394 So. 2d 1004 (Fla. 1981)</w:t>
      </w:r>
    </w:p>
  </w:footnote>
  <w:footnote w:id="8">
    <w:p w14:paraId="76AEDA2F" w14:textId="77777777" w:rsidR="00873D49" w:rsidRPr="005B222E" w:rsidRDefault="00873D49" w:rsidP="00E86C3A">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w:t>
      </w:r>
      <w:r w:rsidRPr="005B222E">
        <w:rPr>
          <w:rFonts w:asciiTheme="majorHAnsi" w:hAnsiTheme="majorHAnsi"/>
          <w:sz w:val="16"/>
          <w:szCs w:val="16"/>
          <w:lang w:val="es-ES"/>
        </w:rPr>
        <w:t>Solicitud de medidas cautelares del peticionario presentada el 10 de agosto de 2011</w:t>
      </w:r>
      <w:r w:rsidRPr="005B222E">
        <w:rPr>
          <w:rFonts w:asciiTheme="majorHAnsi" w:hAnsiTheme="majorHAnsi"/>
          <w:color w:val="auto"/>
          <w:sz w:val="16"/>
          <w:szCs w:val="16"/>
          <w:lang w:val="es-ES"/>
        </w:rPr>
        <w:t>,</w:t>
      </w:r>
      <w:r>
        <w:rPr>
          <w:rFonts w:asciiTheme="majorHAnsi" w:hAnsiTheme="majorHAnsi"/>
          <w:color w:val="auto"/>
          <w:sz w:val="16"/>
          <w:szCs w:val="16"/>
          <w:lang w:val="es-ES"/>
        </w:rPr>
        <w:t xml:space="preserve"> citando</w:t>
      </w:r>
      <w:r w:rsidRPr="005B222E">
        <w:rPr>
          <w:rFonts w:asciiTheme="majorHAnsi" w:hAnsiTheme="majorHAnsi"/>
          <w:color w:val="auto"/>
          <w:sz w:val="16"/>
          <w:szCs w:val="16"/>
          <w:lang w:val="es-ES"/>
        </w:rPr>
        <w:t xml:space="preserve"> </w:t>
      </w:r>
      <w:r w:rsidRPr="005B222E">
        <w:rPr>
          <w:rFonts w:asciiTheme="majorHAnsi" w:eastAsiaTheme="minorHAnsi" w:hAnsiTheme="majorHAnsi"/>
          <w:i/>
          <w:iCs/>
          <w:color w:val="auto"/>
          <w:sz w:val="16"/>
          <w:szCs w:val="16"/>
          <w:bdr w:val="none" w:sz="0" w:space="0" w:color="auto"/>
          <w:lang w:val="es-ES"/>
        </w:rPr>
        <w:t xml:space="preserve">Valle v. </w:t>
      </w:r>
      <w:proofErr w:type="spellStart"/>
      <w:r w:rsidRPr="005B222E">
        <w:rPr>
          <w:rFonts w:asciiTheme="majorHAnsi" w:eastAsiaTheme="minorHAnsi" w:hAnsiTheme="majorHAnsi"/>
          <w:i/>
          <w:iCs/>
          <w:color w:val="auto"/>
          <w:sz w:val="16"/>
          <w:szCs w:val="16"/>
          <w:bdr w:val="none" w:sz="0" w:space="0" w:color="auto"/>
          <w:lang w:val="es-ES"/>
        </w:rPr>
        <w:t>State</w:t>
      </w:r>
      <w:proofErr w:type="spellEnd"/>
      <w:r w:rsidRPr="005B222E">
        <w:rPr>
          <w:rFonts w:asciiTheme="majorHAnsi" w:eastAsiaTheme="minorHAnsi" w:hAnsiTheme="majorHAnsi"/>
          <w:color w:val="auto"/>
          <w:sz w:val="16"/>
          <w:szCs w:val="16"/>
          <w:bdr w:val="none" w:sz="0" w:space="0" w:color="auto"/>
          <w:lang w:val="es-ES"/>
        </w:rPr>
        <w:t>, 474 So. 2d 796 (Fla. 1985)</w:t>
      </w:r>
    </w:p>
  </w:footnote>
  <w:footnote w:id="9">
    <w:p w14:paraId="2CF53317" w14:textId="77777777" w:rsidR="00873D49" w:rsidRPr="005B222E" w:rsidRDefault="00873D49" w:rsidP="00E86C3A">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w:t>
      </w:r>
      <w:r w:rsidRPr="005B222E">
        <w:rPr>
          <w:rFonts w:asciiTheme="majorHAnsi" w:hAnsiTheme="majorHAnsi"/>
          <w:sz w:val="16"/>
          <w:szCs w:val="16"/>
          <w:lang w:val="es-ES"/>
        </w:rPr>
        <w:t>Solicitud de medidas cautelares del peticionario presentada el 10 de agosto de 2011</w:t>
      </w:r>
      <w:r w:rsidRPr="005B222E">
        <w:rPr>
          <w:rFonts w:asciiTheme="majorHAnsi" w:hAnsiTheme="majorHAnsi"/>
          <w:color w:val="auto"/>
          <w:sz w:val="16"/>
          <w:szCs w:val="16"/>
          <w:lang w:val="es-ES"/>
        </w:rPr>
        <w:t>,</w:t>
      </w:r>
      <w:r>
        <w:rPr>
          <w:rFonts w:asciiTheme="majorHAnsi" w:hAnsiTheme="majorHAnsi"/>
          <w:color w:val="auto"/>
          <w:sz w:val="16"/>
          <w:szCs w:val="16"/>
          <w:lang w:val="es-ES"/>
        </w:rPr>
        <w:t xml:space="preserve"> citando</w:t>
      </w:r>
      <w:r w:rsidRPr="005B222E">
        <w:rPr>
          <w:rFonts w:asciiTheme="majorHAnsi" w:hAnsiTheme="majorHAnsi"/>
          <w:color w:val="auto"/>
          <w:sz w:val="16"/>
          <w:szCs w:val="16"/>
          <w:lang w:val="es-ES"/>
        </w:rPr>
        <w:t xml:space="preserve"> </w:t>
      </w:r>
      <w:r w:rsidRPr="005B222E">
        <w:rPr>
          <w:rFonts w:asciiTheme="majorHAnsi" w:eastAsiaTheme="minorHAnsi" w:hAnsiTheme="majorHAnsi"/>
          <w:i/>
          <w:iCs/>
          <w:color w:val="auto"/>
          <w:sz w:val="16"/>
          <w:szCs w:val="16"/>
          <w:bdr w:val="none" w:sz="0" w:space="0" w:color="auto"/>
          <w:lang w:val="es-ES"/>
        </w:rPr>
        <w:t>Valle v. Florida</w:t>
      </w:r>
      <w:r w:rsidRPr="005B222E">
        <w:rPr>
          <w:rFonts w:asciiTheme="majorHAnsi" w:eastAsiaTheme="minorHAnsi" w:hAnsiTheme="majorHAnsi"/>
          <w:color w:val="auto"/>
          <w:sz w:val="16"/>
          <w:szCs w:val="16"/>
          <w:bdr w:val="none" w:sz="0" w:space="0" w:color="auto"/>
          <w:lang w:val="es-ES"/>
        </w:rPr>
        <w:t xml:space="preserve">, 476 U.S. 1102 (1986). </w:t>
      </w:r>
    </w:p>
  </w:footnote>
  <w:footnote w:id="10">
    <w:p w14:paraId="55B5BE83" w14:textId="77777777" w:rsidR="00873D49" w:rsidRPr="005B222E" w:rsidRDefault="00873D49" w:rsidP="00E86C3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heme="minorHAnsi" w:hAnsiTheme="majorHAnsi"/>
          <w:sz w:val="16"/>
          <w:szCs w:val="16"/>
          <w:bdr w:val="none" w:sz="0" w:space="0" w:color="auto"/>
          <w:lang w:val="es-ES"/>
        </w:rPr>
      </w:pPr>
      <w:r w:rsidRPr="004A0895">
        <w:rPr>
          <w:rStyle w:val="FootnoteReference"/>
          <w:rFonts w:asciiTheme="majorHAnsi" w:hAnsiTheme="majorHAnsi"/>
          <w:sz w:val="16"/>
          <w:szCs w:val="16"/>
        </w:rPr>
        <w:footnoteRef/>
      </w:r>
      <w:r w:rsidRPr="005B222E">
        <w:rPr>
          <w:rFonts w:asciiTheme="majorHAnsi" w:hAnsiTheme="majorHAnsi"/>
          <w:sz w:val="16"/>
          <w:szCs w:val="16"/>
          <w:lang w:val="es-ES"/>
        </w:rPr>
        <w:t xml:space="preserve"> Solicitud de medidas cautelares del peticionario presentada el 10 de agosto de 2011, </w:t>
      </w:r>
      <w:r>
        <w:rPr>
          <w:rFonts w:asciiTheme="majorHAnsi" w:hAnsiTheme="majorHAnsi"/>
          <w:sz w:val="16"/>
          <w:szCs w:val="16"/>
          <w:lang w:val="es-ES"/>
        </w:rPr>
        <w:t>citando</w:t>
      </w:r>
      <w:r w:rsidRPr="005B222E">
        <w:rPr>
          <w:rFonts w:asciiTheme="majorHAnsi" w:hAnsiTheme="majorHAnsi"/>
          <w:sz w:val="16"/>
          <w:szCs w:val="16"/>
          <w:lang w:val="es-ES"/>
        </w:rPr>
        <w:t xml:space="preserve"> </w:t>
      </w:r>
      <w:r w:rsidRPr="005B222E">
        <w:rPr>
          <w:rFonts w:asciiTheme="majorHAnsi" w:eastAsiaTheme="minorHAnsi" w:hAnsiTheme="majorHAnsi"/>
          <w:i/>
          <w:iCs/>
          <w:sz w:val="16"/>
          <w:szCs w:val="16"/>
          <w:bdr w:val="none" w:sz="0" w:space="0" w:color="auto"/>
          <w:lang w:val="es-ES"/>
        </w:rPr>
        <w:t xml:space="preserve">Valle v. </w:t>
      </w:r>
      <w:proofErr w:type="spellStart"/>
      <w:r w:rsidRPr="005B222E">
        <w:rPr>
          <w:rFonts w:asciiTheme="majorHAnsi" w:eastAsiaTheme="minorHAnsi" w:hAnsiTheme="majorHAnsi"/>
          <w:i/>
          <w:iCs/>
          <w:sz w:val="16"/>
          <w:szCs w:val="16"/>
          <w:bdr w:val="none" w:sz="0" w:space="0" w:color="auto"/>
          <w:lang w:val="es-ES"/>
        </w:rPr>
        <w:t>State</w:t>
      </w:r>
      <w:proofErr w:type="spellEnd"/>
      <w:r w:rsidRPr="005B222E">
        <w:rPr>
          <w:rFonts w:asciiTheme="majorHAnsi" w:eastAsiaTheme="minorHAnsi" w:hAnsiTheme="majorHAnsi"/>
          <w:sz w:val="16"/>
          <w:szCs w:val="16"/>
          <w:bdr w:val="none" w:sz="0" w:space="0" w:color="auto"/>
          <w:lang w:val="es-ES"/>
        </w:rPr>
        <w:t>, 502 So. 2d 1225 (Fla. 1987) (</w:t>
      </w:r>
      <w:r w:rsidRPr="005B222E">
        <w:rPr>
          <w:rFonts w:asciiTheme="majorHAnsi" w:eastAsiaTheme="minorHAnsi" w:hAnsiTheme="majorHAnsi"/>
          <w:i/>
          <w:iCs/>
          <w:sz w:val="16"/>
          <w:szCs w:val="16"/>
          <w:bdr w:val="none" w:sz="0" w:space="0" w:color="auto"/>
          <w:lang w:val="es-ES"/>
        </w:rPr>
        <w:t>Valle III</w:t>
      </w:r>
      <w:r w:rsidRPr="005B222E">
        <w:rPr>
          <w:rFonts w:asciiTheme="majorHAnsi" w:eastAsiaTheme="minorHAnsi" w:hAnsiTheme="majorHAnsi"/>
          <w:sz w:val="16"/>
          <w:szCs w:val="16"/>
          <w:bdr w:val="none" w:sz="0" w:space="0" w:color="auto"/>
          <w:lang w:val="es-ES"/>
        </w:rPr>
        <w:t xml:space="preserve">). </w:t>
      </w:r>
    </w:p>
  </w:footnote>
  <w:footnote w:id="11">
    <w:p w14:paraId="385A9A88" w14:textId="77777777" w:rsidR="00873D49" w:rsidRPr="005B222E" w:rsidRDefault="00873D49" w:rsidP="00E86C3A">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w:t>
      </w:r>
      <w:r w:rsidRPr="005B222E">
        <w:rPr>
          <w:rFonts w:asciiTheme="majorHAnsi" w:hAnsiTheme="majorHAnsi"/>
          <w:sz w:val="16"/>
          <w:szCs w:val="16"/>
          <w:lang w:val="es-ES"/>
        </w:rPr>
        <w:t>Solicitud de medidas cautelares del peticionario presentada el 10 de agosto de 2011</w:t>
      </w:r>
      <w:r w:rsidRPr="005B222E">
        <w:rPr>
          <w:rFonts w:asciiTheme="majorHAnsi" w:hAnsiTheme="majorHAnsi"/>
          <w:color w:val="auto"/>
          <w:sz w:val="16"/>
          <w:szCs w:val="16"/>
          <w:lang w:val="es-ES"/>
        </w:rPr>
        <w:t xml:space="preserve">, </w:t>
      </w:r>
      <w:r>
        <w:rPr>
          <w:rFonts w:asciiTheme="majorHAnsi" w:hAnsiTheme="majorHAnsi"/>
          <w:color w:val="auto"/>
          <w:sz w:val="16"/>
          <w:szCs w:val="16"/>
          <w:lang w:val="es-ES"/>
        </w:rPr>
        <w:t>citando</w:t>
      </w:r>
      <w:r w:rsidRPr="005B222E">
        <w:rPr>
          <w:rFonts w:asciiTheme="majorHAnsi" w:hAnsiTheme="majorHAnsi"/>
          <w:color w:val="auto"/>
          <w:sz w:val="16"/>
          <w:szCs w:val="16"/>
          <w:lang w:val="es-ES"/>
        </w:rPr>
        <w:t xml:space="preserve"> </w:t>
      </w:r>
      <w:r w:rsidRPr="005B222E">
        <w:rPr>
          <w:rFonts w:asciiTheme="majorHAnsi" w:eastAsiaTheme="minorHAnsi" w:hAnsiTheme="majorHAnsi"/>
          <w:i/>
          <w:iCs/>
          <w:color w:val="auto"/>
          <w:sz w:val="16"/>
          <w:szCs w:val="16"/>
          <w:bdr w:val="none" w:sz="0" w:space="0" w:color="auto"/>
          <w:lang w:val="es-ES"/>
        </w:rPr>
        <w:t xml:space="preserve">Valle v. </w:t>
      </w:r>
      <w:proofErr w:type="spellStart"/>
      <w:r w:rsidRPr="005B222E">
        <w:rPr>
          <w:rFonts w:asciiTheme="majorHAnsi" w:eastAsiaTheme="minorHAnsi" w:hAnsiTheme="majorHAnsi"/>
          <w:i/>
          <w:iCs/>
          <w:color w:val="auto"/>
          <w:sz w:val="16"/>
          <w:szCs w:val="16"/>
          <w:bdr w:val="none" w:sz="0" w:space="0" w:color="auto"/>
          <w:lang w:val="es-ES"/>
        </w:rPr>
        <w:t>State</w:t>
      </w:r>
      <w:proofErr w:type="spellEnd"/>
      <w:r w:rsidRPr="005B222E">
        <w:rPr>
          <w:rFonts w:asciiTheme="majorHAnsi" w:eastAsiaTheme="minorHAnsi" w:hAnsiTheme="majorHAnsi"/>
          <w:color w:val="auto"/>
          <w:sz w:val="16"/>
          <w:szCs w:val="16"/>
          <w:bdr w:val="none" w:sz="0" w:space="0" w:color="auto"/>
          <w:lang w:val="es-ES"/>
        </w:rPr>
        <w:t xml:space="preserve">, 581 So. 2d 40 (Fla.), </w:t>
      </w:r>
      <w:proofErr w:type="spellStart"/>
      <w:r w:rsidRPr="005B222E">
        <w:rPr>
          <w:rFonts w:asciiTheme="majorHAnsi" w:eastAsiaTheme="minorHAnsi" w:hAnsiTheme="majorHAnsi"/>
          <w:i/>
          <w:iCs/>
          <w:color w:val="auto"/>
          <w:sz w:val="16"/>
          <w:szCs w:val="16"/>
          <w:bdr w:val="none" w:sz="0" w:space="0" w:color="auto"/>
          <w:lang w:val="es-ES"/>
        </w:rPr>
        <w:t>cert</w:t>
      </w:r>
      <w:proofErr w:type="spellEnd"/>
      <w:r w:rsidRPr="005B222E">
        <w:rPr>
          <w:rFonts w:asciiTheme="majorHAnsi" w:eastAsiaTheme="minorHAnsi" w:hAnsiTheme="majorHAnsi"/>
          <w:i/>
          <w:iCs/>
          <w:color w:val="auto"/>
          <w:sz w:val="16"/>
          <w:szCs w:val="16"/>
          <w:bdr w:val="none" w:sz="0" w:space="0" w:color="auto"/>
          <w:lang w:val="es-ES"/>
        </w:rPr>
        <w:t xml:space="preserve">. </w:t>
      </w:r>
      <w:proofErr w:type="spellStart"/>
      <w:r w:rsidRPr="005B222E">
        <w:rPr>
          <w:rFonts w:asciiTheme="majorHAnsi" w:eastAsiaTheme="minorHAnsi" w:hAnsiTheme="majorHAnsi"/>
          <w:i/>
          <w:iCs/>
          <w:color w:val="auto"/>
          <w:sz w:val="16"/>
          <w:szCs w:val="16"/>
          <w:bdr w:val="none" w:sz="0" w:space="0" w:color="auto"/>
          <w:lang w:val="es-ES"/>
        </w:rPr>
        <w:t>denied</w:t>
      </w:r>
      <w:proofErr w:type="spellEnd"/>
      <w:r w:rsidRPr="005B222E">
        <w:rPr>
          <w:rFonts w:asciiTheme="majorHAnsi" w:eastAsiaTheme="minorHAnsi" w:hAnsiTheme="majorHAnsi"/>
          <w:color w:val="auto"/>
          <w:sz w:val="16"/>
          <w:szCs w:val="16"/>
          <w:bdr w:val="none" w:sz="0" w:space="0" w:color="auto"/>
          <w:lang w:val="es-ES"/>
        </w:rPr>
        <w:t>, 502 U.S. 986 (1991) (</w:t>
      </w:r>
      <w:r w:rsidRPr="005B222E">
        <w:rPr>
          <w:rFonts w:asciiTheme="majorHAnsi" w:eastAsiaTheme="minorHAnsi" w:hAnsiTheme="majorHAnsi"/>
          <w:i/>
          <w:iCs/>
          <w:color w:val="auto"/>
          <w:sz w:val="16"/>
          <w:szCs w:val="16"/>
          <w:bdr w:val="none" w:sz="0" w:space="0" w:color="auto"/>
          <w:lang w:val="es-ES"/>
        </w:rPr>
        <w:t>Valle IV</w:t>
      </w:r>
      <w:r w:rsidRPr="005B222E">
        <w:rPr>
          <w:rFonts w:asciiTheme="majorHAnsi" w:eastAsiaTheme="minorHAnsi" w:hAnsiTheme="majorHAnsi"/>
          <w:color w:val="auto"/>
          <w:sz w:val="16"/>
          <w:szCs w:val="16"/>
          <w:bdr w:val="none" w:sz="0" w:space="0" w:color="auto"/>
          <w:lang w:val="es-ES"/>
        </w:rPr>
        <w:t>).</w:t>
      </w:r>
    </w:p>
  </w:footnote>
  <w:footnote w:id="12">
    <w:p w14:paraId="06E71F50" w14:textId="77777777" w:rsidR="00873D49" w:rsidRPr="005B222E" w:rsidRDefault="00873D49" w:rsidP="001571B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w:t>
      </w:r>
      <w:r w:rsidRPr="005B222E">
        <w:rPr>
          <w:rFonts w:asciiTheme="majorHAnsi" w:hAnsiTheme="majorHAnsi"/>
          <w:sz w:val="16"/>
          <w:szCs w:val="16"/>
          <w:lang w:val="es-ES"/>
        </w:rPr>
        <w:t>Solicitud de medidas cautelares del peticionario presentada el 10 de agosto de 2011</w:t>
      </w:r>
      <w:r w:rsidRPr="005B222E">
        <w:rPr>
          <w:rFonts w:asciiTheme="majorHAnsi" w:hAnsiTheme="majorHAnsi"/>
          <w:color w:val="auto"/>
          <w:sz w:val="16"/>
          <w:szCs w:val="16"/>
          <w:lang w:val="es-ES"/>
        </w:rPr>
        <w:t xml:space="preserve">, </w:t>
      </w:r>
      <w:r>
        <w:rPr>
          <w:rFonts w:asciiTheme="majorHAnsi" w:hAnsiTheme="majorHAnsi"/>
          <w:color w:val="auto"/>
          <w:sz w:val="16"/>
          <w:szCs w:val="16"/>
          <w:lang w:val="es-ES"/>
        </w:rPr>
        <w:t>citando</w:t>
      </w:r>
      <w:r w:rsidRPr="005B222E">
        <w:rPr>
          <w:rFonts w:asciiTheme="majorHAnsi" w:hAnsiTheme="majorHAnsi"/>
          <w:color w:val="auto"/>
          <w:sz w:val="16"/>
          <w:szCs w:val="16"/>
          <w:lang w:val="es-ES"/>
        </w:rPr>
        <w:t xml:space="preserve"> </w:t>
      </w:r>
      <w:r w:rsidRPr="005B222E">
        <w:rPr>
          <w:rFonts w:asciiTheme="majorHAnsi" w:eastAsiaTheme="minorHAnsi" w:hAnsiTheme="majorHAnsi"/>
          <w:i/>
          <w:iCs/>
          <w:color w:val="auto"/>
          <w:sz w:val="16"/>
          <w:szCs w:val="16"/>
          <w:bdr w:val="none" w:sz="0" w:space="0" w:color="auto"/>
          <w:lang w:val="es-ES"/>
        </w:rPr>
        <w:t xml:space="preserve">Valle v. </w:t>
      </w:r>
      <w:proofErr w:type="spellStart"/>
      <w:r w:rsidRPr="005B222E">
        <w:rPr>
          <w:rFonts w:asciiTheme="majorHAnsi" w:eastAsiaTheme="minorHAnsi" w:hAnsiTheme="majorHAnsi"/>
          <w:i/>
          <w:iCs/>
          <w:color w:val="auto"/>
          <w:sz w:val="16"/>
          <w:szCs w:val="16"/>
          <w:bdr w:val="none" w:sz="0" w:space="0" w:color="auto"/>
          <w:lang w:val="es-ES"/>
        </w:rPr>
        <w:t>State</w:t>
      </w:r>
      <w:proofErr w:type="spellEnd"/>
      <w:r w:rsidRPr="005B222E">
        <w:rPr>
          <w:rFonts w:asciiTheme="majorHAnsi" w:eastAsiaTheme="minorHAnsi" w:hAnsiTheme="majorHAnsi"/>
          <w:color w:val="auto"/>
          <w:sz w:val="16"/>
          <w:szCs w:val="16"/>
          <w:bdr w:val="none" w:sz="0" w:space="0" w:color="auto"/>
          <w:lang w:val="es-ES"/>
        </w:rPr>
        <w:t>, 705 So. 2d 1331 (Fla. 1997) (</w:t>
      </w:r>
      <w:r w:rsidRPr="005B222E">
        <w:rPr>
          <w:rFonts w:asciiTheme="majorHAnsi" w:eastAsiaTheme="minorHAnsi" w:hAnsiTheme="majorHAnsi"/>
          <w:i/>
          <w:iCs/>
          <w:color w:val="auto"/>
          <w:sz w:val="16"/>
          <w:szCs w:val="16"/>
          <w:bdr w:val="none" w:sz="0" w:space="0" w:color="auto"/>
          <w:lang w:val="es-ES"/>
        </w:rPr>
        <w:t>Valle V).</w:t>
      </w:r>
    </w:p>
  </w:footnote>
  <w:footnote w:id="13">
    <w:p w14:paraId="6BA8F39C" w14:textId="77777777" w:rsidR="00873D49" w:rsidRPr="005B222E" w:rsidRDefault="00873D49" w:rsidP="001571B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w:t>
      </w:r>
      <w:r w:rsidRPr="005B222E">
        <w:rPr>
          <w:rFonts w:asciiTheme="majorHAnsi" w:hAnsiTheme="majorHAnsi"/>
          <w:sz w:val="16"/>
          <w:szCs w:val="16"/>
          <w:lang w:val="es-ES"/>
        </w:rPr>
        <w:t>Solicitud de medidas cautelares del peticionario presentada el 10 de agosto de 2011</w:t>
      </w:r>
      <w:r w:rsidRPr="005B222E">
        <w:rPr>
          <w:rFonts w:asciiTheme="majorHAnsi" w:hAnsiTheme="majorHAnsi"/>
          <w:color w:val="auto"/>
          <w:sz w:val="16"/>
          <w:szCs w:val="16"/>
          <w:lang w:val="es-ES"/>
        </w:rPr>
        <w:t xml:space="preserve">, </w:t>
      </w:r>
      <w:r>
        <w:rPr>
          <w:rFonts w:asciiTheme="majorHAnsi" w:hAnsiTheme="majorHAnsi"/>
          <w:color w:val="auto"/>
          <w:sz w:val="16"/>
          <w:szCs w:val="16"/>
          <w:lang w:val="es-ES"/>
        </w:rPr>
        <w:t>citando</w:t>
      </w:r>
      <w:r w:rsidRPr="005B222E">
        <w:rPr>
          <w:rFonts w:asciiTheme="majorHAnsi" w:hAnsiTheme="majorHAnsi"/>
          <w:color w:val="auto"/>
          <w:sz w:val="16"/>
          <w:szCs w:val="16"/>
          <w:lang w:val="es-ES"/>
        </w:rPr>
        <w:t xml:space="preserve"> </w:t>
      </w:r>
      <w:r w:rsidRPr="005B222E">
        <w:rPr>
          <w:rFonts w:asciiTheme="majorHAnsi" w:eastAsiaTheme="minorHAnsi" w:hAnsiTheme="majorHAnsi"/>
          <w:i/>
          <w:iCs/>
          <w:color w:val="auto"/>
          <w:sz w:val="16"/>
          <w:szCs w:val="16"/>
          <w:bdr w:val="none" w:sz="0" w:space="0" w:color="auto"/>
          <w:lang w:val="es-ES"/>
        </w:rPr>
        <w:t xml:space="preserve">Valle v. </w:t>
      </w:r>
      <w:proofErr w:type="spellStart"/>
      <w:r w:rsidRPr="005B222E">
        <w:rPr>
          <w:rFonts w:asciiTheme="majorHAnsi" w:eastAsiaTheme="minorHAnsi" w:hAnsiTheme="majorHAnsi"/>
          <w:i/>
          <w:iCs/>
          <w:color w:val="auto"/>
          <w:sz w:val="16"/>
          <w:szCs w:val="16"/>
          <w:bdr w:val="none" w:sz="0" w:space="0" w:color="auto"/>
          <w:lang w:val="es-ES"/>
        </w:rPr>
        <w:t>State</w:t>
      </w:r>
      <w:proofErr w:type="spellEnd"/>
      <w:r w:rsidRPr="005B222E">
        <w:rPr>
          <w:rFonts w:asciiTheme="majorHAnsi" w:eastAsiaTheme="minorHAnsi" w:hAnsiTheme="majorHAnsi"/>
          <w:color w:val="auto"/>
          <w:sz w:val="16"/>
          <w:szCs w:val="16"/>
          <w:bdr w:val="none" w:sz="0" w:space="0" w:color="auto"/>
          <w:lang w:val="es-ES"/>
        </w:rPr>
        <w:t>, 778 So. 2d 960 (Fla. 2001) (</w:t>
      </w:r>
      <w:r w:rsidRPr="005B222E">
        <w:rPr>
          <w:rFonts w:asciiTheme="majorHAnsi" w:eastAsiaTheme="minorHAnsi" w:hAnsiTheme="majorHAnsi"/>
          <w:i/>
          <w:iCs/>
          <w:color w:val="auto"/>
          <w:sz w:val="16"/>
          <w:szCs w:val="16"/>
          <w:bdr w:val="none" w:sz="0" w:space="0" w:color="auto"/>
          <w:lang w:val="es-ES"/>
        </w:rPr>
        <w:t>Valle VI</w:t>
      </w:r>
      <w:r w:rsidRPr="005B222E">
        <w:rPr>
          <w:rFonts w:asciiTheme="majorHAnsi" w:eastAsiaTheme="minorHAnsi" w:hAnsiTheme="majorHAnsi"/>
          <w:color w:val="auto"/>
          <w:sz w:val="16"/>
          <w:szCs w:val="16"/>
          <w:bdr w:val="none" w:sz="0" w:space="0" w:color="auto"/>
          <w:lang w:val="es-ES"/>
        </w:rPr>
        <w:t xml:space="preserve">). </w:t>
      </w:r>
    </w:p>
  </w:footnote>
  <w:footnote w:id="14">
    <w:p w14:paraId="4B96A6AD" w14:textId="77777777" w:rsidR="00873D49" w:rsidRPr="005B222E" w:rsidRDefault="00873D49" w:rsidP="001571B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w:t>
      </w:r>
      <w:r w:rsidRPr="005B222E">
        <w:rPr>
          <w:rFonts w:asciiTheme="majorHAnsi" w:hAnsiTheme="majorHAnsi"/>
          <w:sz w:val="16"/>
          <w:szCs w:val="16"/>
          <w:lang w:val="es-ES"/>
        </w:rPr>
        <w:t>Solicitud de medidas cautelares del peticionario presentada el 10 de agosto de 2011</w:t>
      </w:r>
      <w:r w:rsidRPr="005B222E">
        <w:rPr>
          <w:rFonts w:asciiTheme="majorHAnsi" w:hAnsiTheme="majorHAnsi"/>
          <w:color w:val="auto"/>
          <w:sz w:val="16"/>
          <w:szCs w:val="16"/>
          <w:lang w:val="es-ES"/>
        </w:rPr>
        <w:t xml:space="preserve">, </w:t>
      </w:r>
      <w:r>
        <w:rPr>
          <w:rFonts w:asciiTheme="majorHAnsi" w:hAnsiTheme="majorHAnsi"/>
          <w:color w:val="auto"/>
          <w:sz w:val="16"/>
          <w:szCs w:val="16"/>
          <w:lang w:val="es-ES"/>
        </w:rPr>
        <w:t>citando</w:t>
      </w:r>
      <w:r w:rsidRPr="005B222E">
        <w:rPr>
          <w:rFonts w:asciiTheme="majorHAnsi" w:hAnsiTheme="majorHAnsi"/>
          <w:color w:val="auto"/>
          <w:sz w:val="16"/>
          <w:szCs w:val="16"/>
          <w:lang w:val="es-ES"/>
        </w:rPr>
        <w:t xml:space="preserve"> </w:t>
      </w:r>
      <w:r w:rsidRPr="005B222E">
        <w:rPr>
          <w:rFonts w:asciiTheme="majorHAnsi" w:eastAsiaTheme="minorHAnsi" w:hAnsiTheme="majorHAnsi"/>
          <w:i/>
          <w:iCs/>
          <w:color w:val="auto"/>
          <w:sz w:val="16"/>
          <w:szCs w:val="16"/>
          <w:bdr w:val="none" w:sz="0" w:space="0" w:color="auto"/>
          <w:lang w:val="es-ES"/>
        </w:rPr>
        <w:t xml:space="preserve">Valle v. </w:t>
      </w:r>
      <w:proofErr w:type="spellStart"/>
      <w:r w:rsidRPr="005B222E">
        <w:rPr>
          <w:rFonts w:asciiTheme="majorHAnsi" w:eastAsiaTheme="minorHAnsi" w:hAnsiTheme="majorHAnsi"/>
          <w:i/>
          <w:iCs/>
          <w:color w:val="auto"/>
          <w:sz w:val="16"/>
          <w:szCs w:val="16"/>
          <w:bdr w:val="none" w:sz="0" w:space="0" w:color="auto"/>
          <w:lang w:val="es-ES"/>
        </w:rPr>
        <w:t>Sec’y</w:t>
      </w:r>
      <w:proofErr w:type="spellEnd"/>
      <w:r w:rsidRPr="005B222E">
        <w:rPr>
          <w:rFonts w:asciiTheme="majorHAnsi" w:eastAsiaTheme="minorHAnsi" w:hAnsiTheme="majorHAnsi"/>
          <w:i/>
          <w:iCs/>
          <w:color w:val="auto"/>
          <w:sz w:val="16"/>
          <w:szCs w:val="16"/>
          <w:bdr w:val="none" w:sz="0" w:space="0" w:color="auto"/>
          <w:lang w:val="es-ES"/>
        </w:rPr>
        <w:t xml:space="preserve">. </w:t>
      </w:r>
      <w:proofErr w:type="spellStart"/>
      <w:r w:rsidRPr="005B222E">
        <w:rPr>
          <w:rFonts w:asciiTheme="majorHAnsi" w:eastAsiaTheme="minorHAnsi" w:hAnsiTheme="majorHAnsi"/>
          <w:i/>
          <w:iCs/>
          <w:color w:val="auto"/>
          <w:sz w:val="16"/>
          <w:szCs w:val="16"/>
          <w:bdr w:val="none" w:sz="0" w:space="0" w:color="auto"/>
          <w:lang w:val="es-ES"/>
        </w:rPr>
        <w:t>for</w:t>
      </w:r>
      <w:proofErr w:type="spellEnd"/>
      <w:r w:rsidRPr="005B222E">
        <w:rPr>
          <w:rFonts w:asciiTheme="majorHAnsi" w:eastAsiaTheme="minorHAnsi" w:hAnsiTheme="majorHAnsi"/>
          <w:i/>
          <w:iCs/>
          <w:color w:val="auto"/>
          <w:sz w:val="16"/>
          <w:szCs w:val="16"/>
          <w:bdr w:val="none" w:sz="0" w:space="0" w:color="auto"/>
          <w:lang w:val="es-ES"/>
        </w:rPr>
        <w:t xml:space="preserve"> </w:t>
      </w:r>
      <w:proofErr w:type="spellStart"/>
      <w:r w:rsidRPr="005B222E">
        <w:rPr>
          <w:rFonts w:asciiTheme="majorHAnsi" w:eastAsiaTheme="minorHAnsi" w:hAnsiTheme="majorHAnsi"/>
          <w:i/>
          <w:iCs/>
          <w:color w:val="auto"/>
          <w:sz w:val="16"/>
          <w:szCs w:val="16"/>
          <w:bdr w:val="none" w:sz="0" w:space="0" w:color="auto"/>
          <w:lang w:val="es-ES"/>
        </w:rPr>
        <w:t>Dep’t</w:t>
      </w:r>
      <w:proofErr w:type="spellEnd"/>
      <w:r w:rsidRPr="005B222E">
        <w:rPr>
          <w:rFonts w:asciiTheme="majorHAnsi" w:eastAsiaTheme="minorHAnsi" w:hAnsiTheme="majorHAnsi"/>
          <w:i/>
          <w:iCs/>
          <w:color w:val="auto"/>
          <w:sz w:val="16"/>
          <w:szCs w:val="16"/>
          <w:bdr w:val="none" w:sz="0" w:space="0" w:color="auto"/>
          <w:lang w:val="es-ES"/>
        </w:rPr>
        <w:t xml:space="preserve">. Of </w:t>
      </w:r>
      <w:proofErr w:type="spellStart"/>
      <w:r w:rsidRPr="005B222E">
        <w:rPr>
          <w:rFonts w:asciiTheme="majorHAnsi" w:eastAsiaTheme="minorHAnsi" w:hAnsiTheme="majorHAnsi"/>
          <w:i/>
          <w:iCs/>
          <w:color w:val="auto"/>
          <w:sz w:val="16"/>
          <w:szCs w:val="16"/>
          <w:bdr w:val="none" w:sz="0" w:space="0" w:color="auto"/>
          <w:lang w:val="es-ES"/>
        </w:rPr>
        <w:t>Corrections</w:t>
      </w:r>
      <w:proofErr w:type="spellEnd"/>
      <w:r w:rsidRPr="005B222E">
        <w:rPr>
          <w:rFonts w:asciiTheme="majorHAnsi" w:eastAsiaTheme="minorHAnsi" w:hAnsiTheme="majorHAnsi"/>
          <w:i/>
          <w:iCs/>
          <w:color w:val="auto"/>
          <w:sz w:val="16"/>
          <w:szCs w:val="16"/>
          <w:bdr w:val="none" w:sz="0" w:space="0" w:color="auto"/>
          <w:lang w:val="es-ES"/>
        </w:rPr>
        <w:t xml:space="preserve">, </w:t>
      </w:r>
      <w:r w:rsidRPr="005B222E">
        <w:rPr>
          <w:rFonts w:asciiTheme="majorHAnsi" w:eastAsiaTheme="minorHAnsi" w:hAnsiTheme="majorHAnsi"/>
          <w:color w:val="auto"/>
          <w:sz w:val="16"/>
          <w:szCs w:val="16"/>
          <w:bdr w:val="none" w:sz="0" w:space="0" w:color="auto"/>
          <w:lang w:val="es-ES"/>
        </w:rPr>
        <w:t>459 F. 3d 1206 (11th Cir. 2006).</w:t>
      </w:r>
    </w:p>
  </w:footnote>
  <w:footnote w:id="15">
    <w:p w14:paraId="6D851030" w14:textId="77777777" w:rsidR="00873D49" w:rsidRPr="005B222E" w:rsidRDefault="00873D49" w:rsidP="001571B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w:t>
      </w:r>
      <w:r w:rsidRPr="005B222E">
        <w:rPr>
          <w:rFonts w:asciiTheme="majorHAnsi" w:hAnsiTheme="majorHAnsi"/>
          <w:sz w:val="16"/>
          <w:szCs w:val="16"/>
          <w:lang w:val="es-ES"/>
        </w:rPr>
        <w:t>Solicitud de medidas cautelares del peticionario presentada el 10 de agosto de 2011</w:t>
      </w:r>
      <w:r w:rsidRPr="005B222E">
        <w:rPr>
          <w:rFonts w:asciiTheme="majorHAnsi" w:hAnsiTheme="majorHAnsi"/>
          <w:color w:val="auto"/>
          <w:sz w:val="16"/>
          <w:szCs w:val="16"/>
          <w:lang w:val="es-ES"/>
        </w:rPr>
        <w:t xml:space="preserve">, </w:t>
      </w:r>
      <w:r>
        <w:rPr>
          <w:rFonts w:asciiTheme="majorHAnsi" w:hAnsiTheme="majorHAnsi"/>
          <w:color w:val="auto"/>
          <w:sz w:val="16"/>
          <w:szCs w:val="16"/>
          <w:lang w:val="es-ES"/>
        </w:rPr>
        <w:t>citando</w:t>
      </w:r>
      <w:r w:rsidRPr="005B222E">
        <w:rPr>
          <w:rFonts w:asciiTheme="majorHAnsi" w:hAnsiTheme="majorHAnsi"/>
          <w:color w:val="auto"/>
          <w:sz w:val="16"/>
          <w:szCs w:val="16"/>
          <w:lang w:val="es-ES"/>
        </w:rPr>
        <w:t xml:space="preserve"> </w:t>
      </w:r>
      <w:r w:rsidRPr="005B222E">
        <w:rPr>
          <w:rFonts w:asciiTheme="majorHAnsi" w:eastAsiaTheme="minorHAnsi" w:hAnsiTheme="majorHAnsi"/>
          <w:i/>
          <w:iCs/>
          <w:color w:val="auto"/>
          <w:sz w:val="16"/>
          <w:szCs w:val="16"/>
          <w:bdr w:val="none" w:sz="0" w:space="0" w:color="auto"/>
          <w:lang w:val="es-ES"/>
        </w:rPr>
        <w:t xml:space="preserve">Valle v. </w:t>
      </w:r>
      <w:proofErr w:type="spellStart"/>
      <w:r w:rsidRPr="005B222E">
        <w:rPr>
          <w:rFonts w:asciiTheme="majorHAnsi" w:eastAsiaTheme="minorHAnsi" w:hAnsiTheme="majorHAnsi"/>
          <w:i/>
          <w:iCs/>
          <w:color w:val="auto"/>
          <w:sz w:val="16"/>
          <w:szCs w:val="16"/>
          <w:bdr w:val="none" w:sz="0" w:space="0" w:color="auto"/>
          <w:lang w:val="es-ES"/>
        </w:rPr>
        <w:t>Sec’y</w:t>
      </w:r>
      <w:proofErr w:type="spellEnd"/>
      <w:r w:rsidRPr="005B222E">
        <w:rPr>
          <w:rFonts w:asciiTheme="majorHAnsi" w:eastAsiaTheme="minorHAnsi" w:hAnsiTheme="majorHAnsi"/>
          <w:i/>
          <w:iCs/>
          <w:color w:val="auto"/>
          <w:sz w:val="16"/>
          <w:szCs w:val="16"/>
          <w:bdr w:val="none" w:sz="0" w:space="0" w:color="auto"/>
          <w:lang w:val="es-ES"/>
        </w:rPr>
        <w:t xml:space="preserve">. </w:t>
      </w:r>
      <w:proofErr w:type="spellStart"/>
      <w:r w:rsidRPr="005B222E">
        <w:rPr>
          <w:rFonts w:asciiTheme="majorHAnsi" w:eastAsiaTheme="minorHAnsi" w:hAnsiTheme="majorHAnsi"/>
          <w:i/>
          <w:iCs/>
          <w:color w:val="auto"/>
          <w:sz w:val="16"/>
          <w:szCs w:val="16"/>
          <w:bdr w:val="none" w:sz="0" w:space="0" w:color="auto"/>
          <w:lang w:val="es-ES"/>
        </w:rPr>
        <w:t>for</w:t>
      </w:r>
      <w:proofErr w:type="spellEnd"/>
      <w:r w:rsidRPr="005B222E">
        <w:rPr>
          <w:rFonts w:asciiTheme="majorHAnsi" w:eastAsiaTheme="minorHAnsi" w:hAnsiTheme="majorHAnsi"/>
          <w:i/>
          <w:iCs/>
          <w:color w:val="auto"/>
          <w:sz w:val="16"/>
          <w:szCs w:val="16"/>
          <w:bdr w:val="none" w:sz="0" w:space="0" w:color="auto"/>
          <w:lang w:val="es-ES"/>
        </w:rPr>
        <w:t xml:space="preserve"> </w:t>
      </w:r>
      <w:proofErr w:type="spellStart"/>
      <w:r w:rsidRPr="005B222E">
        <w:rPr>
          <w:rFonts w:asciiTheme="majorHAnsi" w:eastAsiaTheme="minorHAnsi" w:hAnsiTheme="majorHAnsi"/>
          <w:i/>
          <w:iCs/>
          <w:color w:val="auto"/>
          <w:sz w:val="16"/>
          <w:szCs w:val="16"/>
          <w:bdr w:val="none" w:sz="0" w:space="0" w:color="auto"/>
          <w:lang w:val="es-ES"/>
        </w:rPr>
        <w:t>Dep’t</w:t>
      </w:r>
      <w:proofErr w:type="spellEnd"/>
      <w:r w:rsidRPr="005B222E">
        <w:rPr>
          <w:rFonts w:asciiTheme="majorHAnsi" w:eastAsiaTheme="minorHAnsi" w:hAnsiTheme="majorHAnsi"/>
          <w:i/>
          <w:iCs/>
          <w:color w:val="auto"/>
          <w:sz w:val="16"/>
          <w:szCs w:val="16"/>
          <w:bdr w:val="none" w:sz="0" w:space="0" w:color="auto"/>
          <w:lang w:val="es-ES"/>
        </w:rPr>
        <w:t xml:space="preserve">. Of </w:t>
      </w:r>
      <w:proofErr w:type="spellStart"/>
      <w:r w:rsidRPr="005B222E">
        <w:rPr>
          <w:rFonts w:asciiTheme="majorHAnsi" w:eastAsiaTheme="minorHAnsi" w:hAnsiTheme="majorHAnsi"/>
          <w:i/>
          <w:iCs/>
          <w:color w:val="auto"/>
          <w:sz w:val="16"/>
          <w:szCs w:val="16"/>
          <w:bdr w:val="none" w:sz="0" w:space="0" w:color="auto"/>
          <w:lang w:val="es-ES"/>
        </w:rPr>
        <w:t>Corrections</w:t>
      </w:r>
      <w:proofErr w:type="spellEnd"/>
      <w:r w:rsidRPr="005B222E">
        <w:rPr>
          <w:rFonts w:asciiTheme="majorHAnsi" w:eastAsiaTheme="minorHAnsi" w:hAnsiTheme="majorHAnsi"/>
          <w:i/>
          <w:iCs/>
          <w:color w:val="auto"/>
          <w:sz w:val="16"/>
          <w:szCs w:val="16"/>
          <w:bdr w:val="none" w:sz="0" w:space="0" w:color="auto"/>
          <w:lang w:val="es-ES"/>
        </w:rPr>
        <w:t xml:space="preserve">, </w:t>
      </w:r>
      <w:r w:rsidRPr="005B222E">
        <w:rPr>
          <w:rFonts w:asciiTheme="majorHAnsi" w:eastAsiaTheme="minorHAnsi" w:hAnsiTheme="majorHAnsi"/>
          <w:color w:val="auto"/>
          <w:sz w:val="16"/>
          <w:szCs w:val="16"/>
          <w:bdr w:val="none" w:sz="0" w:space="0" w:color="auto"/>
          <w:lang w:val="es-ES"/>
        </w:rPr>
        <w:t>478 F. 3d 1326 (11th Cir. 2007).</w:t>
      </w:r>
    </w:p>
  </w:footnote>
  <w:footnote w:id="16">
    <w:p w14:paraId="24CAFD5F" w14:textId="77777777" w:rsidR="00873D49" w:rsidRPr="005B222E" w:rsidRDefault="00873D49" w:rsidP="001571B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w:t>
      </w:r>
      <w:r w:rsidRPr="005B222E">
        <w:rPr>
          <w:rFonts w:asciiTheme="majorHAnsi" w:hAnsiTheme="majorHAnsi"/>
          <w:sz w:val="16"/>
          <w:szCs w:val="16"/>
          <w:lang w:val="es-ES"/>
        </w:rPr>
        <w:t>Solicitud de medidas cautelares del peticionario presentada el 10 de agosto de 2011</w:t>
      </w:r>
      <w:r w:rsidRPr="005B222E">
        <w:rPr>
          <w:rFonts w:asciiTheme="majorHAnsi" w:hAnsiTheme="majorHAnsi"/>
          <w:color w:val="auto"/>
          <w:sz w:val="16"/>
          <w:szCs w:val="16"/>
          <w:lang w:val="es-ES"/>
        </w:rPr>
        <w:t xml:space="preserve">, </w:t>
      </w:r>
      <w:r>
        <w:rPr>
          <w:rFonts w:asciiTheme="majorHAnsi" w:hAnsiTheme="majorHAnsi"/>
          <w:color w:val="auto"/>
          <w:sz w:val="16"/>
          <w:szCs w:val="16"/>
          <w:lang w:val="es-ES"/>
        </w:rPr>
        <w:t>citando</w:t>
      </w:r>
      <w:r w:rsidRPr="005B222E">
        <w:rPr>
          <w:rFonts w:asciiTheme="majorHAnsi" w:hAnsiTheme="majorHAnsi"/>
          <w:color w:val="auto"/>
          <w:sz w:val="16"/>
          <w:szCs w:val="16"/>
          <w:lang w:val="es-ES"/>
        </w:rPr>
        <w:t xml:space="preserve"> </w:t>
      </w:r>
      <w:r w:rsidRPr="005B222E">
        <w:rPr>
          <w:rFonts w:asciiTheme="majorHAnsi" w:eastAsiaTheme="minorHAnsi" w:hAnsiTheme="majorHAnsi"/>
          <w:i/>
          <w:iCs/>
          <w:color w:val="auto"/>
          <w:sz w:val="16"/>
          <w:szCs w:val="16"/>
          <w:bdr w:val="none" w:sz="0" w:space="0" w:color="auto"/>
          <w:lang w:val="es-ES"/>
        </w:rPr>
        <w:t xml:space="preserve">Valle v. </w:t>
      </w:r>
      <w:proofErr w:type="spellStart"/>
      <w:r w:rsidRPr="005B222E">
        <w:rPr>
          <w:rFonts w:asciiTheme="majorHAnsi" w:eastAsiaTheme="minorHAnsi" w:hAnsiTheme="majorHAnsi"/>
          <w:i/>
          <w:iCs/>
          <w:color w:val="auto"/>
          <w:sz w:val="16"/>
          <w:szCs w:val="16"/>
          <w:bdr w:val="none" w:sz="0" w:space="0" w:color="auto"/>
          <w:lang w:val="es-ES"/>
        </w:rPr>
        <w:t>McDonough</w:t>
      </w:r>
      <w:proofErr w:type="spellEnd"/>
      <w:r w:rsidRPr="005B222E">
        <w:rPr>
          <w:rFonts w:asciiTheme="majorHAnsi" w:eastAsiaTheme="minorHAnsi" w:hAnsiTheme="majorHAnsi"/>
          <w:color w:val="auto"/>
          <w:sz w:val="16"/>
          <w:szCs w:val="16"/>
          <w:bdr w:val="none" w:sz="0" w:space="0" w:color="auto"/>
          <w:lang w:val="es-ES"/>
        </w:rPr>
        <w:t xml:space="preserve">, 552 U.S. 920 (2007). </w:t>
      </w:r>
    </w:p>
  </w:footnote>
  <w:footnote w:id="17">
    <w:p w14:paraId="1A66E9C6" w14:textId="4706DF92" w:rsidR="00873D49" w:rsidRPr="005B222E" w:rsidRDefault="00873D49" w:rsidP="001571B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Manuel Valle v </w:t>
      </w:r>
      <w:r w:rsidR="00C34A87">
        <w:rPr>
          <w:rFonts w:asciiTheme="majorHAnsi" w:hAnsiTheme="majorHAnsi"/>
          <w:color w:val="auto"/>
          <w:sz w:val="16"/>
          <w:szCs w:val="16"/>
          <w:lang w:val="es-ES"/>
        </w:rPr>
        <w:t xml:space="preserve">Estado de </w:t>
      </w:r>
      <w:r w:rsidRPr="005B222E">
        <w:rPr>
          <w:rFonts w:asciiTheme="majorHAnsi" w:hAnsiTheme="majorHAnsi"/>
          <w:color w:val="auto"/>
          <w:sz w:val="16"/>
          <w:szCs w:val="16"/>
          <w:lang w:val="es-ES"/>
        </w:rPr>
        <w:t xml:space="preserve">Florida No SC11-1387, 23 de </w:t>
      </w:r>
      <w:r>
        <w:rPr>
          <w:rFonts w:asciiTheme="majorHAnsi" w:hAnsiTheme="majorHAnsi"/>
          <w:color w:val="auto"/>
          <w:sz w:val="16"/>
          <w:szCs w:val="16"/>
          <w:lang w:val="es-ES"/>
        </w:rPr>
        <w:t>a</w:t>
      </w:r>
      <w:r w:rsidRPr="005B222E">
        <w:rPr>
          <w:rFonts w:asciiTheme="majorHAnsi" w:hAnsiTheme="majorHAnsi"/>
          <w:color w:val="auto"/>
          <w:sz w:val="16"/>
          <w:szCs w:val="16"/>
          <w:lang w:val="es-ES"/>
        </w:rPr>
        <w:t xml:space="preserve">gosto de </w:t>
      </w:r>
      <w:r>
        <w:rPr>
          <w:rFonts w:asciiTheme="majorHAnsi" w:hAnsiTheme="majorHAnsi"/>
          <w:color w:val="auto"/>
          <w:sz w:val="16"/>
          <w:szCs w:val="16"/>
          <w:lang w:val="es-ES"/>
        </w:rPr>
        <w:t>2011</w:t>
      </w:r>
      <w:r w:rsidR="00C34A87">
        <w:rPr>
          <w:rFonts w:asciiTheme="majorHAnsi" w:hAnsiTheme="majorHAnsi"/>
          <w:color w:val="auto"/>
          <w:sz w:val="16"/>
          <w:szCs w:val="16"/>
          <w:lang w:val="es-ES"/>
        </w:rPr>
        <w:t>.</w:t>
      </w:r>
    </w:p>
  </w:footnote>
  <w:footnote w:id="18">
    <w:p w14:paraId="7923169C" w14:textId="41734AC7" w:rsidR="00873D49" w:rsidRPr="005B222E" w:rsidRDefault="00873D49" w:rsidP="001571B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Manuel Valle v </w:t>
      </w:r>
      <w:r w:rsidR="00C34A87">
        <w:rPr>
          <w:rFonts w:asciiTheme="majorHAnsi" w:hAnsiTheme="majorHAnsi"/>
          <w:color w:val="auto"/>
          <w:sz w:val="16"/>
          <w:szCs w:val="16"/>
          <w:lang w:val="es-ES"/>
        </w:rPr>
        <w:t xml:space="preserve">Estado de </w:t>
      </w:r>
      <w:r w:rsidRPr="005B222E">
        <w:rPr>
          <w:rFonts w:asciiTheme="majorHAnsi" w:hAnsiTheme="majorHAnsi"/>
          <w:color w:val="auto"/>
          <w:sz w:val="16"/>
          <w:szCs w:val="16"/>
          <w:lang w:val="es-ES"/>
        </w:rPr>
        <w:t xml:space="preserve">Florida No SC11-1387, 23 de </w:t>
      </w:r>
      <w:r>
        <w:rPr>
          <w:rFonts w:asciiTheme="majorHAnsi" w:hAnsiTheme="majorHAnsi"/>
          <w:color w:val="auto"/>
          <w:sz w:val="16"/>
          <w:szCs w:val="16"/>
          <w:lang w:val="es-ES"/>
        </w:rPr>
        <w:t>a</w:t>
      </w:r>
      <w:r w:rsidRPr="005B222E">
        <w:rPr>
          <w:rFonts w:asciiTheme="majorHAnsi" w:hAnsiTheme="majorHAnsi"/>
          <w:color w:val="auto"/>
          <w:sz w:val="16"/>
          <w:szCs w:val="16"/>
          <w:lang w:val="es-ES"/>
        </w:rPr>
        <w:t xml:space="preserve">gosto de </w:t>
      </w:r>
      <w:r>
        <w:rPr>
          <w:rFonts w:asciiTheme="majorHAnsi" w:hAnsiTheme="majorHAnsi"/>
          <w:color w:val="auto"/>
          <w:sz w:val="16"/>
          <w:szCs w:val="16"/>
          <w:lang w:val="es-ES"/>
        </w:rPr>
        <w:t>2011</w:t>
      </w:r>
      <w:r w:rsidR="00C34A87">
        <w:rPr>
          <w:rFonts w:asciiTheme="majorHAnsi" w:hAnsiTheme="majorHAnsi"/>
          <w:color w:val="auto"/>
          <w:sz w:val="16"/>
          <w:szCs w:val="16"/>
          <w:lang w:val="es-ES"/>
        </w:rPr>
        <w:t>.</w:t>
      </w:r>
    </w:p>
  </w:footnote>
  <w:footnote w:id="19">
    <w:p w14:paraId="52275C07" w14:textId="796BA90F" w:rsidR="00873D49" w:rsidRPr="005B222E" w:rsidRDefault="00873D49" w:rsidP="001571B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Manuel Valle v </w:t>
      </w:r>
      <w:r w:rsidR="00C34A87">
        <w:rPr>
          <w:rFonts w:asciiTheme="majorHAnsi" w:hAnsiTheme="majorHAnsi"/>
          <w:color w:val="auto"/>
          <w:sz w:val="16"/>
          <w:szCs w:val="16"/>
          <w:lang w:val="es-ES"/>
        </w:rPr>
        <w:t xml:space="preserve">Estado de </w:t>
      </w:r>
      <w:r w:rsidRPr="005B222E">
        <w:rPr>
          <w:rFonts w:asciiTheme="majorHAnsi" w:hAnsiTheme="majorHAnsi"/>
          <w:color w:val="auto"/>
          <w:sz w:val="16"/>
          <w:szCs w:val="16"/>
          <w:lang w:val="es-ES"/>
        </w:rPr>
        <w:t xml:space="preserve">Florida No SC11-1387, 23 de </w:t>
      </w:r>
      <w:r>
        <w:rPr>
          <w:rFonts w:asciiTheme="majorHAnsi" w:hAnsiTheme="majorHAnsi"/>
          <w:color w:val="auto"/>
          <w:sz w:val="16"/>
          <w:szCs w:val="16"/>
          <w:lang w:val="es-ES"/>
        </w:rPr>
        <w:t>a</w:t>
      </w:r>
      <w:r w:rsidRPr="005B222E">
        <w:rPr>
          <w:rFonts w:asciiTheme="majorHAnsi" w:hAnsiTheme="majorHAnsi"/>
          <w:color w:val="auto"/>
          <w:sz w:val="16"/>
          <w:szCs w:val="16"/>
          <w:lang w:val="es-ES"/>
        </w:rPr>
        <w:t xml:space="preserve">gosto de </w:t>
      </w:r>
      <w:r>
        <w:rPr>
          <w:rFonts w:asciiTheme="majorHAnsi" w:hAnsiTheme="majorHAnsi"/>
          <w:color w:val="auto"/>
          <w:sz w:val="16"/>
          <w:szCs w:val="16"/>
          <w:lang w:val="es-ES"/>
        </w:rPr>
        <w:t>2011</w:t>
      </w:r>
      <w:r w:rsidR="00C34A87">
        <w:rPr>
          <w:rFonts w:asciiTheme="majorHAnsi" w:hAnsiTheme="majorHAnsi"/>
          <w:color w:val="auto"/>
          <w:sz w:val="16"/>
          <w:szCs w:val="16"/>
          <w:lang w:val="es-ES"/>
        </w:rPr>
        <w:t>.</w:t>
      </w:r>
    </w:p>
  </w:footnote>
  <w:footnote w:id="20">
    <w:p w14:paraId="4B024E09" w14:textId="77392227" w:rsidR="00873D49" w:rsidRPr="005B222E" w:rsidRDefault="00873D49" w:rsidP="005A58AF">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Manuel Valle v </w:t>
      </w:r>
      <w:r w:rsidR="00C34A87">
        <w:rPr>
          <w:rFonts w:asciiTheme="majorHAnsi" w:hAnsiTheme="majorHAnsi"/>
          <w:color w:val="auto"/>
          <w:sz w:val="16"/>
          <w:szCs w:val="16"/>
          <w:lang w:val="es-ES"/>
        </w:rPr>
        <w:t>Estado de Florida</w:t>
      </w:r>
      <w:r w:rsidRPr="005B222E">
        <w:rPr>
          <w:rFonts w:asciiTheme="majorHAnsi" w:hAnsiTheme="majorHAnsi"/>
          <w:color w:val="auto"/>
          <w:sz w:val="16"/>
          <w:szCs w:val="16"/>
          <w:lang w:val="es-ES"/>
        </w:rPr>
        <w:t xml:space="preserve"> No SC11-1387, 23 de </w:t>
      </w:r>
      <w:r>
        <w:rPr>
          <w:rFonts w:asciiTheme="majorHAnsi" w:hAnsiTheme="majorHAnsi"/>
          <w:color w:val="auto"/>
          <w:sz w:val="16"/>
          <w:szCs w:val="16"/>
          <w:lang w:val="es-ES"/>
        </w:rPr>
        <w:t>a</w:t>
      </w:r>
      <w:r w:rsidRPr="005B222E">
        <w:rPr>
          <w:rFonts w:asciiTheme="majorHAnsi" w:hAnsiTheme="majorHAnsi"/>
          <w:color w:val="auto"/>
          <w:sz w:val="16"/>
          <w:szCs w:val="16"/>
          <w:lang w:val="es-ES"/>
        </w:rPr>
        <w:t xml:space="preserve">gosto de </w:t>
      </w:r>
      <w:r>
        <w:rPr>
          <w:rFonts w:asciiTheme="majorHAnsi" w:hAnsiTheme="majorHAnsi"/>
          <w:color w:val="auto"/>
          <w:sz w:val="16"/>
          <w:szCs w:val="16"/>
          <w:lang w:val="es-ES"/>
        </w:rPr>
        <w:t>2011</w:t>
      </w:r>
      <w:r w:rsidR="00C34A87">
        <w:rPr>
          <w:rFonts w:asciiTheme="majorHAnsi" w:hAnsiTheme="majorHAnsi"/>
          <w:color w:val="auto"/>
          <w:sz w:val="16"/>
          <w:szCs w:val="16"/>
          <w:lang w:val="es-ES"/>
        </w:rPr>
        <w:t>.</w:t>
      </w:r>
    </w:p>
  </w:footnote>
  <w:footnote w:id="21">
    <w:p w14:paraId="327892C7" w14:textId="632E0315" w:rsidR="00873D49" w:rsidRPr="005B222E" w:rsidRDefault="00873D49" w:rsidP="004A0895">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Manuel Valle v </w:t>
      </w:r>
      <w:r w:rsidR="00C34A87">
        <w:rPr>
          <w:rFonts w:asciiTheme="majorHAnsi" w:hAnsiTheme="majorHAnsi"/>
          <w:color w:val="auto"/>
          <w:sz w:val="16"/>
          <w:szCs w:val="16"/>
          <w:lang w:val="es-ES"/>
        </w:rPr>
        <w:t>Estado de</w:t>
      </w:r>
      <w:r w:rsidRPr="005B222E">
        <w:rPr>
          <w:rFonts w:asciiTheme="majorHAnsi" w:hAnsiTheme="majorHAnsi"/>
          <w:color w:val="auto"/>
          <w:sz w:val="16"/>
          <w:szCs w:val="16"/>
          <w:lang w:val="es-ES"/>
        </w:rPr>
        <w:t xml:space="preserve"> Florida No SC11-1387, 23 de </w:t>
      </w:r>
      <w:r>
        <w:rPr>
          <w:rFonts w:asciiTheme="majorHAnsi" w:hAnsiTheme="majorHAnsi"/>
          <w:color w:val="auto"/>
          <w:sz w:val="16"/>
          <w:szCs w:val="16"/>
          <w:lang w:val="es-ES"/>
        </w:rPr>
        <w:t>a</w:t>
      </w:r>
      <w:r w:rsidRPr="005B222E">
        <w:rPr>
          <w:rFonts w:asciiTheme="majorHAnsi" w:hAnsiTheme="majorHAnsi"/>
          <w:color w:val="auto"/>
          <w:sz w:val="16"/>
          <w:szCs w:val="16"/>
          <w:lang w:val="es-ES"/>
        </w:rPr>
        <w:t xml:space="preserve">gosto de </w:t>
      </w:r>
      <w:r>
        <w:rPr>
          <w:rFonts w:asciiTheme="majorHAnsi" w:hAnsiTheme="majorHAnsi"/>
          <w:color w:val="auto"/>
          <w:sz w:val="16"/>
          <w:szCs w:val="16"/>
          <w:lang w:val="es-ES"/>
        </w:rPr>
        <w:t>2011</w:t>
      </w:r>
      <w:r w:rsidR="00C34A87">
        <w:rPr>
          <w:rFonts w:asciiTheme="majorHAnsi" w:hAnsiTheme="majorHAnsi"/>
          <w:color w:val="auto"/>
          <w:sz w:val="16"/>
          <w:szCs w:val="16"/>
          <w:lang w:val="es-ES"/>
        </w:rPr>
        <w:t>.</w:t>
      </w:r>
    </w:p>
  </w:footnote>
  <w:footnote w:id="22">
    <w:p w14:paraId="56A39829" w14:textId="65E03717" w:rsidR="00873D49" w:rsidRPr="005B222E" w:rsidRDefault="00873D49" w:rsidP="004A0895">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w:t>
      </w:r>
      <w:r w:rsidRPr="005B222E">
        <w:rPr>
          <w:rFonts w:asciiTheme="majorHAnsi" w:hAnsiTheme="majorHAnsi"/>
          <w:sz w:val="16"/>
          <w:szCs w:val="16"/>
          <w:lang w:val="es-ES"/>
        </w:rPr>
        <w:t>Solicitud de medidas cautelares del peticionario presentada el 10 de agosto de 2011</w:t>
      </w:r>
      <w:r w:rsidR="00C34A87">
        <w:rPr>
          <w:rFonts w:asciiTheme="majorHAnsi" w:hAnsiTheme="majorHAnsi"/>
          <w:sz w:val="16"/>
          <w:szCs w:val="16"/>
          <w:lang w:val="es-ES"/>
        </w:rPr>
        <w:t>.</w:t>
      </w:r>
    </w:p>
  </w:footnote>
  <w:footnote w:id="23">
    <w:p w14:paraId="5D113BC1" w14:textId="4C653C9C" w:rsidR="00873D49" w:rsidRPr="005B222E" w:rsidRDefault="00873D49" w:rsidP="00B07607">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Manuel Valle v </w:t>
      </w:r>
      <w:r w:rsidR="00C34A87">
        <w:rPr>
          <w:rFonts w:asciiTheme="majorHAnsi" w:hAnsiTheme="majorHAnsi"/>
          <w:color w:val="auto"/>
          <w:sz w:val="16"/>
          <w:szCs w:val="16"/>
          <w:lang w:val="es-ES"/>
        </w:rPr>
        <w:t>Estado de</w:t>
      </w:r>
      <w:r w:rsidRPr="005B222E">
        <w:rPr>
          <w:rFonts w:asciiTheme="majorHAnsi" w:hAnsiTheme="majorHAnsi"/>
          <w:color w:val="auto"/>
          <w:sz w:val="16"/>
          <w:szCs w:val="16"/>
          <w:lang w:val="es-ES"/>
        </w:rPr>
        <w:t xml:space="preserve"> Florida No SC11-1387, 23 de </w:t>
      </w:r>
      <w:r>
        <w:rPr>
          <w:rFonts w:asciiTheme="majorHAnsi" w:hAnsiTheme="majorHAnsi"/>
          <w:color w:val="auto"/>
          <w:sz w:val="16"/>
          <w:szCs w:val="16"/>
          <w:lang w:val="es-ES"/>
        </w:rPr>
        <w:t>a</w:t>
      </w:r>
      <w:r w:rsidRPr="005B222E">
        <w:rPr>
          <w:rFonts w:asciiTheme="majorHAnsi" w:hAnsiTheme="majorHAnsi"/>
          <w:color w:val="auto"/>
          <w:sz w:val="16"/>
          <w:szCs w:val="16"/>
          <w:lang w:val="es-ES"/>
        </w:rPr>
        <w:t>gosto de 20</w:t>
      </w:r>
      <w:r>
        <w:rPr>
          <w:rFonts w:asciiTheme="majorHAnsi" w:hAnsiTheme="majorHAnsi"/>
          <w:color w:val="auto"/>
          <w:sz w:val="16"/>
          <w:szCs w:val="16"/>
          <w:lang w:val="es-ES"/>
        </w:rPr>
        <w:t>11</w:t>
      </w:r>
      <w:r w:rsidR="00C34A87">
        <w:rPr>
          <w:rFonts w:asciiTheme="majorHAnsi" w:hAnsiTheme="majorHAnsi"/>
          <w:color w:val="auto"/>
          <w:sz w:val="16"/>
          <w:szCs w:val="16"/>
          <w:lang w:val="es-ES"/>
        </w:rPr>
        <w:t>.</w:t>
      </w:r>
    </w:p>
  </w:footnote>
  <w:footnote w:id="24">
    <w:p w14:paraId="792E334D" w14:textId="29841D50" w:rsidR="00873D49" w:rsidRPr="005B222E" w:rsidRDefault="00873D49" w:rsidP="004A0895">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B222E">
        <w:rPr>
          <w:rFonts w:asciiTheme="majorHAnsi" w:hAnsiTheme="majorHAnsi"/>
          <w:color w:val="auto"/>
          <w:sz w:val="16"/>
          <w:szCs w:val="16"/>
          <w:lang w:val="es-ES"/>
        </w:rPr>
        <w:t xml:space="preserve"> Manuel Valle v </w:t>
      </w:r>
      <w:r w:rsidR="00C34A87">
        <w:rPr>
          <w:rFonts w:asciiTheme="majorHAnsi" w:hAnsiTheme="majorHAnsi"/>
          <w:color w:val="auto"/>
          <w:sz w:val="16"/>
          <w:szCs w:val="16"/>
          <w:lang w:val="es-ES"/>
        </w:rPr>
        <w:t>Estado de</w:t>
      </w:r>
      <w:r w:rsidRPr="005B222E">
        <w:rPr>
          <w:rFonts w:asciiTheme="majorHAnsi" w:hAnsiTheme="majorHAnsi"/>
          <w:color w:val="auto"/>
          <w:sz w:val="16"/>
          <w:szCs w:val="16"/>
          <w:lang w:val="es-ES"/>
        </w:rPr>
        <w:t xml:space="preserve"> Florida No SC11-1387, 23 de </w:t>
      </w:r>
      <w:r>
        <w:rPr>
          <w:rFonts w:asciiTheme="majorHAnsi" w:hAnsiTheme="majorHAnsi"/>
          <w:color w:val="auto"/>
          <w:sz w:val="16"/>
          <w:szCs w:val="16"/>
          <w:lang w:val="es-ES"/>
        </w:rPr>
        <w:t>agosto de 2011</w:t>
      </w:r>
      <w:r w:rsidR="00C34A87">
        <w:rPr>
          <w:rFonts w:asciiTheme="majorHAnsi" w:hAnsiTheme="majorHAnsi"/>
          <w:color w:val="auto"/>
          <w:sz w:val="16"/>
          <w:szCs w:val="16"/>
          <w:lang w:val="es-ES"/>
        </w:rPr>
        <w:t>.</w:t>
      </w:r>
    </w:p>
  </w:footnote>
  <w:footnote w:id="25">
    <w:p w14:paraId="7C730927" w14:textId="4056E09F" w:rsidR="00873D49" w:rsidRPr="00E36893" w:rsidRDefault="00873D49" w:rsidP="004621D7">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4621D7">
        <w:rPr>
          <w:rFonts w:asciiTheme="majorHAnsi" w:hAnsiTheme="majorHAnsi"/>
          <w:color w:val="auto"/>
          <w:sz w:val="16"/>
          <w:szCs w:val="16"/>
          <w:lang w:val="es-ES"/>
        </w:rPr>
        <w:t xml:space="preserve"> Véase, por ejemplo: Corte IDH. El derecho a la información sobre la asistencia consular en el marco de las garantías del debido proceso legal. Opinión Consultiva OC-16/99 de 1 de octubre de 1999. Serie A No. 16., </w:t>
      </w:r>
      <w:r w:rsidR="00C34A87" w:rsidRPr="004621D7">
        <w:rPr>
          <w:rFonts w:asciiTheme="majorHAnsi" w:hAnsiTheme="majorHAnsi"/>
          <w:color w:val="auto"/>
          <w:sz w:val="16"/>
          <w:szCs w:val="16"/>
          <w:lang w:val="es-ES"/>
        </w:rPr>
        <w:t>pá</w:t>
      </w:r>
      <w:r w:rsidR="00C34A87">
        <w:rPr>
          <w:rFonts w:asciiTheme="majorHAnsi" w:hAnsiTheme="majorHAnsi"/>
          <w:color w:val="auto"/>
          <w:sz w:val="16"/>
          <w:szCs w:val="16"/>
          <w:lang w:val="es-ES"/>
        </w:rPr>
        <w:t>rr.</w:t>
      </w:r>
      <w:r w:rsidRPr="004621D7">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136; Comité de Derechos Humanos de la ONU, </w:t>
      </w:r>
      <w:proofErr w:type="spellStart"/>
      <w:r w:rsidRPr="004621D7">
        <w:rPr>
          <w:rFonts w:asciiTheme="majorHAnsi" w:hAnsiTheme="majorHAnsi"/>
          <w:iCs/>
          <w:color w:val="auto"/>
          <w:sz w:val="16"/>
          <w:szCs w:val="16"/>
          <w:lang w:val="es-ES"/>
        </w:rPr>
        <w:t>Baboheram-Adhin</w:t>
      </w:r>
      <w:proofErr w:type="spellEnd"/>
      <w:r w:rsidRPr="004621D7">
        <w:rPr>
          <w:rFonts w:asciiTheme="majorHAnsi" w:hAnsiTheme="majorHAnsi"/>
          <w:iCs/>
          <w:color w:val="auto"/>
          <w:sz w:val="16"/>
          <w:szCs w:val="16"/>
          <w:lang w:val="es-ES"/>
        </w:rPr>
        <w:t xml:space="preserve"> y otros vs. Surinam</w:t>
      </w:r>
      <w:r>
        <w:rPr>
          <w:rFonts w:asciiTheme="majorHAnsi" w:hAnsiTheme="majorHAnsi"/>
          <w:iCs/>
          <w:color w:val="auto"/>
          <w:sz w:val="16"/>
          <w:szCs w:val="16"/>
          <w:lang w:val="es-ES"/>
        </w:rPr>
        <w:t xml:space="preserve">, Comunicaciones Nro. </w:t>
      </w:r>
      <w:r w:rsidRPr="004621D7">
        <w:rPr>
          <w:rFonts w:asciiTheme="majorHAnsi" w:hAnsiTheme="majorHAnsi"/>
          <w:color w:val="auto"/>
          <w:sz w:val="16"/>
          <w:szCs w:val="16"/>
          <w:lang w:val="es-ES"/>
        </w:rPr>
        <w:t xml:space="preserve">148-154/1983, </w:t>
      </w:r>
      <w:r>
        <w:rPr>
          <w:rFonts w:asciiTheme="majorHAnsi" w:hAnsiTheme="majorHAnsi"/>
          <w:color w:val="auto"/>
          <w:sz w:val="16"/>
          <w:szCs w:val="16"/>
          <w:lang w:val="es-ES"/>
        </w:rPr>
        <w:t xml:space="preserve">aprobadas el 4 de abril de 1985, </w:t>
      </w:r>
      <w:r w:rsidR="00C34A87">
        <w:rPr>
          <w:rFonts w:asciiTheme="majorHAnsi" w:hAnsiTheme="majorHAnsi"/>
          <w:color w:val="auto"/>
          <w:sz w:val="16"/>
          <w:szCs w:val="16"/>
          <w:lang w:val="es-ES"/>
        </w:rPr>
        <w:t>párr.</w:t>
      </w:r>
      <w:r>
        <w:rPr>
          <w:rFonts w:asciiTheme="majorHAnsi" w:hAnsiTheme="majorHAnsi"/>
          <w:color w:val="auto"/>
          <w:sz w:val="16"/>
          <w:szCs w:val="16"/>
          <w:lang w:val="es-ES"/>
        </w:rPr>
        <w:t xml:space="preserve"> 14.3; </w:t>
      </w:r>
      <w:r w:rsidRPr="004621D7">
        <w:rPr>
          <w:rFonts w:asciiTheme="majorHAnsi" w:hAnsiTheme="majorHAnsi"/>
          <w:color w:val="auto"/>
          <w:sz w:val="16"/>
          <w:szCs w:val="16"/>
          <w:lang w:val="es-ES"/>
        </w:rPr>
        <w:t xml:space="preserve">Informe del Relator Especial, Sr. Bacre Waly </w:t>
      </w:r>
      <w:proofErr w:type="spellStart"/>
      <w:r w:rsidRPr="004621D7">
        <w:rPr>
          <w:rFonts w:asciiTheme="majorHAnsi" w:hAnsiTheme="majorHAnsi"/>
          <w:color w:val="auto"/>
          <w:sz w:val="16"/>
          <w:szCs w:val="16"/>
          <w:lang w:val="es-ES"/>
        </w:rPr>
        <w:t>Ndiaye</w:t>
      </w:r>
      <w:proofErr w:type="spellEnd"/>
      <w:r w:rsidRPr="004621D7">
        <w:rPr>
          <w:rFonts w:asciiTheme="majorHAnsi" w:hAnsiTheme="majorHAnsi"/>
          <w:color w:val="auto"/>
          <w:sz w:val="16"/>
          <w:szCs w:val="16"/>
          <w:lang w:val="es-ES"/>
        </w:rPr>
        <w:t>,</w:t>
      </w:r>
      <w:r>
        <w:rPr>
          <w:rFonts w:asciiTheme="majorHAnsi" w:hAnsiTheme="majorHAnsi"/>
          <w:color w:val="auto"/>
          <w:sz w:val="16"/>
          <w:szCs w:val="16"/>
          <w:lang w:val="es-ES"/>
        </w:rPr>
        <w:t xml:space="preserve"> </w:t>
      </w:r>
      <w:r w:rsidRPr="004621D7">
        <w:rPr>
          <w:rFonts w:asciiTheme="majorHAnsi" w:hAnsiTheme="majorHAnsi"/>
          <w:color w:val="auto"/>
          <w:sz w:val="16"/>
          <w:szCs w:val="16"/>
          <w:lang w:val="es-ES"/>
        </w:rPr>
        <w:t>presentado en cumplimiento de la resolución 1994/82</w:t>
      </w:r>
      <w:r>
        <w:rPr>
          <w:rFonts w:asciiTheme="majorHAnsi" w:hAnsiTheme="majorHAnsi"/>
          <w:color w:val="auto"/>
          <w:sz w:val="16"/>
          <w:szCs w:val="16"/>
          <w:lang w:val="es-ES"/>
        </w:rPr>
        <w:t xml:space="preserve"> </w:t>
      </w:r>
      <w:r w:rsidRPr="004621D7">
        <w:rPr>
          <w:rFonts w:asciiTheme="majorHAnsi" w:hAnsiTheme="majorHAnsi"/>
          <w:color w:val="auto"/>
          <w:sz w:val="16"/>
          <w:szCs w:val="16"/>
          <w:lang w:val="es-ES"/>
        </w:rPr>
        <w:t>de la Comisión de Derechos Humanos</w:t>
      </w:r>
      <w:r>
        <w:rPr>
          <w:rFonts w:asciiTheme="majorHAnsi" w:hAnsiTheme="majorHAnsi"/>
          <w:color w:val="auto"/>
          <w:sz w:val="16"/>
          <w:szCs w:val="16"/>
          <w:lang w:val="es-ES"/>
        </w:rPr>
        <w:t>, Cuestión de la Violación de los Derechos Humanos y las Libertades Fundamentales en Cualquier Parte del Mundo, Especialmente en los Países y Territorios Coloniales y Dependientes,</w:t>
      </w:r>
      <w:r w:rsidRPr="004621D7">
        <w:rPr>
          <w:rFonts w:asciiTheme="majorHAnsi" w:hAnsiTheme="majorHAnsi"/>
          <w:color w:val="auto"/>
          <w:sz w:val="16"/>
          <w:szCs w:val="16"/>
          <w:lang w:val="es-ES"/>
        </w:rPr>
        <w:t xml:space="preserve"> UN </w:t>
      </w:r>
      <w:proofErr w:type="spellStart"/>
      <w:r w:rsidRPr="004621D7">
        <w:rPr>
          <w:rFonts w:asciiTheme="majorHAnsi" w:hAnsiTheme="majorHAnsi"/>
          <w:color w:val="auto"/>
          <w:sz w:val="16"/>
          <w:szCs w:val="16"/>
          <w:lang w:val="es-ES"/>
        </w:rPr>
        <w:t>Doc.E</w:t>
      </w:r>
      <w:proofErr w:type="spellEnd"/>
      <w:r w:rsidRPr="004621D7">
        <w:rPr>
          <w:rFonts w:asciiTheme="majorHAnsi" w:hAnsiTheme="majorHAnsi"/>
          <w:color w:val="auto"/>
          <w:sz w:val="16"/>
          <w:szCs w:val="16"/>
          <w:lang w:val="es-ES"/>
        </w:rPr>
        <w:t>/CN.4/1995/61 (1</w:t>
      </w:r>
      <w:r>
        <w:rPr>
          <w:rFonts w:asciiTheme="majorHAnsi" w:hAnsiTheme="majorHAnsi"/>
          <w:color w:val="auto"/>
          <w:sz w:val="16"/>
          <w:szCs w:val="16"/>
          <w:lang w:val="es-ES"/>
        </w:rPr>
        <w:t>4 de diciembre de 1994</w:t>
      </w:r>
      <w:r w:rsidRPr="004621D7">
        <w:rPr>
          <w:rFonts w:asciiTheme="majorHAnsi" w:hAnsiTheme="majorHAnsi"/>
          <w:color w:val="auto"/>
          <w:sz w:val="16"/>
          <w:szCs w:val="16"/>
          <w:lang w:val="es-ES"/>
        </w:rPr>
        <w:t xml:space="preserve">), </w:t>
      </w:r>
      <w:r w:rsidR="00C34A87" w:rsidRPr="004621D7">
        <w:rPr>
          <w:rFonts w:asciiTheme="majorHAnsi" w:hAnsiTheme="majorHAnsi"/>
          <w:color w:val="auto"/>
          <w:sz w:val="16"/>
          <w:szCs w:val="16"/>
          <w:lang w:val="es-ES"/>
        </w:rPr>
        <w:t>pár</w:t>
      </w:r>
      <w:r w:rsidR="00C34A87">
        <w:rPr>
          <w:rFonts w:asciiTheme="majorHAnsi" w:hAnsiTheme="majorHAnsi"/>
          <w:color w:val="auto"/>
          <w:sz w:val="16"/>
          <w:szCs w:val="16"/>
          <w:lang w:val="es-ES"/>
        </w:rPr>
        <w:t>r</w:t>
      </w:r>
      <w:r w:rsidR="00C34A87" w:rsidRPr="004621D7">
        <w:rPr>
          <w:rFonts w:asciiTheme="majorHAnsi" w:hAnsiTheme="majorHAnsi"/>
          <w:color w:val="auto"/>
          <w:sz w:val="16"/>
          <w:szCs w:val="16"/>
          <w:lang w:val="es-ES"/>
        </w:rPr>
        <w:t>.</w:t>
      </w:r>
      <w:r w:rsidRPr="004621D7">
        <w:rPr>
          <w:rFonts w:asciiTheme="majorHAnsi" w:hAnsiTheme="majorHAnsi"/>
          <w:color w:val="auto"/>
          <w:sz w:val="16"/>
          <w:szCs w:val="16"/>
          <w:lang w:val="es-ES"/>
        </w:rPr>
        <w:t xml:space="preserve"> </w:t>
      </w:r>
      <w:r w:rsidRPr="00E36893">
        <w:rPr>
          <w:rFonts w:asciiTheme="majorHAnsi" w:hAnsiTheme="majorHAnsi"/>
          <w:color w:val="auto"/>
          <w:sz w:val="16"/>
          <w:szCs w:val="16"/>
          <w:lang w:val="es-ES"/>
        </w:rPr>
        <w:t>378.</w:t>
      </w:r>
    </w:p>
  </w:footnote>
  <w:footnote w:id="26">
    <w:p w14:paraId="64332ADB" w14:textId="2B137DDD" w:rsidR="00873D49" w:rsidRPr="00E36893" w:rsidRDefault="00873D49" w:rsidP="0029354F">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4621D7">
        <w:rPr>
          <w:rFonts w:asciiTheme="majorHAnsi" w:hAnsiTheme="majorHAnsi"/>
          <w:color w:val="auto"/>
          <w:sz w:val="16"/>
          <w:szCs w:val="16"/>
          <w:lang w:val="es-ES"/>
        </w:rPr>
        <w:t xml:space="preserve"> CIDH,</w:t>
      </w:r>
      <w:r w:rsidRPr="004621D7">
        <w:rPr>
          <w:rFonts w:asciiTheme="majorHAnsi" w:hAnsiTheme="majorHAnsi"/>
          <w:iCs/>
          <w:color w:val="auto"/>
          <w:sz w:val="16"/>
          <w:szCs w:val="16"/>
          <w:lang w:val="es-ES"/>
        </w:rPr>
        <w:t xml:space="preserve"> </w:t>
      </w:r>
      <w:r w:rsidRPr="004621D7">
        <w:rPr>
          <w:rFonts w:asciiTheme="majorHAnsi" w:hAnsiTheme="majorHAnsi"/>
          <w:color w:val="auto"/>
          <w:sz w:val="16"/>
          <w:szCs w:val="16"/>
          <w:lang w:val="es-ES"/>
        </w:rPr>
        <w:t xml:space="preserve">Informe No. 57/96, </w:t>
      </w:r>
      <w:r w:rsidRPr="004621D7">
        <w:rPr>
          <w:rFonts w:asciiTheme="majorHAnsi" w:hAnsiTheme="majorHAnsi"/>
          <w:iCs/>
          <w:color w:val="auto"/>
          <w:sz w:val="16"/>
          <w:szCs w:val="16"/>
          <w:lang w:val="es-ES"/>
        </w:rPr>
        <w:t>Andrews, Estados Unidos</w:t>
      </w:r>
      <w:r w:rsidRPr="004621D7">
        <w:rPr>
          <w:rFonts w:asciiTheme="majorHAnsi" w:hAnsiTheme="majorHAnsi"/>
          <w:color w:val="auto"/>
          <w:sz w:val="16"/>
          <w:szCs w:val="16"/>
          <w:lang w:val="es-ES"/>
        </w:rPr>
        <w:t>,</w:t>
      </w:r>
      <w:r>
        <w:rPr>
          <w:rFonts w:asciiTheme="majorHAnsi" w:hAnsiTheme="majorHAnsi"/>
          <w:color w:val="auto"/>
          <w:sz w:val="16"/>
          <w:szCs w:val="16"/>
          <w:lang w:val="es-ES"/>
        </w:rPr>
        <w:t xml:space="preserve"> Informe Anual 1997 de la CIDH</w:t>
      </w:r>
      <w:r w:rsidRPr="004621D7">
        <w:rPr>
          <w:rFonts w:asciiTheme="majorHAnsi" w:hAnsiTheme="majorHAnsi"/>
          <w:color w:val="auto"/>
          <w:sz w:val="16"/>
          <w:szCs w:val="16"/>
          <w:lang w:val="es-ES"/>
        </w:rPr>
        <w:t xml:space="preserve">, </w:t>
      </w:r>
      <w:proofErr w:type="spellStart"/>
      <w:r w:rsidRPr="004621D7">
        <w:rPr>
          <w:rFonts w:asciiTheme="majorHAnsi" w:hAnsiTheme="majorHAnsi"/>
          <w:color w:val="auto"/>
          <w:sz w:val="16"/>
          <w:szCs w:val="16"/>
          <w:lang w:val="es-ES"/>
        </w:rPr>
        <w:t>p</w:t>
      </w:r>
      <w:r w:rsidR="00C34A87">
        <w:rPr>
          <w:rFonts w:asciiTheme="majorHAnsi" w:hAnsiTheme="majorHAnsi"/>
          <w:color w:val="auto"/>
          <w:sz w:val="16"/>
          <w:szCs w:val="16"/>
          <w:lang w:val="es-ES"/>
        </w:rPr>
        <w:t>á</w:t>
      </w:r>
      <w:r w:rsidRPr="004621D7">
        <w:rPr>
          <w:rFonts w:asciiTheme="majorHAnsi" w:hAnsiTheme="majorHAnsi"/>
          <w:color w:val="auto"/>
          <w:sz w:val="16"/>
          <w:szCs w:val="16"/>
          <w:lang w:val="es-ES"/>
        </w:rPr>
        <w:t>r</w:t>
      </w:r>
      <w:r>
        <w:rPr>
          <w:rFonts w:asciiTheme="majorHAnsi" w:hAnsiTheme="majorHAnsi"/>
          <w:color w:val="auto"/>
          <w:sz w:val="16"/>
          <w:szCs w:val="16"/>
          <w:lang w:val="es-ES"/>
        </w:rPr>
        <w:t>rs</w:t>
      </w:r>
      <w:proofErr w:type="spellEnd"/>
      <w:r w:rsidRPr="004621D7">
        <w:rPr>
          <w:rFonts w:asciiTheme="majorHAnsi" w:hAnsiTheme="majorHAnsi"/>
          <w:color w:val="auto"/>
          <w:sz w:val="16"/>
          <w:szCs w:val="16"/>
          <w:lang w:val="es-ES"/>
        </w:rPr>
        <w:t xml:space="preserve">. 170-171; Informe No. 38/00 </w:t>
      </w:r>
      <w:proofErr w:type="spellStart"/>
      <w:r w:rsidRPr="004621D7">
        <w:rPr>
          <w:rFonts w:asciiTheme="majorHAnsi" w:hAnsiTheme="majorHAnsi"/>
          <w:color w:val="auto"/>
          <w:sz w:val="16"/>
          <w:szCs w:val="16"/>
          <w:lang w:val="es-ES"/>
        </w:rPr>
        <w:t>Baptiste</w:t>
      </w:r>
      <w:proofErr w:type="spellEnd"/>
      <w:r w:rsidRPr="004621D7">
        <w:rPr>
          <w:rFonts w:asciiTheme="majorHAnsi" w:hAnsiTheme="majorHAnsi"/>
          <w:color w:val="auto"/>
          <w:sz w:val="16"/>
          <w:szCs w:val="16"/>
          <w:lang w:val="es-ES"/>
        </w:rPr>
        <w:t xml:space="preserve">, </w:t>
      </w:r>
      <w:proofErr w:type="spellStart"/>
      <w:r w:rsidRPr="004621D7">
        <w:rPr>
          <w:rFonts w:asciiTheme="majorHAnsi" w:hAnsiTheme="majorHAnsi"/>
          <w:color w:val="auto"/>
          <w:sz w:val="16"/>
          <w:szCs w:val="16"/>
          <w:lang w:val="es-ES"/>
        </w:rPr>
        <w:t>Grenada</w:t>
      </w:r>
      <w:proofErr w:type="spellEnd"/>
      <w:r w:rsidRPr="004621D7">
        <w:rPr>
          <w:rFonts w:asciiTheme="majorHAnsi" w:hAnsiTheme="majorHAnsi"/>
          <w:color w:val="auto"/>
          <w:sz w:val="16"/>
          <w:szCs w:val="16"/>
          <w:lang w:val="es-ES"/>
        </w:rPr>
        <w:t xml:space="preserve">, Informe Anual 1999 de la CIDH, </w:t>
      </w:r>
      <w:proofErr w:type="spellStart"/>
      <w:r w:rsidRPr="004621D7">
        <w:rPr>
          <w:rFonts w:asciiTheme="majorHAnsi" w:hAnsiTheme="majorHAnsi"/>
          <w:color w:val="auto"/>
          <w:sz w:val="16"/>
          <w:szCs w:val="16"/>
          <w:lang w:val="es-ES"/>
        </w:rPr>
        <w:t>p</w:t>
      </w:r>
      <w:r w:rsidR="00C34A87">
        <w:rPr>
          <w:rFonts w:asciiTheme="majorHAnsi" w:hAnsiTheme="majorHAnsi"/>
          <w:color w:val="auto"/>
          <w:sz w:val="16"/>
          <w:szCs w:val="16"/>
          <w:lang w:val="es-ES"/>
        </w:rPr>
        <w:t>á</w:t>
      </w:r>
      <w:r w:rsidRPr="004621D7">
        <w:rPr>
          <w:rFonts w:asciiTheme="majorHAnsi" w:hAnsiTheme="majorHAnsi"/>
          <w:color w:val="auto"/>
          <w:sz w:val="16"/>
          <w:szCs w:val="16"/>
          <w:lang w:val="es-ES"/>
        </w:rPr>
        <w:t>r</w:t>
      </w:r>
      <w:r>
        <w:rPr>
          <w:rFonts w:asciiTheme="majorHAnsi" w:hAnsiTheme="majorHAnsi"/>
          <w:color w:val="auto"/>
          <w:sz w:val="16"/>
          <w:szCs w:val="16"/>
          <w:lang w:val="es-ES"/>
        </w:rPr>
        <w:t>r</w:t>
      </w:r>
      <w:r w:rsidRPr="004621D7">
        <w:rPr>
          <w:rFonts w:asciiTheme="majorHAnsi" w:hAnsiTheme="majorHAnsi"/>
          <w:color w:val="auto"/>
          <w:sz w:val="16"/>
          <w:szCs w:val="16"/>
          <w:lang w:val="es-ES"/>
        </w:rPr>
        <w:t>s</w:t>
      </w:r>
      <w:proofErr w:type="spellEnd"/>
      <w:r w:rsidRPr="004621D7">
        <w:rPr>
          <w:rFonts w:asciiTheme="majorHAnsi" w:hAnsiTheme="majorHAnsi"/>
          <w:color w:val="auto"/>
          <w:sz w:val="16"/>
          <w:szCs w:val="16"/>
          <w:lang w:val="es-ES"/>
        </w:rPr>
        <w:t xml:space="preserve">. 64-66; Informe No. 41/00, McKenzie </w:t>
      </w:r>
      <w:r w:rsidRPr="004621D7">
        <w:rPr>
          <w:rFonts w:asciiTheme="majorHAnsi" w:hAnsiTheme="majorHAnsi"/>
          <w:iCs/>
          <w:color w:val="auto"/>
          <w:sz w:val="16"/>
          <w:szCs w:val="16"/>
          <w:lang w:val="es-ES"/>
        </w:rPr>
        <w:t>y otros,</w:t>
      </w:r>
      <w:r w:rsidRPr="004621D7">
        <w:rPr>
          <w:rFonts w:asciiTheme="majorHAnsi" w:hAnsiTheme="majorHAnsi"/>
          <w:color w:val="auto"/>
          <w:sz w:val="16"/>
          <w:szCs w:val="16"/>
          <w:lang w:val="es-ES"/>
        </w:rPr>
        <w:t xml:space="preserve"> Jamaica, </w:t>
      </w:r>
      <w:r>
        <w:rPr>
          <w:rFonts w:asciiTheme="majorHAnsi" w:hAnsiTheme="majorHAnsi"/>
          <w:color w:val="auto"/>
          <w:sz w:val="16"/>
          <w:szCs w:val="16"/>
          <w:lang w:val="es-ES"/>
        </w:rPr>
        <w:t>Informe Anual 1999 de la CIDH</w:t>
      </w:r>
      <w:r w:rsidRPr="004621D7">
        <w:rPr>
          <w:rFonts w:asciiTheme="majorHAnsi" w:hAnsiTheme="majorHAnsi"/>
          <w:color w:val="auto"/>
          <w:sz w:val="16"/>
          <w:szCs w:val="16"/>
          <w:lang w:val="es-ES"/>
        </w:rPr>
        <w:t xml:space="preserve">, </w:t>
      </w:r>
      <w:proofErr w:type="spellStart"/>
      <w:r w:rsidRPr="004621D7">
        <w:rPr>
          <w:rFonts w:asciiTheme="majorHAnsi" w:hAnsiTheme="majorHAnsi"/>
          <w:color w:val="auto"/>
          <w:sz w:val="16"/>
          <w:szCs w:val="16"/>
          <w:lang w:val="es-ES"/>
        </w:rPr>
        <w:t>p</w:t>
      </w:r>
      <w:r w:rsidR="00C34A87">
        <w:rPr>
          <w:rFonts w:asciiTheme="majorHAnsi" w:hAnsiTheme="majorHAnsi"/>
          <w:color w:val="auto"/>
          <w:sz w:val="16"/>
          <w:szCs w:val="16"/>
          <w:lang w:val="es-ES"/>
        </w:rPr>
        <w:t>á</w:t>
      </w:r>
      <w:r w:rsidRPr="004621D7">
        <w:rPr>
          <w:rFonts w:asciiTheme="majorHAnsi" w:hAnsiTheme="majorHAnsi"/>
          <w:color w:val="auto"/>
          <w:sz w:val="16"/>
          <w:szCs w:val="16"/>
          <w:lang w:val="es-ES"/>
        </w:rPr>
        <w:t>r</w:t>
      </w:r>
      <w:r>
        <w:rPr>
          <w:rFonts w:asciiTheme="majorHAnsi" w:hAnsiTheme="majorHAnsi"/>
          <w:color w:val="auto"/>
          <w:sz w:val="16"/>
          <w:szCs w:val="16"/>
          <w:lang w:val="es-ES"/>
        </w:rPr>
        <w:t>r</w:t>
      </w:r>
      <w:r w:rsidRPr="004621D7">
        <w:rPr>
          <w:rFonts w:asciiTheme="majorHAnsi" w:hAnsiTheme="majorHAnsi"/>
          <w:color w:val="auto"/>
          <w:sz w:val="16"/>
          <w:szCs w:val="16"/>
          <w:lang w:val="es-ES"/>
        </w:rPr>
        <w:t>s</w:t>
      </w:r>
      <w:proofErr w:type="spellEnd"/>
      <w:r w:rsidRPr="004621D7">
        <w:rPr>
          <w:rFonts w:asciiTheme="majorHAnsi" w:hAnsiTheme="majorHAnsi"/>
          <w:color w:val="auto"/>
          <w:sz w:val="16"/>
          <w:szCs w:val="16"/>
          <w:lang w:val="es-ES"/>
        </w:rPr>
        <w:t xml:space="preserve">. </w:t>
      </w:r>
      <w:r w:rsidRPr="00E36893">
        <w:rPr>
          <w:rFonts w:asciiTheme="majorHAnsi" w:hAnsiTheme="majorHAnsi"/>
          <w:color w:val="auto"/>
          <w:sz w:val="16"/>
          <w:szCs w:val="16"/>
          <w:lang w:val="es-ES"/>
        </w:rPr>
        <w:t>169-171.</w:t>
      </w:r>
    </w:p>
  </w:footnote>
  <w:footnote w:id="27">
    <w:p w14:paraId="19FFFFFC" w14:textId="539A0D9D" w:rsidR="00873D49" w:rsidRPr="00E36893" w:rsidRDefault="00873D49" w:rsidP="004621D7">
      <w:pPr>
        <w:autoSpaceDE w:val="0"/>
        <w:autoSpaceDN w:val="0"/>
        <w:adjustRightInd w:val="0"/>
        <w:jc w:val="both"/>
        <w:rPr>
          <w:rFonts w:asciiTheme="majorHAnsi" w:hAnsiTheme="majorHAnsi"/>
          <w:sz w:val="16"/>
          <w:szCs w:val="16"/>
          <w:lang w:val="es-ES"/>
        </w:rPr>
      </w:pPr>
      <w:r w:rsidRPr="004A0895">
        <w:rPr>
          <w:rStyle w:val="FootnoteReference"/>
          <w:rFonts w:asciiTheme="majorHAnsi" w:hAnsiTheme="majorHAnsi"/>
          <w:sz w:val="16"/>
          <w:szCs w:val="16"/>
        </w:rPr>
        <w:footnoteRef/>
      </w:r>
      <w:r w:rsidRPr="004621D7">
        <w:rPr>
          <w:rFonts w:asciiTheme="majorHAnsi" w:hAnsiTheme="majorHAnsi"/>
          <w:sz w:val="16"/>
          <w:szCs w:val="16"/>
          <w:lang w:val="es-ES"/>
        </w:rPr>
        <w:t xml:space="preserve"> CIDH, La pena de muerte en el Sistema Interamericano de Derechos Huma</w:t>
      </w:r>
      <w:r>
        <w:rPr>
          <w:rFonts w:asciiTheme="majorHAnsi" w:hAnsiTheme="majorHAnsi"/>
          <w:sz w:val="16"/>
          <w:szCs w:val="16"/>
          <w:lang w:val="es-ES"/>
        </w:rPr>
        <w:t>nos: de restricciones a abolición</w:t>
      </w:r>
      <w:r w:rsidRPr="004621D7">
        <w:rPr>
          <w:rFonts w:asciiTheme="majorHAnsi" w:hAnsiTheme="majorHAnsi"/>
          <w:sz w:val="16"/>
          <w:szCs w:val="16"/>
          <w:lang w:val="es-ES"/>
        </w:rPr>
        <w:t xml:space="preserve">, </w:t>
      </w:r>
      <w:r w:rsidRPr="004621D7">
        <w:rPr>
          <w:rFonts w:asciiTheme="majorHAnsi" w:hAnsiTheme="majorHAnsi" w:cs="Calibri"/>
          <w:sz w:val="16"/>
          <w:szCs w:val="16"/>
          <w:lang w:val="es-ES"/>
        </w:rPr>
        <w:t>OEA/</w:t>
      </w:r>
      <w:proofErr w:type="spellStart"/>
      <w:r w:rsidRPr="004621D7">
        <w:rPr>
          <w:rFonts w:asciiTheme="majorHAnsi" w:hAnsiTheme="majorHAnsi" w:cs="Calibri"/>
          <w:sz w:val="16"/>
          <w:szCs w:val="16"/>
          <w:lang w:val="es-ES"/>
        </w:rPr>
        <w:t>Ser.L</w:t>
      </w:r>
      <w:proofErr w:type="spellEnd"/>
      <w:r w:rsidRPr="004621D7">
        <w:rPr>
          <w:rFonts w:asciiTheme="majorHAnsi" w:hAnsiTheme="majorHAnsi" w:cs="Calibri"/>
          <w:sz w:val="16"/>
          <w:szCs w:val="16"/>
          <w:lang w:val="es-ES"/>
        </w:rPr>
        <w:t xml:space="preserve">/V/II.Doc. 68, </w:t>
      </w:r>
      <w:r>
        <w:rPr>
          <w:rFonts w:asciiTheme="majorHAnsi" w:hAnsiTheme="majorHAnsi" w:cs="Calibri"/>
          <w:sz w:val="16"/>
          <w:szCs w:val="16"/>
          <w:lang w:val="es-ES"/>
        </w:rPr>
        <w:t>31 de diciembre de 2011</w:t>
      </w:r>
      <w:r w:rsidRPr="004621D7">
        <w:rPr>
          <w:rFonts w:asciiTheme="majorHAnsi" w:hAnsiTheme="majorHAnsi" w:cs="Calibri"/>
          <w:sz w:val="16"/>
          <w:szCs w:val="16"/>
          <w:lang w:val="es-ES"/>
        </w:rPr>
        <w:t xml:space="preserve">, </w:t>
      </w:r>
      <w:r w:rsidR="00C34A87" w:rsidRPr="004621D7">
        <w:rPr>
          <w:rFonts w:asciiTheme="majorHAnsi" w:hAnsiTheme="majorHAnsi"/>
          <w:sz w:val="16"/>
          <w:szCs w:val="16"/>
          <w:lang w:val="es-ES"/>
        </w:rPr>
        <w:t>pár</w:t>
      </w:r>
      <w:r w:rsidR="00C34A87">
        <w:rPr>
          <w:rFonts w:asciiTheme="majorHAnsi" w:hAnsiTheme="majorHAnsi"/>
          <w:sz w:val="16"/>
          <w:szCs w:val="16"/>
          <w:lang w:val="es-ES"/>
        </w:rPr>
        <w:t>r</w:t>
      </w:r>
      <w:r w:rsidR="00C34A87" w:rsidRPr="004621D7">
        <w:rPr>
          <w:rFonts w:asciiTheme="majorHAnsi" w:hAnsiTheme="majorHAnsi"/>
          <w:sz w:val="16"/>
          <w:szCs w:val="16"/>
          <w:lang w:val="es-ES"/>
        </w:rPr>
        <w:t>.</w:t>
      </w:r>
      <w:r w:rsidRPr="004621D7">
        <w:rPr>
          <w:rFonts w:asciiTheme="majorHAnsi" w:hAnsiTheme="majorHAnsi"/>
          <w:sz w:val="16"/>
          <w:szCs w:val="16"/>
          <w:lang w:val="es-ES"/>
        </w:rPr>
        <w:t xml:space="preserve"> </w:t>
      </w:r>
      <w:r w:rsidRPr="00E36893">
        <w:rPr>
          <w:rFonts w:asciiTheme="majorHAnsi" w:hAnsiTheme="majorHAnsi"/>
          <w:sz w:val="16"/>
          <w:szCs w:val="16"/>
          <w:lang w:val="es-ES"/>
        </w:rPr>
        <w:t>41.</w:t>
      </w:r>
    </w:p>
  </w:footnote>
  <w:footnote w:id="28">
    <w:p w14:paraId="0D0C13A8" w14:textId="4692C808" w:rsidR="00873D49" w:rsidRPr="00E36893" w:rsidRDefault="00873D49" w:rsidP="0029354F">
      <w:pPr>
        <w:autoSpaceDE w:val="0"/>
        <w:autoSpaceDN w:val="0"/>
        <w:adjustRightInd w:val="0"/>
        <w:jc w:val="both"/>
        <w:rPr>
          <w:rFonts w:asciiTheme="majorHAnsi" w:hAnsiTheme="majorHAnsi"/>
          <w:sz w:val="16"/>
          <w:szCs w:val="16"/>
          <w:lang w:val="es-ES"/>
        </w:rPr>
      </w:pPr>
      <w:r w:rsidRPr="004A0895">
        <w:rPr>
          <w:rStyle w:val="FootnoteReference"/>
          <w:rFonts w:asciiTheme="majorHAnsi" w:hAnsiTheme="majorHAnsi"/>
          <w:sz w:val="16"/>
          <w:szCs w:val="16"/>
        </w:rPr>
        <w:footnoteRef/>
      </w:r>
      <w:r w:rsidRPr="004621D7">
        <w:rPr>
          <w:rFonts w:asciiTheme="majorHAnsi" w:hAnsiTheme="majorHAnsi"/>
          <w:sz w:val="16"/>
          <w:szCs w:val="16"/>
          <w:lang w:val="es-ES"/>
        </w:rPr>
        <w:t xml:space="preserve"> CIDH, Informe No. 78/07, Cas</w:t>
      </w:r>
      <w:r>
        <w:rPr>
          <w:rFonts w:asciiTheme="majorHAnsi" w:hAnsiTheme="majorHAnsi"/>
          <w:sz w:val="16"/>
          <w:szCs w:val="16"/>
          <w:lang w:val="es-ES"/>
        </w:rPr>
        <w:t>o</w:t>
      </w:r>
      <w:r w:rsidRPr="004621D7">
        <w:rPr>
          <w:rFonts w:asciiTheme="majorHAnsi" w:hAnsiTheme="majorHAnsi"/>
          <w:sz w:val="16"/>
          <w:szCs w:val="16"/>
          <w:lang w:val="es-ES"/>
        </w:rPr>
        <w:t xml:space="preserve"> 12.265, Fondo (Publicación), Chad Roger Goodman, Las Bahamas, </w:t>
      </w:r>
      <w:r>
        <w:rPr>
          <w:rFonts w:asciiTheme="majorHAnsi" w:hAnsiTheme="majorHAnsi"/>
          <w:sz w:val="16"/>
          <w:szCs w:val="16"/>
          <w:lang w:val="es-ES"/>
        </w:rPr>
        <w:t>15 de octubre de</w:t>
      </w:r>
      <w:r w:rsidRPr="004621D7">
        <w:rPr>
          <w:rFonts w:asciiTheme="majorHAnsi" w:hAnsiTheme="majorHAnsi"/>
          <w:sz w:val="16"/>
          <w:szCs w:val="16"/>
          <w:lang w:val="es-ES"/>
        </w:rPr>
        <w:t xml:space="preserve"> 2007, </w:t>
      </w:r>
      <w:r w:rsidR="00C34A87" w:rsidRPr="004621D7">
        <w:rPr>
          <w:rFonts w:asciiTheme="majorHAnsi" w:hAnsiTheme="majorHAnsi"/>
          <w:sz w:val="16"/>
          <w:szCs w:val="16"/>
          <w:lang w:val="es-ES"/>
        </w:rPr>
        <w:t>pár</w:t>
      </w:r>
      <w:r w:rsidR="00C34A87">
        <w:rPr>
          <w:rFonts w:asciiTheme="majorHAnsi" w:hAnsiTheme="majorHAnsi"/>
          <w:sz w:val="16"/>
          <w:szCs w:val="16"/>
          <w:lang w:val="es-ES"/>
        </w:rPr>
        <w:t>r</w:t>
      </w:r>
      <w:r w:rsidR="00C34A87" w:rsidRPr="004621D7">
        <w:rPr>
          <w:rFonts w:asciiTheme="majorHAnsi" w:hAnsiTheme="majorHAnsi"/>
          <w:sz w:val="16"/>
          <w:szCs w:val="16"/>
          <w:lang w:val="es-ES"/>
        </w:rPr>
        <w:t>.</w:t>
      </w:r>
      <w:r w:rsidRPr="004621D7">
        <w:rPr>
          <w:rFonts w:asciiTheme="majorHAnsi" w:hAnsiTheme="majorHAnsi"/>
          <w:sz w:val="16"/>
          <w:szCs w:val="16"/>
          <w:lang w:val="es-ES"/>
        </w:rPr>
        <w:t xml:space="preserve"> </w:t>
      </w:r>
      <w:r w:rsidRPr="00E36893">
        <w:rPr>
          <w:rFonts w:asciiTheme="majorHAnsi" w:hAnsiTheme="majorHAnsi"/>
          <w:sz w:val="16"/>
          <w:szCs w:val="16"/>
          <w:lang w:val="es-ES"/>
        </w:rPr>
        <w:t>34.</w:t>
      </w:r>
    </w:p>
  </w:footnote>
  <w:footnote w:id="29">
    <w:p w14:paraId="235AD4D9" w14:textId="7C4412DE" w:rsidR="00873D49" w:rsidRPr="00E36893" w:rsidRDefault="00873D49" w:rsidP="0029354F">
      <w:pPr>
        <w:pStyle w:val="FootnoteText"/>
        <w:jc w:val="both"/>
        <w:rPr>
          <w:rFonts w:asciiTheme="majorHAnsi" w:hAnsiTheme="majorHAnsi" w:cs="Times New Roman"/>
          <w:color w:val="auto"/>
          <w:sz w:val="16"/>
          <w:szCs w:val="16"/>
          <w:lang w:val="es-ES"/>
        </w:rPr>
      </w:pPr>
      <w:r w:rsidRPr="004A0895">
        <w:rPr>
          <w:rStyle w:val="FootnoteReference"/>
          <w:rFonts w:asciiTheme="majorHAnsi" w:hAnsiTheme="majorHAnsi"/>
          <w:color w:val="auto"/>
          <w:sz w:val="16"/>
          <w:szCs w:val="16"/>
        </w:rPr>
        <w:footnoteRef/>
      </w:r>
      <w:r w:rsidRPr="004621D7">
        <w:rPr>
          <w:rFonts w:asciiTheme="majorHAnsi" w:hAnsiTheme="majorHAnsi"/>
          <w:color w:val="auto"/>
          <w:sz w:val="16"/>
          <w:szCs w:val="16"/>
          <w:lang w:val="es-ES"/>
        </w:rPr>
        <w:t xml:space="preserve"> CIDH, Informe No. 44/14, Caso 12,873, Fondo (Publicación), Edgar Tamayo Arias, Estados Unidos, 1</w:t>
      </w:r>
      <w:r>
        <w:rPr>
          <w:rFonts w:asciiTheme="majorHAnsi" w:hAnsiTheme="majorHAnsi"/>
          <w:color w:val="auto"/>
          <w:sz w:val="16"/>
          <w:szCs w:val="16"/>
          <w:lang w:val="es-ES"/>
        </w:rPr>
        <w:t>7 de julio de 2014,</w:t>
      </w:r>
      <w:r w:rsidRPr="004621D7">
        <w:rPr>
          <w:rFonts w:asciiTheme="majorHAnsi" w:hAnsiTheme="majorHAnsi"/>
          <w:color w:val="auto"/>
          <w:sz w:val="16"/>
          <w:szCs w:val="16"/>
          <w:lang w:val="es-ES"/>
        </w:rPr>
        <w:t xml:space="preserve"> </w:t>
      </w:r>
      <w:r w:rsidR="00C34A87" w:rsidRPr="004621D7">
        <w:rPr>
          <w:rFonts w:asciiTheme="majorHAnsi" w:hAnsiTheme="majorHAnsi"/>
          <w:color w:val="auto"/>
          <w:sz w:val="16"/>
          <w:szCs w:val="16"/>
          <w:lang w:val="es-ES"/>
        </w:rPr>
        <w:t>pár</w:t>
      </w:r>
      <w:r w:rsidR="00C34A87">
        <w:rPr>
          <w:rFonts w:asciiTheme="majorHAnsi" w:hAnsiTheme="majorHAnsi"/>
          <w:color w:val="auto"/>
          <w:sz w:val="16"/>
          <w:szCs w:val="16"/>
          <w:lang w:val="es-ES"/>
        </w:rPr>
        <w:t>r</w:t>
      </w:r>
      <w:r w:rsidR="00C34A87" w:rsidRPr="004621D7">
        <w:rPr>
          <w:rFonts w:asciiTheme="majorHAnsi" w:hAnsiTheme="majorHAnsi"/>
          <w:color w:val="auto"/>
          <w:sz w:val="16"/>
          <w:szCs w:val="16"/>
          <w:lang w:val="es-ES"/>
        </w:rPr>
        <w:t>.</w:t>
      </w:r>
      <w:r w:rsidRPr="004621D7">
        <w:rPr>
          <w:rFonts w:asciiTheme="majorHAnsi" w:hAnsiTheme="majorHAnsi"/>
          <w:color w:val="auto"/>
          <w:sz w:val="16"/>
          <w:szCs w:val="16"/>
          <w:lang w:val="es-ES"/>
        </w:rPr>
        <w:t xml:space="preserve"> </w:t>
      </w:r>
      <w:r w:rsidRPr="00E36893">
        <w:rPr>
          <w:rFonts w:asciiTheme="majorHAnsi" w:hAnsiTheme="majorHAnsi"/>
          <w:color w:val="auto"/>
          <w:sz w:val="16"/>
          <w:szCs w:val="16"/>
          <w:lang w:val="es-ES"/>
        </w:rPr>
        <w:t>214.</w:t>
      </w:r>
    </w:p>
  </w:footnote>
  <w:footnote w:id="30">
    <w:p w14:paraId="6EA440E0" w14:textId="49A1285C" w:rsidR="00873D49" w:rsidRPr="006E3733" w:rsidRDefault="00873D49" w:rsidP="004A0895">
      <w:pPr>
        <w:pStyle w:val="FootnoteText"/>
        <w:jc w:val="both"/>
        <w:rPr>
          <w:rFonts w:asciiTheme="majorHAnsi" w:hAnsiTheme="majorHAnsi"/>
          <w:color w:val="auto"/>
          <w:sz w:val="16"/>
          <w:szCs w:val="16"/>
          <w:lang w:val="es-US"/>
        </w:rPr>
      </w:pPr>
      <w:r w:rsidRPr="004A0895">
        <w:rPr>
          <w:rStyle w:val="FootnoteReference"/>
          <w:rFonts w:asciiTheme="majorHAnsi" w:hAnsiTheme="majorHAnsi"/>
          <w:color w:val="auto"/>
          <w:sz w:val="16"/>
          <w:szCs w:val="16"/>
        </w:rPr>
        <w:footnoteRef/>
      </w:r>
      <w:r w:rsidRPr="004621D7">
        <w:rPr>
          <w:rFonts w:asciiTheme="majorHAnsi" w:hAnsiTheme="majorHAnsi"/>
          <w:color w:val="auto"/>
          <w:sz w:val="16"/>
          <w:szCs w:val="16"/>
          <w:lang w:val="es-ES"/>
        </w:rPr>
        <w:t xml:space="preserve"> El Artículo XVIII de la Declaración Americana </w:t>
      </w:r>
      <w:r>
        <w:rPr>
          <w:rFonts w:asciiTheme="majorHAnsi" w:hAnsiTheme="majorHAnsi"/>
          <w:color w:val="auto"/>
          <w:sz w:val="16"/>
          <w:szCs w:val="16"/>
          <w:lang w:val="es-ES"/>
        </w:rPr>
        <w:t xml:space="preserve">establece: </w:t>
      </w:r>
      <w:r w:rsidRPr="004621D7">
        <w:rPr>
          <w:rFonts w:asciiTheme="majorHAnsi" w:hAnsiTheme="majorHAnsi"/>
          <w:color w:val="auto"/>
          <w:sz w:val="16"/>
          <w:szCs w:val="16"/>
          <w:lang w:val="es-ES"/>
        </w:rPr>
        <w:t>Toda persona puede ocurrir a los tribunales para hacer valer sus derechos.  Asimismo</w:t>
      </w:r>
      <w:r>
        <w:rPr>
          <w:rFonts w:asciiTheme="majorHAnsi" w:hAnsiTheme="majorHAnsi"/>
          <w:color w:val="auto"/>
          <w:sz w:val="16"/>
          <w:szCs w:val="16"/>
          <w:lang w:val="es-ES"/>
        </w:rPr>
        <w:t>,</w:t>
      </w:r>
      <w:r w:rsidRPr="004621D7">
        <w:rPr>
          <w:rFonts w:asciiTheme="majorHAnsi" w:hAnsiTheme="majorHAnsi"/>
          <w:color w:val="auto"/>
          <w:sz w:val="16"/>
          <w:szCs w:val="16"/>
          <w:lang w:val="es-ES"/>
        </w:rPr>
        <w:t xml:space="preserve"> debe disponer de un procedimiento sencillo y breve por el cual la justicia lo ampare contra actos de la autoridad que violen, en perjuicio suyo, alguno de los derechos fundamentales consagrados constitucionalmente.</w:t>
      </w:r>
    </w:p>
  </w:footnote>
  <w:footnote w:id="31">
    <w:p w14:paraId="2E59CC7C" w14:textId="77777777" w:rsidR="00873D49" w:rsidRPr="006E3733" w:rsidRDefault="00873D49" w:rsidP="004A0895">
      <w:pPr>
        <w:pStyle w:val="FootnoteText"/>
        <w:jc w:val="both"/>
        <w:rPr>
          <w:rFonts w:asciiTheme="majorHAnsi" w:hAnsiTheme="majorHAnsi"/>
          <w:color w:val="auto"/>
          <w:sz w:val="16"/>
          <w:szCs w:val="16"/>
          <w:lang w:val="es-US"/>
        </w:rPr>
      </w:pPr>
      <w:r w:rsidRPr="004A0895">
        <w:rPr>
          <w:rStyle w:val="FootnoteReference"/>
          <w:rFonts w:asciiTheme="majorHAnsi" w:hAnsiTheme="majorHAnsi"/>
          <w:color w:val="auto"/>
          <w:sz w:val="16"/>
          <w:szCs w:val="16"/>
        </w:rPr>
        <w:footnoteRef/>
      </w:r>
      <w:r w:rsidRPr="004B16F9">
        <w:rPr>
          <w:rStyle w:val="FootnoteReference"/>
          <w:rFonts w:asciiTheme="majorHAnsi" w:hAnsiTheme="majorHAnsi"/>
          <w:color w:val="auto"/>
          <w:sz w:val="16"/>
          <w:szCs w:val="16"/>
          <w:lang w:val="es-ES"/>
        </w:rPr>
        <w:t xml:space="preserve"> </w:t>
      </w:r>
      <w:r w:rsidRPr="004B16F9">
        <w:rPr>
          <w:rFonts w:asciiTheme="majorHAnsi" w:hAnsiTheme="majorHAnsi"/>
          <w:color w:val="auto"/>
          <w:sz w:val="16"/>
          <w:szCs w:val="16"/>
          <w:lang w:val="es-ES"/>
        </w:rPr>
        <w:t>El Artículo XXIV de la Declaración Americana establece: Toda persona tiene derecho de presentar peticiones respetuosas a cualquiera autoridad competente, ya sea por motivo de interés general, ya de interés particular, y el de obtener pronta resolución.</w:t>
      </w:r>
    </w:p>
  </w:footnote>
  <w:footnote w:id="32">
    <w:p w14:paraId="4606754E" w14:textId="77777777" w:rsidR="00873D49" w:rsidRPr="004B16F9" w:rsidRDefault="00873D49" w:rsidP="004B16F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4B16F9">
        <w:rPr>
          <w:rFonts w:asciiTheme="majorHAnsi" w:hAnsiTheme="majorHAnsi"/>
          <w:color w:val="auto"/>
          <w:sz w:val="16"/>
          <w:szCs w:val="16"/>
          <w:lang w:val="es-ES"/>
        </w:rPr>
        <w:t xml:space="preserve"> El Artículo XXVI de la Declaración Americana </w:t>
      </w:r>
      <w:r>
        <w:rPr>
          <w:rFonts w:asciiTheme="majorHAnsi" w:hAnsiTheme="majorHAnsi"/>
          <w:color w:val="auto"/>
          <w:sz w:val="16"/>
          <w:szCs w:val="16"/>
          <w:lang w:val="es-ES"/>
        </w:rPr>
        <w:t>establece:</w:t>
      </w:r>
      <w:r w:rsidRPr="004B16F9">
        <w:rPr>
          <w:lang w:val="es-ES"/>
        </w:rPr>
        <w:t xml:space="preserve"> </w:t>
      </w:r>
      <w:r w:rsidRPr="004B16F9">
        <w:rPr>
          <w:rFonts w:asciiTheme="majorHAnsi" w:hAnsiTheme="majorHAnsi"/>
          <w:color w:val="auto"/>
          <w:sz w:val="16"/>
          <w:szCs w:val="16"/>
          <w:lang w:val="es-ES"/>
        </w:rPr>
        <w:t>Se presume que todo acusado es inocente, hasta que se pruebe que es culpable.</w:t>
      </w:r>
    </w:p>
    <w:p w14:paraId="00CF1D63" w14:textId="62D30F80" w:rsidR="00873D49" w:rsidRPr="006E3733" w:rsidRDefault="00873D49" w:rsidP="004A0895">
      <w:pPr>
        <w:pStyle w:val="FootnoteText"/>
        <w:jc w:val="both"/>
        <w:rPr>
          <w:rFonts w:asciiTheme="majorHAnsi" w:hAnsiTheme="majorHAnsi"/>
          <w:color w:val="auto"/>
          <w:sz w:val="16"/>
          <w:szCs w:val="16"/>
          <w:lang w:val="es-US"/>
        </w:rPr>
      </w:pPr>
      <w:r w:rsidRPr="004B16F9">
        <w:rPr>
          <w:rFonts w:asciiTheme="majorHAnsi" w:hAnsiTheme="majorHAnsi"/>
          <w:color w:val="auto"/>
          <w:sz w:val="16"/>
          <w:szCs w:val="16"/>
          <w:lang w:val="es-ES"/>
        </w:rPr>
        <w:t>Toda persona acusada de delito tiene derecho a ser oída en forma imparcial y pública, a ser juzgada por tribunales anteriormente establecidos de acuerdo con leyes preexistentes y a que no se le imponga penas crueles, infamantes o inusitadas</w:t>
      </w:r>
      <w:r w:rsidR="00C34A87">
        <w:rPr>
          <w:rFonts w:asciiTheme="majorHAnsi" w:hAnsiTheme="majorHAnsi"/>
          <w:color w:val="auto"/>
          <w:sz w:val="16"/>
          <w:szCs w:val="16"/>
          <w:lang w:val="es-ES"/>
        </w:rPr>
        <w:t>.</w:t>
      </w:r>
    </w:p>
  </w:footnote>
  <w:footnote w:id="33">
    <w:p w14:paraId="24A70F98" w14:textId="77777777" w:rsidR="00873D49" w:rsidRPr="006E3733" w:rsidRDefault="00873D49" w:rsidP="00BC71C5">
      <w:pPr>
        <w:pStyle w:val="FootnoteText"/>
        <w:jc w:val="both"/>
        <w:rPr>
          <w:rFonts w:asciiTheme="majorHAnsi" w:hAnsiTheme="majorHAnsi"/>
          <w:color w:val="auto"/>
          <w:sz w:val="16"/>
          <w:szCs w:val="16"/>
          <w:lang w:val="es-US"/>
        </w:rPr>
      </w:pPr>
      <w:r w:rsidRPr="004A0895">
        <w:rPr>
          <w:rStyle w:val="FootnoteReference"/>
          <w:rFonts w:asciiTheme="majorHAnsi" w:hAnsiTheme="majorHAnsi" w:cs="Arial"/>
          <w:color w:val="auto"/>
          <w:sz w:val="16"/>
          <w:szCs w:val="16"/>
        </w:rPr>
        <w:footnoteRef/>
      </w:r>
      <w:r w:rsidRPr="006E3733">
        <w:rPr>
          <w:rFonts w:asciiTheme="majorHAnsi" w:hAnsiTheme="majorHAnsi" w:cs="Arial"/>
          <w:color w:val="auto"/>
          <w:sz w:val="16"/>
          <w:szCs w:val="16"/>
          <w:lang w:val="es-US"/>
        </w:rPr>
        <w:t xml:space="preserve"> CIDH, </w:t>
      </w:r>
      <w:r w:rsidRPr="006E3733">
        <w:rPr>
          <w:rFonts w:asciiTheme="majorHAnsi" w:hAnsiTheme="majorHAnsi" w:cs="Arial"/>
          <w:bCs/>
          <w:color w:val="auto"/>
          <w:sz w:val="16"/>
          <w:szCs w:val="16"/>
          <w:lang w:val="es-US"/>
        </w:rPr>
        <w:t>Informe No. 90/09</w:t>
      </w:r>
      <w:r w:rsidRPr="006E3733">
        <w:rPr>
          <w:rFonts w:asciiTheme="majorHAnsi" w:hAnsiTheme="majorHAnsi" w:cs="Arial"/>
          <w:color w:val="auto"/>
          <w:sz w:val="16"/>
          <w:szCs w:val="16"/>
          <w:lang w:val="es-US"/>
        </w:rPr>
        <w:t xml:space="preserve">, Caso 12.644, Admisibilidad y Fondo (Publicación), Medellín, Ramírez </w:t>
      </w:r>
      <w:proofErr w:type="spellStart"/>
      <w:r w:rsidRPr="006E3733">
        <w:rPr>
          <w:rFonts w:asciiTheme="majorHAnsi" w:hAnsiTheme="majorHAnsi" w:cs="Arial"/>
          <w:color w:val="auto"/>
          <w:sz w:val="16"/>
          <w:szCs w:val="16"/>
          <w:lang w:val="es-US"/>
        </w:rPr>
        <w:t>Cardenas</w:t>
      </w:r>
      <w:proofErr w:type="spellEnd"/>
      <w:r w:rsidRPr="006E3733">
        <w:rPr>
          <w:rFonts w:asciiTheme="majorHAnsi" w:hAnsiTheme="majorHAnsi" w:cs="Arial"/>
          <w:color w:val="auto"/>
          <w:sz w:val="16"/>
          <w:szCs w:val="16"/>
          <w:lang w:val="es-US"/>
        </w:rPr>
        <w:t xml:space="preserve"> </w:t>
      </w:r>
      <w:r>
        <w:rPr>
          <w:rFonts w:asciiTheme="majorHAnsi" w:hAnsiTheme="majorHAnsi" w:cs="Arial"/>
          <w:color w:val="auto"/>
          <w:sz w:val="16"/>
          <w:szCs w:val="16"/>
          <w:lang w:val="es-ES"/>
        </w:rPr>
        <w:t>y</w:t>
      </w:r>
      <w:r w:rsidRPr="006E3733">
        <w:rPr>
          <w:rFonts w:asciiTheme="majorHAnsi" w:hAnsiTheme="majorHAnsi" w:cs="Arial"/>
          <w:color w:val="auto"/>
          <w:sz w:val="16"/>
          <w:szCs w:val="16"/>
          <w:lang w:val="es-US"/>
        </w:rPr>
        <w:t xml:space="preserve"> Leal García, </w:t>
      </w:r>
      <w:r>
        <w:rPr>
          <w:rFonts w:asciiTheme="majorHAnsi" w:hAnsiTheme="majorHAnsi" w:cs="Arial"/>
          <w:color w:val="auto"/>
          <w:sz w:val="16"/>
          <w:szCs w:val="16"/>
          <w:lang w:val="es-ES"/>
        </w:rPr>
        <w:t>Estados Unidos</w:t>
      </w:r>
      <w:r w:rsidRPr="006E3733">
        <w:rPr>
          <w:rFonts w:asciiTheme="majorHAnsi" w:hAnsiTheme="majorHAnsi" w:cs="Arial"/>
          <w:color w:val="auto"/>
          <w:sz w:val="16"/>
          <w:szCs w:val="16"/>
          <w:lang w:val="es-US"/>
        </w:rPr>
        <w:t>,</w:t>
      </w:r>
      <w:r>
        <w:rPr>
          <w:rFonts w:asciiTheme="majorHAnsi" w:hAnsiTheme="majorHAnsi" w:cs="Arial"/>
          <w:color w:val="auto"/>
          <w:sz w:val="16"/>
          <w:szCs w:val="16"/>
          <w:lang w:val="es-ES"/>
        </w:rPr>
        <w:t xml:space="preserve"> 7 de agosto de 2009</w:t>
      </w:r>
      <w:r w:rsidRPr="006E3733">
        <w:rPr>
          <w:rFonts w:asciiTheme="majorHAnsi" w:hAnsiTheme="majorHAnsi" w:cs="Arial"/>
          <w:color w:val="auto"/>
          <w:sz w:val="16"/>
          <w:szCs w:val="16"/>
          <w:lang w:val="es-US"/>
        </w:rPr>
        <w:t>, par</w:t>
      </w:r>
      <w:r>
        <w:rPr>
          <w:rFonts w:asciiTheme="majorHAnsi" w:hAnsiTheme="majorHAnsi" w:cs="Arial"/>
          <w:color w:val="auto"/>
          <w:sz w:val="16"/>
          <w:szCs w:val="16"/>
          <w:lang w:val="es-ES"/>
        </w:rPr>
        <w:t>r</w:t>
      </w:r>
      <w:r w:rsidRPr="006E3733">
        <w:rPr>
          <w:rFonts w:asciiTheme="majorHAnsi" w:hAnsiTheme="majorHAnsi" w:cs="Arial"/>
          <w:color w:val="auto"/>
          <w:sz w:val="16"/>
          <w:szCs w:val="16"/>
          <w:lang w:val="es-US"/>
        </w:rPr>
        <w:t>s</w:t>
      </w:r>
      <w:r>
        <w:rPr>
          <w:rFonts w:asciiTheme="majorHAnsi" w:hAnsiTheme="majorHAnsi" w:cs="Arial"/>
          <w:color w:val="auto"/>
          <w:sz w:val="16"/>
          <w:szCs w:val="16"/>
          <w:lang w:val="es-ES"/>
        </w:rPr>
        <w:t>.</w:t>
      </w:r>
      <w:r w:rsidRPr="006E3733">
        <w:rPr>
          <w:rFonts w:asciiTheme="majorHAnsi" w:hAnsiTheme="majorHAnsi" w:cs="Arial"/>
          <w:color w:val="auto"/>
          <w:sz w:val="16"/>
          <w:szCs w:val="16"/>
          <w:lang w:val="es-US"/>
        </w:rPr>
        <w:t xml:space="preserve"> 124-132. Véase también, CIDH, Informe No. 91/05 (Javier Suarez Medina), Estados Unidos, Informe Anual 2005 de la CIDH; Informe No. 1/05 (Roberto Moreno Ramos), Estados Unidos, </w:t>
      </w:r>
      <w:r>
        <w:rPr>
          <w:rFonts w:asciiTheme="majorHAnsi" w:hAnsiTheme="majorHAnsi" w:cs="Arial"/>
          <w:color w:val="auto"/>
          <w:sz w:val="16"/>
          <w:szCs w:val="16"/>
          <w:lang w:val="es-ES"/>
        </w:rPr>
        <w:t>Informe Anual 2005 de la CIDH</w:t>
      </w:r>
      <w:r w:rsidRPr="006E3733">
        <w:rPr>
          <w:rFonts w:asciiTheme="majorHAnsi" w:hAnsiTheme="majorHAnsi" w:cs="Arial"/>
          <w:color w:val="auto"/>
          <w:sz w:val="16"/>
          <w:szCs w:val="16"/>
          <w:lang w:val="es-US"/>
        </w:rPr>
        <w:t xml:space="preserve">; </w:t>
      </w:r>
      <w:proofErr w:type="spellStart"/>
      <w:r>
        <w:rPr>
          <w:rFonts w:asciiTheme="majorHAnsi" w:hAnsiTheme="majorHAnsi" w:cs="Arial"/>
          <w:color w:val="auto"/>
          <w:sz w:val="16"/>
          <w:szCs w:val="16"/>
          <w:lang w:val="es-ES"/>
        </w:rPr>
        <w:t>y</w:t>
      </w:r>
      <w:proofErr w:type="spellEnd"/>
      <w:r w:rsidRPr="006E3733">
        <w:rPr>
          <w:rFonts w:asciiTheme="majorHAnsi" w:hAnsiTheme="majorHAnsi" w:cs="Arial"/>
          <w:color w:val="auto"/>
          <w:sz w:val="16"/>
          <w:szCs w:val="16"/>
          <w:lang w:val="es-US"/>
        </w:rPr>
        <w:t xml:space="preserve"> </w:t>
      </w:r>
      <w:r>
        <w:rPr>
          <w:rFonts w:asciiTheme="majorHAnsi" w:hAnsiTheme="majorHAnsi" w:cs="Arial"/>
          <w:color w:val="auto"/>
          <w:sz w:val="16"/>
          <w:szCs w:val="16"/>
          <w:lang w:val="es-ES"/>
        </w:rPr>
        <w:t>Informe</w:t>
      </w:r>
      <w:r w:rsidRPr="006E3733">
        <w:rPr>
          <w:rFonts w:asciiTheme="majorHAnsi" w:hAnsiTheme="majorHAnsi" w:cs="Arial"/>
          <w:color w:val="auto"/>
          <w:sz w:val="16"/>
          <w:szCs w:val="16"/>
          <w:lang w:val="es-US"/>
        </w:rPr>
        <w:t xml:space="preserve"> 52/02, Cas</w:t>
      </w:r>
      <w:r>
        <w:rPr>
          <w:rFonts w:asciiTheme="majorHAnsi" w:hAnsiTheme="majorHAnsi" w:cs="Arial"/>
          <w:color w:val="auto"/>
          <w:sz w:val="16"/>
          <w:szCs w:val="16"/>
          <w:lang w:val="es-ES"/>
        </w:rPr>
        <w:t>o</w:t>
      </w:r>
      <w:r w:rsidRPr="006E3733">
        <w:rPr>
          <w:rFonts w:asciiTheme="majorHAnsi" w:hAnsiTheme="majorHAnsi" w:cs="Arial"/>
          <w:color w:val="auto"/>
          <w:sz w:val="16"/>
          <w:szCs w:val="16"/>
          <w:lang w:val="es-US"/>
        </w:rPr>
        <w:t xml:space="preserve"> 11.753 (Ramón Martinez Villarreal),</w:t>
      </w:r>
      <w:r>
        <w:rPr>
          <w:rFonts w:asciiTheme="majorHAnsi" w:hAnsiTheme="majorHAnsi" w:cs="Arial"/>
          <w:color w:val="auto"/>
          <w:sz w:val="16"/>
          <w:szCs w:val="16"/>
          <w:lang w:val="es-ES"/>
        </w:rPr>
        <w:t xml:space="preserve"> Estados Unidos, Informe Anual 2002 de la CIDH</w:t>
      </w:r>
      <w:r w:rsidRPr="006E3733">
        <w:rPr>
          <w:rFonts w:asciiTheme="majorHAnsi" w:hAnsiTheme="majorHAnsi" w:cs="Arial"/>
          <w:color w:val="auto"/>
          <w:sz w:val="16"/>
          <w:szCs w:val="16"/>
          <w:lang w:val="es-US"/>
        </w:rPr>
        <w:t>.</w:t>
      </w:r>
    </w:p>
  </w:footnote>
  <w:footnote w:id="34">
    <w:p w14:paraId="380E0FA4" w14:textId="0F78D21F" w:rsidR="00873D49" w:rsidRPr="00E36893" w:rsidRDefault="00873D49" w:rsidP="004A0895">
      <w:pPr>
        <w:jc w:val="both"/>
        <w:rPr>
          <w:rFonts w:asciiTheme="majorHAnsi" w:eastAsia="Times New Roman" w:hAnsiTheme="majorHAnsi" w:cs="Tahoma"/>
          <w:sz w:val="16"/>
          <w:szCs w:val="16"/>
          <w:lang w:val="es-ES"/>
        </w:rPr>
      </w:pPr>
      <w:r w:rsidRPr="004A0895">
        <w:rPr>
          <w:rStyle w:val="FootnoteReference"/>
          <w:rFonts w:asciiTheme="majorHAnsi" w:eastAsia="Calibri" w:hAnsiTheme="majorHAnsi" w:cs="Arial"/>
          <w:sz w:val="16"/>
          <w:szCs w:val="16"/>
          <w:u w:color="000000"/>
          <w:lang w:eastAsia="es-ES"/>
        </w:rPr>
        <w:footnoteRef/>
      </w:r>
      <w:r w:rsidRPr="004B16F9">
        <w:rPr>
          <w:rStyle w:val="FootnoteReference"/>
          <w:rFonts w:asciiTheme="majorHAnsi" w:eastAsia="Calibri" w:hAnsiTheme="majorHAnsi" w:cs="Arial"/>
          <w:sz w:val="16"/>
          <w:szCs w:val="16"/>
          <w:u w:color="000000"/>
          <w:lang w:val="es-ES" w:eastAsia="es-ES"/>
        </w:rPr>
        <w:t xml:space="preserve"> </w:t>
      </w:r>
      <w:r w:rsidRPr="004B16F9">
        <w:rPr>
          <w:rFonts w:asciiTheme="majorHAnsi" w:eastAsia="Calibri" w:hAnsiTheme="majorHAnsi" w:cs="Arial"/>
          <w:sz w:val="16"/>
          <w:szCs w:val="16"/>
          <w:u w:color="000000"/>
          <w:lang w:val="es-ES" w:eastAsia="es-ES"/>
        </w:rPr>
        <w:t xml:space="preserve">Corte IDH. El derecho a la información sobre la asistencia consular en el marco de las garantías del debido proceso legal. </w:t>
      </w:r>
      <w:r w:rsidRPr="00E36893">
        <w:rPr>
          <w:rFonts w:asciiTheme="majorHAnsi" w:eastAsia="Calibri" w:hAnsiTheme="majorHAnsi" w:cs="Arial"/>
          <w:sz w:val="16"/>
          <w:szCs w:val="16"/>
          <w:u w:color="000000"/>
          <w:lang w:val="es-ES" w:eastAsia="es-ES"/>
        </w:rPr>
        <w:t xml:space="preserve">Opinión Consultiva OC-16/99 de 1 de octubre de 1999. Serie A No. 16, </w:t>
      </w:r>
      <w:r w:rsidR="00C34A87" w:rsidRPr="00E36893">
        <w:rPr>
          <w:rFonts w:asciiTheme="majorHAnsi" w:eastAsia="Calibri" w:hAnsiTheme="majorHAnsi" w:cs="Arial"/>
          <w:sz w:val="16"/>
          <w:szCs w:val="16"/>
          <w:u w:color="000000"/>
          <w:lang w:val="es-ES" w:eastAsia="es-ES"/>
        </w:rPr>
        <w:t>párr.</w:t>
      </w:r>
      <w:r w:rsidRPr="00E36893">
        <w:rPr>
          <w:rFonts w:asciiTheme="majorHAnsi" w:eastAsia="Calibri" w:hAnsiTheme="majorHAnsi" w:cs="Arial"/>
          <w:bCs/>
          <w:sz w:val="16"/>
          <w:szCs w:val="16"/>
          <w:u w:color="000000"/>
          <w:lang w:val="es-ES" w:eastAsia="es-ES"/>
        </w:rPr>
        <w:t xml:space="preserve"> 81.</w:t>
      </w:r>
    </w:p>
  </w:footnote>
  <w:footnote w:id="35">
    <w:p w14:paraId="0E7AC842" w14:textId="4932DEBF" w:rsidR="00873D49" w:rsidRPr="00E36893" w:rsidRDefault="00873D49" w:rsidP="004A0895">
      <w:pPr>
        <w:pStyle w:val="FootnoteText"/>
        <w:jc w:val="both"/>
        <w:rPr>
          <w:rFonts w:asciiTheme="majorHAnsi" w:hAnsiTheme="majorHAnsi"/>
          <w:color w:val="auto"/>
          <w:sz w:val="16"/>
          <w:szCs w:val="16"/>
          <w:lang w:val="es-ES"/>
        </w:rPr>
      </w:pPr>
      <w:r w:rsidRPr="004A0895">
        <w:rPr>
          <w:rStyle w:val="FootnoteReference"/>
          <w:rFonts w:asciiTheme="majorHAnsi" w:hAnsiTheme="majorHAnsi" w:cs="Arial"/>
          <w:color w:val="auto"/>
          <w:sz w:val="16"/>
          <w:szCs w:val="16"/>
        </w:rPr>
        <w:footnoteRef/>
      </w:r>
      <w:r w:rsidRPr="00E36893">
        <w:rPr>
          <w:rFonts w:asciiTheme="majorHAnsi" w:hAnsiTheme="majorHAnsi" w:cs="Arial"/>
          <w:color w:val="auto"/>
          <w:sz w:val="16"/>
          <w:szCs w:val="16"/>
          <w:lang w:val="es-ES"/>
        </w:rPr>
        <w:t xml:space="preserve"> American Bar </w:t>
      </w:r>
      <w:proofErr w:type="spellStart"/>
      <w:r w:rsidRPr="00E36893">
        <w:rPr>
          <w:rFonts w:asciiTheme="majorHAnsi" w:hAnsiTheme="majorHAnsi" w:cs="Arial"/>
          <w:color w:val="auto"/>
          <w:sz w:val="16"/>
          <w:szCs w:val="16"/>
          <w:lang w:val="es-ES"/>
        </w:rPr>
        <w:t>Association</w:t>
      </w:r>
      <w:proofErr w:type="spellEnd"/>
      <w:r w:rsidRPr="00E36893">
        <w:rPr>
          <w:rFonts w:asciiTheme="majorHAnsi" w:hAnsiTheme="majorHAnsi" w:cs="Arial"/>
          <w:color w:val="auto"/>
          <w:sz w:val="16"/>
          <w:szCs w:val="16"/>
          <w:lang w:val="es-ES"/>
        </w:rPr>
        <w:t xml:space="preserve">, </w:t>
      </w:r>
      <w:proofErr w:type="spellStart"/>
      <w:r w:rsidRPr="00E36893">
        <w:rPr>
          <w:rFonts w:asciiTheme="majorHAnsi" w:hAnsiTheme="majorHAnsi" w:cs="Arial"/>
          <w:i/>
          <w:iCs/>
          <w:color w:val="auto"/>
          <w:sz w:val="16"/>
          <w:szCs w:val="16"/>
          <w:lang w:val="es-ES"/>
        </w:rPr>
        <w:t>Guidelines</w:t>
      </w:r>
      <w:proofErr w:type="spellEnd"/>
      <w:r w:rsidRPr="00E36893">
        <w:rPr>
          <w:rFonts w:asciiTheme="majorHAnsi" w:hAnsiTheme="majorHAnsi" w:cs="Arial"/>
          <w:i/>
          <w:iCs/>
          <w:color w:val="auto"/>
          <w:sz w:val="16"/>
          <w:szCs w:val="16"/>
          <w:lang w:val="es-ES"/>
        </w:rPr>
        <w:t xml:space="preserve"> </w:t>
      </w:r>
      <w:proofErr w:type="spellStart"/>
      <w:r w:rsidRPr="00E36893">
        <w:rPr>
          <w:rFonts w:asciiTheme="majorHAnsi" w:hAnsiTheme="majorHAnsi" w:cs="Arial"/>
          <w:i/>
          <w:iCs/>
          <w:color w:val="auto"/>
          <w:sz w:val="16"/>
          <w:szCs w:val="16"/>
          <w:lang w:val="es-ES"/>
        </w:rPr>
        <w:t>for</w:t>
      </w:r>
      <w:proofErr w:type="spellEnd"/>
      <w:r w:rsidRPr="00E36893">
        <w:rPr>
          <w:rFonts w:asciiTheme="majorHAnsi" w:hAnsiTheme="majorHAnsi" w:cs="Arial"/>
          <w:i/>
          <w:iCs/>
          <w:color w:val="auto"/>
          <w:sz w:val="16"/>
          <w:szCs w:val="16"/>
          <w:lang w:val="es-ES"/>
        </w:rPr>
        <w:t xml:space="preserve"> </w:t>
      </w:r>
      <w:proofErr w:type="spellStart"/>
      <w:r w:rsidRPr="00E36893">
        <w:rPr>
          <w:rFonts w:asciiTheme="majorHAnsi" w:hAnsiTheme="majorHAnsi" w:cs="Arial"/>
          <w:i/>
          <w:iCs/>
          <w:color w:val="auto"/>
          <w:sz w:val="16"/>
          <w:szCs w:val="16"/>
          <w:lang w:val="es-ES"/>
        </w:rPr>
        <w:t>the</w:t>
      </w:r>
      <w:proofErr w:type="spellEnd"/>
      <w:r w:rsidRPr="00E36893">
        <w:rPr>
          <w:rFonts w:asciiTheme="majorHAnsi" w:hAnsiTheme="majorHAnsi" w:cs="Arial"/>
          <w:i/>
          <w:iCs/>
          <w:color w:val="auto"/>
          <w:sz w:val="16"/>
          <w:szCs w:val="16"/>
          <w:lang w:val="es-ES"/>
        </w:rPr>
        <w:t xml:space="preserve"> </w:t>
      </w:r>
      <w:proofErr w:type="spellStart"/>
      <w:r w:rsidRPr="00E36893">
        <w:rPr>
          <w:rFonts w:asciiTheme="majorHAnsi" w:hAnsiTheme="majorHAnsi" w:cs="Arial"/>
          <w:i/>
          <w:iCs/>
          <w:color w:val="auto"/>
          <w:sz w:val="16"/>
          <w:szCs w:val="16"/>
          <w:lang w:val="es-ES"/>
        </w:rPr>
        <w:t>Appointment</w:t>
      </w:r>
      <w:proofErr w:type="spellEnd"/>
      <w:r w:rsidRPr="00E36893">
        <w:rPr>
          <w:rFonts w:asciiTheme="majorHAnsi" w:hAnsiTheme="majorHAnsi" w:cs="Arial"/>
          <w:i/>
          <w:iCs/>
          <w:color w:val="auto"/>
          <w:sz w:val="16"/>
          <w:szCs w:val="16"/>
          <w:lang w:val="es-ES"/>
        </w:rPr>
        <w:t xml:space="preserve"> and Performance of Defense </w:t>
      </w:r>
      <w:proofErr w:type="spellStart"/>
      <w:r w:rsidRPr="00E36893">
        <w:rPr>
          <w:rFonts w:asciiTheme="majorHAnsi" w:hAnsiTheme="majorHAnsi" w:cs="Arial"/>
          <w:i/>
          <w:iCs/>
          <w:color w:val="auto"/>
          <w:sz w:val="16"/>
          <w:szCs w:val="16"/>
          <w:lang w:val="es-ES"/>
        </w:rPr>
        <w:t>Counsel</w:t>
      </w:r>
      <w:proofErr w:type="spellEnd"/>
      <w:r w:rsidRPr="00E36893">
        <w:rPr>
          <w:rFonts w:asciiTheme="majorHAnsi" w:hAnsiTheme="majorHAnsi" w:cs="Arial"/>
          <w:i/>
          <w:iCs/>
          <w:color w:val="auto"/>
          <w:sz w:val="16"/>
          <w:szCs w:val="16"/>
          <w:lang w:val="es-ES"/>
        </w:rPr>
        <w:t xml:space="preserve"> in </w:t>
      </w:r>
      <w:proofErr w:type="spellStart"/>
      <w:r w:rsidRPr="00E36893">
        <w:rPr>
          <w:rFonts w:asciiTheme="majorHAnsi" w:hAnsiTheme="majorHAnsi" w:cs="Arial"/>
          <w:i/>
          <w:iCs/>
          <w:color w:val="auto"/>
          <w:sz w:val="16"/>
          <w:szCs w:val="16"/>
          <w:lang w:val="es-ES"/>
        </w:rPr>
        <w:t>Death</w:t>
      </w:r>
      <w:proofErr w:type="spellEnd"/>
      <w:r w:rsidRPr="00E36893">
        <w:rPr>
          <w:rFonts w:asciiTheme="majorHAnsi" w:hAnsiTheme="majorHAnsi" w:cs="Arial"/>
          <w:i/>
          <w:iCs/>
          <w:color w:val="auto"/>
          <w:sz w:val="16"/>
          <w:szCs w:val="16"/>
          <w:lang w:val="es-ES"/>
        </w:rPr>
        <w:t xml:space="preserve"> </w:t>
      </w:r>
      <w:proofErr w:type="spellStart"/>
      <w:r w:rsidRPr="00E36893">
        <w:rPr>
          <w:rFonts w:asciiTheme="majorHAnsi" w:hAnsiTheme="majorHAnsi" w:cs="Arial"/>
          <w:i/>
          <w:iCs/>
          <w:color w:val="auto"/>
          <w:sz w:val="16"/>
          <w:szCs w:val="16"/>
          <w:lang w:val="es-ES"/>
        </w:rPr>
        <w:t>Penalty</w:t>
      </w:r>
      <w:proofErr w:type="spellEnd"/>
      <w:r w:rsidRPr="00E36893">
        <w:rPr>
          <w:rFonts w:asciiTheme="majorHAnsi" w:hAnsiTheme="majorHAnsi" w:cs="Arial"/>
          <w:i/>
          <w:iCs/>
          <w:color w:val="auto"/>
          <w:sz w:val="16"/>
          <w:szCs w:val="16"/>
          <w:lang w:val="es-ES"/>
        </w:rPr>
        <w:t xml:space="preserve"> Cases</w:t>
      </w:r>
      <w:r w:rsidRPr="00E36893">
        <w:rPr>
          <w:rFonts w:asciiTheme="majorHAnsi" w:hAnsiTheme="majorHAnsi" w:cs="Arial"/>
          <w:color w:val="auto"/>
          <w:sz w:val="16"/>
          <w:szCs w:val="16"/>
          <w:lang w:val="es-ES"/>
        </w:rPr>
        <w:t xml:space="preserve"> (</w:t>
      </w:r>
      <w:proofErr w:type="spellStart"/>
      <w:r w:rsidRPr="00E36893">
        <w:rPr>
          <w:rFonts w:asciiTheme="majorHAnsi" w:hAnsiTheme="majorHAnsi" w:cs="Arial"/>
          <w:color w:val="auto"/>
          <w:sz w:val="16"/>
          <w:szCs w:val="16"/>
          <w:lang w:val="es-ES"/>
        </w:rPr>
        <w:t>Revised</w:t>
      </w:r>
      <w:proofErr w:type="spellEnd"/>
      <w:r w:rsidRPr="00E36893">
        <w:rPr>
          <w:rFonts w:asciiTheme="majorHAnsi" w:hAnsiTheme="majorHAnsi" w:cs="Arial"/>
          <w:color w:val="auto"/>
          <w:sz w:val="16"/>
          <w:szCs w:val="16"/>
          <w:lang w:val="es-ES"/>
        </w:rPr>
        <w:t xml:space="preserve"> </w:t>
      </w:r>
      <w:proofErr w:type="spellStart"/>
      <w:r w:rsidRPr="00E36893">
        <w:rPr>
          <w:rFonts w:asciiTheme="majorHAnsi" w:hAnsiTheme="majorHAnsi" w:cs="Arial"/>
          <w:color w:val="auto"/>
          <w:sz w:val="16"/>
          <w:szCs w:val="16"/>
          <w:lang w:val="es-ES"/>
        </w:rPr>
        <w:t>Edition</w:t>
      </w:r>
      <w:proofErr w:type="spellEnd"/>
      <w:r w:rsidRPr="00E36893">
        <w:rPr>
          <w:rFonts w:asciiTheme="majorHAnsi" w:hAnsiTheme="majorHAnsi" w:cs="Arial"/>
          <w:color w:val="auto"/>
          <w:sz w:val="16"/>
          <w:szCs w:val="16"/>
          <w:lang w:val="es-ES"/>
        </w:rPr>
        <w:t>) (</w:t>
      </w:r>
      <w:proofErr w:type="gramStart"/>
      <w:r w:rsidRPr="00E36893">
        <w:rPr>
          <w:rFonts w:asciiTheme="majorHAnsi" w:hAnsiTheme="majorHAnsi" w:cs="Arial"/>
          <w:color w:val="auto"/>
          <w:sz w:val="16"/>
          <w:szCs w:val="16"/>
          <w:lang w:val="es-ES"/>
        </w:rPr>
        <w:t>Febrero</w:t>
      </w:r>
      <w:proofErr w:type="gramEnd"/>
      <w:r w:rsidRPr="00E36893">
        <w:rPr>
          <w:rFonts w:asciiTheme="majorHAnsi" w:hAnsiTheme="majorHAnsi" w:cs="Arial"/>
          <w:color w:val="auto"/>
          <w:sz w:val="16"/>
          <w:szCs w:val="16"/>
          <w:lang w:val="es-ES"/>
        </w:rPr>
        <w:t>, 2004), Directriz 10.6B “Obligaciones Adicionales de los Abogados que Representan a un Ciuda</w:t>
      </w:r>
      <w:r>
        <w:rPr>
          <w:rFonts w:asciiTheme="majorHAnsi" w:hAnsiTheme="majorHAnsi" w:cs="Arial"/>
          <w:color w:val="auto"/>
          <w:sz w:val="16"/>
          <w:szCs w:val="16"/>
          <w:lang w:val="es-ES"/>
        </w:rPr>
        <w:t>da</w:t>
      </w:r>
      <w:r w:rsidRPr="00E36893">
        <w:rPr>
          <w:rFonts w:asciiTheme="majorHAnsi" w:hAnsiTheme="majorHAnsi" w:cs="Arial"/>
          <w:color w:val="auto"/>
          <w:sz w:val="16"/>
          <w:szCs w:val="16"/>
          <w:lang w:val="es-ES"/>
        </w:rPr>
        <w:t>no Extranjero.”</w:t>
      </w:r>
    </w:p>
  </w:footnote>
  <w:footnote w:id="36">
    <w:p w14:paraId="1761344A" w14:textId="77777777" w:rsidR="00873D49" w:rsidRPr="004B16F9" w:rsidRDefault="00873D49" w:rsidP="008448B4">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4B16F9">
        <w:rPr>
          <w:rFonts w:asciiTheme="majorHAnsi" w:hAnsiTheme="majorHAnsi"/>
          <w:color w:val="auto"/>
          <w:sz w:val="16"/>
          <w:szCs w:val="16"/>
          <w:lang w:val="es-ES"/>
        </w:rPr>
        <w:t xml:space="preserve"> </w:t>
      </w:r>
      <w:r w:rsidRPr="006E3733">
        <w:rPr>
          <w:rFonts w:asciiTheme="majorHAnsi" w:hAnsiTheme="majorHAnsi" w:cs="Arial"/>
          <w:color w:val="auto"/>
          <w:sz w:val="16"/>
          <w:szCs w:val="16"/>
          <w:lang w:val="es-US"/>
        </w:rPr>
        <w:t xml:space="preserve">CIDH, </w:t>
      </w:r>
      <w:r w:rsidRPr="006E3733">
        <w:rPr>
          <w:rFonts w:asciiTheme="majorHAnsi" w:hAnsiTheme="majorHAnsi" w:cs="Arial"/>
          <w:bCs/>
          <w:color w:val="auto"/>
          <w:sz w:val="16"/>
          <w:szCs w:val="16"/>
          <w:lang w:val="es-US"/>
        </w:rPr>
        <w:t>Informe No. 90/09</w:t>
      </w:r>
      <w:r w:rsidRPr="006E3733">
        <w:rPr>
          <w:rFonts w:asciiTheme="majorHAnsi" w:hAnsiTheme="majorHAnsi" w:cs="Arial"/>
          <w:color w:val="auto"/>
          <w:sz w:val="16"/>
          <w:szCs w:val="16"/>
          <w:lang w:val="es-US"/>
        </w:rPr>
        <w:t xml:space="preserve">, Caso 12.644, Admisibilidad y Fondo (Publicación), Medellín, Ramírez </w:t>
      </w:r>
      <w:proofErr w:type="spellStart"/>
      <w:r w:rsidRPr="006E3733">
        <w:rPr>
          <w:rFonts w:asciiTheme="majorHAnsi" w:hAnsiTheme="majorHAnsi" w:cs="Arial"/>
          <w:color w:val="auto"/>
          <w:sz w:val="16"/>
          <w:szCs w:val="16"/>
          <w:lang w:val="es-US"/>
        </w:rPr>
        <w:t>Cardenas</w:t>
      </w:r>
      <w:proofErr w:type="spellEnd"/>
      <w:r w:rsidRPr="006E3733">
        <w:rPr>
          <w:rFonts w:asciiTheme="majorHAnsi" w:hAnsiTheme="majorHAnsi" w:cs="Arial"/>
          <w:color w:val="auto"/>
          <w:sz w:val="16"/>
          <w:szCs w:val="16"/>
          <w:lang w:val="es-US"/>
        </w:rPr>
        <w:t xml:space="preserve"> </w:t>
      </w:r>
      <w:r>
        <w:rPr>
          <w:rFonts w:asciiTheme="majorHAnsi" w:hAnsiTheme="majorHAnsi" w:cs="Arial"/>
          <w:color w:val="auto"/>
          <w:sz w:val="16"/>
          <w:szCs w:val="16"/>
          <w:lang w:val="es-ES"/>
        </w:rPr>
        <w:t>y</w:t>
      </w:r>
      <w:r w:rsidRPr="006E3733">
        <w:rPr>
          <w:rFonts w:asciiTheme="majorHAnsi" w:hAnsiTheme="majorHAnsi" w:cs="Arial"/>
          <w:color w:val="auto"/>
          <w:sz w:val="16"/>
          <w:szCs w:val="16"/>
          <w:lang w:val="es-US"/>
        </w:rPr>
        <w:t xml:space="preserve"> Leal García, </w:t>
      </w:r>
      <w:r>
        <w:rPr>
          <w:rFonts w:asciiTheme="majorHAnsi" w:hAnsiTheme="majorHAnsi" w:cs="Arial"/>
          <w:color w:val="auto"/>
          <w:sz w:val="16"/>
          <w:szCs w:val="16"/>
          <w:lang w:val="es-ES"/>
        </w:rPr>
        <w:t>Estados Unidos</w:t>
      </w:r>
      <w:r w:rsidRPr="006E3733">
        <w:rPr>
          <w:rFonts w:asciiTheme="majorHAnsi" w:hAnsiTheme="majorHAnsi" w:cs="Arial"/>
          <w:color w:val="auto"/>
          <w:sz w:val="16"/>
          <w:szCs w:val="16"/>
          <w:lang w:val="es-US"/>
        </w:rPr>
        <w:t>,</w:t>
      </w:r>
      <w:r>
        <w:rPr>
          <w:rFonts w:asciiTheme="majorHAnsi" w:hAnsiTheme="majorHAnsi" w:cs="Arial"/>
          <w:color w:val="auto"/>
          <w:sz w:val="16"/>
          <w:szCs w:val="16"/>
          <w:lang w:val="es-ES"/>
        </w:rPr>
        <w:t xml:space="preserve"> 7 de agosto de 2009.</w:t>
      </w:r>
    </w:p>
  </w:footnote>
  <w:footnote w:id="37">
    <w:p w14:paraId="071FCA16" w14:textId="2D8C58FE" w:rsidR="00873D49" w:rsidRPr="00E36893" w:rsidRDefault="00873D49" w:rsidP="008448B4">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4B16F9">
        <w:rPr>
          <w:rFonts w:asciiTheme="majorHAnsi" w:hAnsiTheme="majorHAnsi"/>
          <w:color w:val="auto"/>
          <w:sz w:val="16"/>
          <w:szCs w:val="16"/>
          <w:lang w:val="es-ES"/>
        </w:rPr>
        <w:t xml:space="preserve"> </w:t>
      </w:r>
      <w:r w:rsidRPr="004B16F9">
        <w:rPr>
          <w:rFonts w:asciiTheme="majorHAnsi" w:eastAsiaTheme="minorHAnsi" w:hAnsiTheme="majorHAnsi"/>
          <w:color w:val="auto"/>
          <w:sz w:val="16"/>
          <w:szCs w:val="16"/>
          <w:bdr w:val="none" w:sz="0" w:space="0" w:color="auto"/>
          <w:lang w:val="es-ES"/>
        </w:rPr>
        <w:t xml:space="preserve">CIDH, Caso No 12.023 (Desmond McKenzie y otros), Jamaica, Informe Anual 1999 de la CIDH, </w:t>
      </w:r>
      <w:r w:rsidR="00C34A87" w:rsidRPr="004B16F9">
        <w:rPr>
          <w:rFonts w:asciiTheme="majorHAnsi" w:eastAsiaTheme="minorHAnsi" w:hAnsiTheme="majorHAnsi"/>
          <w:color w:val="auto"/>
          <w:sz w:val="16"/>
          <w:szCs w:val="16"/>
          <w:bdr w:val="none" w:sz="0" w:space="0" w:color="auto"/>
          <w:lang w:val="es-ES"/>
        </w:rPr>
        <w:t>pár</w:t>
      </w:r>
      <w:r w:rsidR="00C34A87">
        <w:rPr>
          <w:rFonts w:asciiTheme="majorHAnsi" w:eastAsiaTheme="minorHAnsi" w:hAnsiTheme="majorHAnsi"/>
          <w:color w:val="auto"/>
          <w:sz w:val="16"/>
          <w:szCs w:val="16"/>
          <w:bdr w:val="none" w:sz="0" w:space="0" w:color="auto"/>
          <w:lang w:val="es-ES"/>
        </w:rPr>
        <w:t>r</w:t>
      </w:r>
      <w:r w:rsidR="00C34A87" w:rsidRPr="004B16F9">
        <w:rPr>
          <w:rFonts w:asciiTheme="majorHAnsi" w:eastAsiaTheme="minorHAnsi" w:hAnsiTheme="majorHAnsi"/>
          <w:color w:val="auto"/>
          <w:sz w:val="16"/>
          <w:szCs w:val="16"/>
          <w:bdr w:val="none" w:sz="0" w:space="0" w:color="auto"/>
          <w:lang w:val="es-ES"/>
        </w:rPr>
        <w:t>.</w:t>
      </w:r>
      <w:r w:rsidRPr="004B16F9">
        <w:rPr>
          <w:rFonts w:asciiTheme="majorHAnsi" w:eastAsiaTheme="minorHAnsi" w:hAnsiTheme="majorHAnsi"/>
          <w:color w:val="auto"/>
          <w:sz w:val="16"/>
          <w:szCs w:val="16"/>
          <w:bdr w:val="none" w:sz="0" w:space="0" w:color="auto"/>
          <w:lang w:val="es-ES"/>
        </w:rPr>
        <w:t xml:space="preserve"> 228; Caso No 12.067 (Michael Edwards y otros), Las Bahamas, Informe Anual</w:t>
      </w:r>
      <w:r>
        <w:rPr>
          <w:rFonts w:asciiTheme="majorHAnsi" w:eastAsiaTheme="minorHAnsi" w:hAnsiTheme="majorHAnsi"/>
          <w:color w:val="auto"/>
          <w:sz w:val="16"/>
          <w:szCs w:val="16"/>
          <w:bdr w:val="none" w:sz="0" w:space="0" w:color="auto"/>
          <w:lang w:val="es-ES"/>
        </w:rPr>
        <w:t xml:space="preserve"> 2000</w:t>
      </w:r>
      <w:r w:rsidRPr="004B16F9">
        <w:rPr>
          <w:rFonts w:asciiTheme="majorHAnsi" w:eastAsiaTheme="minorHAnsi" w:hAnsiTheme="majorHAnsi"/>
          <w:color w:val="auto"/>
          <w:sz w:val="16"/>
          <w:szCs w:val="16"/>
          <w:bdr w:val="none" w:sz="0" w:space="0" w:color="auto"/>
          <w:lang w:val="es-ES"/>
        </w:rPr>
        <w:t xml:space="preserve"> de la CIDH, </w:t>
      </w:r>
      <w:r w:rsidR="00C34A87" w:rsidRPr="004B16F9">
        <w:rPr>
          <w:rFonts w:asciiTheme="majorHAnsi" w:eastAsiaTheme="minorHAnsi" w:hAnsiTheme="majorHAnsi"/>
          <w:color w:val="auto"/>
          <w:sz w:val="16"/>
          <w:szCs w:val="16"/>
          <w:bdr w:val="none" w:sz="0" w:space="0" w:color="auto"/>
          <w:lang w:val="es-ES"/>
        </w:rPr>
        <w:t>pár</w:t>
      </w:r>
      <w:r w:rsidR="00C34A87">
        <w:rPr>
          <w:rFonts w:asciiTheme="majorHAnsi" w:eastAsiaTheme="minorHAnsi" w:hAnsiTheme="majorHAnsi"/>
          <w:color w:val="auto"/>
          <w:sz w:val="16"/>
          <w:szCs w:val="16"/>
          <w:bdr w:val="none" w:sz="0" w:space="0" w:color="auto"/>
          <w:lang w:val="es-ES"/>
        </w:rPr>
        <w:t>r</w:t>
      </w:r>
      <w:r w:rsidR="00C34A87" w:rsidRPr="004B16F9">
        <w:rPr>
          <w:rFonts w:asciiTheme="majorHAnsi" w:eastAsiaTheme="minorHAnsi" w:hAnsiTheme="majorHAnsi"/>
          <w:color w:val="auto"/>
          <w:sz w:val="16"/>
          <w:szCs w:val="16"/>
          <w:bdr w:val="none" w:sz="0" w:space="0" w:color="auto"/>
          <w:lang w:val="es-ES"/>
        </w:rPr>
        <w:t>.</w:t>
      </w:r>
      <w:r w:rsidRPr="004B16F9">
        <w:rPr>
          <w:rFonts w:asciiTheme="majorHAnsi" w:eastAsiaTheme="minorHAnsi" w:hAnsiTheme="majorHAnsi"/>
          <w:color w:val="auto"/>
          <w:sz w:val="16"/>
          <w:szCs w:val="16"/>
          <w:bdr w:val="none" w:sz="0" w:space="0" w:color="auto"/>
          <w:lang w:val="es-ES"/>
        </w:rPr>
        <w:t xml:space="preserve"> </w:t>
      </w:r>
      <w:r w:rsidRPr="00E36893">
        <w:rPr>
          <w:rFonts w:asciiTheme="majorHAnsi" w:eastAsiaTheme="minorHAnsi" w:hAnsiTheme="majorHAnsi"/>
          <w:color w:val="auto"/>
          <w:sz w:val="16"/>
          <w:szCs w:val="16"/>
          <w:bdr w:val="none" w:sz="0" w:space="0" w:color="auto"/>
          <w:lang w:val="es-ES"/>
        </w:rPr>
        <w:t xml:space="preserve">170. </w:t>
      </w:r>
    </w:p>
  </w:footnote>
  <w:footnote w:id="38">
    <w:p w14:paraId="6998613E" w14:textId="1F869966" w:rsidR="00873D49" w:rsidRPr="00E36893" w:rsidRDefault="00873D49" w:rsidP="008448B4">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4B16F9">
        <w:rPr>
          <w:rFonts w:asciiTheme="majorHAnsi" w:hAnsiTheme="majorHAnsi"/>
          <w:color w:val="auto"/>
          <w:sz w:val="16"/>
          <w:szCs w:val="16"/>
          <w:lang w:val="es-ES"/>
        </w:rPr>
        <w:t xml:space="preserve"> </w:t>
      </w:r>
      <w:r w:rsidRPr="004B16F9">
        <w:rPr>
          <w:rFonts w:asciiTheme="majorHAnsi" w:eastAsiaTheme="minorHAnsi" w:hAnsiTheme="majorHAnsi"/>
          <w:color w:val="auto"/>
          <w:sz w:val="16"/>
          <w:szCs w:val="16"/>
          <w:bdr w:val="none" w:sz="0" w:space="0" w:color="auto"/>
          <w:lang w:val="es-ES"/>
        </w:rPr>
        <w:t xml:space="preserve">CIDH, Caso No 12.023 (Desmond McKenzie y otros), Jamaica, Informe Anual 1999 de la CIDH, </w:t>
      </w:r>
      <w:r w:rsidR="00C34A87" w:rsidRPr="004B16F9">
        <w:rPr>
          <w:rFonts w:asciiTheme="majorHAnsi" w:eastAsiaTheme="minorHAnsi" w:hAnsiTheme="majorHAnsi"/>
          <w:color w:val="auto"/>
          <w:sz w:val="16"/>
          <w:szCs w:val="16"/>
          <w:bdr w:val="none" w:sz="0" w:space="0" w:color="auto"/>
          <w:lang w:val="es-ES"/>
        </w:rPr>
        <w:t>pár</w:t>
      </w:r>
      <w:r w:rsidR="00C34A87">
        <w:rPr>
          <w:rFonts w:asciiTheme="majorHAnsi" w:eastAsiaTheme="minorHAnsi" w:hAnsiTheme="majorHAnsi"/>
          <w:color w:val="auto"/>
          <w:sz w:val="16"/>
          <w:szCs w:val="16"/>
          <w:bdr w:val="none" w:sz="0" w:space="0" w:color="auto"/>
          <w:lang w:val="es-ES"/>
        </w:rPr>
        <w:t>r</w:t>
      </w:r>
      <w:r w:rsidR="00C34A87" w:rsidRPr="004B16F9">
        <w:rPr>
          <w:rFonts w:asciiTheme="majorHAnsi" w:eastAsiaTheme="minorHAnsi" w:hAnsiTheme="majorHAnsi"/>
          <w:color w:val="auto"/>
          <w:sz w:val="16"/>
          <w:szCs w:val="16"/>
          <w:bdr w:val="none" w:sz="0" w:space="0" w:color="auto"/>
          <w:lang w:val="es-ES"/>
        </w:rPr>
        <w:t>.</w:t>
      </w:r>
      <w:r w:rsidRPr="004B16F9">
        <w:rPr>
          <w:rFonts w:asciiTheme="majorHAnsi" w:eastAsiaTheme="minorHAnsi" w:hAnsiTheme="majorHAnsi"/>
          <w:color w:val="auto"/>
          <w:sz w:val="16"/>
          <w:szCs w:val="16"/>
          <w:bdr w:val="none" w:sz="0" w:space="0" w:color="auto"/>
          <w:lang w:val="es-ES"/>
        </w:rPr>
        <w:t xml:space="preserve"> 228; Caso No 12.067 (Michael Edwards y otros), Las Bahamas, Informe Anual 2000 de la CIDH</w:t>
      </w:r>
      <w:r>
        <w:rPr>
          <w:rFonts w:asciiTheme="majorHAnsi" w:eastAsiaTheme="minorHAnsi" w:hAnsiTheme="majorHAnsi"/>
          <w:color w:val="auto"/>
          <w:sz w:val="16"/>
          <w:szCs w:val="16"/>
          <w:bdr w:val="none" w:sz="0" w:space="0" w:color="auto"/>
          <w:lang w:val="es-ES"/>
        </w:rPr>
        <w:t>,</w:t>
      </w:r>
      <w:r w:rsidRPr="004B16F9">
        <w:rPr>
          <w:rFonts w:asciiTheme="majorHAnsi" w:eastAsiaTheme="minorHAnsi" w:hAnsiTheme="majorHAnsi"/>
          <w:color w:val="auto"/>
          <w:sz w:val="16"/>
          <w:szCs w:val="16"/>
          <w:bdr w:val="none" w:sz="0" w:space="0" w:color="auto"/>
          <w:lang w:val="es-ES"/>
        </w:rPr>
        <w:t xml:space="preserve"> </w:t>
      </w:r>
      <w:r w:rsidR="00C34A87" w:rsidRPr="004B16F9">
        <w:rPr>
          <w:rFonts w:asciiTheme="majorHAnsi" w:eastAsiaTheme="minorHAnsi" w:hAnsiTheme="majorHAnsi"/>
          <w:color w:val="auto"/>
          <w:sz w:val="16"/>
          <w:szCs w:val="16"/>
          <w:bdr w:val="none" w:sz="0" w:space="0" w:color="auto"/>
          <w:lang w:val="es-ES"/>
        </w:rPr>
        <w:t>pár</w:t>
      </w:r>
      <w:r w:rsidR="00C34A87">
        <w:rPr>
          <w:rFonts w:asciiTheme="majorHAnsi" w:eastAsiaTheme="minorHAnsi" w:hAnsiTheme="majorHAnsi"/>
          <w:color w:val="auto"/>
          <w:sz w:val="16"/>
          <w:szCs w:val="16"/>
          <w:bdr w:val="none" w:sz="0" w:space="0" w:color="auto"/>
          <w:lang w:val="es-ES"/>
        </w:rPr>
        <w:t>r</w:t>
      </w:r>
      <w:r w:rsidR="00C34A87" w:rsidRPr="004B16F9">
        <w:rPr>
          <w:rFonts w:asciiTheme="majorHAnsi" w:eastAsiaTheme="minorHAnsi" w:hAnsiTheme="majorHAnsi"/>
          <w:color w:val="auto"/>
          <w:sz w:val="16"/>
          <w:szCs w:val="16"/>
          <w:bdr w:val="none" w:sz="0" w:space="0" w:color="auto"/>
          <w:lang w:val="es-ES"/>
        </w:rPr>
        <w:t>.</w:t>
      </w:r>
      <w:r w:rsidRPr="004B16F9">
        <w:rPr>
          <w:rFonts w:asciiTheme="majorHAnsi" w:eastAsiaTheme="minorHAnsi" w:hAnsiTheme="majorHAnsi"/>
          <w:color w:val="auto"/>
          <w:sz w:val="16"/>
          <w:szCs w:val="16"/>
          <w:bdr w:val="none" w:sz="0" w:space="0" w:color="auto"/>
          <w:lang w:val="es-ES"/>
        </w:rPr>
        <w:t xml:space="preserve"> </w:t>
      </w:r>
      <w:r w:rsidRPr="00E36893">
        <w:rPr>
          <w:rFonts w:asciiTheme="majorHAnsi" w:eastAsiaTheme="minorHAnsi" w:hAnsiTheme="majorHAnsi"/>
          <w:color w:val="auto"/>
          <w:sz w:val="16"/>
          <w:szCs w:val="16"/>
          <w:bdr w:val="none" w:sz="0" w:space="0" w:color="auto"/>
          <w:lang w:val="es-ES"/>
        </w:rPr>
        <w:t xml:space="preserve">170. </w:t>
      </w:r>
    </w:p>
  </w:footnote>
  <w:footnote w:id="39">
    <w:p w14:paraId="15D76AA8" w14:textId="77777777" w:rsidR="00873D49" w:rsidRPr="004B16F9" w:rsidRDefault="00873D49" w:rsidP="004A0895">
      <w:pPr>
        <w:pStyle w:val="NormalWeb"/>
        <w:spacing w:before="0" w:beforeAutospacing="0" w:after="0" w:afterAutospacing="0"/>
        <w:jc w:val="both"/>
        <w:rPr>
          <w:rFonts w:asciiTheme="majorHAnsi" w:eastAsiaTheme="minorHAnsi" w:hAnsiTheme="majorHAnsi"/>
          <w:sz w:val="16"/>
          <w:szCs w:val="16"/>
          <w:lang w:val="es-ES"/>
        </w:rPr>
      </w:pPr>
      <w:r w:rsidRPr="004A0895">
        <w:rPr>
          <w:rStyle w:val="FootnoteReference"/>
          <w:rFonts w:asciiTheme="majorHAnsi" w:hAnsiTheme="majorHAnsi"/>
          <w:sz w:val="16"/>
          <w:szCs w:val="16"/>
        </w:rPr>
        <w:footnoteRef/>
      </w:r>
      <w:r w:rsidRPr="004B16F9">
        <w:rPr>
          <w:rFonts w:asciiTheme="majorHAnsi" w:hAnsiTheme="majorHAnsi"/>
          <w:sz w:val="16"/>
          <w:szCs w:val="16"/>
          <w:lang w:val="es-ES"/>
        </w:rPr>
        <w:t xml:space="preserve"> CIDH</w:t>
      </w:r>
      <w:r w:rsidRPr="004B16F9">
        <w:rPr>
          <w:rFonts w:asciiTheme="majorHAnsi" w:eastAsiaTheme="minorHAnsi" w:hAnsiTheme="majorHAnsi"/>
          <w:sz w:val="16"/>
          <w:szCs w:val="16"/>
          <w:lang w:val="es-ES"/>
        </w:rPr>
        <w:t>, Informe No. 12.231, Caso 12.231. Fondo (Publica</w:t>
      </w:r>
      <w:r>
        <w:rPr>
          <w:rFonts w:asciiTheme="majorHAnsi" w:eastAsiaTheme="minorHAnsi" w:hAnsiTheme="majorHAnsi"/>
          <w:sz w:val="16"/>
          <w:szCs w:val="16"/>
          <w:lang w:val="es-ES"/>
        </w:rPr>
        <w:t>c</w:t>
      </w:r>
      <w:r w:rsidRPr="004B16F9">
        <w:rPr>
          <w:rFonts w:asciiTheme="majorHAnsi" w:eastAsiaTheme="minorHAnsi" w:hAnsiTheme="majorHAnsi"/>
          <w:sz w:val="16"/>
          <w:szCs w:val="16"/>
          <w:lang w:val="es-ES"/>
        </w:rPr>
        <w:t>i</w:t>
      </w:r>
      <w:r>
        <w:rPr>
          <w:rFonts w:asciiTheme="majorHAnsi" w:eastAsiaTheme="minorHAnsi" w:hAnsiTheme="majorHAnsi"/>
          <w:sz w:val="16"/>
          <w:szCs w:val="16"/>
          <w:lang w:val="es-ES"/>
        </w:rPr>
        <w:t>ó</w:t>
      </w:r>
      <w:r w:rsidRPr="004B16F9">
        <w:rPr>
          <w:rFonts w:asciiTheme="majorHAnsi" w:eastAsiaTheme="minorHAnsi" w:hAnsiTheme="majorHAnsi"/>
          <w:sz w:val="16"/>
          <w:szCs w:val="16"/>
          <w:lang w:val="es-ES"/>
        </w:rPr>
        <w:t xml:space="preserve">n). </w:t>
      </w:r>
      <w:r w:rsidRPr="00E36893">
        <w:rPr>
          <w:rFonts w:asciiTheme="majorHAnsi" w:eastAsiaTheme="minorHAnsi" w:hAnsiTheme="majorHAnsi"/>
          <w:sz w:val="16"/>
          <w:szCs w:val="16"/>
          <w:lang w:val="es-ES"/>
        </w:rPr>
        <w:t xml:space="preserve">Peter Cash. </w:t>
      </w:r>
      <w:r w:rsidRPr="004B16F9">
        <w:rPr>
          <w:rFonts w:asciiTheme="majorHAnsi" w:eastAsiaTheme="minorHAnsi" w:hAnsiTheme="majorHAnsi"/>
          <w:sz w:val="16"/>
          <w:szCs w:val="16"/>
          <w:lang w:val="es-ES"/>
        </w:rPr>
        <w:t>Mancomunidad de Las Bahamas. 2 de abril de 2014.</w:t>
      </w:r>
    </w:p>
  </w:footnote>
  <w:footnote w:id="40">
    <w:p w14:paraId="04236E6D" w14:textId="77777777" w:rsidR="00873D49" w:rsidRPr="00E36893" w:rsidRDefault="00873D49" w:rsidP="004B16F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4B16F9">
        <w:rPr>
          <w:rFonts w:asciiTheme="majorHAnsi" w:hAnsiTheme="majorHAnsi"/>
          <w:color w:val="auto"/>
          <w:sz w:val="16"/>
          <w:szCs w:val="16"/>
          <w:lang w:val="es-ES"/>
        </w:rPr>
        <w:t xml:space="preserve"> </w:t>
      </w:r>
      <w:r w:rsidRPr="004B16F9">
        <w:rPr>
          <w:rFonts w:asciiTheme="majorHAnsi" w:hAnsiTheme="majorHAnsi" w:cs="OpenSans-Regular"/>
          <w:color w:val="auto"/>
          <w:sz w:val="16"/>
          <w:szCs w:val="16"/>
          <w:lang w:val="es-ES"/>
        </w:rPr>
        <w:t xml:space="preserve">Corte IDH. Caso Fermín Ramírez Vs. Guatemala. Fondo, Reparaciones y Costas. </w:t>
      </w:r>
      <w:r w:rsidRPr="00E36893">
        <w:rPr>
          <w:rFonts w:asciiTheme="majorHAnsi" w:hAnsiTheme="majorHAnsi" w:cs="OpenSans-Regular"/>
          <w:color w:val="auto"/>
          <w:sz w:val="16"/>
          <w:szCs w:val="16"/>
          <w:lang w:val="es-ES"/>
        </w:rPr>
        <w:t xml:space="preserve">Sentencia de 20 de junio de 2005. Serie C No. 126, </w:t>
      </w:r>
      <w:r w:rsidRPr="004B16F9">
        <w:rPr>
          <w:rFonts w:asciiTheme="majorHAnsi" w:hAnsiTheme="majorHAnsi" w:cs="OpenSans-Regular"/>
          <w:color w:val="auto"/>
          <w:sz w:val="16"/>
          <w:szCs w:val="16"/>
          <w:lang w:val="es-ES"/>
        </w:rPr>
        <w:t xml:space="preserve">para. </w:t>
      </w:r>
      <w:r w:rsidRPr="00E36893">
        <w:rPr>
          <w:rFonts w:asciiTheme="majorHAnsi" w:hAnsiTheme="majorHAnsi" w:cs="OpenSans-Regular"/>
          <w:color w:val="auto"/>
          <w:sz w:val="16"/>
          <w:szCs w:val="16"/>
          <w:lang w:val="es-ES"/>
        </w:rPr>
        <w:t>109.</w:t>
      </w:r>
    </w:p>
  </w:footnote>
  <w:footnote w:id="41">
    <w:p w14:paraId="5E4FF256" w14:textId="3677B7A9" w:rsidR="00873D49" w:rsidRPr="00E36893" w:rsidRDefault="00873D49" w:rsidP="004B16F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4B16F9">
        <w:rPr>
          <w:rFonts w:asciiTheme="majorHAnsi" w:hAnsiTheme="majorHAnsi"/>
          <w:color w:val="auto"/>
          <w:sz w:val="16"/>
          <w:szCs w:val="16"/>
          <w:lang w:val="es-ES"/>
        </w:rPr>
        <w:t xml:space="preserve"> </w:t>
      </w:r>
      <w:r w:rsidRPr="004B16F9">
        <w:rPr>
          <w:rFonts w:asciiTheme="majorHAnsi" w:hAnsiTheme="majorHAnsi" w:cs="OpenSans-Regular"/>
          <w:color w:val="auto"/>
          <w:sz w:val="16"/>
          <w:szCs w:val="16"/>
          <w:lang w:val="es-ES"/>
        </w:rPr>
        <w:t xml:space="preserve">Corte IDH. Caso Hilaire, </w:t>
      </w:r>
      <w:proofErr w:type="spellStart"/>
      <w:r w:rsidRPr="004B16F9">
        <w:rPr>
          <w:rFonts w:asciiTheme="majorHAnsi" w:hAnsiTheme="majorHAnsi" w:cs="OpenSans-Regular"/>
          <w:color w:val="auto"/>
          <w:sz w:val="16"/>
          <w:szCs w:val="16"/>
          <w:lang w:val="es-ES"/>
        </w:rPr>
        <w:t>Constantine</w:t>
      </w:r>
      <w:proofErr w:type="spellEnd"/>
      <w:r w:rsidRPr="004B16F9">
        <w:rPr>
          <w:rFonts w:asciiTheme="majorHAnsi" w:hAnsiTheme="majorHAnsi" w:cs="OpenSans-Regular"/>
          <w:color w:val="auto"/>
          <w:sz w:val="16"/>
          <w:szCs w:val="16"/>
          <w:lang w:val="es-ES"/>
        </w:rPr>
        <w:t xml:space="preserve"> y </w:t>
      </w:r>
      <w:proofErr w:type="spellStart"/>
      <w:r w:rsidRPr="004B16F9">
        <w:rPr>
          <w:rFonts w:asciiTheme="majorHAnsi" w:hAnsiTheme="majorHAnsi" w:cs="OpenSans-Regular"/>
          <w:color w:val="auto"/>
          <w:sz w:val="16"/>
          <w:szCs w:val="16"/>
          <w:lang w:val="es-ES"/>
        </w:rPr>
        <w:t>Benjamin</w:t>
      </w:r>
      <w:proofErr w:type="spellEnd"/>
      <w:r w:rsidRPr="004B16F9">
        <w:rPr>
          <w:rFonts w:asciiTheme="majorHAnsi" w:hAnsiTheme="majorHAnsi" w:cs="OpenSans-Regular"/>
          <w:color w:val="auto"/>
          <w:sz w:val="16"/>
          <w:szCs w:val="16"/>
          <w:lang w:val="es-ES"/>
        </w:rPr>
        <w:t xml:space="preserve"> y otros Vs. Trinidad y Tobago. Fondo, Reparaciones y Costas. </w:t>
      </w:r>
      <w:r w:rsidRPr="00E36893">
        <w:rPr>
          <w:rFonts w:asciiTheme="majorHAnsi" w:hAnsiTheme="majorHAnsi" w:cs="OpenSans-Regular"/>
          <w:color w:val="auto"/>
          <w:sz w:val="16"/>
          <w:szCs w:val="16"/>
          <w:lang w:val="es-ES"/>
        </w:rPr>
        <w:t xml:space="preserve">Sentencia de 21 de junio de 2002. Serie C No. 94, </w:t>
      </w:r>
      <w:r w:rsidR="00C34A87" w:rsidRPr="00E36893">
        <w:rPr>
          <w:rFonts w:asciiTheme="majorHAnsi" w:hAnsiTheme="majorHAnsi" w:cs="OpenSans-Regular"/>
          <w:color w:val="auto"/>
          <w:sz w:val="16"/>
          <w:szCs w:val="16"/>
          <w:lang w:val="es-ES"/>
        </w:rPr>
        <w:t>párr.</w:t>
      </w:r>
      <w:r w:rsidRPr="00E36893">
        <w:rPr>
          <w:rFonts w:asciiTheme="majorHAnsi" w:hAnsiTheme="majorHAnsi" w:cs="OpenSans-Regular"/>
          <w:color w:val="auto"/>
          <w:sz w:val="16"/>
          <w:szCs w:val="16"/>
          <w:lang w:val="es-ES"/>
        </w:rPr>
        <w:t xml:space="preserve"> 188. </w:t>
      </w:r>
    </w:p>
  </w:footnote>
  <w:footnote w:id="42">
    <w:p w14:paraId="3C10A38F" w14:textId="77777777" w:rsidR="00873D49" w:rsidRPr="00E36893" w:rsidRDefault="00873D49" w:rsidP="004B16F9">
      <w:pPr>
        <w:pStyle w:val="FootnoteText"/>
        <w:jc w:val="both"/>
        <w:rPr>
          <w:rFonts w:asciiTheme="majorHAnsi" w:eastAsia="Times New Roman" w:hAnsiTheme="majorHAnsi" w:cs="Times New Roman"/>
          <w:color w:val="auto"/>
          <w:sz w:val="16"/>
          <w:szCs w:val="16"/>
          <w:bdr w:val="none" w:sz="0" w:space="0" w:color="auto"/>
          <w:lang w:val="es-ES" w:eastAsia="en-US"/>
        </w:rPr>
      </w:pPr>
      <w:r w:rsidRPr="004A0895">
        <w:rPr>
          <w:rStyle w:val="FootnoteReference"/>
          <w:rFonts w:asciiTheme="majorHAnsi" w:hAnsiTheme="majorHAnsi"/>
          <w:color w:val="auto"/>
          <w:sz w:val="16"/>
          <w:szCs w:val="16"/>
        </w:rPr>
        <w:footnoteRef/>
      </w:r>
      <w:r w:rsidRPr="00B343BE">
        <w:rPr>
          <w:rFonts w:asciiTheme="majorHAnsi" w:hAnsiTheme="majorHAnsi"/>
          <w:color w:val="auto"/>
          <w:sz w:val="16"/>
          <w:szCs w:val="16"/>
          <w:lang w:val="es-ES"/>
        </w:rPr>
        <w:t xml:space="preserve"> Comité de Derechos Humanos de Naciones Unidas. Observaciones finales del Comité de Derechos Humanos: Guatemala</w:t>
      </w:r>
      <w:r w:rsidRPr="00B343BE">
        <w:rPr>
          <w:rFonts w:asciiTheme="majorHAnsi" w:eastAsia="Times New Roman" w:hAnsiTheme="majorHAnsi" w:cs="Times New Roman"/>
          <w:color w:val="auto"/>
          <w:sz w:val="16"/>
          <w:szCs w:val="16"/>
          <w:bdr w:val="none" w:sz="0" w:space="0" w:color="auto"/>
          <w:lang w:val="es-ES" w:eastAsia="en-US"/>
        </w:rPr>
        <w:t xml:space="preserve">. 72º período de </w:t>
      </w:r>
      <w:proofErr w:type="spellStart"/>
      <w:r w:rsidRPr="00B343BE">
        <w:rPr>
          <w:rFonts w:asciiTheme="majorHAnsi" w:eastAsia="Times New Roman" w:hAnsiTheme="majorHAnsi" w:cs="Times New Roman"/>
          <w:color w:val="auto"/>
          <w:sz w:val="16"/>
          <w:szCs w:val="16"/>
          <w:bdr w:val="none" w:sz="0" w:space="0" w:color="auto"/>
          <w:lang w:val="es-ES" w:eastAsia="en-US"/>
        </w:rPr>
        <w:t>sesions</w:t>
      </w:r>
      <w:proofErr w:type="spellEnd"/>
      <w:r w:rsidRPr="00B343BE">
        <w:rPr>
          <w:rFonts w:asciiTheme="majorHAnsi" w:eastAsia="Times New Roman" w:hAnsiTheme="majorHAnsi" w:cs="Times New Roman"/>
          <w:color w:val="auto"/>
          <w:sz w:val="16"/>
          <w:szCs w:val="16"/>
          <w:bdr w:val="none" w:sz="0" w:space="0" w:color="auto"/>
          <w:lang w:val="es-ES" w:eastAsia="en-US"/>
        </w:rPr>
        <w:t xml:space="preserve">, 27 de </w:t>
      </w:r>
      <w:r>
        <w:rPr>
          <w:rFonts w:asciiTheme="majorHAnsi" w:eastAsia="Times New Roman" w:hAnsiTheme="majorHAnsi" w:cs="Times New Roman"/>
          <w:color w:val="auto"/>
          <w:sz w:val="16"/>
          <w:szCs w:val="16"/>
          <w:bdr w:val="none" w:sz="0" w:space="0" w:color="auto"/>
          <w:lang w:val="es-ES" w:eastAsia="en-US"/>
        </w:rPr>
        <w:t>a</w:t>
      </w:r>
      <w:r w:rsidRPr="00B343BE">
        <w:rPr>
          <w:rFonts w:asciiTheme="majorHAnsi" w:eastAsia="Times New Roman" w:hAnsiTheme="majorHAnsi" w:cs="Times New Roman"/>
          <w:color w:val="auto"/>
          <w:sz w:val="16"/>
          <w:szCs w:val="16"/>
          <w:bdr w:val="none" w:sz="0" w:space="0" w:color="auto"/>
          <w:lang w:val="es-ES" w:eastAsia="en-US"/>
        </w:rPr>
        <w:t xml:space="preserve">gosto de 2001, CCPR/CO/72/GTM, </w:t>
      </w:r>
      <w:proofErr w:type="spellStart"/>
      <w:r w:rsidRPr="00B343BE">
        <w:rPr>
          <w:rFonts w:asciiTheme="majorHAnsi" w:eastAsia="Times New Roman" w:hAnsiTheme="majorHAnsi" w:cs="Times New Roman"/>
          <w:color w:val="auto"/>
          <w:sz w:val="16"/>
          <w:szCs w:val="16"/>
          <w:bdr w:val="none" w:sz="0" w:space="0" w:color="auto"/>
          <w:lang w:val="es-ES" w:eastAsia="en-US"/>
        </w:rPr>
        <w:t>par</w:t>
      </w:r>
      <w:r>
        <w:rPr>
          <w:rFonts w:asciiTheme="majorHAnsi" w:eastAsia="Times New Roman" w:hAnsiTheme="majorHAnsi" w:cs="Times New Roman"/>
          <w:color w:val="auto"/>
          <w:sz w:val="16"/>
          <w:szCs w:val="16"/>
          <w:bdr w:val="none" w:sz="0" w:space="0" w:color="auto"/>
          <w:lang w:val="es-ES" w:eastAsia="en-US"/>
        </w:rPr>
        <w:t>r</w:t>
      </w:r>
      <w:proofErr w:type="spellEnd"/>
      <w:r w:rsidRPr="00B343BE">
        <w:rPr>
          <w:rFonts w:asciiTheme="majorHAnsi" w:eastAsia="Times New Roman" w:hAnsiTheme="majorHAnsi" w:cs="Times New Roman"/>
          <w:color w:val="auto"/>
          <w:sz w:val="16"/>
          <w:szCs w:val="16"/>
          <w:bdr w:val="none" w:sz="0" w:space="0" w:color="auto"/>
          <w:lang w:val="es-ES" w:eastAsia="en-US"/>
        </w:rPr>
        <w:t xml:space="preserve">. </w:t>
      </w:r>
      <w:r w:rsidRPr="00E36893">
        <w:rPr>
          <w:rFonts w:asciiTheme="majorHAnsi" w:eastAsia="Times New Roman" w:hAnsiTheme="majorHAnsi" w:cs="Times New Roman"/>
          <w:color w:val="auto"/>
          <w:sz w:val="16"/>
          <w:szCs w:val="16"/>
          <w:bdr w:val="none" w:sz="0" w:space="0" w:color="auto"/>
          <w:lang w:val="es-ES" w:eastAsia="en-US"/>
        </w:rPr>
        <w:t>18.</w:t>
      </w:r>
    </w:p>
  </w:footnote>
  <w:footnote w:id="43">
    <w:p w14:paraId="655F8861" w14:textId="77777777" w:rsidR="00873D49" w:rsidRPr="00B343BE" w:rsidRDefault="00873D49" w:rsidP="004B16F9">
      <w:pPr>
        <w:pStyle w:val="FootnoteText"/>
        <w:jc w:val="both"/>
        <w:rPr>
          <w:rFonts w:asciiTheme="majorHAnsi" w:hAnsiTheme="majorHAnsi"/>
          <w:sz w:val="16"/>
          <w:szCs w:val="16"/>
          <w:lang w:val="es-ES"/>
        </w:rPr>
      </w:pPr>
      <w:r w:rsidRPr="004A0895">
        <w:rPr>
          <w:rStyle w:val="FootnoteReference"/>
          <w:rFonts w:asciiTheme="majorHAnsi" w:hAnsiTheme="majorHAnsi"/>
          <w:color w:val="auto"/>
          <w:sz w:val="16"/>
          <w:szCs w:val="16"/>
        </w:rPr>
        <w:footnoteRef/>
      </w:r>
      <w:r w:rsidRPr="00B343BE">
        <w:rPr>
          <w:rStyle w:val="FootnoteReference"/>
          <w:rFonts w:asciiTheme="majorHAnsi" w:hAnsiTheme="majorHAnsi"/>
          <w:color w:val="auto"/>
          <w:sz w:val="16"/>
          <w:szCs w:val="16"/>
          <w:lang w:val="es-ES"/>
        </w:rPr>
        <w:t xml:space="preserve"> </w:t>
      </w:r>
      <w:r w:rsidRPr="00B343BE">
        <w:rPr>
          <w:rFonts w:asciiTheme="majorHAnsi" w:hAnsiTheme="majorHAnsi"/>
          <w:color w:val="auto"/>
          <w:sz w:val="16"/>
          <w:szCs w:val="16"/>
          <w:lang w:val="es-ES"/>
        </w:rPr>
        <w:t xml:space="preserve">El Artículo XI de la Declaración Americana establece: </w:t>
      </w:r>
      <w:r>
        <w:rPr>
          <w:rFonts w:asciiTheme="majorHAnsi" w:hAnsiTheme="majorHAnsi"/>
          <w:color w:val="auto"/>
          <w:sz w:val="16"/>
          <w:szCs w:val="16"/>
          <w:lang w:val="es-ES"/>
        </w:rPr>
        <w:t>“</w:t>
      </w:r>
      <w:r w:rsidRPr="006E3733">
        <w:rPr>
          <w:rFonts w:asciiTheme="majorHAnsi" w:hAnsiTheme="majorHAnsi"/>
          <w:sz w:val="16"/>
          <w:szCs w:val="16"/>
          <w:lang w:val="es-US"/>
        </w:rPr>
        <w:t>Toda persona tiene derecho a que su salud sea preservada por medidas sanitarias y sociales, relativas a la alimentación, el vestido, la vivienda y la asistencia médica, correspondientes al nivel que permitan los recursos públicos y los de la comunidad.</w:t>
      </w:r>
      <w:r>
        <w:rPr>
          <w:rFonts w:asciiTheme="majorHAnsi" w:hAnsiTheme="majorHAnsi"/>
          <w:sz w:val="16"/>
          <w:szCs w:val="16"/>
          <w:lang w:val="es-ES"/>
        </w:rPr>
        <w:t>”</w:t>
      </w:r>
    </w:p>
  </w:footnote>
  <w:footnote w:id="44">
    <w:p w14:paraId="1CFFCC81" w14:textId="2ECE6DAE" w:rsidR="00873D49" w:rsidRPr="00B343BE" w:rsidRDefault="00873D49" w:rsidP="004A0895">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B343BE">
        <w:rPr>
          <w:rStyle w:val="FootnoteReference"/>
          <w:rFonts w:asciiTheme="majorHAnsi" w:hAnsiTheme="majorHAnsi"/>
          <w:color w:val="auto"/>
          <w:sz w:val="16"/>
          <w:szCs w:val="16"/>
          <w:lang w:val="es-ES"/>
        </w:rPr>
        <w:t xml:space="preserve"> </w:t>
      </w:r>
      <w:r w:rsidRPr="00B343BE">
        <w:rPr>
          <w:rFonts w:asciiTheme="majorHAnsi" w:hAnsiTheme="majorHAnsi"/>
          <w:color w:val="auto"/>
          <w:sz w:val="16"/>
          <w:szCs w:val="16"/>
          <w:lang w:val="es-ES"/>
        </w:rPr>
        <w:t xml:space="preserve">CIDH, Informe No. 71/18, Caso 12.958. Fondo. </w:t>
      </w:r>
      <w:r w:rsidRPr="00E36893">
        <w:rPr>
          <w:rFonts w:asciiTheme="majorHAnsi" w:hAnsiTheme="majorHAnsi"/>
          <w:color w:val="auto"/>
          <w:sz w:val="16"/>
          <w:szCs w:val="16"/>
          <w:lang w:val="es-ES"/>
        </w:rPr>
        <w:t xml:space="preserve">Russell </w:t>
      </w:r>
      <w:proofErr w:type="spellStart"/>
      <w:r w:rsidRPr="00E36893">
        <w:rPr>
          <w:rFonts w:asciiTheme="majorHAnsi" w:hAnsiTheme="majorHAnsi"/>
          <w:color w:val="auto"/>
          <w:sz w:val="16"/>
          <w:szCs w:val="16"/>
          <w:lang w:val="es-ES"/>
        </w:rPr>
        <w:t>Bucklew</w:t>
      </w:r>
      <w:proofErr w:type="spellEnd"/>
      <w:r w:rsidRPr="00E36893">
        <w:rPr>
          <w:rFonts w:asciiTheme="majorHAnsi" w:hAnsiTheme="majorHAnsi"/>
          <w:color w:val="auto"/>
          <w:sz w:val="16"/>
          <w:szCs w:val="16"/>
          <w:lang w:val="es-ES"/>
        </w:rPr>
        <w:t xml:space="preserve">. </w:t>
      </w:r>
      <w:r w:rsidRPr="00B343BE">
        <w:rPr>
          <w:rFonts w:asciiTheme="majorHAnsi" w:hAnsiTheme="majorHAnsi"/>
          <w:color w:val="auto"/>
          <w:sz w:val="16"/>
          <w:szCs w:val="16"/>
          <w:lang w:val="es-ES"/>
        </w:rPr>
        <w:t xml:space="preserve">Estados Unidos, 10 de mayo de 2018, </w:t>
      </w:r>
      <w:proofErr w:type="spellStart"/>
      <w:r w:rsidRPr="00B343BE">
        <w:rPr>
          <w:rFonts w:asciiTheme="majorHAnsi" w:hAnsiTheme="majorHAnsi"/>
          <w:color w:val="auto"/>
          <w:sz w:val="16"/>
          <w:szCs w:val="16"/>
          <w:lang w:val="es-ES"/>
        </w:rPr>
        <w:t>p</w:t>
      </w:r>
      <w:r w:rsidR="00C34A87">
        <w:rPr>
          <w:rFonts w:asciiTheme="majorHAnsi" w:hAnsiTheme="majorHAnsi"/>
          <w:color w:val="auto"/>
          <w:sz w:val="16"/>
          <w:szCs w:val="16"/>
          <w:lang w:val="es-ES"/>
        </w:rPr>
        <w:t>á</w:t>
      </w:r>
      <w:r w:rsidRPr="00B343BE">
        <w:rPr>
          <w:rFonts w:asciiTheme="majorHAnsi" w:hAnsiTheme="majorHAnsi"/>
          <w:color w:val="auto"/>
          <w:sz w:val="16"/>
          <w:szCs w:val="16"/>
          <w:lang w:val="es-ES"/>
        </w:rPr>
        <w:t>r</w:t>
      </w:r>
      <w:r>
        <w:rPr>
          <w:rFonts w:asciiTheme="majorHAnsi" w:hAnsiTheme="majorHAnsi"/>
          <w:color w:val="auto"/>
          <w:sz w:val="16"/>
          <w:szCs w:val="16"/>
          <w:lang w:val="es-ES"/>
        </w:rPr>
        <w:t>r</w:t>
      </w:r>
      <w:r w:rsidRPr="00B343BE">
        <w:rPr>
          <w:rFonts w:asciiTheme="majorHAnsi" w:hAnsiTheme="majorHAnsi"/>
          <w:color w:val="auto"/>
          <w:sz w:val="16"/>
          <w:szCs w:val="16"/>
          <w:lang w:val="es-ES"/>
        </w:rPr>
        <w:t>s</w:t>
      </w:r>
      <w:proofErr w:type="spellEnd"/>
      <w:r w:rsidRPr="00B343BE">
        <w:rPr>
          <w:rFonts w:asciiTheme="majorHAnsi" w:hAnsiTheme="majorHAnsi"/>
          <w:color w:val="auto"/>
          <w:sz w:val="16"/>
          <w:szCs w:val="16"/>
          <w:lang w:val="es-ES"/>
        </w:rPr>
        <w:t xml:space="preserve">. </w:t>
      </w:r>
      <w:r w:rsidRPr="00E36893">
        <w:rPr>
          <w:rFonts w:asciiTheme="majorHAnsi" w:hAnsiTheme="majorHAnsi"/>
          <w:color w:val="auto"/>
          <w:sz w:val="16"/>
          <w:szCs w:val="16"/>
          <w:lang w:val="es-ES"/>
        </w:rPr>
        <w:t xml:space="preserve">86-90. </w:t>
      </w:r>
      <w:r w:rsidRPr="00B343BE">
        <w:rPr>
          <w:rFonts w:asciiTheme="majorHAnsi" w:hAnsiTheme="majorHAnsi"/>
          <w:color w:val="auto"/>
          <w:sz w:val="16"/>
          <w:szCs w:val="16"/>
          <w:lang w:val="es-ES"/>
        </w:rPr>
        <w:t>En este informe la Comisión ha citado un conjunto de de</w:t>
      </w:r>
      <w:r>
        <w:rPr>
          <w:rFonts w:asciiTheme="majorHAnsi" w:hAnsiTheme="majorHAnsi"/>
          <w:color w:val="auto"/>
          <w:sz w:val="16"/>
          <w:szCs w:val="16"/>
          <w:lang w:val="es-ES"/>
        </w:rPr>
        <w:t>sarrollos del sistema Interamericano y otros sistemas de protección, incluyendo sistemas regionales y el sistema de Naciones Unidas</w:t>
      </w:r>
    </w:p>
  </w:footnote>
  <w:footnote w:id="45">
    <w:p w14:paraId="1C552D7C" w14:textId="55BA10A5" w:rsidR="00873D49" w:rsidRPr="00B343BE" w:rsidRDefault="00873D49" w:rsidP="00AC31F6">
      <w:pPr>
        <w:pStyle w:val="FootnoteText"/>
        <w:tabs>
          <w:tab w:val="right" w:pos="0"/>
          <w:tab w:val="left" w:pos="180"/>
          <w:tab w:val="left" w:pos="900"/>
        </w:tabs>
        <w:jc w:val="both"/>
        <w:rPr>
          <w:rFonts w:ascii="Cambria" w:hAnsi="Cambria"/>
          <w:color w:val="auto"/>
          <w:sz w:val="16"/>
          <w:szCs w:val="16"/>
        </w:rPr>
      </w:pPr>
      <w:r w:rsidRPr="004A0895">
        <w:rPr>
          <w:rStyle w:val="FootnoteReference"/>
          <w:rFonts w:asciiTheme="majorHAnsi" w:hAnsiTheme="majorHAnsi"/>
          <w:color w:val="auto"/>
          <w:sz w:val="16"/>
          <w:szCs w:val="16"/>
        </w:rPr>
        <w:footnoteRef/>
      </w:r>
      <w:r w:rsidRPr="00B343BE">
        <w:rPr>
          <w:rFonts w:asciiTheme="majorHAnsi" w:hAnsiTheme="majorHAnsi"/>
          <w:color w:val="auto"/>
          <w:sz w:val="16"/>
          <w:szCs w:val="16"/>
          <w:lang w:val="es-ES"/>
        </w:rPr>
        <w:t xml:space="preserve"> Naciones Unidas. Informe provisional del Relator Especial </w:t>
      </w:r>
      <w:r>
        <w:rPr>
          <w:rFonts w:asciiTheme="majorHAnsi" w:hAnsiTheme="majorHAnsi"/>
          <w:color w:val="auto"/>
          <w:sz w:val="16"/>
          <w:szCs w:val="16"/>
          <w:lang w:val="es-ES"/>
        </w:rPr>
        <w:t>sobre la tortura y otros tratos o penas crueles, inhumanos o degradantes</w:t>
      </w:r>
      <w:r w:rsidRPr="00B343BE">
        <w:rPr>
          <w:rFonts w:asciiTheme="majorHAnsi" w:hAnsiTheme="majorHAnsi"/>
          <w:color w:val="auto"/>
          <w:sz w:val="16"/>
          <w:szCs w:val="16"/>
          <w:lang w:val="es-ES"/>
        </w:rPr>
        <w:t xml:space="preserve">. </w:t>
      </w:r>
      <w:r w:rsidRPr="00B343BE">
        <w:rPr>
          <w:rFonts w:asciiTheme="majorHAnsi" w:hAnsiTheme="majorHAnsi"/>
          <w:color w:val="auto"/>
          <w:sz w:val="16"/>
          <w:szCs w:val="16"/>
        </w:rPr>
        <w:t xml:space="preserve">9 de </w:t>
      </w:r>
      <w:proofErr w:type="spellStart"/>
      <w:r w:rsidRPr="00B343BE">
        <w:rPr>
          <w:rFonts w:asciiTheme="majorHAnsi" w:hAnsiTheme="majorHAnsi"/>
          <w:color w:val="auto"/>
          <w:sz w:val="16"/>
          <w:szCs w:val="16"/>
        </w:rPr>
        <w:t>agosto</w:t>
      </w:r>
      <w:proofErr w:type="spellEnd"/>
      <w:r w:rsidRPr="00B343BE">
        <w:rPr>
          <w:rFonts w:asciiTheme="majorHAnsi" w:hAnsiTheme="majorHAnsi"/>
          <w:color w:val="auto"/>
          <w:sz w:val="16"/>
          <w:szCs w:val="16"/>
        </w:rPr>
        <w:t xml:space="preserve"> de 2012</w:t>
      </w:r>
      <w:r w:rsidRPr="00B343BE">
        <w:rPr>
          <w:rFonts w:ascii="Cambria" w:hAnsi="Cambria"/>
          <w:color w:val="auto"/>
          <w:sz w:val="16"/>
          <w:szCs w:val="16"/>
        </w:rPr>
        <w:t xml:space="preserve">. A/67/279, </w:t>
      </w:r>
      <w:proofErr w:type="spellStart"/>
      <w:r w:rsidRPr="00B343BE">
        <w:rPr>
          <w:rFonts w:ascii="Cambria" w:hAnsi="Cambria"/>
          <w:color w:val="auto"/>
          <w:sz w:val="16"/>
          <w:szCs w:val="16"/>
        </w:rPr>
        <w:t>p</w:t>
      </w:r>
      <w:r w:rsidR="00C34A87">
        <w:rPr>
          <w:rFonts w:ascii="Cambria" w:hAnsi="Cambria"/>
          <w:color w:val="auto"/>
          <w:sz w:val="16"/>
          <w:szCs w:val="16"/>
        </w:rPr>
        <w:t>á</w:t>
      </w:r>
      <w:r w:rsidRPr="00B343BE">
        <w:rPr>
          <w:rFonts w:ascii="Cambria" w:hAnsi="Cambria"/>
          <w:color w:val="auto"/>
          <w:sz w:val="16"/>
          <w:szCs w:val="16"/>
        </w:rPr>
        <w:t>r</w:t>
      </w:r>
      <w:r>
        <w:rPr>
          <w:rFonts w:ascii="Cambria" w:hAnsi="Cambria"/>
          <w:color w:val="auto"/>
          <w:sz w:val="16"/>
          <w:szCs w:val="16"/>
        </w:rPr>
        <w:t>r</w:t>
      </w:r>
      <w:proofErr w:type="spellEnd"/>
      <w:r w:rsidR="00C34A87">
        <w:rPr>
          <w:rFonts w:ascii="Cambria" w:hAnsi="Cambria"/>
          <w:color w:val="auto"/>
          <w:sz w:val="16"/>
          <w:szCs w:val="16"/>
        </w:rPr>
        <w:t>.</w:t>
      </w:r>
      <w:r w:rsidRPr="00B343BE">
        <w:rPr>
          <w:rFonts w:ascii="Cambria" w:hAnsi="Cambria"/>
          <w:color w:val="auto"/>
          <w:sz w:val="16"/>
          <w:szCs w:val="16"/>
        </w:rPr>
        <w:t xml:space="preserve"> 42. </w:t>
      </w:r>
      <w:proofErr w:type="spellStart"/>
      <w:r w:rsidRPr="00B343BE">
        <w:rPr>
          <w:rFonts w:ascii="Cambria" w:hAnsi="Cambria"/>
          <w:color w:val="auto"/>
          <w:sz w:val="16"/>
          <w:szCs w:val="16"/>
        </w:rPr>
        <w:t>Cit</w:t>
      </w:r>
      <w:r>
        <w:rPr>
          <w:rFonts w:ascii="Cambria" w:hAnsi="Cambria"/>
          <w:color w:val="auto"/>
          <w:sz w:val="16"/>
          <w:szCs w:val="16"/>
        </w:rPr>
        <w:t>ando</w:t>
      </w:r>
      <w:proofErr w:type="spellEnd"/>
      <w:r w:rsidRPr="00B343BE">
        <w:rPr>
          <w:rFonts w:ascii="Cambria" w:hAnsi="Cambria"/>
          <w:color w:val="auto"/>
          <w:sz w:val="16"/>
          <w:szCs w:val="16"/>
        </w:rPr>
        <w:t xml:space="preserve">: Patrick Hudson, “Does the death row phenomenon violate a prisoner’s rights under international law?”, </w:t>
      </w:r>
      <w:r w:rsidRPr="00B343BE">
        <w:rPr>
          <w:rFonts w:ascii="Cambria" w:hAnsi="Cambria"/>
          <w:i/>
          <w:color w:val="auto"/>
          <w:sz w:val="16"/>
          <w:szCs w:val="16"/>
        </w:rPr>
        <w:t>European Journal of International Law</w:t>
      </w:r>
      <w:r w:rsidRPr="00B343BE">
        <w:rPr>
          <w:rFonts w:ascii="Cambria" w:hAnsi="Cambria"/>
          <w:color w:val="auto"/>
          <w:sz w:val="16"/>
          <w:szCs w:val="16"/>
        </w:rPr>
        <w:t>, vol. 11, No. 4 (2000), pp. 834-837.</w:t>
      </w:r>
    </w:p>
  </w:footnote>
  <w:footnote w:id="46">
    <w:p w14:paraId="0ABE9F81" w14:textId="3765C16C" w:rsidR="00873D49" w:rsidRPr="00B343BE" w:rsidRDefault="00873D49" w:rsidP="007F51EF">
      <w:pPr>
        <w:pStyle w:val="FootnoteText"/>
        <w:jc w:val="both"/>
        <w:rPr>
          <w:rFonts w:ascii="Cambria" w:hAnsi="Cambria"/>
          <w:sz w:val="16"/>
          <w:szCs w:val="16"/>
          <w:lang w:val="es-ES"/>
        </w:rPr>
      </w:pPr>
      <w:r w:rsidRPr="00B343BE">
        <w:rPr>
          <w:rStyle w:val="FootnoteReference"/>
          <w:rFonts w:ascii="Cambria" w:hAnsi="Cambria"/>
          <w:sz w:val="16"/>
          <w:szCs w:val="16"/>
        </w:rPr>
        <w:footnoteRef/>
      </w:r>
      <w:r w:rsidRPr="00B343BE">
        <w:rPr>
          <w:rFonts w:ascii="Cambria" w:hAnsi="Cambria"/>
          <w:sz w:val="16"/>
          <w:szCs w:val="16"/>
          <w:lang w:val="es-ES"/>
        </w:rPr>
        <w:t xml:space="preserve"> </w:t>
      </w:r>
      <w:r w:rsidRPr="00B343BE">
        <w:rPr>
          <w:rFonts w:asciiTheme="majorHAnsi" w:hAnsiTheme="majorHAnsi"/>
          <w:color w:val="auto"/>
          <w:sz w:val="16"/>
          <w:szCs w:val="16"/>
          <w:lang w:val="es-ES"/>
        </w:rPr>
        <w:t xml:space="preserve">Naciones Unidas. Informe provisional del Relator Especial </w:t>
      </w:r>
      <w:r>
        <w:rPr>
          <w:rFonts w:asciiTheme="majorHAnsi" w:hAnsiTheme="majorHAnsi"/>
          <w:color w:val="auto"/>
          <w:sz w:val="16"/>
          <w:szCs w:val="16"/>
          <w:lang w:val="es-ES"/>
        </w:rPr>
        <w:t>sobre la tortura y otros tratos o penas crueles, inhumanos o degradantes</w:t>
      </w:r>
      <w:r w:rsidRPr="00B343BE">
        <w:rPr>
          <w:rFonts w:asciiTheme="majorHAnsi" w:hAnsiTheme="majorHAnsi"/>
          <w:color w:val="auto"/>
          <w:sz w:val="16"/>
          <w:szCs w:val="16"/>
          <w:lang w:val="es-ES"/>
        </w:rPr>
        <w:t xml:space="preserve">. </w:t>
      </w:r>
      <w:r w:rsidRPr="007F51EF">
        <w:rPr>
          <w:rFonts w:asciiTheme="majorHAnsi" w:hAnsiTheme="majorHAnsi"/>
          <w:color w:val="auto"/>
          <w:sz w:val="16"/>
          <w:szCs w:val="16"/>
          <w:lang w:val="es-ES"/>
        </w:rPr>
        <w:t>9 de agosto de 2012</w:t>
      </w:r>
      <w:r w:rsidRPr="007F51EF">
        <w:rPr>
          <w:rFonts w:ascii="Cambria" w:hAnsi="Cambria"/>
          <w:color w:val="auto"/>
          <w:sz w:val="16"/>
          <w:szCs w:val="16"/>
          <w:lang w:val="es-ES"/>
        </w:rPr>
        <w:t xml:space="preserve">. A/67/279, </w:t>
      </w:r>
      <w:r w:rsidR="00C34A87" w:rsidRPr="007F51EF">
        <w:rPr>
          <w:rFonts w:ascii="Cambria" w:hAnsi="Cambria"/>
          <w:color w:val="auto"/>
          <w:sz w:val="16"/>
          <w:szCs w:val="16"/>
          <w:lang w:val="es-ES"/>
        </w:rPr>
        <w:t>párr.</w:t>
      </w:r>
      <w:r w:rsidRPr="007F51EF">
        <w:rPr>
          <w:rFonts w:ascii="Cambria" w:hAnsi="Cambria"/>
          <w:color w:val="auto"/>
          <w:sz w:val="16"/>
          <w:szCs w:val="16"/>
          <w:lang w:val="es-ES"/>
        </w:rPr>
        <w:t xml:space="preserve"> 42.</w:t>
      </w:r>
    </w:p>
  </w:footnote>
  <w:footnote w:id="47">
    <w:p w14:paraId="4DF9C6D8" w14:textId="27D4CBEA" w:rsidR="00873D49" w:rsidRPr="00E36893" w:rsidRDefault="00873D49" w:rsidP="007F51EF">
      <w:pPr>
        <w:pStyle w:val="FootnoteText"/>
        <w:tabs>
          <w:tab w:val="right" w:pos="540"/>
          <w:tab w:val="left" w:pos="900"/>
        </w:tabs>
        <w:jc w:val="both"/>
        <w:rPr>
          <w:rFonts w:ascii="Cambria" w:hAnsi="Cambria"/>
          <w:color w:val="auto"/>
          <w:sz w:val="16"/>
          <w:szCs w:val="16"/>
          <w:lang w:val="es-ES"/>
        </w:rPr>
      </w:pPr>
      <w:r w:rsidRPr="00B343BE">
        <w:rPr>
          <w:rStyle w:val="FootnoteReference"/>
          <w:rFonts w:ascii="Cambria" w:hAnsi="Cambria"/>
          <w:color w:val="auto"/>
          <w:sz w:val="16"/>
          <w:szCs w:val="16"/>
        </w:rPr>
        <w:footnoteRef/>
      </w:r>
      <w:r w:rsidRPr="007F51EF">
        <w:rPr>
          <w:rFonts w:ascii="Cambria" w:hAnsi="Cambria"/>
          <w:color w:val="auto"/>
          <w:sz w:val="16"/>
          <w:szCs w:val="16"/>
          <w:lang w:val="es-ES"/>
        </w:rPr>
        <w:t xml:space="preserve"> TEDH. Cas</w:t>
      </w:r>
      <w:r>
        <w:rPr>
          <w:rFonts w:ascii="Cambria" w:hAnsi="Cambria"/>
          <w:color w:val="auto"/>
          <w:sz w:val="16"/>
          <w:szCs w:val="16"/>
          <w:lang w:val="es-ES"/>
        </w:rPr>
        <w:t>o</w:t>
      </w:r>
      <w:r w:rsidRPr="007F51EF">
        <w:rPr>
          <w:rFonts w:ascii="Cambria" w:hAnsi="Cambria"/>
          <w:color w:val="auto"/>
          <w:sz w:val="16"/>
          <w:szCs w:val="16"/>
          <w:lang w:val="es-ES"/>
        </w:rPr>
        <w:t xml:space="preserve"> de </w:t>
      </w:r>
      <w:proofErr w:type="spellStart"/>
      <w:r w:rsidRPr="007F51EF">
        <w:rPr>
          <w:rFonts w:ascii="Cambria" w:hAnsi="Cambria"/>
          <w:color w:val="auto"/>
          <w:sz w:val="16"/>
          <w:szCs w:val="16"/>
          <w:lang w:val="es-ES"/>
        </w:rPr>
        <w:t>Soering</w:t>
      </w:r>
      <w:proofErr w:type="spellEnd"/>
      <w:r w:rsidRPr="007F51EF">
        <w:rPr>
          <w:rFonts w:ascii="Cambria" w:hAnsi="Cambria"/>
          <w:color w:val="auto"/>
          <w:sz w:val="16"/>
          <w:szCs w:val="16"/>
          <w:lang w:val="es-ES"/>
        </w:rPr>
        <w:t xml:space="preserve"> contra Reino Unido. Informe No. 14038/88. Sentencia, 7 de julio de 1989, </w:t>
      </w:r>
      <w:r w:rsidR="00C34A87" w:rsidRPr="007F51EF">
        <w:rPr>
          <w:rFonts w:ascii="Cambria" w:hAnsi="Cambria"/>
          <w:color w:val="auto"/>
          <w:sz w:val="16"/>
          <w:szCs w:val="16"/>
          <w:lang w:val="es-ES"/>
        </w:rPr>
        <w:t>párr.</w:t>
      </w:r>
      <w:r w:rsidRPr="007F51EF">
        <w:rPr>
          <w:rFonts w:ascii="Cambria" w:hAnsi="Cambria"/>
          <w:color w:val="auto"/>
          <w:sz w:val="16"/>
          <w:szCs w:val="16"/>
          <w:lang w:val="es-ES"/>
        </w:rPr>
        <w:t xml:space="preserve"> </w:t>
      </w:r>
      <w:r w:rsidRPr="00E36893">
        <w:rPr>
          <w:rFonts w:ascii="Cambria" w:hAnsi="Cambria"/>
          <w:color w:val="auto"/>
          <w:sz w:val="16"/>
          <w:szCs w:val="16"/>
          <w:lang w:val="es-ES"/>
        </w:rPr>
        <w:t>104.</w:t>
      </w:r>
    </w:p>
  </w:footnote>
  <w:footnote w:id="48">
    <w:p w14:paraId="024E220A" w14:textId="6C88E3E8" w:rsidR="00873D49" w:rsidRPr="007F51EF" w:rsidRDefault="00873D49" w:rsidP="007F51EF">
      <w:pPr>
        <w:pStyle w:val="FootnoteText"/>
        <w:jc w:val="both"/>
        <w:rPr>
          <w:rFonts w:asciiTheme="majorHAnsi" w:hAnsiTheme="majorHAnsi"/>
          <w:color w:val="auto"/>
          <w:sz w:val="16"/>
          <w:szCs w:val="16"/>
          <w:lang w:val="es-ES"/>
        </w:rPr>
      </w:pPr>
      <w:r w:rsidRPr="00B343BE">
        <w:rPr>
          <w:rStyle w:val="FootnoteReference"/>
          <w:rFonts w:ascii="Cambria" w:hAnsi="Cambria"/>
          <w:color w:val="auto"/>
          <w:sz w:val="16"/>
          <w:szCs w:val="16"/>
        </w:rPr>
        <w:footnoteRef/>
      </w:r>
      <w:r w:rsidRPr="007F51EF">
        <w:rPr>
          <w:rFonts w:ascii="Cambria" w:hAnsi="Cambria"/>
          <w:color w:val="auto"/>
          <w:sz w:val="16"/>
          <w:szCs w:val="16"/>
          <w:lang w:val="es-ES"/>
        </w:rPr>
        <w:t xml:space="preserve"> TEDH, </w:t>
      </w:r>
      <w:proofErr w:type="spellStart"/>
      <w:r w:rsidRPr="007F51EF">
        <w:rPr>
          <w:rFonts w:ascii="Cambria" w:hAnsi="Cambria"/>
          <w:color w:val="auto"/>
          <w:sz w:val="16"/>
          <w:szCs w:val="16"/>
          <w:lang w:val="es-ES"/>
        </w:rPr>
        <w:t>Soering</w:t>
      </w:r>
      <w:proofErr w:type="spellEnd"/>
      <w:r w:rsidRPr="007F51EF">
        <w:rPr>
          <w:rFonts w:ascii="Cambria" w:hAnsi="Cambria"/>
          <w:color w:val="auto"/>
          <w:sz w:val="16"/>
          <w:szCs w:val="16"/>
          <w:lang w:val="es-ES"/>
        </w:rPr>
        <w:t xml:space="preserve"> contra Reino Unido. Sentencia del 7 de julio de 1989. Serie A, Vol. 161. Asimismo, la Corte Suprema de los Estados </w:t>
      </w:r>
      <w:r>
        <w:rPr>
          <w:rFonts w:ascii="Cambria" w:hAnsi="Cambria"/>
          <w:color w:val="auto"/>
          <w:sz w:val="16"/>
          <w:szCs w:val="16"/>
          <w:lang w:val="es-ES"/>
        </w:rPr>
        <w:t xml:space="preserve">Unidos de América reconoció en Furman v. Georgia que el tiempo transcurrido en espera de la ejecución de una pena de muerte destruye el espíritu humano y constituye una tortura psicológica que a menudo conduce a la </w:t>
      </w:r>
      <w:r w:rsidR="00C34A87">
        <w:rPr>
          <w:rFonts w:ascii="Cambria" w:hAnsi="Cambria"/>
          <w:color w:val="auto"/>
          <w:sz w:val="16"/>
          <w:szCs w:val="16"/>
          <w:lang w:val="es-ES"/>
        </w:rPr>
        <w:t>insania</w:t>
      </w:r>
      <w:r>
        <w:rPr>
          <w:rFonts w:ascii="Cambria" w:hAnsi="Cambria"/>
          <w:color w:val="auto"/>
          <w:sz w:val="16"/>
          <w:szCs w:val="16"/>
          <w:lang w:val="es-ES"/>
        </w:rPr>
        <w:t>.</w:t>
      </w:r>
      <w:r w:rsidRPr="007F51EF">
        <w:rPr>
          <w:rFonts w:asciiTheme="majorHAnsi" w:hAnsiTheme="majorHAnsi"/>
          <w:color w:val="auto"/>
          <w:sz w:val="16"/>
          <w:szCs w:val="16"/>
          <w:lang w:val="es-ES"/>
        </w:rPr>
        <w:t xml:space="preserve"> Cf. Furman</w:t>
      </w:r>
      <w:r w:rsidR="00C34A87">
        <w:rPr>
          <w:rFonts w:asciiTheme="majorHAnsi" w:hAnsiTheme="majorHAnsi"/>
          <w:color w:val="auto"/>
          <w:sz w:val="16"/>
          <w:szCs w:val="16"/>
          <w:lang w:val="es-ES"/>
        </w:rPr>
        <w:t xml:space="preserve"> </w:t>
      </w:r>
      <w:r w:rsidRPr="007F51EF">
        <w:rPr>
          <w:rFonts w:asciiTheme="majorHAnsi" w:hAnsiTheme="majorHAnsi"/>
          <w:color w:val="auto"/>
          <w:sz w:val="16"/>
          <w:szCs w:val="16"/>
          <w:lang w:val="es-ES"/>
        </w:rPr>
        <w:t>v.</w:t>
      </w:r>
      <w:r w:rsidR="00C34A87">
        <w:rPr>
          <w:rFonts w:asciiTheme="majorHAnsi" w:hAnsiTheme="majorHAnsi"/>
          <w:color w:val="auto"/>
          <w:sz w:val="16"/>
          <w:szCs w:val="16"/>
          <w:lang w:val="es-ES"/>
        </w:rPr>
        <w:t xml:space="preserve"> </w:t>
      </w:r>
      <w:r w:rsidRPr="007F51EF">
        <w:rPr>
          <w:rFonts w:asciiTheme="majorHAnsi" w:hAnsiTheme="majorHAnsi"/>
          <w:color w:val="auto"/>
          <w:sz w:val="16"/>
          <w:szCs w:val="16"/>
          <w:lang w:val="es-ES"/>
        </w:rPr>
        <w:t>Georgia,</w:t>
      </w:r>
      <w:r w:rsidR="00C34A87">
        <w:rPr>
          <w:rFonts w:asciiTheme="majorHAnsi" w:hAnsiTheme="majorHAnsi"/>
          <w:color w:val="auto"/>
          <w:sz w:val="16"/>
          <w:szCs w:val="16"/>
          <w:lang w:val="es-ES"/>
        </w:rPr>
        <w:t xml:space="preserve"> </w:t>
      </w:r>
      <w:r w:rsidRPr="007F51EF">
        <w:rPr>
          <w:rFonts w:asciiTheme="majorHAnsi" w:hAnsiTheme="majorHAnsi"/>
          <w:color w:val="auto"/>
          <w:sz w:val="16"/>
          <w:szCs w:val="16"/>
          <w:lang w:val="es-ES"/>
        </w:rPr>
        <w:t>408</w:t>
      </w:r>
      <w:r w:rsidR="00C34A87">
        <w:rPr>
          <w:rFonts w:asciiTheme="majorHAnsi" w:hAnsiTheme="majorHAnsi"/>
          <w:color w:val="auto"/>
          <w:sz w:val="16"/>
          <w:szCs w:val="16"/>
          <w:lang w:val="es-ES"/>
        </w:rPr>
        <w:t xml:space="preserve"> </w:t>
      </w:r>
      <w:r w:rsidRPr="007F51EF">
        <w:rPr>
          <w:rFonts w:asciiTheme="majorHAnsi" w:hAnsiTheme="majorHAnsi"/>
          <w:color w:val="auto"/>
          <w:sz w:val="16"/>
          <w:szCs w:val="16"/>
          <w:lang w:val="es-ES"/>
        </w:rPr>
        <w:t>U.S.</w:t>
      </w:r>
      <w:r w:rsidR="00C34A87">
        <w:rPr>
          <w:rFonts w:asciiTheme="majorHAnsi" w:hAnsiTheme="majorHAnsi"/>
          <w:color w:val="auto"/>
          <w:sz w:val="16"/>
          <w:szCs w:val="16"/>
          <w:lang w:val="es-ES"/>
        </w:rPr>
        <w:t xml:space="preserve"> </w:t>
      </w:r>
      <w:r w:rsidRPr="007F51EF">
        <w:rPr>
          <w:rFonts w:asciiTheme="majorHAnsi" w:hAnsiTheme="majorHAnsi"/>
          <w:color w:val="auto"/>
          <w:sz w:val="16"/>
          <w:szCs w:val="16"/>
          <w:lang w:val="es-ES"/>
        </w:rPr>
        <w:t>238, 287‐288 (197). </w:t>
      </w:r>
    </w:p>
  </w:footnote>
  <w:footnote w:id="49">
    <w:p w14:paraId="0A7C9DBF" w14:textId="34A083ED" w:rsidR="00873D49" w:rsidRPr="007F51EF" w:rsidRDefault="00873D49" w:rsidP="004A0895">
      <w:pPr>
        <w:pStyle w:val="FootnoteText"/>
        <w:tabs>
          <w:tab w:val="right" w:pos="540"/>
          <w:tab w:val="left" w:pos="900"/>
        </w:tabs>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7F51EF">
        <w:rPr>
          <w:rFonts w:asciiTheme="majorHAnsi" w:hAnsiTheme="majorHAnsi"/>
          <w:color w:val="auto"/>
          <w:sz w:val="16"/>
          <w:szCs w:val="16"/>
          <w:lang w:val="es-ES"/>
        </w:rPr>
        <w:t xml:space="preserve"> </w:t>
      </w:r>
      <w:r w:rsidRPr="007F51EF">
        <w:rPr>
          <w:rFonts w:ascii="Cambria" w:hAnsi="Cambria"/>
          <w:color w:val="auto"/>
          <w:sz w:val="16"/>
          <w:szCs w:val="16"/>
          <w:lang w:val="es-ES"/>
        </w:rPr>
        <w:t>TEDH. Cas</w:t>
      </w:r>
      <w:r>
        <w:rPr>
          <w:rFonts w:ascii="Cambria" w:hAnsi="Cambria"/>
          <w:color w:val="auto"/>
          <w:sz w:val="16"/>
          <w:szCs w:val="16"/>
          <w:lang w:val="es-ES"/>
        </w:rPr>
        <w:t>o</w:t>
      </w:r>
      <w:r w:rsidRPr="007F51EF">
        <w:rPr>
          <w:rFonts w:ascii="Cambria" w:hAnsi="Cambria"/>
          <w:color w:val="auto"/>
          <w:sz w:val="16"/>
          <w:szCs w:val="16"/>
          <w:lang w:val="es-ES"/>
        </w:rPr>
        <w:t xml:space="preserve"> de </w:t>
      </w:r>
      <w:proofErr w:type="spellStart"/>
      <w:r w:rsidRPr="007F51EF">
        <w:rPr>
          <w:rFonts w:ascii="Cambria" w:hAnsi="Cambria"/>
          <w:color w:val="auto"/>
          <w:sz w:val="16"/>
          <w:szCs w:val="16"/>
          <w:lang w:val="es-ES"/>
        </w:rPr>
        <w:t>Soering</w:t>
      </w:r>
      <w:proofErr w:type="spellEnd"/>
      <w:r w:rsidRPr="007F51EF">
        <w:rPr>
          <w:rFonts w:ascii="Cambria" w:hAnsi="Cambria"/>
          <w:color w:val="auto"/>
          <w:sz w:val="16"/>
          <w:szCs w:val="16"/>
          <w:lang w:val="es-ES"/>
        </w:rPr>
        <w:t xml:space="preserve"> contra Reino Unido. Informe No. 14038/88. Sentencia, 7 de julio de 1989, </w:t>
      </w:r>
      <w:r w:rsidR="00C34A87" w:rsidRPr="007F51EF">
        <w:rPr>
          <w:rFonts w:ascii="Cambria" w:hAnsi="Cambria"/>
          <w:color w:val="auto"/>
          <w:sz w:val="16"/>
          <w:szCs w:val="16"/>
          <w:lang w:val="es-ES"/>
        </w:rPr>
        <w:t>párr.</w:t>
      </w:r>
      <w:r w:rsidRPr="007F51EF">
        <w:rPr>
          <w:rFonts w:ascii="Cambria" w:hAnsi="Cambria"/>
          <w:color w:val="auto"/>
          <w:sz w:val="16"/>
          <w:szCs w:val="16"/>
          <w:lang w:val="es-ES"/>
        </w:rPr>
        <w:t xml:space="preserve"> </w:t>
      </w:r>
      <w:r w:rsidRPr="007F51EF">
        <w:rPr>
          <w:rFonts w:asciiTheme="majorHAnsi" w:hAnsiTheme="majorHAnsi"/>
          <w:color w:val="auto"/>
          <w:sz w:val="16"/>
          <w:szCs w:val="16"/>
          <w:lang w:val="es-ES"/>
        </w:rPr>
        <w:t>106.</w:t>
      </w:r>
    </w:p>
  </w:footnote>
  <w:footnote w:id="50">
    <w:p w14:paraId="69BC6022" w14:textId="3A0F0432" w:rsidR="00873D49" w:rsidRPr="004A0895" w:rsidRDefault="00873D49" w:rsidP="004A0895">
      <w:pPr>
        <w:pStyle w:val="FootnoteText"/>
        <w:tabs>
          <w:tab w:val="right" w:pos="540"/>
          <w:tab w:val="left" w:pos="900"/>
        </w:tabs>
        <w:jc w:val="both"/>
        <w:rPr>
          <w:rFonts w:asciiTheme="majorHAnsi" w:hAnsiTheme="majorHAnsi"/>
          <w:color w:val="auto"/>
          <w:sz w:val="16"/>
          <w:szCs w:val="16"/>
          <w:highlight w:val="yellow"/>
        </w:rPr>
      </w:pPr>
      <w:r w:rsidRPr="004A0895">
        <w:rPr>
          <w:rStyle w:val="FootnoteReference"/>
          <w:rFonts w:asciiTheme="majorHAnsi" w:hAnsiTheme="majorHAnsi"/>
          <w:color w:val="auto"/>
          <w:sz w:val="16"/>
          <w:szCs w:val="16"/>
        </w:rPr>
        <w:footnoteRef/>
      </w:r>
      <w:r w:rsidRPr="007F51EF">
        <w:rPr>
          <w:rFonts w:asciiTheme="majorHAnsi" w:hAnsiTheme="majorHAnsi"/>
          <w:color w:val="auto"/>
          <w:sz w:val="16"/>
          <w:szCs w:val="16"/>
          <w:lang w:val="es-ES"/>
        </w:rPr>
        <w:t xml:space="preserve"> </w:t>
      </w:r>
      <w:r w:rsidRPr="007F51EF">
        <w:rPr>
          <w:rFonts w:ascii="Cambria" w:hAnsi="Cambria"/>
          <w:color w:val="auto"/>
          <w:sz w:val="16"/>
          <w:szCs w:val="16"/>
          <w:lang w:val="es-ES"/>
        </w:rPr>
        <w:t>TEDH. Cas</w:t>
      </w:r>
      <w:r>
        <w:rPr>
          <w:rFonts w:ascii="Cambria" w:hAnsi="Cambria"/>
          <w:color w:val="auto"/>
          <w:sz w:val="16"/>
          <w:szCs w:val="16"/>
          <w:lang w:val="es-ES"/>
        </w:rPr>
        <w:t>o</w:t>
      </w:r>
      <w:r w:rsidRPr="007F51EF">
        <w:rPr>
          <w:rFonts w:ascii="Cambria" w:hAnsi="Cambria"/>
          <w:color w:val="auto"/>
          <w:sz w:val="16"/>
          <w:szCs w:val="16"/>
          <w:lang w:val="es-ES"/>
        </w:rPr>
        <w:t xml:space="preserve"> de </w:t>
      </w:r>
      <w:proofErr w:type="spellStart"/>
      <w:r w:rsidRPr="007F51EF">
        <w:rPr>
          <w:rFonts w:ascii="Cambria" w:hAnsi="Cambria"/>
          <w:color w:val="auto"/>
          <w:sz w:val="16"/>
          <w:szCs w:val="16"/>
          <w:lang w:val="es-ES"/>
        </w:rPr>
        <w:t>Soering</w:t>
      </w:r>
      <w:proofErr w:type="spellEnd"/>
      <w:r w:rsidRPr="007F51EF">
        <w:rPr>
          <w:rFonts w:ascii="Cambria" w:hAnsi="Cambria"/>
          <w:color w:val="auto"/>
          <w:sz w:val="16"/>
          <w:szCs w:val="16"/>
          <w:lang w:val="es-ES"/>
        </w:rPr>
        <w:t xml:space="preserve"> contra Reino Unido. Informe No. 14038/88. Sentencia, 7 de julio de 1989, </w:t>
      </w:r>
      <w:r w:rsidR="00C34A87" w:rsidRPr="007F51EF">
        <w:rPr>
          <w:rFonts w:ascii="Cambria" w:hAnsi="Cambria"/>
          <w:color w:val="auto"/>
          <w:sz w:val="16"/>
          <w:szCs w:val="16"/>
          <w:lang w:val="es-ES"/>
        </w:rPr>
        <w:t>párr.</w:t>
      </w:r>
      <w:r w:rsidRPr="007F51EF">
        <w:rPr>
          <w:rFonts w:ascii="Cambria" w:hAnsi="Cambria"/>
          <w:color w:val="auto"/>
          <w:sz w:val="16"/>
          <w:szCs w:val="16"/>
          <w:lang w:val="es-ES"/>
        </w:rPr>
        <w:t xml:space="preserve"> </w:t>
      </w:r>
      <w:r w:rsidRPr="004A0895">
        <w:rPr>
          <w:rFonts w:asciiTheme="majorHAnsi" w:hAnsiTheme="majorHAnsi"/>
          <w:color w:val="auto"/>
          <w:sz w:val="16"/>
          <w:szCs w:val="16"/>
        </w:rPr>
        <w:t>111.</w:t>
      </w:r>
    </w:p>
  </w:footnote>
  <w:footnote w:id="51">
    <w:p w14:paraId="7AC0EE93" w14:textId="3F7D000C" w:rsidR="00873D49" w:rsidRPr="007F51EF" w:rsidRDefault="00873D49" w:rsidP="004A0895">
      <w:pPr>
        <w:widowControl w:val="0"/>
        <w:autoSpaceDE w:val="0"/>
        <w:autoSpaceDN w:val="0"/>
        <w:adjustRightInd w:val="0"/>
        <w:jc w:val="both"/>
        <w:rPr>
          <w:rFonts w:asciiTheme="majorHAnsi" w:hAnsiTheme="majorHAnsi" w:cs="Arial"/>
          <w:bCs/>
          <w:sz w:val="16"/>
          <w:szCs w:val="16"/>
          <w:lang w:val="es-ES"/>
        </w:rPr>
      </w:pPr>
      <w:r w:rsidRPr="004A0895">
        <w:rPr>
          <w:rStyle w:val="FootnoteReference"/>
          <w:rFonts w:asciiTheme="majorHAnsi" w:hAnsiTheme="majorHAnsi"/>
          <w:sz w:val="16"/>
          <w:szCs w:val="16"/>
        </w:rPr>
        <w:footnoteRef/>
      </w:r>
      <w:r w:rsidRPr="004A0895">
        <w:rPr>
          <w:rFonts w:asciiTheme="majorHAnsi" w:hAnsiTheme="majorHAnsi"/>
          <w:sz w:val="16"/>
          <w:szCs w:val="16"/>
        </w:rPr>
        <w:t xml:space="preserve"> Pratt and Morgan v. The Attorney General for Jamaica and another (Jamaica) [1993] UKPC 1 (</w:t>
      </w:r>
      <w:r>
        <w:rPr>
          <w:rFonts w:asciiTheme="majorHAnsi" w:hAnsiTheme="majorHAnsi"/>
          <w:sz w:val="16"/>
          <w:szCs w:val="16"/>
        </w:rPr>
        <w:t xml:space="preserve">2 de </w:t>
      </w:r>
      <w:proofErr w:type="spellStart"/>
      <w:r>
        <w:rPr>
          <w:rFonts w:asciiTheme="majorHAnsi" w:hAnsiTheme="majorHAnsi"/>
          <w:sz w:val="16"/>
          <w:szCs w:val="16"/>
        </w:rPr>
        <w:t>noviembre</w:t>
      </w:r>
      <w:proofErr w:type="spellEnd"/>
      <w:r>
        <w:rPr>
          <w:rFonts w:asciiTheme="majorHAnsi" w:hAnsiTheme="majorHAnsi"/>
          <w:sz w:val="16"/>
          <w:szCs w:val="16"/>
        </w:rPr>
        <w:t xml:space="preserve"> de </w:t>
      </w:r>
      <w:r w:rsidRPr="004A0895">
        <w:rPr>
          <w:rFonts w:asciiTheme="majorHAnsi" w:hAnsiTheme="majorHAnsi"/>
          <w:sz w:val="16"/>
          <w:szCs w:val="16"/>
        </w:rPr>
        <w:t>1993), par</w:t>
      </w:r>
      <w:r>
        <w:rPr>
          <w:rFonts w:asciiTheme="majorHAnsi" w:hAnsiTheme="majorHAnsi"/>
          <w:sz w:val="16"/>
          <w:szCs w:val="16"/>
        </w:rPr>
        <w:t>r</w:t>
      </w:r>
      <w:r w:rsidRPr="004A0895">
        <w:rPr>
          <w:rFonts w:asciiTheme="majorHAnsi" w:hAnsiTheme="majorHAnsi"/>
          <w:sz w:val="16"/>
          <w:szCs w:val="16"/>
        </w:rPr>
        <w:t xml:space="preserve">s. </w:t>
      </w:r>
      <w:r w:rsidRPr="007F51EF">
        <w:rPr>
          <w:rFonts w:asciiTheme="majorHAnsi" w:hAnsiTheme="majorHAnsi"/>
          <w:sz w:val="16"/>
          <w:szCs w:val="16"/>
          <w:lang w:val="es-ES"/>
        </w:rPr>
        <w:t xml:space="preserve">73-75 y 84. </w:t>
      </w:r>
    </w:p>
  </w:footnote>
  <w:footnote w:id="52">
    <w:p w14:paraId="568D8672" w14:textId="77777777" w:rsidR="00873D49" w:rsidRPr="007F51EF" w:rsidRDefault="00873D49" w:rsidP="00EA66A2">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7F51EF">
        <w:rPr>
          <w:rFonts w:asciiTheme="majorHAnsi" w:hAnsiTheme="majorHAnsi"/>
          <w:color w:val="auto"/>
          <w:sz w:val="16"/>
          <w:szCs w:val="16"/>
          <w:lang w:val="es-ES"/>
        </w:rPr>
        <w:t xml:space="preserve"> Corte Suprema de Uganda, </w:t>
      </w:r>
      <w:proofErr w:type="spellStart"/>
      <w:r w:rsidRPr="007F51EF">
        <w:rPr>
          <w:rFonts w:asciiTheme="majorHAnsi" w:hAnsiTheme="majorHAnsi"/>
          <w:i/>
          <w:color w:val="auto"/>
          <w:sz w:val="16"/>
          <w:szCs w:val="16"/>
          <w:lang w:val="es-ES"/>
        </w:rPr>
        <w:t>Attorney</w:t>
      </w:r>
      <w:proofErr w:type="spellEnd"/>
      <w:r w:rsidRPr="007F51EF">
        <w:rPr>
          <w:rFonts w:asciiTheme="majorHAnsi" w:hAnsiTheme="majorHAnsi"/>
          <w:i/>
          <w:color w:val="auto"/>
          <w:sz w:val="16"/>
          <w:szCs w:val="16"/>
          <w:lang w:val="es-ES"/>
        </w:rPr>
        <w:t xml:space="preserve"> General v. Susan </w:t>
      </w:r>
      <w:proofErr w:type="spellStart"/>
      <w:r w:rsidRPr="007F51EF">
        <w:rPr>
          <w:rFonts w:asciiTheme="majorHAnsi" w:hAnsiTheme="majorHAnsi"/>
          <w:i/>
          <w:color w:val="auto"/>
          <w:sz w:val="16"/>
          <w:szCs w:val="16"/>
          <w:lang w:val="es-ES"/>
        </w:rPr>
        <w:t>Kigula</w:t>
      </w:r>
      <w:proofErr w:type="spellEnd"/>
      <w:r>
        <w:rPr>
          <w:rFonts w:asciiTheme="majorHAnsi" w:hAnsiTheme="majorHAnsi"/>
          <w:i/>
          <w:color w:val="auto"/>
          <w:sz w:val="16"/>
          <w:szCs w:val="16"/>
          <w:lang w:val="es-ES"/>
        </w:rPr>
        <w:t xml:space="preserve"> </w:t>
      </w:r>
      <w:r>
        <w:rPr>
          <w:rFonts w:asciiTheme="majorHAnsi" w:hAnsiTheme="majorHAnsi"/>
          <w:iCs/>
          <w:color w:val="auto"/>
          <w:sz w:val="16"/>
          <w:szCs w:val="16"/>
          <w:lang w:val="es-ES"/>
        </w:rPr>
        <w:t>y otros 417 (Apelación Constitucional No. 3 de 2006), 2009</w:t>
      </w:r>
      <w:r w:rsidRPr="007F51EF">
        <w:rPr>
          <w:rFonts w:asciiTheme="majorHAnsi" w:hAnsiTheme="majorHAnsi"/>
          <w:color w:val="auto"/>
          <w:sz w:val="16"/>
          <w:szCs w:val="16"/>
          <w:lang w:val="es-ES"/>
        </w:rPr>
        <w:t>.</w:t>
      </w:r>
    </w:p>
  </w:footnote>
  <w:footnote w:id="53">
    <w:p w14:paraId="0E6BA5CC" w14:textId="77777777" w:rsidR="00873D49" w:rsidRPr="007F51EF" w:rsidRDefault="00873D49" w:rsidP="00EA66A2">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7F51EF">
        <w:rPr>
          <w:rFonts w:asciiTheme="majorHAnsi" w:hAnsiTheme="majorHAnsi"/>
          <w:color w:val="auto"/>
          <w:sz w:val="16"/>
          <w:szCs w:val="16"/>
          <w:lang w:val="es-ES"/>
        </w:rPr>
        <w:t xml:space="preserve"> Sentencia de la Corte Suprema de </w:t>
      </w:r>
      <w:proofErr w:type="spellStart"/>
      <w:r>
        <w:rPr>
          <w:rFonts w:asciiTheme="majorHAnsi" w:hAnsiTheme="majorHAnsi"/>
          <w:color w:val="auto"/>
          <w:sz w:val="16"/>
          <w:szCs w:val="16"/>
          <w:lang w:val="es-ES"/>
        </w:rPr>
        <w:t>Zimbabwe</w:t>
      </w:r>
      <w:proofErr w:type="spellEnd"/>
      <w:r>
        <w:rPr>
          <w:rFonts w:asciiTheme="majorHAnsi" w:hAnsiTheme="majorHAnsi"/>
          <w:color w:val="auto"/>
          <w:sz w:val="16"/>
          <w:szCs w:val="16"/>
          <w:lang w:val="es-ES"/>
        </w:rPr>
        <w:t xml:space="preserve"> del 24 de junio de 1993 en el caso </w:t>
      </w:r>
      <w:proofErr w:type="spellStart"/>
      <w:r w:rsidRPr="007F51EF">
        <w:rPr>
          <w:rFonts w:asciiTheme="majorHAnsi" w:hAnsiTheme="majorHAnsi"/>
          <w:i/>
          <w:color w:val="auto"/>
          <w:sz w:val="16"/>
          <w:szCs w:val="16"/>
          <w:lang w:val="es-ES"/>
        </w:rPr>
        <w:t>Catholic</w:t>
      </w:r>
      <w:proofErr w:type="spellEnd"/>
      <w:r w:rsidRPr="007F51EF">
        <w:rPr>
          <w:rFonts w:asciiTheme="majorHAnsi" w:hAnsiTheme="majorHAnsi"/>
          <w:i/>
          <w:color w:val="auto"/>
          <w:sz w:val="16"/>
          <w:szCs w:val="16"/>
          <w:lang w:val="es-ES"/>
        </w:rPr>
        <w:t xml:space="preserve"> </w:t>
      </w:r>
      <w:proofErr w:type="spellStart"/>
      <w:r w:rsidRPr="007F51EF">
        <w:rPr>
          <w:rFonts w:asciiTheme="majorHAnsi" w:hAnsiTheme="majorHAnsi"/>
          <w:i/>
          <w:color w:val="auto"/>
          <w:sz w:val="16"/>
          <w:szCs w:val="16"/>
          <w:lang w:val="es-ES"/>
        </w:rPr>
        <w:t>Commissioner</w:t>
      </w:r>
      <w:proofErr w:type="spellEnd"/>
      <w:r w:rsidRPr="007F51EF">
        <w:rPr>
          <w:rFonts w:asciiTheme="majorHAnsi" w:hAnsiTheme="majorHAnsi"/>
          <w:i/>
          <w:color w:val="auto"/>
          <w:sz w:val="16"/>
          <w:szCs w:val="16"/>
          <w:lang w:val="es-ES"/>
        </w:rPr>
        <w:t xml:space="preserve"> </w:t>
      </w:r>
      <w:proofErr w:type="spellStart"/>
      <w:r w:rsidRPr="007F51EF">
        <w:rPr>
          <w:rFonts w:asciiTheme="majorHAnsi" w:hAnsiTheme="majorHAnsi"/>
          <w:i/>
          <w:color w:val="auto"/>
          <w:sz w:val="16"/>
          <w:szCs w:val="16"/>
          <w:lang w:val="es-ES"/>
        </w:rPr>
        <w:t>for</w:t>
      </w:r>
      <w:proofErr w:type="spellEnd"/>
      <w:r w:rsidRPr="007F51EF">
        <w:rPr>
          <w:rFonts w:asciiTheme="majorHAnsi" w:hAnsiTheme="majorHAnsi"/>
          <w:i/>
          <w:color w:val="auto"/>
          <w:sz w:val="16"/>
          <w:szCs w:val="16"/>
          <w:lang w:val="es-ES"/>
        </w:rPr>
        <w:t xml:space="preserve"> </w:t>
      </w:r>
      <w:proofErr w:type="spellStart"/>
      <w:r w:rsidRPr="007F51EF">
        <w:rPr>
          <w:rFonts w:asciiTheme="majorHAnsi" w:hAnsiTheme="majorHAnsi"/>
          <w:i/>
          <w:color w:val="auto"/>
          <w:sz w:val="16"/>
          <w:szCs w:val="16"/>
          <w:lang w:val="es-ES"/>
        </w:rPr>
        <w:t>Justice</w:t>
      </w:r>
      <w:proofErr w:type="spellEnd"/>
      <w:r w:rsidRPr="007F51EF">
        <w:rPr>
          <w:rFonts w:asciiTheme="majorHAnsi" w:hAnsiTheme="majorHAnsi"/>
          <w:i/>
          <w:color w:val="auto"/>
          <w:sz w:val="16"/>
          <w:szCs w:val="16"/>
          <w:lang w:val="es-ES"/>
        </w:rPr>
        <w:t xml:space="preserve"> and </w:t>
      </w:r>
      <w:proofErr w:type="spellStart"/>
      <w:r w:rsidRPr="007F51EF">
        <w:rPr>
          <w:rFonts w:asciiTheme="majorHAnsi" w:hAnsiTheme="majorHAnsi"/>
          <w:i/>
          <w:color w:val="auto"/>
          <w:sz w:val="16"/>
          <w:szCs w:val="16"/>
          <w:lang w:val="es-ES"/>
        </w:rPr>
        <w:t>Peace</w:t>
      </w:r>
      <w:proofErr w:type="spellEnd"/>
      <w:r w:rsidRPr="007F51EF">
        <w:rPr>
          <w:rFonts w:asciiTheme="majorHAnsi" w:hAnsiTheme="majorHAnsi"/>
          <w:i/>
          <w:color w:val="auto"/>
          <w:sz w:val="16"/>
          <w:szCs w:val="16"/>
          <w:lang w:val="es-ES"/>
        </w:rPr>
        <w:t xml:space="preserve"> in </w:t>
      </w:r>
      <w:proofErr w:type="spellStart"/>
      <w:r w:rsidRPr="007F51EF">
        <w:rPr>
          <w:rFonts w:asciiTheme="majorHAnsi" w:hAnsiTheme="majorHAnsi"/>
          <w:i/>
          <w:color w:val="auto"/>
          <w:sz w:val="16"/>
          <w:szCs w:val="16"/>
          <w:lang w:val="es-ES"/>
        </w:rPr>
        <w:t>Zimbabwe</w:t>
      </w:r>
      <w:proofErr w:type="spellEnd"/>
      <w:r w:rsidRPr="007F51EF">
        <w:rPr>
          <w:rFonts w:asciiTheme="majorHAnsi" w:hAnsiTheme="majorHAnsi"/>
          <w:i/>
          <w:color w:val="auto"/>
          <w:sz w:val="16"/>
          <w:szCs w:val="16"/>
          <w:lang w:val="es-ES"/>
        </w:rPr>
        <w:t xml:space="preserve"> v. </w:t>
      </w:r>
      <w:proofErr w:type="spellStart"/>
      <w:r w:rsidRPr="007F51EF">
        <w:rPr>
          <w:rFonts w:asciiTheme="majorHAnsi" w:hAnsiTheme="majorHAnsi"/>
          <w:i/>
          <w:color w:val="auto"/>
          <w:sz w:val="16"/>
          <w:szCs w:val="16"/>
          <w:lang w:val="es-ES"/>
        </w:rPr>
        <w:t>Attorney</w:t>
      </w:r>
      <w:proofErr w:type="spellEnd"/>
      <w:r w:rsidRPr="007F51EF">
        <w:rPr>
          <w:rFonts w:asciiTheme="majorHAnsi" w:hAnsiTheme="majorHAnsi"/>
          <w:i/>
          <w:color w:val="auto"/>
          <w:sz w:val="16"/>
          <w:szCs w:val="16"/>
          <w:lang w:val="es-ES"/>
        </w:rPr>
        <w:t xml:space="preserve"> General</w:t>
      </w:r>
      <w:r w:rsidRPr="007F51EF">
        <w:rPr>
          <w:rFonts w:asciiTheme="majorHAnsi" w:hAnsiTheme="majorHAnsi"/>
          <w:color w:val="auto"/>
          <w:sz w:val="16"/>
          <w:szCs w:val="16"/>
          <w:lang w:val="es-ES"/>
        </w:rPr>
        <w:t xml:space="preserve"> (4) SA 239 (ZS).</w:t>
      </w:r>
    </w:p>
  </w:footnote>
  <w:footnote w:id="54">
    <w:p w14:paraId="52C4498B" w14:textId="77777777" w:rsidR="00873D49" w:rsidRPr="00C303FD" w:rsidRDefault="00873D49" w:rsidP="00C303FD">
      <w:pPr>
        <w:pStyle w:val="NormalWeb"/>
        <w:spacing w:before="0" w:beforeAutospacing="0" w:after="0" w:afterAutospacing="0"/>
        <w:jc w:val="both"/>
        <w:rPr>
          <w:rFonts w:asciiTheme="majorHAnsi" w:hAnsiTheme="majorHAnsi"/>
          <w:sz w:val="16"/>
          <w:szCs w:val="16"/>
          <w:lang w:val="es-ES"/>
        </w:rPr>
      </w:pPr>
      <w:r w:rsidRPr="004A0895">
        <w:rPr>
          <w:rStyle w:val="FootnoteReference"/>
          <w:rFonts w:asciiTheme="majorHAnsi" w:hAnsiTheme="majorHAnsi"/>
          <w:sz w:val="16"/>
          <w:szCs w:val="16"/>
        </w:rPr>
        <w:footnoteRef/>
      </w:r>
      <w:r w:rsidRPr="007F51EF">
        <w:rPr>
          <w:rFonts w:asciiTheme="majorHAnsi" w:hAnsiTheme="majorHAnsi"/>
          <w:sz w:val="16"/>
          <w:szCs w:val="16"/>
          <w:lang w:val="es-ES"/>
        </w:rPr>
        <w:t xml:space="preserve"> En tal sentido, la directriz </w:t>
      </w:r>
      <w:proofErr w:type="spellStart"/>
      <w:r w:rsidRPr="007F51EF">
        <w:rPr>
          <w:rFonts w:asciiTheme="majorHAnsi" w:hAnsiTheme="majorHAnsi"/>
          <w:sz w:val="16"/>
          <w:szCs w:val="16"/>
          <w:lang w:val="es-ES"/>
        </w:rPr>
        <w:t>xi</w:t>
      </w:r>
      <w:r>
        <w:rPr>
          <w:rFonts w:asciiTheme="majorHAnsi" w:hAnsiTheme="majorHAnsi"/>
          <w:sz w:val="16"/>
          <w:szCs w:val="16"/>
          <w:lang w:val="es-ES"/>
        </w:rPr>
        <w:t>v</w:t>
      </w:r>
      <w:proofErr w:type="spellEnd"/>
      <w:r w:rsidRPr="007F51EF">
        <w:rPr>
          <w:rFonts w:asciiTheme="majorHAnsi" w:hAnsiTheme="majorHAnsi"/>
          <w:sz w:val="16"/>
          <w:szCs w:val="16"/>
          <w:lang w:val="es-ES"/>
        </w:rPr>
        <w:t>) de las “</w:t>
      </w:r>
      <w:r>
        <w:rPr>
          <w:rFonts w:asciiTheme="majorHAnsi" w:hAnsiTheme="majorHAnsi"/>
          <w:sz w:val="16"/>
          <w:szCs w:val="16"/>
          <w:lang w:val="es-ES"/>
        </w:rPr>
        <w:t>Directrices de la Unión Europea sobre Pena de Muerte” establece que “</w:t>
      </w:r>
      <w:r w:rsidRPr="00C303FD">
        <w:rPr>
          <w:rFonts w:asciiTheme="majorHAnsi" w:hAnsiTheme="majorHAnsi"/>
          <w:sz w:val="16"/>
          <w:szCs w:val="16"/>
          <w:lang w:val="es-ES"/>
        </w:rPr>
        <w:t>Cuando se aplique la pena capital a pesar de los esfuerzos desplegados por la UE para evitarla, ésta únicamente se ejecutará de modo que cause el menor sufrimiento posible. No podrá ejecutarse en público ni de ninguna otra forma que suponga una degradación de la persona condenada.</w:t>
      </w:r>
      <w:r>
        <w:rPr>
          <w:rFonts w:asciiTheme="majorHAnsi" w:hAnsiTheme="majorHAnsi"/>
          <w:sz w:val="16"/>
          <w:szCs w:val="16"/>
          <w:lang w:val="es-ES"/>
        </w:rPr>
        <w:t>”</w:t>
      </w:r>
    </w:p>
  </w:footnote>
  <w:footnote w:id="55">
    <w:p w14:paraId="4F462972" w14:textId="77777777" w:rsidR="00873D49" w:rsidRPr="00C303FD" w:rsidRDefault="00873D49" w:rsidP="00C303FD">
      <w:pPr>
        <w:pStyle w:val="NormalWeb"/>
        <w:spacing w:before="0" w:beforeAutospacing="0" w:after="0" w:afterAutospacing="0"/>
        <w:jc w:val="both"/>
        <w:rPr>
          <w:rFonts w:asciiTheme="majorHAnsi" w:eastAsia="Arial Unicode MS" w:hAnsiTheme="majorHAnsi"/>
          <w:sz w:val="16"/>
          <w:szCs w:val="16"/>
          <w:lang w:val="es-ES"/>
        </w:rPr>
      </w:pPr>
      <w:r w:rsidRPr="004A0895">
        <w:rPr>
          <w:rStyle w:val="FootnoteReference"/>
          <w:rFonts w:asciiTheme="majorHAnsi" w:hAnsiTheme="majorHAnsi"/>
          <w:sz w:val="16"/>
          <w:szCs w:val="16"/>
        </w:rPr>
        <w:footnoteRef/>
      </w:r>
      <w:r w:rsidRPr="00C303FD">
        <w:rPr>
          <w:rFonts w:asciiTheme="majorHAnsi" w:hAnsiTheme="majorHAnsi"/>
          <w:sz w:val="16"/>
          <w:szCs w:val="16"/>
          <w:lang w:val="es-ES"/>
        </w:rPr>
        <w:t xml:space="preserve"> Consejo Económico y Social, Salva</w:t>
      </w:r>
      <w:r>
        <w:rPr>
          <w:rFonts w:asciiTheme="majorHAnsi" w:hAnsiTheme="majorHAnsi"/>
          <w:sz w:val="16"/>
          <w:szCs w:val="16"/>
          <w:lang w:val="es-ES"/>
        </w:rPr>
        <w:t>guardas para garantizar la protección de los derechos de los condenados a pena de muerte</w:t>
      </w:r>
      <w:r w:rsidRPr="00C303FD">
        <w:rPr>
          <w:rFonts w:asciiTheme="majorHAnsi" w:eastAsia="Arial Unicode MS" w:hAnsiTheme="majorHAnsi"/>
          <w:sz w:val="16"/>
          <w:szCs w:val="16"/>
          <w:lang w:val="es-ES"/>
        </w:rPr>
        <w:t xml:space="preserve">. </w:t>
      </w:r>
    </w:p>
  </w:footnote>
  <w:footnote w:id="56">
    <w:p w14:paraId="51B0CCFC" w14:textId="752F9186" w:rsidR="00873D49" w:rsidRPr="00C303FD" w:rsidRDefault="00873D49" w:rsidP="00C303FD">
      <w:pPr>
        <w:pStyle w:val="NormalWeb"/>
        <w:spacing w:before="0" w:beforeAutospacing="0" w:after="0" w:afterAutospacing="0"/>
        <w:jc w:val="both"/>
        <w:rPr>
          <w:rFonts w:asciiTheme="majorHAnsi" w:eastAsia="Arial Unicode MS" w:hAnsiTheme="majorHAnsi"/>
          <w:sz w:val="16"/>
          <w:szCs w:val="16"/>
          <w:lang w:val="es-ES"/>
        </w:rPr>
      </w:pPr>
      <w:r w:rsidRPr="004A0895">
        <w:rPr>
          <w:rStyle w:val="FootnoteReference"/>
          <w:rFonts w:asciiTheme="majorHAnsi" w:hAnsiTheme="majorHAnsi"/>
          <w:sz w:val="16"/>
          <w:szCs w:val="16"/>
        </w:rPr>
        <w:footnoteRef/>
      </w:r>
      <w:r w:rsidRPr="00C303FD">
        <w:rPr>
          <w:rFonts w:asciiTheme="majorHAnsi" w:hAnsiTheme="majorHAnsi"/>
          <w:sz w:val="16"/>
          <w:szCs w:val="16"/>
          <w:lang w:val="es-ES"/>
        </w:rPr>
        <w:t xml:space="preserve"> </w:t>
      </w:r>
      <w:r w:rsidRPr="00C303FD">
        <w:rPr>
          <w:rFonts w:asciiTheme="majorHAnsi" w:eastAsia="Arial Unicode MS" w:hAnsiTheme="majorHAnsi"/>
          <w:sz w:val="16"/>
          <w:szCs w:val="16"/>
          <w:lang w:val="es-ES"/>
        </w:rPr>
        <w:t>A/HRC/30/18, Consejo de Derechos H</w:t>
      </w:r>
      <w:r>
        <w:rPr>
          <w:rFonts w:asciiTheme="majorHAnsi" w:eastAsia="Arial Unicode MS" w:hAnsiTheme="majorHAnsi"/>
          <w:sz w:val="16"/>
          <w:szCs w:val="16"/>
          <w:lang w:val="es-ES"/>
        </w:rPr>
        <w:t xml:space="preserve">umanos, </w:t>
      </w:r>
      <w:r w:rsidRPr="00C303FD">
        <w:rPr>
          <w:rFonts w:asciiTheme="majorHAnsi" w:eastAsia="Arial Unicode MS" w:hAnsiTheme="majorHAnsi"/>
          <w:sz w:val="16"/>
          <w:szCs w:val="16"/>
          <w:lang w:val="es-ES"/>
        </w:rPr>
        <w:t>La pena capital y la aplicación de las salvaguardias para garantizar la protección de los derechos de los condenados a la pena de muerte</w:t>
      </w:r>
      <w:r>
        <w:rPr>
          <w:rFonts w:asciiTheme="majorHAnsi" w:eastAsia="Arial Unicode MS" w:hAnsiTheme="majorHAnsi"/>
          <w:sz w:val="16"/>
          <w:szCs w:val="16"/>
          <w:lang w:val="es-ES"/>
        </w:rPr>
        <w:t xml:space="preserve">, </w:t>
      </w:r>
      <w:r w:rsidRPr="00C303FD">
        <w:rPr>
          <w:rFonts w:asciiTheme="majorHAnsi" w:eastAsia="Arial Unicode MS" w:hAnsiTheme="majorHAnsi"/>
          <w:sz w:val="16"/>
          <w:szCs w:val="16"/>
          <w:lang w:val="es-ES"/>
        </w:rPr>
        <w:t xml:space="preserve">Suplemento anual del </w:t>
      </w:r>
      <w:proofErr w:type="gramStart"/>
      <w:r w:rsidRPr="00C303FD">
        <w:rPr>
          <w:rFonts w:asciiTheme="majorHAnsi" w:eastAsia="Arial Unicode MS" w:hAnsiTheme="majorHAnsi"/>
          <w:sz w:val="16"/>
          <w:szCs w:val="16"/>
          <w:lang w:val="es-ES"/>
        </w:rPr>
        <w:t>Secretario General</w:t>
      </w:r>
      <w:proofErr w:type="gramEnd"/>
      <w:r w:rsidRPr="00C303FD">
        <w:rPr>
          <w:rFonts w:asciiTheme="majorHAnsi" w:eastAsia="Arial Unicode MS" w:hAnsiTheme="majorHAnsi"/>
          <w:sz w:val="16"/>
          <w:szCs w:val="16"/>
          <w:lang w:val="es-ES"/>
        </w:rPr>
        <w:t xml:space="preserve"> de su informe quinquenal sobre la pena capital, p</w:t>
      </w:r>
      <w:r>
        <w:rPr>
          <w:rFonts w:asciiTheme="majorHAnsi" w:eastAsia="Arial Unicode MS" w:hAnsiTheme="majorHAnsi"/>
          <w:sz w:val="16"/>
          <w:szCs w:val="16"/>
          <w:lang w:val="es-ES"/>
        </w:rPr>
        <w:t>á</w:t>
      </w:r>
      <w:r w:rsidRPr="00C303FD">
        <w:rPr>
          <w:rFonts w:asciiTheme="majorHAnsi" w:eastAsia="Arial Unicode MS" w:hAnsiTheme="majorHAnsi"/>
          <w:sz w:val="16"/>
          <w:szCs w:val="16"/>
          <w:lang w:val="es-ES"/>
        </w:rPr>
        <w:t>r</w:t>
      </w:r>
      <w:r>
        <w:rPr>
          <w:rFonts w:asciiTheme="majorHAnsi" w:eastAsia="Arial Unicode MS" w:hAnsiTheme="majorHAnsi"/>
          <w:sz w:val="16"/>
          <w:szCs w:val="16"/>
          <w:lang w:val="es-ES"/>
        </w:rPr>
        <w:t>r</w:t>
      </w:r>
      <w:r w:rsidRPr="00C303FD">
        <w:rPr>
          <w:rFonts w:asciiTheme="majorHAnsi" w:eastAsia="Arial Unicode MS" w:hAnsiTheme="majorHAnsi"/>
          <w:sz w:val="16"/>
          <w:szCs w:val="16"/>
          <w:lang w:val="es-ES"/>
        </w:rPr>
        <w:t>.</w:t>
      </w:r>
      <w:r>
        <w:rPr>
          <w:rFonts w:asciiTheme="majorHAnsi" w:eastAsia="Arial Unicode MS" w:hAnsiTheme="majorHAnsi"/>
          <w:sz w:val="16"/>
          <w:szCs w:val="16"/>
          <w:lang w:val="es-ES"/>
        </w:rPr>
        <w:t xml:space="preserve"> </w:t>
      </w:r>
      <w:r w:rsidRPr="00C303FD">
        <w:rPr>
          <w:rFonts w:asciiTheme="majorHAnsi" w:eastAsia="Arial Unicode MS" w:hAnsiTheme="majorHAnsi"/>
          <w:sz w:val="16"/>
          <w:szCs w:val="16"/>
          <w:lang w:val="es-ES"/>
        </w:rPr>
        <w:t xml:space="preserve">32; </w:t>
      </w:r>
      <w:r>
        <w:rPr>
          <w:rFonts w:asciiTheme="majorHAnsi" w:eastAsia="Arial Unicode MS" w:hAnsiTheme="majorHAnsi"/>
          <w:sz w:val="16"/>
          <w:szCs w:val="16"/>
          <w:lang w:val="es-ES"/>
        </w:rPr>
        <w:t>véase también</w:t>
      </w:r>
      <w:r w:rsidRPr="00C303FD">
        <w:rPr>
          <w:rFonts w:asciiTheme="majorHAnsi" w:eastAsia="Arial Unicode MS" w:hAnsiTheme="majorHAnsi"/>
          <w:sz w:val="16"/>
          <w:szCs w:val="16"/>
          <w:lang w:val="es-ES"/>
        </w:rPr>
        <w:t>:</w:t>
      </w:r>
      <w:r>
        <w:rPr>
          <w:rFonts w:asciiTheme="majorHAnsi" w:eastAsia="Arial Unicode MS" w:hAnsiTheme="majorHAnsi"/>
          <w:sz w:val="16"/>
          <w:szCs w:val="16"/>
          <w:lang w:val="es-ES"/>
        </w:rPr>
        <w:t xml:space="preserve"> Oficina del Alto Comisionados de Derechos Humanos</w:t>
      </w:r>
      <w:r w:rsidRPr="00C303FD">
        <w:rPr>
          <w:rFonts w:asciiTheme="majorHAnsi" w:eastAsia="Arial Unicode MS" w:hAnsiTheme="majorHAnsi"/>
          <w:sz w:val="16"/>
          <w:szCs w:val="16"/>
          <w:lang w:val="es-ES"/>
        </w:rPr>
        <w:t xml:space="preserve"> “</w:t>
      </w:r>
      <w:proofErr w:type="spellStart"/>
      <w:r w:rsidRPr="00C303FD">
        <w:rPr>
          <w:rFonts w:asciiTheme="majorHAnsi" w:eastAsia="Arial Unicode MS" w:hAnsiTheme="majorHAnsi"/>
          <w:sz w:val="16"/>
          <w:szCs w:val="16"/>
          <w:lang w:val="es-ES"/>
        </w:rPr>
        <w:t>Despite</w:t>
      </w:r>
      <w:proofErr w:type="spellEnd"/>
      <w:r w:rsidRPr="00C303FD">
        <w:rPr>
          <w:rFonts w:asciiTheme="majorHAnsi" w:eastAsia="Arial Unicode MS" w:hAnsiTheme="majorHAnsi"/>
          <w:sz w:val="16"/>
          <w:szCs w:val="16"/>
          <w:lang w:val="es-ES"/>
        </w:rPr>
        <w:t xml:space="preserve"> </w:t>
      </w:r>
      <w:proofErr w:type="spellStart"/>
      <w:r w:rsidRPr="00C303FD">
        <w:rPr>
          <w:rFonts w:asciiTheme="majorHAnsi" w:eastAsia="Arial Unicode MS" w:hAnsiTheme="majorHAnsi"/>
          <w:sz w:val="16"/>
          <w:szCs w:val="16"/>
          <w:lang w:val="es-ES"/>
        </w:rPr>
        <w:t>progress</w:t>
      </w:r>
      <w:proofErr w:type="spellEnd"/>
      <w:r w:rsidRPr="00C303FD">
        <w:rPr>
          <w:rFonts w:asciiTheme="majorHAnsi" w:eastAsia="Arial Unicode MS" w:hAnsiTheme="majorHAnsi"/>
          <w:sz w:val="16"/>
          <w:szCs w:val="16"/>
          <w:lang w:val="es-ES"/>
        </w:rPr>
        <w:t xml:space="preserve"> in </w:t>
      </w:r>
      <w:proofErr w:type="spellStart"/>
      <w:r w:rsidRPr="00C303FD">
        <w:rPr>
          <w:rFonts w:asciiTheme="majorHAnsi" w:eastAsia="Arial Unicode MS" w:hAnsiTheme="majorHAnsi"/>
          <w:sz w:val="16"/>
          <w:szCs w:val="16"/>
          <w:lang w:val="es-ES"/>
        </w:rPr>
        <w:t>abolishing</w:t>
      </w:r>
      <w:proofErr w:type="spellEnd"/>
      <w:r w:rsidRPr="00C303FD">
        <w:rPr>
          <w:rFonts w:asciiTheme="majorHAnsi" w:eastAsia="Arial Unicode MS" w:hAnsiTheme="majorHAnsi"/>
          <w:sz w:val="16"/>
          <w:szCs w:val="16"/>
          <w:lang w:val="es-ES"/>
        </w:rPr>
        <w:t xml:space="preserve"> </w:t>
      </w:r>
      <w:proofErr w:type="spellStart"/>
      <w:r w:rsidRPr="00C303FD">
        <w:rPr>
          <w:rFonts w:asciiTheme="majorHAnsi" w:eastAsia="Arial Unicode MS" w:hAnsiTheme="majorHAnsi"/>
          <w:sz w:val="16"/>
          <w:szCs w:val="16"/>
          <w:lang w:val="es-ES"/>
        </w:rPr>
        <w:t>the</w:t>
      </w:r>
      <w:proofErr w:type="spellEnd"/>
      <w:r w:rsidRPr="00C303FD">
        <w:rPr>
          <w:rFonts w:asciiTheme="majorHAnsi" w:eastAsia="Arial Unicode MS" w:hAnsiTheme="majorHAnsi"/>
          <w:sz w:val="16"/>
          <w:szCs w:val="16"/>
          <w:lang w:val="es-ES"/>
        </w:rPr>
        <w:t xml:space="preserve"> </w:t>
      </w:r>
      <w:proofErr w:type="spellStart"/>
      <w:r w:rsidRPr="00C303FD">
        <w:rPr>
          <w:rFonts w:asciiTheme="majorHAnsi" w:eastAsia="Arial Unicode MS" w:hAnsiTheme="majorHAnsi"/>
          <w:sz w:val="16"/>
          <w:szCs w:val="16"/>
          <w:lang w:val="es-ES"/>
        </w:rPr>
        <w:t>death</w:t>
      </w:r>
      <w:proofErr w:type="spellEnd"/>
      <w:r w:rsidRPr="00C303FD">
        <w:rPr>
          <w:rFonts w:asciiTheme="majorHAnsi" w:eastAsia="Arial Unicode MS" w:hAnsiTheme="majorHAnsi"/>
          <w:sz w:val="16"/>
          <w:szCs w:val="16"/>
          <w:lang w:val="es-ES"/>
        </w:rPr>
        <w:t xml:space="preserve"> </w:t>
      </w:r>
      <w:proofErr w:type="spellStart"/>
      <w:r w:rsidRPr="00C303FD">
        <w:rPr>
          <w:rFonts w:asciiTheme="majorHAnsi" w:eastAsia="Arial Unicode MS" w:hAnsiTheme="majorHAnsi"/>
          <w:sz w:val="16"/>
          <w:szCs w:val="16"/>
          <w:lang w:val="es-ES"/>
        </w:rPr>
        <w:t>penalty</w:t>
      </w:r>
      <w:proofErr w:type="spellEnd"/>
      <w:r w:rsidRPr="00C303FD">
        <w:rPr>
          <w:rFonts w:asciiTheme="majorHAnsi" w:eastAsia="Arial Unicode MS" w:hAnsiTheme="majorHAnsi"/>
          <w:sz w:val="16"/>
          <w:szCs w:val="16"/>
          <w:lang w:val="es-ES"/>
        </w:rPr>
        <w:t xml:space="preserve">, </w:t>
      </w:r>
      <w:proofErr w:type="spellStart"/>
      <w:r w:rsidRPr="00C303FD">
        <w:rPr>
          <w:rFonts w:asciiTheme="majorHAnsi" w:eastAsia="Arial Unicode MS" w:hAnsiTheme="majorHAnsi"/>
          <w:sz w:val="16"/>
          <w:szCs w:val="16"/>
          <w:lang w:val="es-ES"/>
        </w:rPr>
        <w:t>thousands</w:t>
      </w:r>
      <w:proofErr w:type="spellEnd"/>
      <w:r w:rsidRPr="00C303FD">
        <w:rPr>
          <w:rFonts w:asciiTheme="majorHAnsi" w:eastAsia="Arial Unicode MS" w:hAnsiTheme="majorHAnsi"/>
          <w:sz w:val="16"/>
          <w:szCs w:val="16"/>
          <w:lang w:val="es-ES"/>
        </w:rPr>
        <w:t xml:space="preserve"> </w:t>
      </w:r>
      <w:proofErr w:type="spellStart"/>
      <w:r w:rsidRPr="00C303FD">
        <w:rPr>
          <w:rFonts w:asciiTheme="majorHAnsi" w:eastAsia="Arial Unicode MS" w:hAnsiTheme="majorHAnsi"/>
          <w:sz w:val="16"/>
          <w:szCs w:val="16"/>
          <w:lang w:val="es-ES"/>
        </w:rPr>
        <w:t>remain</w:t>
      </w:r>
      <w:proofErr w:type="spellEnd"/>
      <w:r w:rsidRPr="00C303FD">
        <w:rPr>
          <w:rFonts w:asciiTheme="majorHAnsi" w:eastAsia="Arial Unicode MS" w:hAnsiTheme="majorHAnsi"/>
          <w:sz w:val="16"/>
          <w:szCs w:val="16"/>
          <w:lang w:val="es-ES"/>
        </w:rPr>
        <w:t xml:space="preserve"> </w:t>
      </w:r>
      <w:proofErr w:type="spellStart"/>
      <w:r w:rsidRPr="00C303FD">
        <w:rPr>
          <w:rFonts w:asciiTheme="majorHAnsi" w:eastAsia="Arial Unicode MS" w:hAnsiTheme="majorHAnsi"/>
          <w:sz w:val="16"/>
          <w:szCs w:val="16"/>
          <w:lang w:val="es-ES"/>
        </w:rPr>
        <w:t>on</w:t>
      </w:r>
      <w:proofErr w:type="spellEnd"/>
      <w:r w:rsidRPr="00C303FD">
        <w:rPr>
          <w:rFonts w:asciiTheme="majorHAnsi" w:eastAsia="Arial Unicode MS" w:hAnsiTheme="majorHAnsi"/>
          <w:sz w:val="16"/>
          <w:szCs w:val="16"/>
          <w:lang w:val="es-ES"/>
        </w:rPr>
        <w:t xml:space="preserve"> </w:t>
      </w:r>
      <w:proofErr w:type="spellStart"/>
      <w:r w:rsidRPr="00C303FD">
        <w:rPr>
          <w:rFonts w:asciiTheme="majorHAnsi" w:eastAsia="Arial Unicode MS" w:hAnsiTheme="majorHAnsi"/>
          <w:sz w:val="16"/>
          <w:szCs w:val="16"/>
          <w:lang w:val="es-ES"/>
        </w:rPr>
        <w:t>death</w:t>
      </w:r>
      <w:proofErr w:type="spellEnd"/>
      <w:r w:rsidRPr="00C303FD">
        <w:rPr>
          <w:rFonts w:asciiTheme="majorHAnsi" w:eastAsia="Arial Unicode MS" w:hAnsiTheme="majorHAnsi"/>
          <w:sz w:val="16"/>
          <w:szCs w:val="16"/>
          <w:lang w:val="es-ES"/>
        </w:rPr>
        <w:t xml:space="preserve"> </w:t>
      </w:r>
      <w:proofErr w:type="spellStart"/>
      <w:r w:rsidRPr="00C303FD">
        <w:rPr>
          <w:rFonts w:asciiTheme="majorHAnsi" w:eastAsia="Arial Unicode MS" w:hAnsiTheme="majorHAnsi"/>
          <w:sz w:val="16"/>
          <w:szCs w:val="16"/>
          <w:lang w:val="es-ES"/>
        </w:rPr>
        <w:t>row</w:t>
      </w:r>
      <w:proofErr w:type="spellEnd"/>
      <w:r>
        <w:rPr>
          <w:rFonts w:asciiTheme="majorHAnsi" w:eastAsia="Arial Unicode MS" w:hAnsiTheme="majorHAnsi"/>
          <w:sz w:val="16"/>
          <w:szCs w:val="16"/>
          <w:lang w:val="es-ES"/>
        </w:rPr>
        <w:t>”.</w:t>
      </w:r>
    </w:p>
  </w:footnote>
  <w:footnote w:id="57">
    <w:p w14:paraId="06B4BFD5" w14:textId="0A00521E" w:rsidR="00873D49" w:rsidRPr="00E36893" w:rsidRDefault="00873D49" w:rsidP="004A0895">
      <w:pPr>
        <w:pStyle w:val="NormalWeb"/>
        <w:spacing w:before="0" w:beforeAutospacing="0" w:after="0" w:afterAutospacing="0"/>
        <w:jc w:val="both"/>
        <w:rPr>
          <w:rFonts w:asciiTheme="majorHAnsi" w:eastAsia="Arial Unicode MS" w:hAnsiTheme="majorHAnsi"/>
          <w:sz w:val="16"/>
          <w:szCs w:val="16"/>
          <w:lang w:val="es-ES"/>
        </w:rPr>
      </w:pPr>
      <w:r w:rsidRPr="004A0895">
        <w:rPr>
          <w:rStyle w:val="FootnoteReference"/>
          <w:rFonts w:asciiTheme="majorHAnsi" w:hAnsiTheme="majorHAnsi"/>
          <w:sz w:val="16"/>
          <w:szCs w:val="16"/>
        </w:rPr>
        <w:footnoteRef/>
      </w:r>
      <w:r w:rsidRPr="00C303FD">
        <w:rPr>
          <w:rFonts w:asciiTheme="majorHAnsi" w:hAnsiTheme="majorHAnsi"/>
          <w:sz w:val="16"/>
          <w:szCs w:val="16"/>
          <w:lang w:val="es-ES"/>
        </w:rPr>
        <w:t xml:space="preserve"> </w:t>
      </w:r>
      <w:r w:rsidRPr="00C303FD">
        <w:rPr>
          <w:rFonts w:asciiTheme="majorHAnsi" w:eastAsia="Arial Unicode MS" w:hAnsiTheme="majorHAnsi"/>
          <w:sz w:val="16"/>
          <w:szCs w:val="16"/>
          <w:lang w:val="es-ES"/>
        </w:rPr>
        <w:t>A/HRC/30/18, Consejo de Derechos H</w:t>
      </w:r>
      <w:r>
        <w:rPr>
          <w:rFonts w:asciiTheme="majorHAnsi" w:eastAsia="Arial Unicode MS" w:hAnsiTheme="majorHAnsi"/>
          <w:sz w:val="16"/>
          <w:szCs w:val="16"/>
          <w:lang w:val="es-ES"/>
        </w:rPr>
        <w:t xml:space="preserve">umanos, </w:t>
      </w:r>
      <w:r w:rsidRPr="00C303FD">
        <w:rPr>
          <w:rFonts w:asciiTheme="majorHAnsi" w:eastAsia="Arial Unicode MS" w:hAnsiTheme="majorHAnsi"/>
          <w:sz w:val="16"/>
          <w:szCs w:val="16"/>
          <w:lang w:val="es-ES"/>
        </w:rPr>
        <w:t>La pena capital y la aplicación de las salvaguardias para garantizar la protección de los derechos de los condenados a la pena de muerte</w:t>
      </w:r>
      <w:r>
        <w:rPr>
          <w:rFonts w:asciiTheme="majorHAnsi" w:eastAsia="Arial Unicode MS" w:hAnsiTheme="majorHAnsi"/>
          <w:sz w:val="16"/>
          <w:szCs w:val="16"/>
          <w:lang w:val="es-ES"/>
        </w:rPr>
        <w:t xml:space="preserve">, </w:t>
      </w:r>
      <w:r w:rsidRPr="00C303FD">
        <w:rPr>
          <w:rFonts w:asciiTheme="majorHAnsi" w:eastAsia="Arial Unicode MS" w:hAnsiTheme="majorHAnsi"/>
          <w:sz w:val="16"/>
          <w:szCs w:val="16"/>
          <w:lang w:val="es-ES"/>
        </w:rPr>
        <w:t xml:space="preserve">Suplemento anual del </w:t>
      </w:r>
      <w:proofErr w:type="gramStart"/>
      <w:r w:rsidRPr="00C303FD">
        <w:rPr>
          <w:rFonts w:asciiTheme="majorHAnsi" w:eastAsia="Arial Unicode MS" w:hAnsiTheme="majorHAnsi"/>
          <w:sz w:val="16"/>
          <w:szCs w:val="16"/>
          <w:lang w:val="es-ES"/>
        </w:rPr>
        <w:t>Secretario General</w:t>
      </w:r>
      <w:proofErr w:type="gramEnd"/>
      <w:r w:rsidRPr="00C303FD">
        <w:rPr>
          <w:rFonts w:asciiTheme="majorHAnsi" w:eastAsia="Arial Unicode MS" w:hAnsiTheme="majorHAnsi"/>
          <w:sz w:val="16"/>
          <w:szCs w:val="16"/>
          <w:lang w:val="es-ES"/>
        </w:rPr>
        <w:t xml:space="preserve"> de su informe quinquenal sobre la pena capital, párr. </w:t>
      </w:r>
      <w:r w:rsidRPr="00E36893">
        <w:rPr>
          <w:rFonts w:asciiTheme="majorHAnsi" w:eastAsia="Arial Unicode MS" w:hAnsiTheme="majorHAnsi"/>
          <w:sz w:val="16"/>
          <w:szCs w:val="16"/>
          <w:lang w:val="es-ES"/>
        </w:rPr>
        <w:t xml:space="preserve">50. </w:t>
      </w:r>
    </w:p>
  </w:footnote>
  <w:footnote w:id="58">
    <w:p w14:paraId="5F301183" w14:textId="101593EF" w:rsidR="00873D49" w:rsidRPr="00E36893" w:rsidRDefault="00873D49" w:rsidP="004A0895">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C303FD">
        <w:rPr>
          <w:rFonts w:asciiTheme="majorHAnsi" w:hAnsiTheme="majorHAnsi"/>
          <w:color w:val="auto"/>
          <w:sz w:val="16"/>
          <w:szCs w:val="16"/>
          <w:lang w:val="es-ES"/>
        </w:rPr>
        <w:t xml:space="preserve"> </w:t>
      </w:r>
      <w:r w:rsidRPr="00C303FD">
        <w:rPr>
          <w:rFonts w:asciiTheme="majorHAnsi" w:hAnsiTheme="majorHAnsi"/>
          <w:color w:val="auto"/>
          <w:sz w:val="16"/>
          <w:szCs w:val="16"/>
          <w:bdr w:val="none" w:sz="0" w:space="0" w:color="auto"/>
          <w:lang w:val="es-ES"/>
        </w:rPr>
        <w:t xml:space="preserve">CIDH, Informe No. 11/15, Caso 12.833, Fondo (Publicación), Félix Rocha Díaz, </w:t>
      </w:r>
      <w:r>
        <w:rPr>
          <w:rFonts w:asciiTheme="majorHAnsi" w:hAnsiTheme="majorHAnsi"/>
          <w:color w:val="auto"/>
          <w:sz w:val="16"/>
          <w:szCs w:val="16"/>
          <w:bdr w:val="none" w:sz="0" w:space="0" w:color="auto"/>
          <w:lang w:val="es-ES"/>
        </w:rPr>
        <w:t>Estados Unidos</w:t>
      </w:r>
      <w:r w:rsidRPr="00C303FD">
        <w:rPr>
          <w:rFonts w:asciiTheme="majorHAnsi" w:hAnsiTheme="majorHAnsi"/>
          <w:color w:val="auto"/>
          <w:sz w:val="16"/>
          <w:szCs w:val="16"/>
          <w:bdr w:val="none" w:sz="0" w:space="0" w:color="auto"/>
          <w:lang w:val="es-ES"/>
        </w:rPr>
        <w:t>,</w:t>
      </w:r>
      <w:r>
        <w:rPr>
          <w:rFonts w:asciiTheme="majorHAnsi" w:hAnsiTheme="majorHAnsi"/>
          <w:color w:val="auto"/>
          <w:sz w:val="16"/>
          <w:szCs w:val="16"/>
          <w:bdr w:val="none" w:sz="0" w:space="0" w:color="auto"/>
          <w:lang w:val="es-ES"/>
        </w:rPr>
        <w:t xml:space="preserve"> 23 de marzo de 2015, </w:t>
      </w:r>
      <w:r w:rsidRPr="00C303FD">
        <w:rPr>
          <w:rFonts w:asciiTheme="majorHAnsi" w:hAnsiTheme="majorHAnsi"/>
          <w:color w:val="auto"/>
          <w:sz w:val="16"/>
          <w:szCs w:val="16"/>
          <w:bdr w:val="none" w:sz="0" w:space="0" w:color="auto"/>
          <w:lang w:val="es-ES"/>
        </w:rPr>
        <w:t>pár</w:t>
      </w:r>
      <w:r>
        <w:rPr>
          <w:rFonts w:asciiTheme="majorHAnsi" w:hAnsiTheme="majorHAnsi"/>
          <w:color w:val="auto"/>
          <w:sz w:val="16"/>
          <w:szCs w:val="16"/>
          <w:bdr w:val="none" w:sz="0" w:space="0" w:color="auto"/>
          <w:lang w:val="es-ES"/>
        </w:rPr>
        <w:t>r</w:t>
      </w:r>
      <w:r w:rsidRPr="00C303FD">
        <w:rPr>
          <w:rFonts w:asciiTheme="majorHAnsi" w:hAnsiTheme="majorHAnsi"/>
          <w:color w:val="auto"/>
          <w:sz w:val="16"/>
          <w:szCs w:val="16"/>
          <w:bdr w:val="none" w:sz="0" w:space="0" w:color="auto"/>
          <w:lang w:val="es-ES"/>
        </w:rPr>
        <w:t xml:space="preserve">. </w:t>
      </w:r>
      <w:r w:rsidRPr="00E36893">
        <w:rPr>
          <w:rFonts w:asciiTheme="majorHAnsi" w:hAnsiTheme="majorHAnsi"/>
          <w:color w:val="auto"/>
          <w:sz w:val="16"/>
          <w:szCs w:val="16"/>
          <w:bdr w:val="none" w:sz="0" w:space="0" w:color="auto"/>
          <w:lang w:val="es-ES"/>
        </w:rPr>
        <w:t>84</w:t>
      </w:r>
    </w:p>
  </w:footnote>
  <w:footnote w:id="59">
    <w:p w14:paraId="521CC533" w14:textId="6DC4583E" w:rsidR="00873D49" w:rsidRPr="00E36893" w:rsidRDefault="00873D49" w:rsidP="00B92A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16"/>
          <w:bdr w:val="none" w:sz="0" w:space="0" w:color="auto"/>
          <w:lang w:val="es-ES"/>
        </w:rPr>
      </w:pPr>
      <w:r w:rsidRPr="004A0895">
        <w:rPr>
          <w:rStyle w:val="FootnoteReference"/>
          <w:rFonts w:asciiTheme="majorHAnsi" w:hAnsiTheme="majorHAnsi"/>
          <w:sz w:val="16"/>
          <w:szCs w:val="16"/>
        </w:rPr>
        <w:footnoteRef/>
      </w:r>
      <w:r w:rsidRPr="00C303FD">
        <w:rPr>
          <w:rFonts w:asciiTheme="majorHAnsi" w:hAnsiTheme="majorHAnsi"/>
          <w:sz w:val="16"/>
          <w:szCs w:val="16"/>
          <w:lang w:val="es-ES"/>
        </w:rPr>
        <w:t xml:space="preserve"> </w:t>
      </w:r>
      <w:r w:rsidRPr="00C303FD">
        <w:rPr>
          <w:rFonts w:asciiTheme="majorHAnsi" w:hAnsiTheme="majorHAnsi"/>
          <w:sz w:val="16"/>
          <w:szCs w:val="16"/>
          <w:bdr w:val="none" w:sz="0" w:space="0" w:color="auto"/>
          <w:lang w:val="es-ES"/>
        </w:rPr>
        <w:t xml:space="preserve">CIDH, Informe No. 53/13, Caso 12.864, Fondo (Publicación), Iván </w:t>
      </w:r>
      <w:proofErr w:type="spellStart"/>
      <w:r w:rsidRPr="00C303FD">
        <w:rPr>
          <w:rFonts w:asciiTheme="majorHAnsi" w:hAnsiTheme="majorHAnsi"/>
          <w:sz w:val="16"/>
          <w:szCs w:val="16"/>
          <w:bdr w:val="none" w:sz="0" w:space="0" w:color="auto"/>
          <w:lang w:val="es-ES"/>
        </w:rPr>
        <w:t>Teleguz</w:t>
      </w:r>
      <w:proofErr w:type="spellEnd"/>
      <w:r w:rsidRPr="00C303FD">
        <w:rPr>
          <w:rFonts w:asciiTheme="majorHAnsi" w:hAnsiTheme="majorHAnsi"/>
          <w:sz w:val="16"/>
          <w:szCs w:val="16"/>
          <w:bdr w:val="none" w:sz="0" w:space="0" w:color="auto"/>
          <w:lang w:val="es-ES"/>
        </w:rPr>
        <w:t>, Estados Unidos</w:t>
      </w:r>
      <w:r>
        <w:rPr>
          <w:rFonts w:asciiTheme="majorHAnsi" w:hAnsiTheme="majorHAnsi"/>
          <w:sz w:val="16"/>
          <w:szCs w:val="16"/>
          <w:bdr w:val="none" w:sz="0" w:space="0" w:color="auto"/>
          <w:lang w:val="es-ES"/>
        </w:rPr>
        <w:t>, 15 de julio de 2013</w:t>
      </w:r>
      <w:r w:rsidRPr="00C303FD">
        <w:rPr>
          <w:rFonts w:asciiTheme="majorHAnsi" w:hAnsiTheme="majorHAnsi"/>
          <w:sz w:val="16"/>
          <w:szCs w:val="16"/>
          <w:bdr w:val="none" w:sz="0" w:space="0" w:color="auto"/>
          <w:lang w:val="es-ES"/>
        </w:rPr>
        <w:t>, pár</w:t>
      </w:r>
      <w:r>
        <w:rPr>
          <w:rFonts w:asciiTheme="majorHAnsi" w:hAnsiTheme="majorHAnsi"/>
          <w:sz w:val="16"/>
          <w:szCs w:val="16"/>
          <w:bdr w:val="none" w:sz="0" w:space="0" w:color="auto"/>
          <w:lang w:val="es-ES"/>
        </w:rPr>
        <w:t>r</w:t>
      </w:r>
      <w:r w:rsidRPr="00C303FD">
        <w:rPr>
          <w:rFonts w:asciiTheme="majorHAnsi" w:hAnsiTheme="majorHAnsi"/>
          <w:sz w:val="16"/>
          <w:szCs w:val="16"/>
          <w:bdr w:val="none" w:sz="0" w:space="0" w:color="auto"/>
          <w:lang w:val="es-ES"/>
        </w:rPr>
        <w:t xml:space="preserve">. </w:t>
      </w:r>
      <w:r w:rsidRPr="00E36893">
        <w:rPr>
          <w:rFonts w:asciiTheme="majorHAnsi" w:hAnsiTheme="majorHAnsi"/>
          <w:sz w:val="16"/>
          <w:szCs w:val="16"/>
          <w:bdr w:val="none" w:sz="0" w:space="0" w:color="auto"/>
          <w:lang w:val="es-ES"/>
        </w:rPr>
        <w:t>123.</w:t>
      </w:r>
    </w:p>
  </w:footnote>
  <w:footnote w:id="60">
    <w:p w14:paraId="34C623F9" w14:textId="590781C0" w:rsidR="00873D49" w:rsidRPr="00C303FD" w:rsidRDefault="00873D49" w:rsidP="00C303FD">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C303FD">
        <w:rPr>
          <w:rFonts w:asciiTheme="majorHAnsi" w:hAnsiTheme="majorHAnsi"/>
          <w:color w:val="auto"/>
          <w:sz w:val="16"/>
          <w:szCs w:val="16"/>
          <w:lang w:val="es-ES"/>
        </w:rPr>
        <w:t xml:space="preserve"> Comité contra la Tortura, Examen</w:t>
      </w:r>
      <w:r>
        <w:rPr>
          <w:rFonts w:asciiTheme="majorHAnsi" w:hAnsiTheme="majorHAnsi"/>
          <w:color w:val="auto"/>
          <w:sz w:val="16"/>
          <w:szCs w:val="16"/>
          <w:lang w:val="es-ES"/>
        </w:rPr>
        <w:t xml:space="preserve"> de los Informes presentados por los </w:t>
      </w:r>
      <w:proofErr w:type="gramStart"/>
      <w:r>
        <w:rPr>
          <w:rFonts w:asciiTheme="majorHAnsi" w:hAnsiTheme="majorHAnsi"/>
          <w:color w:val="auto"/>
          <w:sz w:val="16"/>
          <w:szCs w:val="16"/>
          <w:lang w:val="es-ES"/>
        </w:rPr>
        <w:t>Estados Partes</w:t>
      </w:r>
      <w:proofErr w:type="gramEnd"/>
      <w:r>
        <w:rPr>
          <w:rFonts w:asciiTheme="majorHAnsi" w:hAnsiTheme="majorHAnsi"/>
          <w:color w:val="auto"/>
          <w:sz w:val="16"/>
          <w:szCs w:val="16"/>
          <w:lang w:val="es-ES"/>
        </w:rPr>
        <w:t xml:space="preserve"> en virtud del </w:t>
      </w:r>
      <w:proofErr w:type="spellStart"/>
      <w:r>
        <w:rPr>
          <w:rFonts w:asciiTheme="majorHAnsi" w:hAnsiTheme="majorHAnsi"/>
          <w:color w:val="auto"/>
          <w:sz w:val="16"/>
          <w:szCs w:val="16"/>
          <w:lang w:val="es-ES"/>
        </w:rPr>
        <w:t>Articulo</w:t>
      </w:r>
      <w:proofErr w:type="spellEnd"/>
      <w:r>
        <w:rPr>
          <w:rFonts w:asciiTheme="majorHAnsi" w:hAnsiTheme="majorHAnsi"/>
          <w:color w:val="auto"/>
          <w:sz w:val="16"/>
          <w:szCs w:val="16"/>
          <w:lang w:val="es-ES"/>
        </w:rPr>
        <w:t xml:space="preserve"> 19° de la Convención, Estados Unidos</w:t>
      </w:r>
      <w:r w:rsidRPr="00C303FD">
        <w:rPr>
          <w:rFonts w:asciiTheme="majorHAnsi" w:hAnsiTheme="majorHAnsi"/>
          <w:color w:val="auto"/>
          <w:sz w:val="16"/>
          <w:szCs w:val="16"/>
          <w:lang w:val="es-ES"/>
        </w:rPr>
        <w:t>,</w:t>
      </w:r>
      <w:r>
        <w:rPr>
          <w:rFonts w:asciiTheme="majorHAnsi" w:hAnsiTheme="majorHAnsi"/>
          <w:color w:val="auto"/>
          <w:sz w:val="16"/>
          <w:szCs w:val="16"/>
          <w:lang w:val="es-ES"/>
        </w:rPr>
        <w:t xml:space="preserve"> </w:t>
      </w:r>
      <w:r w:rsidRPr="00C303FD">
        <w:rPr>
          <w:rFonts w:asciiTheme="majorHAnsi" w:hAnsiTheme="majorHAnsi"/>
          <w:color w:val="auto"/>
          <w:sz w:val="16"/>
          <w:szCs w:val="16"/>
          <w:lang w:val="es-ES"/>
        </w:rPr>
        <w:t xml:space="preserve">CAT/C/USA/CO/2, </w:t>
      </w:r>
      <w:r>
        <w:rPr>
          <w:rFonts w:asciiTheme="majorHAnsi" w:hAnsiTheme="majorHAnsi"/>
          <w:color w:val="auto"/>
          <w:sz w:val="16"/>
          <w:szCs w:val="16"/>
          <w:lang w:val="es-ES"/>
        </w:rPr>
        <w:t>25 de julio de 2006</w:t>
      </w:r>
      <w:r w:rsidRPr="00C303FD">
        <w:rPr>
          <w:rFonts w:asciiTheme="majorHAnsi" w:hAnsiTheme="majorHAnsi"/>
          <w:color w:val="auto"/>
          <w:sz w:val="16"/>
          <w:szCs w:val="16"/>
          <w:lang w:val="es-ES"/>
        </w:rPr>
        <w:t>, pár</w:t>
      </w:r>
      <w:r>
        <w:rPr>
          <w:rFonts w:asciiTheme="majorHAnsi" w:hAnsiTheme="majorHAnsi"/>
          <w:color w:val="auto"/>
          <w:sz w:val="16"/>
          <w:szCs w:val="16"/>
          <w:lang w:val="es-ES"/>
        </w:rPr>
        <w:t>r.</w:t>
      </w:r>
      <w:r w:rsidRPr="00C303FD">
        <w:rPr>
          <w:rFonts w:asciiTheme="majorHAnsi" w:hAnsiTheme="majorHAnsi"/>
          <w:color w:val="auto"/>
          <w:sz w:val="16"/>
          <w:szCs w:val="16"/>
          <w:lang w:val="es-ES"/>
        </w:rPr>
        <w:t xml:space="preserve"> 31</w:t>
      </w:r>
      <w:r w:rsidR="00C34A87">
        <w:rPr>
          <w:rFonts w:asciiTheme="majorHAnsi" w:hAnsiTheme="majorHAnsi"/>
          <w:color w:val="auto"/>
          <w:sz w:val="16"/>
          <w:szCs w:val="16"/>
          <w:lang w:val="es-ES"/>
        </w:rPr>
        <w:t>.</w:t>
      </w:r>
    </w:p>
  </w:footnote>
  <w:footnote w:id="61">
    <w:p w14:paraId="305ED742" w14:textId="77777777" w:rsidR="00873D49" w:rsidRPr="006E3733" w:rsidRDefault="00873D49" w:rsidP="004A0895">
      <w:pPr>
        <w:pStyle w:val="Body"/>
        <w:jc w:val="both"/>
        <w:rPr>
          <w:rFonts w:asciiTheme="majorHAnsi" w:hAnsiTheme="majorHAnsi"/>
          <w:color w:val="auto"/>
          <w:sz w:val="16"/>
          <w:szCs w:val="16"/>
          <w:lang w:val="es-US"/>
        </w:rPr>
      </w:pPr>
      <w:r w:rsidRPr="004A0895">
        <w:rPr>
          <w:rStyle w:val="FootnoteReference"/>
          <w:rFonts w:asciiTheme="majorHAnsi" w:hAnsiTheme="majorHAnsi"/>
          <w:color w:val="auto"/>
          <w:sz w:val="16"/>
          <w:szCs w:val="16"/>
        </w:rPr>
        <w:footnoteRef/>
      </w:r>
      <w:r w:rsidRPr="00537BF9">
        <w:rPr>
          <w:rStyle w:val="FootnoteReference"/>
          <w:rFonts w:asciiTheme="majorHAnsi" w:hAnsiTheme="majorHAnsi"/>
          <w:color w:val="auto"/>
          <w:sz w:val="16"/>
          <w:szCs w:val="16"/>
          <w:lang w:val="es-ES"/>
        </w:rPr>
        <w:t xml:space="preserve"> </w:t>
      </w:r>
      <w:r w:rsidRPr="00537BF9">
        <w:rPr>
          <w:rFonts w:asciiTheme="majorHAnsi" w:hAnsiTheme="majorHAnsi"/>
          <w:color w:val="auto"/>
          <w:sz w:val="16"/>
          <w:szCs w:val="16"/>
          <w:lang w:val="es-ES"/>
        </w:rPr>
        <w:t>El Artículo XXIV de la Declaración Americana establece: Toda persona tiene derecho de presentar peticiones respetuosas a cualquiera autoridad competente, ya sea por motivo de interés general, ya de interés particular, y el de obtener pronta resolución.”</w:t>
      </w:r>
    </w:p>
  </w:footnote>
  <w:footnote w:id="62">
    <w:p w14:paraId="4174C39C" w14:textId="1FA0248C" w:rsidR="00873D49" w:rsidRPr="00E36893" w:rsidRDefault="00873D49" w:rsidP="004A0895">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37BF9">
        <w:rPr>
          <w:rFonts w:asciiTheme="majorHAnsi" w:hAnsiTheme="majorHAnsi"/>
          <w:color w:val="auto"/>
          <w:sz w:val="16"/>
          <w:szCs w:val="16"/>
          <w:lang w:val="es-ES"/>
        </w:rPr>
        <w:t xml:space="preserve"> </w:t>
      </w:r>
      <w:r w:rsidRPr="00537BF9">
        <w:rPr>
          <w:rFonts w:asciiTheme="majorHAnsi" w:eastAsia="Times New Roman" w:hAnsiTheme="majorHAnsi" w:cs="Times New Roman"/>
          <w:color w:val="auto"/>
          <w:sz w:val="16"/>
          <w:szCs w:val="16"/>
          <w:lang w:val="es-ES"/>
        </w:rPr>
        <w:t xml:space="preserve">Caso 12.243, Informe 52/01, Juan Raúl Garza c. </w:t>
      </w:r>
      <w:r>
        <w:rPr>
          <w:rFonts w:asciiTheme="majorHAnsi" w:eastAsia="Times New Roman" w:hAnsiTheme="majorHAnsi" w:cs="Times New Roman"/>
          <w:color w:val="auto"/>
          <w:sz w:val="16"/>
          <w:szCs w:val="16"/>
          <w:lang w:val="es-ES"/>
        </w:rPr>
        <w:t>Estados Unidos</w:t>
      </w:r>
      <w:r w:rsidRPr="00537BF9">
        <w:rPr>
          <w:rFonts w:asciiTheme="majorHAnsi" w:eastAsia="Times New Roman" w:hAnsiTheme="majorHAnsi" w:cs="Times New Roman"/>
          <w:color w:val="auto"/>
          <w:sz w:val="16"/>
          <w:szCs w:val="16"/>
          <w:lang w:val="es-ES"/>
        </w:rPr>
        <w:t xml:space="preserve">, Informe Anual 2000 de la CIDH, </w:t>
      </w:r>
      <w:r w:rsidR="00C34A87" w:rsidRPr="00537BF9">
        <w:rPr>
          <w:rFonts w:asciiTheme="majorHAnsi" w:eastAsia="Times New Roman" w:hAnsiTheme="majorHAnsi" w:cs="Times New Roman"/>
          <w:color w:val="auto"/>
          <w:sz w:val="16"/>
          <w:szCs w:val="16"/>
          <w:lang w:val="es-ES"/>
        </w:rPr>
        <w:t>párr.</w:t>
      </w:r>
      <w:r w:rsidRPr="00537BF9">
        <w:rPr>
          <w:rFonts w:asciiTheme="majorHAnsi" w:eastAsia="Times New Roman" w:hAnsiTheme="majorHAnsi" w:cs="Times New Roman"/>
          <w:color w:val="auto"/>
          <w:sz w:val="16"/>
          <w:szCs w:val="16"/>
          <w:lang w:val="es-ES"/>
        </w:rPr>
        <w:t xml:space="preserve"> 117. Véase en un sentido similar:</w:t>
      </w:r>
      <w:r w:rsidRPr="00537BF9">
        <w:rPr>
          <w:rFonts w:asciiTheme="majorHAnsi" w:eastAsia="Times New Roman" w:hAnsiTheme="majorHAnsi" w:cs="Times New Roman"/>
          <w:i/>
          <w:iCs/>
          <w:color w:val="auto"/>
          <w:sz w:val="16"/>
          <w:szCs w:val="16"/>
          <w:lang w:val="es-ES"/>
        </w:rPr>
        <w:t xml:space="preserve"> </w:t>
      </w:r>
      <w:r w:rsidRPr="00537BF9">
        <w:rPr>
          <w:rFonts w:asciiTheme="majorHAnsi" w:eastAsia="Times New Roman" w:hAnsiTheme="majorHAnsi" w:cs="Times New Roman"/>
          <w:color w:val="auto"/>
          <w:sz w:val="16"/>
          <w:szCs w:val="16"/>
          <w:lang w:val="es-ES"/>
        </w:rPr>
        <w:t xml:space="preserve">CIDH, Quinto Informe sobre la Situación de los Derechos Humanos en Guatemala, Doc. </w:t>
      </w:r>
      <w:r w:rsidRPr="00E36893">
        <w:rPr>
          <w:rFonts w:asciiTheme="majorHAnsi" w:eastAsia="Times New Roman" w:hAnsiTheme="majorHAnsi" w:cs="Times New Roman"/>
          <w:color w:val="auto"/>
          <w:sz w:val="16"/>
          <w:szCs w:val="16"/>
          <w:lang w:val="es-ES"/>
        </w:rPr>
        <w:t>OEA/</w:t>
      </w:r>
      <w:proofErr w:type="spellStart"/>
      <w:r w:rsidRPr="00E36893">
        <w:rPr>
          <w:rFonts w:asciiTheme="majorHAnsi" w:eastAsia="Times New Roman" w:hAnsiTheme="majorHAnsi" w:cs="Times New Roman"/>
          <w:color w:val="auto"/>
          <w:sz w:val="16"/>
          <w:szCs w:val="16"/>
          <w:lang w:val="es-ES"/>
        </w:rPr>
        <w:t>Ser.L</w:t>
      </w:r>
      <w:proofErr w:type="spellEnd"/>
      <w:r w:rsidRPr="00E36893">
        <w:rPr>
          <w:rFonts w:asciiTheme="majorHAnsi" w:eastAsia="Times New Roman" w:hAnsiTheme="majorHAnsi" w:cs="Times New Roman"/>
          <w:color w:val="auto"/>
          <w:sz w:val="16"/>
          <w:szCs w:val="16"/>
          <w:lang w:val="es-ES"/>
        </w:rPr>
        <w:t>/V/II.111 doc.</w:t>
      </w:r>
      <w:r>
        <w:rPr>
          <w:rFonts w:asciiTheme="majorHAnsi" w:eastAsia="Times New Roman" w:hAnsiTheme="majorHAnsi" w:cs="Times New Roman"/>
          <w:color w:val="auto"/>
          <w:sz w:val="16"/>
          <w:szCs w:val="16"/>
          <w:lang w:val="es-ES"/>
        </w:rPr>
        <w:t xml:space="preserve"> </w:t>
      </w:r>
      <w:r w:rsidRPr="00E36893">
        <w:rPr>
          <w:rFonts w:asciiTheme="majorHAnsi" w:eastAsia="Times New Roman" w:hAnsiTheme="majorHAnsi" w:cs="Times New Roman"/>
          <w:color w:val="auto"/>
          <w:sz w:val="16"/>
          <w:szCs w:val="16"/>
          <w:lang w:val="es-ES"/>
        </w:rPr>
        <w:t xml:space="preserve">21 </w:t>
      </w:r>
      <w:proofErr w:type="spellStart"/>
      <w:r w:rsidRPr="00E36893">
        <w:rPr>
          <w:rFonts w:asciiTheme="majorHAnsi" w:eastAsia="Times New Roman" w:hAnsiTheme="majorHAnsi" w:cs="Times New Roman"/>
          <w:color w:val="auto"/>
          <w:sz w:val="16"/>
          <w:szCs w:val="16"/>
          <w:lang w:val="es-ES"/>
        </w:rPr>
        <w:t>rev.</w:t>
      </w:r>
      <w:proofErr w:type="spellEnd"/>
      <w:r w:rsidRPr="00E36893">
        <w:rPr>
          <w:rFonts w:asciiTheme="majorHAnsi" w:eastAsia="Times New Roman" w:hAnsiTheme="majorHAnsi" w:cs="Times New Roman"/>
          <w:color w:val="auto"/>
          <w:sz w:val="16"/>
          <w:szCs w:val="16"/>
          <w:lang w:val="es-ES"/>
        </w:rPr>
        <w:t xml:space="preserve"> (6 de abril de 2001), </w:t>
      </w:r>
      <w:proofErr w:type="spellStart"/>
      <w:r w:rsidRPr="00E36893">
        <w:rPr>
          <w:rFonts w:asciiTheme="majorHAnsi" w:eastAsia="Times New Roman" w:hAnsiTheme="majorHAnsi" w:cs="Times New Roman"/>
          <w:color w:val="auto"/>
          <w:sz w:val="16"/>
          <w:szCs w:val="16"/>
          <w:lang w:val="es-ES"/>
        </w:rPr>
        <w:t>p</w:t>
      </w:r>
      <w:r w:rsidR="00C34A87">
        <w:rPr>
          <w:rFonts w:asciiTheme="majorHAnsi" w:eastAsia="Times New Roman" w:hAnsiTheme="majorHAnsi" w:cs="Times New Roman"/>
          <w:color w:val="auto"/>
          <w:sz w:val="16"/>
          <w:szCs w:val="16"/>
          <w:lang w:val="es-ES"/>
        </w:rPr>
        <w:t>á</w:t>
      </w:r>
      <w:r w:rsidRPr="00E36893">
        <w:rPr>
          <w:rFonts w:asciiTheme="majorHAnsi" w:eastAsia="Times New Roman" w:hAnsiTheme="majorHAnsi" w:cs="Times New Roman"/>
          <w:color w:val="auto"/>
          <w:sz w:val="16"/>
          <w:szCs w:val="16"/>
          <w:lang w:val="es-ES"/>
        </w:rPr>
        <w:t>rrs</w:t>
      </w:r>
      <w:proofErr w:type="spellEnd"/>
      <w:r w:rsidRPr="00E36893">
        <w:rPr>
          <w:rFonts w:asciiTheme="majorHAnsi" w:eastAsia="Times New Roman" w:hAnsiTheme="majorHAnsi" w:cs="Times New Roman"/>
          <w:color w:val="auto"/>
          <w:sz w:val="16"/>
          <w:szCs w:val="16"/>
          <w:lang w:val="es-ES"/>
        </w:rPr>
        <w:t>. 71, 72.</w:t>
      </w:r>
    </w:p>
  </w:footnote>
  <w:footnote w:id="63">
    <w:p w14:paraId="37812033" w14:textId="4144B8EA" w:rsidR="00873D49" w:rsidRPr="00E36893" w:rsidRDefault="00873D49" w:rsidP="005B2F88">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37BF9">
        <w:rPr>
          <w:rFonts w:asciiTheme="majorHAnsi" w:hAnsiTheme="majorHAnsi"/>
          <w:color w:val="auto"/>
          <w:sz w:val="16"/>
          <w:szCs w:val="16"/>
          <w:lang w:val="es-ES"/>
        </w:rPr>
        <w:t xml:space="preserve"> </w:t>
      </w:r>
      <w:r w:rsidRPr="00537BF9">
        <w:rPr>
          <w:rFonts w:asciiTheme="majorHAnsi" w:eastAsia="Times New Roman" w:hAnsiTheme="majorHAnsi" w:cs="Times New Roman"/>
          <w:color w:val="auto"/>
          <w:sz w:val="16"/>
          <w:szCs w:val="16"/>
          <w:lang w:val="es-ES"/>
        </w:rPr>
        <w:t xml:space="preserve">Caso 12.243, Informe 52/01, Juan </w:t>
      </w:r>
      <w:r w:rsidR="00C34A87" w:rsidRPr="00537BF9">
        <w:rPr>
          <w:rFonts w:asciiTheme="majorHAnsi" w:eastAsia="Times New Roman" w:hAnsiTheme="majorHAnsi" w:cs="Times New Roman"/>
          <w:color w:val="auto"/>
          <w:sz w:val="16"/>
          <w:szCs w:val="16"/>
          <w:lang w:val="es-ES"/>
        </w:rPr>
        <w:t>Raúl</w:t>
      </w:r>
      <w:r w:rsidRPr="00537BF9">
        <w:rPr>
          <w:rFonts w:asciiTheme="majorHAnsi" w:eastAsia="Times New Roman" w:hAnsiTheme="majorHAnsi" w:cs="Times New Roman"/>
          <w:color w:val="auto"/>
          <w:sz w:val="16"/>
          <w:szCs w:val="16"/>
          <w:lang w:val="es-ES"/>
        </w:rPr>
        <w:t xml:space="preserve"> Garza c. </w:t>
      </w:r>
      <w:proofErr w:type="spellStart"/>
      <w:r>
        <w:rPr>
          <w:rFonts w:asciiTheme="majorHAnsi" w:eastAsia="Times New Roman" w:hAnsiTheme="majorHAnsi" w:cs="Times New Roman"/>
          <w:color w:val="auto"/>
          <w:sz w:val="16"/>
          <w:szCs w:val="16"/>
          <w:lang w:val="es-ES"/>
        </w:rPr>
        <w:t>Estadis</w:t>
      </w:r>
      <w:proofErr w:type="spellEnd"/>
      <w:r>
        <w:rPr>
          <w:rFonts w:asciiTheme="majorHAnsi" w:eastAsia="Times New Roman" w:hAnsiTheme="majorHAnsi" w:cs="Times New Roman"/>
          <w:color w:val="auto"/>
          <w:sz w:val="16"/>
          <w:szCs w:val="16"/>
          <w:lang w:val="es-ES"/>
        </w:rPr>
        <w:t xml:space="preserve"> Unidos</w:t>
      </w:r>
      <w:r w:rsidRPr="00537BF9">
        <w:rPr>
          <w:rFonts w:asciiTheme="majorHAnsi" w:eastAsia="Times New Roman" w:hAnsiTheme="majorHAnsi" w:cs="Times New Roman"/>
          <w:color w:val="auto"/>
          <w:sz w:val="16"/>
          <w:szCs w:val="16"/>
          <w:lang w:val="es-ES"/>
        </w:rPr>
        <w:t>, Informe Anual 2000 de la CIDH, p</w:t>
      </w:r>
      <w:r>
        <w:rPr>
          <w:rFonts w:asciiTheme="majorHAnsi" w:eastAsia="Times New Roman" w:hAnsiTheme="majorHAnsi" w:cs="Times New Roman"/>
          <w:color w:val="auto"/>
          <w:sz w:val="16"/>
          <w:szCs w:val="16"/>
          <w:lang w:val="es-ES"/>
        </w:rPr>
        <w:t>á</w:t>
      </w:r>
      <w:r w:rsidRPr="00537BF9">
        <w:rPr>
          <w:rFonts w:asciiTheme="majorHAnsi" w:eastAsia="Times New Roman" w:hAnsiTheme="majorHAnsi" w:cs="Times New Roman"/>
          <w:color w:val="auto"/>
          <w:sz w:val="16"/>
          <w:szCs w:val="16"/>
          <w:lang w:val="es-ES"/>
        </w:rPr>
        <w:t>rr. 117. Véase en un sentido similar:</w:t>
      </w:r>
      <w:r w:rsidRPr="00537BF9">
        <w:rPr>
          <w:rFonts w:asciiTheme="majorHAnsi" w:eastAsia="Times New Roman" w:hAnsiTheme="majorHAnsi" w:cs="Times New Roman"/>
          <w:i/>
          <w:iCs/>
          <w:color w:val="auto"/>
          <w:sz w:val="16"/>
          <w:szCs w:val="16"/>
          <w:lang w:val="es-ES"/>
        </w:rPr>
        <w:t xml:space="preserve"> </w:t>
      </w:r>
      <w:r w:rsidRPr="00537BF9">
        <w:rPr>
          <w:rFonts w:asciiTheme="majorHAnsi" w:eastAsia="Times New Roman" w:hAnsiTheme="majorHAnsi" w:cs="Times New Roman"/>
          <w:color w:val="auto"/>
          <w:sz w:val="16"/>
          <w:szCs w:val="16"/>
          <w:lang w:val="es-ES"/>
        </w:rPr>
        <w:t>CIDH, Quinto Informe sobre la Situación de los Derechos Humanos en Guatemala, Doc. OEA/</w:t>
      </w:r>
      <w:proofErr w:type="spellStart"/>
      <w:r w:rsidRPr="00537BF9">
        <w:rPr>
          <w:rFonts w:asciiTheme="majorHAnsi" w:eastAsia="Times New Roman" w:hAnsiTheme="majorHAnsi" w:cs="Times New Roman"/>
          <w:color w:val="auto"/>
          <w:sz w:val="16"/>
          <w:szCs w:val="16"/>
          <w:lang w:val="es-ES"/>
        </w:rPr>
        <w:t>Ser.L</w:t>
      </w:r>
      <w:proofErr w:type="spellEnd"/>
      <w:r w:rsidRPr="00537BF9">
        <w:rPr>
          <w:rFonts w:asciiTheme="majorHAnsi" w:eastAsia="Times New Roman" w:hAnsiTheme="majorHAnsi" w:cs="Times New Roman"/>
          <w:color w:val="auto"/>
          <w:sz w:val="16"/>
          <w:szCs w:val="16"/>
          <w:lang w:val="es-ES"/>
        </w:rPr>
        <w:t xml:space="preserve">/V/II.111 doc.21 </w:t>
      </w:r>
      <w:proofErr w:type="spellStart"/>
      <w:r w:rsidRPr="00537BF9">
        <w:rPr>
          <w:rFonts w:asciiTheme="majorHAnsi" w:eastAsia="Times New Roman" w:hAnsiTheme="majorHAnsi" w:cs="Times New Roman"/>
          <w:color w:val="auto"/>
          <w:sz w:val="16"/>
          <w:szCs w:val="16"/>
          <w:lang w:val="es-ES"/>
        </w:rPr>
        <w:t>rev.</w:t>
      </w:r>
      <w:proofErr w:type="spellEnd"/>
      <w:r w:rsidRPr="00537BF9">
        <w:rPr>
          <w:rFonts w:asciiTheme="majorHAnsi" w:eastAsia="Times New Roman" w:hAnsiTheme="majorHAnsi" w:cs="Times New Roman"/>
          <w:color w:val="auto"/>
          <w:sz w:val="16"/>
          <w:szCs w:val="16"/>
          <w:lang w:val="es-ES"/>
        </w:rPr>
        <w:t xml:space="preserve"> (6 de abril de 2001), </w:t>
      </w:r>
      <w:proofErr w:type="spellStart"/>
      <w:r w:rsidRPr="00537BF9">
        <w:rPr>
          <w:rFonts w:asciiTheme="majorHAnsi" w:eastAsia="Times New Roman" w:hAnsiTheme="majorHAnsi" w:cs="Times New Roman"/>
          <w:color w:val="auto"/>
          <w:sz w:val="16"/>
          <w:szCs w:val="16"/>
          <w:lang w:val="es-ES"/>
        </w:rPr>
        <w:t>p</w:t>
      </w:r>
      <w:r w:rsidR="00C34A87">
        <w:rPr>
          <w:rFonts w:asciiTheme="majorHAnsi" w:eastAsia="Times New Roman" w:hAnsiTheme="majorHAnsi" w:cs="Times New Roman"/>
          <w:color w:val="auto"/>
          <w:sz w:val="16"/>
          <w:szCs w:val="16"/>
          <w:lang w:val="es-ES"/>
        </w:rPr>
        <w:t>á</w:t>
      </w:r>
      <w:r w:rsidRPr="00537BF9">
        <w:rPr>
          <w:rFonts w:asciiTheme="majorHAnsi" w:eastAsia="Times New Roman" w:hAnsiTheme="majorHAnsi" w:cs="Times New Roman"/>
          <w:color w:val="auto"/>
          <w:sz w:val="16"/>
          <w:szCs w:val="16"/>
          <w:lang w:val="es-ES"/>
        </w:rPr>
        <w:t>rrs</w:t>
      </w:r>
      <w:proofErr w:type="spellEnd"/>
      <w:r w:rsidRPr="00537BF9">
        <w:rPr>
          <w:rFonts w:asciiTheme="majorHAnsi" w:eastAsia="Times New Roman" w:hAnsiTheme="majorHAnsi" w:cs="Times New Roman"/>
          <w:color w:val="auto"/>
          <w:sz w:val="16"/>
          <w:szCs w:val="16"/>
          <w:lang w:val="es-ES"/>
        </w:rPr>
        <w:t xml:space="preserve">. </w:t>
      </w:r>
      <w:r w:rsidRPr="00E36893">
        <w:rPr>
          <w:rFonts w:asciiTheme="majorHAnsi" w:eastAsia="Times New Roman" w:hAnsiTheme="majorHAnsi" w:cs="Times New Roman"/>
          <w:color w:val="auto"/>
          <w:sz w:val="16"/>
          <w:szCs w:val="16"/>
          <w:lang w:val="es-ES"/>
        </w:rPr>
        <w:t>71, 72.</w:t>
      </w:r>
    </w:p>
  </w:footnote>
  <w:footnote w:id="64">
    <w:p w14:paraId="6FBD06E9" w14:textId="5AC1D4A4" w:rsidR="00873D49" w:rsidRPr="00E36893" w:rsidRDefault="00873D49" w:rsidP="00537BF9">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37BF9">
        <w:rPr>
          <w:rFonts w:asciiTheme="majorHAnsi" w:hAnsiTheme="majorHAnsi"/>
          <w:color w:val="auto"/>
          <w:sz w:val="16"/>
          <w:szCs w:val="16"/>
          <w:lang w:val="es-ES"/>
        </w:rPr>
        <w:t xml:space="preserve"> </w:t>
      </w:r>
      <w:r w:rsidRPr="00537BF9">
        <w:rPr>
          <w:rFonts w:asciiTheme="majorHAnsi" w:eastAsia="Times New Roman" w:hAnsiTheme="majorHAnsi" w:cs="Times New Roman"/>
          <w:color w:val="auto"/>
          <w:sz w:val="16"/>
          <w:szCs w:val="16"/>
          <w:lang w:val="es-ES"/>
        </w:rPr>
        <w:t xml:space="preserve">Caso 12.243, Informe 52/01, Juan </w:t>
      </w:r>
      <w:r w:rsidR="00C34A87" w:rsidRPr="00537BF9">
        <w:rPr>
          <w:rFonts w:asciiTheme="majorHAnsi" w:eastAsia="Times New Roman" w:hAnsiTheme="majorHAnsi" w:cs="Times New Roman"/>
          <w:color w:val="auto"/>
          <w:sz w:val="16"/>
          <w:szCs w:val="16"/>
          <w:lang w:val="es-ES"/>
        </w:rPr>
        <w:t>Raúl</w:t>
      </w:r>
      <w:r w:rsidRPr="00537BF9">
        <w:rPr>
          <w:rFonts w:asciiTheme="majorHAnsi" w:eastAsia="Times New Roman" w:hAnsiTheme="majorHAnsi" w:cs="Times New Roman"/>
          <w:color w:val="auto"/>
          <w:sz w:val="16"/>
          <w:szCs w:val="16"/>
          <w:lang w:val="es-ES"/>
        </w:rPr>
        <w:t xml:space="preserve"> Garza c. </w:t>
      </w:r>
      <w:r>
        <w:rPr>
          <w:rFonts w:asciiTheme="majorHAnsi" w:eastAsia="Times New Roman" w:hAnsiTheme="majorHAnsi" w:cs="Times New Roman"/>
          <w:color w:val="auto"/>
          <w:sz w:val="16"/>
          <w:szCs w:val="16"/>
          <w:lang w:val="es-ES"/>
        </w:rPr>
        <w:t>Estados Unidos</w:t>
      </w:r>
      <w:r w:rsidRPr="00537BF9">
        <w:rPr>
          <w:rFonts w:asciiTheme="majorHAnsi" w:eastAsia="Times New Roman" w:hAnsiTheme="majorHAnsi" w:cs="Times New Roman"/>
          <w:color w:val="auto"/>
          <w:sz w:val="16"/>
          <w:szCs w:val="16"/>
          <w:lang w:val="es-ES"/>
        </w:rPr>
        <w:t>, Informe Anual 2000 de la CIDH, p</w:t>
      </w:r>
      <w:r>
        <w:rPr>
          <w:rFonts w:asciiTheme="majorHAnsi" w:eastAsia="Times New Roman" w:hAnsiTheme="majorHAnsi" w:cs="Times New Roman"/>
          <w:color w:val="auto"/>
          <w:sz w:val="16"/>
          <w:szCs w:val="16"/>
          <w:lang w:val="es-ES"/>
        </w:rPr>
        <w:t>á</w:t>
      </w:r>
      <w:r w:rsidRPr="00537BF9">
        <w:rPr>
          <w:rFonts w:asciiTheme="majorHAnsi" w:eastAsia="Times New Roman" w:hAnsiTheme="majorHAnsi" w:cs="Times New Roman"/>
          <w:color w:val="auto"/>
          <w:sz w:val="16"/>
          <w:szCs w:val="16"/>
          <w:lang w:val="es-ES"/>
        </w:rPr>
        <w:t>rr. 117. Véase en un sentido similar:</w:t>
      </w:r>
      <w:r w:rsidRPr="00537BF9">
        <w:rPr>
          <w:rFonts w:asciiTheme="majorHAnsi" w:eastAsia="Times New Roman" w:hAnsiTheme="majorHAnsi" w:cs="Times New Roman"/>
          <w:i/>
          <w:iCs/>
          <w:color w:val="auto"/>
          <w:sz w:val="16"/>
          <w:szCs w:val="16"/>
          <w:lang w:val="es-ES"/>
        </w:rPr>
        <w:t xml:space="preserve"> </w:t>
      </w:r>
      <w:r w:rsidRPr="00537BF9">
        <w:rPr>
          <w:rFonts w:asciiTheme="majorHAnsi" w:eastAsia="Times New Roman" w:hAnsiTheme="majorHAnsi" w:cs="Times New Roman"/>
          <w:color w:val="auto"/>
          <w:sz w:val="16"/>
          <w:szCs w:val="16"/>
          <w:lang w:val="es-ES"/>
        </w:rPr>
        <w:t>CIDH, Quinto Informe sobre la Situación de los Derechos Humanos en Guatemala, Doc. OEA/</w:t>
      </w:r>
      <w:proofErr w:type="spellStart"/>
      <w:r w:rsidRPr="00537BF9">
        <w:rPr>
          <w:rFonts w:asciiTheme="majorHAnsi" w:eastAsia="Times New Roman" w:hAnsiTheme="majorHAnsi" w:cs="Times New Roman"/>
          <w:color w:val="auto"/>
          <w:sz w:val="16"/>
          <w:szCs w:val="16"/>
          <w:lang w:val="es-ES"/>
        </w:rPr>
        <w:t>Ser.L</w:t>
      </w:r>
      <w:proofErr w:type="spellEnd"/>
      <w:r w:rsidRPr="00537BF9">
        <w:rPr>
          <w:rFonts w:asciiTheme="majorHAnsi" w:eastAsia="Times New Roman" w:hAnsiTheme="majorHAnsi" w:cs="Times New Roman"/>
          <w:color w:val="auto"/>
          <w:sz w:val="16"/>
          <w:szCs w:val="16"/>
          <w:lang w:val="es-ES"/>
        </w:rPr>
        <w:t xml:space="preserve">/V/II.111 doc.21 </w:t>
      </w:r>
      <w:proofErr w:type="spellStart"/>
      <w:r w:rsidRPr="00537BF9">
        <w:rPr>
          <w:rFonts w:asciiTheme="majorHAnsi" w:eastAsia="Times New Roman" w:hAnsiTheme="majorHAnsi" w:cs="Times New Roman"/>
          <w:color w:val="auto"/>
          <w:sz w:val="16"/>
          <w:szCs w:val="16"/>
          <w:lang w:val="es-ES"/>
        </w:rPr>
        <w:t>rev.</w:t>
      </w:r>
      <w:proofErr w:type="spellEnd"/>
      <w:r w:rsidRPr="00537BF9">
        <w:rPr>
          <w:rFonts w:asciiTheme="majorHAnsi" w:eastAsia="Times New Roman" w:hAnsiTheme="majorHAnsi" w:cs="Times New Roman"/>
          <w:color w:val="auto"/>
          <w:sz w:val="16"/>
          <w:szCs w:val="16"/>
          <w:lang w:val="es-ES"/>
        </w:rPr>
        <w:t xml:space="preserve"> (6 de abril de 2001), </w:t>
      </w:r>
      <w:proofErr w:type="spellStart"/>
      <w:r w:rsidRPr="00537BF9">
        <w:rPr>
          <w:rFonts w:asciiTheme="majorHAnsi" w:eastAsia="Times New Roman" w:hAnsiTheme="majorHAnsi" w:cs="Times New Roman"/>
          <w:color w:val="auto"/>
          <w:sz w:val="16"/>
          <w:szCs w:val="16"/>
          <w:lang w:val="es-ES"/>
        </w:rPr>
        <w:t>p</w:t>
      </w:r>
      <w:r w:rsidR="00C34A87">
        <w:rPr>
          <w:rFonts w:asciiTheme="majorHAnsi" w:eastAsia="Times New Roman" w:hAnsiTheme="majorHAnsi" w:cs="Times New Roman"/>
          <w:color w:val="auto"/>
          <w:sz w:val="16"/>
          <w:szCs w:val="16"/>
          <w:lang w:val="es-ES"/>
        </w:rPr>
        <w:t>á</w:t>
      </w:r>
      <w:r w:rsidRPr="00537BF9">
        <w:rPr>
          <w:rFonts w:asciiTheme="majorHAnsi" w:eastAsia="Times New Roman" w:hAnsiTheme="majorHAnsi" w:cs="Times New Roman"/>
          <w:color w:val="auto"/>
          <w:sz w:val="16"/>
          <w:szCs w:val="16"/>
          <w:lang w:val="es-ES"/>
        </w:rPr>
        <w:t>rrs</w:t>
      </w:r>
      <w:proofErr w:type="spellEnd"/>
      <w:r w:rsidRPr="00537BF9">
        <w:rPr>
          <w:rFonts w:asciiTheme="majorHAnsi" w:eastAsia="Times New Roman" w:hAnsiTheme="majorHAnsi" w:cs="Times New Roman"/>
          <w:color w:val="auto"/>
          <w:sz w:val="16"/>
          <w:szCs w:val="16"/>
          <w:lang w:val="es-ES"/>
        </w:rPr>
        <w:t>. 71, 72</w:t>
      </w:r>
      <w:r w:rsidRPr="00537BF9">
        <w:rPr>
          <w:rFonts w:asciiTheme="majorHAnsi" w:eastAsia="Times New Roman" w:hAnsiTheme="majorHAnsi"/>
          <w:color w:val="auto"/>
          <w:sz w:val="16"/>
          <w:szCs w:val="16"/>
          <w:lang w:val="es-ES"/>
        </w:rPr>
        <w:t>., citando Corte Internacional de Justicia, Caso Relativo a la C</w:t>
      </w:r>
      <w:r>
        <w:rPr>
          <w:rFonts w:asciiTheme="majorHAnsi" w:eastAsia="Times New Roman" w:hAnsiTheme="majorHAnsi"/>
          <w:color w:val="auto"/>
          <w:sz w:val="16"/>
          <w:szCs w:val="16"/>
          <w:lang w:val="es-ES"/>
        </w:rPr>
        <w:t>onvención de Viena sobre Relaciones Consulares (Alemania c. Estados Unidos de América), Solicitud de Indicación de Medidas Provisionales, Orden del 3 de marzo de 1999</w:t>
      </w:r>
      <w:r w:rsidRPr="00537BF9">
        <w:rPr>
          <w:rFonts w:asciiTheme="majorHAnsi" w:eastAsia="Times New Roman" w:hAnsiTheme="majorHAnsi"/>
          <w:color w:val="auto"/>
          <w:sz w:val="16"/>
          <w:szCs w:val="16"/>
          <w:lang w:val="es-ES"/>
        </w:rPr>
        <w:t xml:space="preserve">, I.C.J. General </w:t>
      </w:r>
      <w:proofErr w:type="spellStart"/>
      <w:r w:rsidRPr="00537BF9">
        <w:rPr>
          <w:rFonts w:asciiTheme="majorHAnsi" w:eastAsia="Times New Roman" w:hAnsiTheme="majorHAnsi"/>
          <w:color w:val="auto"/>
          <w:sz w:val="16"/>
          <w:szCs w:val="16"/>
          <w:lang w:val="es-ES"/>
        </w:rPr>
        <w:t>List</w:t>
      </w:r>
      <w:proofErr w:type="spellEnd"/>
      <w:r w:rsidRPr="00537BF9">
        <w:rPr>
          <w:rFonts w:asciiTheme="majorHAnsi" w:eastAsia="Times New Roman" w:hAnsiTheme="majorHAnsi"/>
          <w:color w:val="auto"/>
          <w:sz w:val="16"/>
          <w:szCs w:val="16"/>
          <w:lang w:val="es-ES"/>
        </w:rPr>
        <w:t xml:space="preserve">, </w:t>
      </w:r>
      <w:proofErr w:type="spellStart"/>
      <w:r w:rsidRPr="00537BF9">
        <w:rPr>
          <w:rFonts w:asciiTheme="majorHAnsi" w:eastAsia="Times New Roman" w:hAnsiTheme="majorHAnsi"/>
          <w:color w:val="auto"/>
          <w:sz w:val="16"/>
          <w:szCs w:val="16"/>
          <w:lang w:val="es-ES"/>
        </w:rPr>
        <w:t>Nº</w:t>
      </w:r>
      <w:proofErr w:type="spellEnd"/>
      <w:r w:rsidRPr="00537BF9">
        <w:rPr>
          <w:rFonts w:asciiTheme="majorHAnsi" w:eastAsia="Times New Roman" w:hAnsiTheme="majorHAnsi"/>
          <w:color w:val="auto"/>
          <w:sz w:val="16"/>
          <w:szCs w:val="16"/>
          <w:lang w:val="es-ES"/>
        </w:rPr>
        <w:t xml:space="preserve"> 104, </w:t>
      </w:r>
      <w:proofErr w:type="spellStart"/>
      <w:r w:rsidRPr="00537BF9">
        <w:rPr>
          <w:rFonts w:asciiTheme="majorHAnsi" w:eastAsia="Times New Roman" w:hAnsiTheme="majorHAnsi"/>
          <w:color w:val="auto"/>
          <w:sz w:val="16"/>
          <w:szCs w:val="16"/>
          <w:lang w:val="es-ES"/>
        </w:rPr>
        <w:t>p</w:t>
      </w:r>
      <w:r w:rsidR="00C34A87">
        <w:rPr>
          <w:rFonts w:asciiTheme="majorHAnsi" w:eastAsia="Times New Roman" w:hAnsiTheme="majorHAnsi"/>
          <w:color w:val="auto"/>
          <w:sz w:val="16"/>
          <w:szCs w:val="16"/>
          <w:lang w:val="es-ES"/>
        </w:rPr>
        <w:t>á</w:t>
      </w:r>
      <w:r w:rsidRPr="00537BF9">
        <w:rPr>
          <w:rFonts w:asciiTheme="majorHAnsi" w:eastAsia="Times New Roman" w:hAnsiTheme="majorHAnsi"/>
          <w:color w:val="auto"/>
          <w:sz w:val="16"/>
          <w:szCs w:val="16"/>
          <w:lang w:val="es-ES"/>
        </w:rPr>
        <w:t>rrs</w:t>
      </w:r>
      <w:proofErr w:type="spellEnd"/>
      <w:r w:rsidRPr="00537BF9">
        <w:rPr>
          <w:rFonts w:asciiTheme="majorHAnsi" w:eastAsia="Times New Roman" w:hAnsiTheme="majorHAnsi"/>
          <w:color w:val="auto"/>
          <w:sz w:val="16"/>
          <w:szCs w:val="16"/>
          <w:lang w:val="es-ES"/>
        </w:rPr>
        <w:t xml:space="preserve">. 22-28; Comité de Derechos Humanos de Naciones Unidas, Dante </w:t>
      </w:r>
      <w:proofErr w:type="spellStart"/>
      <w:r w:rsidRPr="00537BF9">
        <w:rPr>
          <w:rFonts w:asciiTheme="majorHAnsi" w:eastAsia="Times New Roman" w:hAnsiTheme="majorHAnsi"/>
          <w:color w:val="auto"/>
          <w:sz w:val="16"/>
          <w:szCs w:val="16"/>
          <w:lang w:val="es-ES"/>
        </w:rPr>
        <w:t>Piandiong</w:t>
      </w:r>
      <w:proofErr w:type="spellEnd"/>
      <w:r w:rsidRPr="00537BF9">
        <w:rPr>
          <w:rFonts w:asciiTheme="majorHAnsi" w:eastAsia="Times New Roman" w:hAnsiTheme="majorHAnsi"/>
          <w:color w:val="auto"/>
          <w:sz w:val="16"/>
          <w:szCs w:val="16"/>
          <w:lang w:val="es-ES"/>
        </w:rPr>
        <w:t xml:space="preserve"> y otros c. </w:t>
      </w:r>
      <w:r>
        <w:rPr>
          <w:rFonts w:asciiTheme="majorHAnsi" w:eastAsia="Times New Roman" w:hAnsiTheme="majorHAnsi"/>
          <w:color w:val="auto"/>
          <w:sz w:val="16"/>
          <w:szCs w:val="16"/>
          <w:lang w:val="es-ES"/>
        </w:rPr>
        <w:t xml:space="preserve">Filipinas, Comunicación </w:t>
      </w:r>
      <w:proofErr w:type="spellStart"/>
      <w:r w:rsidRPr="00537BF9">
        <w:rPr>
          <w:rFonts w:asciiTheme="majorHAnsi" w:eastAsia="Times New Roman" w:hAnsiTheme="majorHAnsi"/>
          <w:color w:val="auto"/>
          <w:sz w:val="16"/>
          <w:szCs w:val="16"/>
          <w:lang w:val="es-ES"/>
        </w:rPr>
        <w:t>Nº</w:t>
      </w:r>
      <w:proofErr w:type="spellEnd"/>
      <w:r w:rsidRPr="00537BF9">
        <w:rPr>
          <w:rFonts w:asciiTheme="majorHAnsi" w:eastAsia="Times New Roman" w:hAnsiTheme="majorHAnsi"/>
          <w:color w:val="auto"/>
          <w:sz w:val="16"/>
          <w:szCs w:val="16"/>
          <w:lang w:val="es-ES"/>
        </w:rPr>
        <w:t xml:space="preserve"> 869/1999, U.N. Doc. CCPR/C/70/D/869.1999 (19 de octubre de 1999), </w:t>
      </w:r>
      <w:proofErr w:type="spellStart"/>
      <w:r w:rsidRPr="00537BF9">
        <w:rPr>
          <w:rFonts w:asciiTheme="majorHAnsi" w:eastAsia="Times New Roman" w:hAnsiTheme="majorHAnsi"/>
          <w:color w:val="auto"/>
          <w:sz w:val="16"/>
          <w:szCs w:val="16"/>
          <w:lang w:val="es-ES"/>
        </w:rPr>
        <w:t>p</w:t>
      </w:r>
      <w:r>
        <w:rPr>
          <w:rFonts w:asciiTheme="majorHAnsi" w:eastAsia="Times New Roman" w:hAnsiTheme="majorHAnsi"/>
          <w:color w:val="auto"/>
          <w:sz w:val="16"/>
          <w:szCs w:val="16"/>
          <w:lang w:val="es-ES"/>
        </w:rPr>
        <w:t>á</w:t>
      </w:r>
      <w:r w:rsidRPr="00537BF9">
        <w:rPr>
          <w:rFonts w:asciiTheme="majorHAnsi" w:eastAsia="Times New Roman" w:hAnsiTheme="majorHAnsi"/>
          <w:color w:val="auto"/>
          <w:sz w:val="16"/>
          <w:szCs w:val="16"/>
          <w:lang w:val="es-ES"/>
        </w:rPr>
        <w:t>rrs</w:t>
      </w:r>
      <w:proofErr w:type="spellEnd"/>
      <w:r w:rsidRPr="00537BF9">
        <w:rPr>
          <w:rFonts w:asciiTheme="majorHAnsi" w:eastAsia="Times New Roman" w:hAnsiTheme="majorHAnsi"/>
          <w:color w:val="auto"/>
          <w:sz w:val="16"/>
          <w:szCs w:val="16"/>
          <w:lang w:val="es-ES"/>
        </w:rPr>
        <w:t xml:space="preserve">. 5.1-5.4; TEDH, Caso </w:t>
      </w:r>
      <w:proofErr w:type="spellStart"/>
      <w:r w:rsidRPr="00537BF9">
        <w:rPr>
          <w:rFonts w:asciiTheme="majorHAnsi" w:eastAsia="Times New Roman" w:hAnsiTheme="majorHAnsi"/>
          <w:color w:val="auto"/>
          <w:sz w:val="16"/>
          <w:szCs w:val="16"/>
          <w:lang w:val="es-ES"/>
        </w:rPr>
        <w:t>Mamatkulov</w:t>
      </w:r>
      <w:proofErr w:type="spellEnd"/>
      <w:r w:rsidRPr="00537BF9">
        <w:rPr>
          <w:rFonts w:asciiTheme="majorHAnsi" w:eastAsia="Times New Roman" w:hAnsiTheme="majorHAnsi"/>
          <w:color w:val="auto"/>
          <w:sz w:val="16"/>
          <w:szCs w:val="16"/>
          <w:lang w:val="es-ES"/>
        </w:rPr>
        <w:t xml:space="preserve"> </w:t>
      </w:r>
      <w:r>
        <w:rPr>
          <w:rFonts w:asciiTheme="majorHAnsi" w:eastAsia="Times New Roman" w:hAnsiTheme="majorHAnsi"/>
          <w:color w:val="auto"/>
          <w:sz w:val="16"/>
          <w:szCs w:val="16"/>
          <w:lang w:val="es-ES"/>
        </w:rPr>
        <w:t>y</w:t>
      </w:r>
      <w:r w:rsidRPr="00537BF9">
        <w:rPr>
          <w:rFonts w:asciiTheme="majorHAnsi" w:eastAsia="Times New Roman" w:hAnsiTheme="majorHAnsi"/>
          <w:color w:val="auto"/>
          <w:sz w:val="16"/>
          <w:szCs w:val="16"/>
          <w:lang w:val="es-ES"/>
        </w:rPr>
        <w:t xml:space="preserve"> </w:t>
      </w:r>
      <w:proofErr w:type="spellStart"/>
      <w:r w:rsidRPr="00537BF9">
        <w:rPr>
          <w:rFonts w:asciiTheme="majorHAnsi" w:eastAsia="Times New Roman" w:hAnsiTheme="majorHAnsi"/>
          <w:color w:val="auto"/>
          <w:sz w:val="16"/>
          <w:szCs w:val="16"/>
          <w:lang w:val="es-ES"/>
        </w:rPr>
        <w:t>Abdurasulovic</w:t>
      </w:r>
      <w:proofErr w:type="spellEnd"/>
      <w:r w:rsidRPr="00537BF9">
        <w:rPr>
          <w:rFonts w:asciiTheme="majorHAnsi" w:eastAsia="Times New Roman" w:hAnsiTheme="majorHAnsi"/>
          <w:color w:val="auto"/>
          <w:sz w:val="16"/>
          <w:szCs w:val="16"/>
          <w:lang w:val="es-ES"/>
        </w:rPr>
        <w:t xml:space="preserve"> c. Tur</w:t>
      </w:r>
      <w:r>
        <w:rPr>
          <w:rFonts w:asciiTheme="majorHAnsi" w:eastAsia="Times New Roman" w:hAnsiTheme="majorHAnsi"/>
          <w:color w:val="auto"/>
          <w:sz w:val="16"/>
          <w:szCs w:val="16"/>
          <w:lang w:val="es-ES"/>
        </w:rPr>
        <w:t>quía</w:t>
      </w:r>
      <w:r w:rsidRPr="00537BF9">
        <w:rPr>
          <w:rFonts w:asciiTheme="majorHAnsi" w:eastAsia="Times New Roman" w:hAnsiTheme="majorHAnsi"/>
          <w:color w:val="auto"/>
          <w:sz w:val="16"/>
          <w:szCs w:val="16"/>
          <w:lang w:val="es-ES"/>
        </w:rPr>
        <w:t xml:space="preserve">, </w:t>
      </w:r>
      <w:proofErr w:type="spellStart"/>
      <w:r w:rsidRPr="00537BF9">
        <w:rPr>
          <w:rFonts w:asciiTheme="majorHAnsi" w:eastAsia="Times New Roman" w:hAnsiTheme="majorHAnsi"/>
          <w:color w:val="auto"/>
          <w:sz w:val="16"/>
          <w:szCs w:val="16"/>
          <w:lang w:val="es-ES"/>
        </w:rPr>
        <w:t>Reqs</w:t>
      </w:r>
      <w:proofErr w:type="spellEnd"/>
      <w:r w:rsidRPr="00537BF9">
        <w:rPr>
          <w:rFonts w:asciiTheme="majorHAnsi" w:eastAsia="Times New Roman" w:hAnsiTheme="majorHAnsi"/>
          <w:color w:val="auto"/>
          <w:sz w:val="16"/>
          <w:szCs w:val="16"/>
          <w:lang w:val="es-ES"/>
        </w:rPr>
        <w:t xml:space="preserve">. Nos. 46827/99, 46951/99 (6 </w:t>
      </w:r>
      <w:r>
        <w:rPr>
          <w:rFonts w:asciiTheme="majorHAnsi" w:eastAsia="Times New Roman" w:hAnsiTheme="majorHAnsi"/>
          <w:color w:val="auto"/>
          <w:sz w:val="16"/>
          <w:szCs w:val="16"/>
          <w:lang w:val="es-ES"/>
        </w:rPr>
        <w:t>de febrero de</w:t>
      </w:r>
      <w:r w:rsidRPr="00537BF9">
        <w:rPr>
          <w:rFonts w:asciiTheme="majorHAnsi" w:eastAsia="Times New Roman" w:hAnsiTheme="majorHAnsi"/>
          <w:color w:val="auto"/>
          <w:sz w:val="16"/>
          <w:szCs w:val="16"/>
          <w:lang w:val="es-ES"/>
        </w:rPr>
        <w:t xml:space="preserve"> 2003), </w:t>
      </w:r>
      <w:proofErr w:type="spellStart"/>
      <w:r w:rsidRPr="00537BF9">
        <w:rPr>
          <w:rFonts w:asciiTheme="majorHAnsi" w:eastAsia="Times New Roman" w:hAnsiTheme="majorHAnsi"/>
          <w:color w:val="auto"/>
          <w:sz w:val="16"/>
          <w:szCs w:val="16"/>
          <w:lang w:val="es-ES"/>
        </w:rPr>
        <w:t>p</w:t>
      </w:r>
      <w:r>
        <w:rPr>
          <w:rFonts w:asciiTheme="majorHAnsi" w:eastAsia="Times New Roman" w:hAnsiTheme="majorHAnsi"/>
          <w:color w:val="auto"/>
          <w:sz w:val="16"/>
          <w:szCs w:val="16"/>
          <w:lang w:val="es-ES"/>
        </w:rPr>
        <w:t>á</w:t>
      </w:r>
      <w:r w:rsidRPr="00537BF9">
        <w:rPr>
          <w:rFonts w:asciiTheme="majorHAnsi" w:eastAsia="Times New Roman" w:hAnsiTheme="majorHAnsi"/>
          <w:color w:val="auto"/>
          <w:sz w:val="16"/>
          <w:szCs w:val="16"/>
          <w:lang w:val="es-ES"/>
        </w:rPr>
        <w:t>r</w:t>
      </w:r>
      <w:r>
        <w:rPr>
          <w:rFonts w:asciiTheme="majorHAnsi" w:eastAsia="Times New Roman" w:hAnsiTheme="majorHAnsi"/>
          <w:color w:val="auto"/>
          <w:sz w:val="16"/>
          <w:szCs w:val="16"/>
          <w:lang w:val="es-ES"/>
        </w:rPr>
        <w:t>r</w:t>
      </w:r>
      <w:r w:rsidRPr="00537BF9">
        <w:rPr>
          <w:rFonts w:asciiTheme="majorHAnsi" w:eastAsia="Times New Roman" w:hAnsiTheme="majorHAnsi"/>
          <w:color w:val="auto"/>
          <w:sz w:val="16"/>
          <w:szCs w:val="16"/>
          <w:lang w:val="es-ES"/>
        </w:rPr>
        <w:t>s</w:t>
      </w:r>
      <w:proofErr w:type="spellEnd"/>
      <w:r w:rsidRPr="00537BF9">
        <w:rPr>
          <w:rFonts w:asciiTheme="majorHAnsi" w:eastAsia="Times New Roman" w:hAnsiTheme="majorHAnsi"/>
          <w:color w:val="auto"/>
          <w:sz w:val="16"/>
          <w:szCs w:val="16"/>
          <w:lang w:val="es-ES"/>
        </w:rPr>
        <w:t xml:space="preserve">. </w:t>
      </w:r>
      <w:r w:rsidRPr="00E36893">
        <w:rPr>
          <w:rFonts w:asciiTheme="majorHAnsi" w:eastAsia="Times New Roman" w:hAnsiTheme="majorHAnsi"/>
          <w:color w:val="auto"/>
          <w:sz w:val="16"/>
          <w:szCs w:val="16"/>
          <w:lang w:val="es-ES"/>
        </w:rPr>
        <w:t xml:space="preserve">104-107. </w:t>
      </w:r>
    </w:p>
  </w:footnote>
  <w:footnote w:id="65">
    <w:p w14:paraId="41BF164D" w14:textId="4D4CC5C1" w:rsidR="00873D49" w:rsidRPr="00E36893" w:rsidRDefault="00873D49" w:rsidP="004A0895">
      <w:pPr>
        <w:pStyle w:val="NormalWeb"/>
        <w:spacing w:before="0" w:beforeAutospacing="0" w:after="0" w:afterAutospacing="0"/>
        <w:jc w:val="both"/>
        <w:rPr>
          <w:rFonts w:asciiTheme="majorHAnsi" w:hAnsiTheme="majorHAnsi"/>
          <w:sz w:val="16"/>
          <w:szCs w:val="16"/>
          <w:lang w:val="es-ES"/>
        </w:rPr>
      </w:pPr>
      <w:r w:rsidRPr="004A0895">
        <w:rPr>
          <w:rFonts w:asciiTheme="majorHAnsi" w:eastAsia="Calibri" w:hAnsiTheme="majorHAnsi" w:cs="Calibri"/>
          <w:sz w:val="16"/>
          <w:szCs w:val="16"/>
          <w:vertAlign w:val="superscript"/>
        </w:rPr>
        <w:footnoteRef/>
      </w:r>
      <w:r w:rsidRPr="00537BF9">
        <w:rPr>
          <w:rFonts w:asciiTheme="majorHAnsi" w:hAnsiTheme="majorHAnsi"/>
          <w:sz w:val="16"/>
          <w:szCs w:val="16"/>
          <w:lang w:val="es-ES"/>
        </w:rPr>
        <w:t xml:space="preserve"> Corte IDH. El derecho a la información sobre la asistencia consular en el marco de las garantías del debido proceso legal. </w:t>
      </w:r>
      <w:r w:rsidRPr="00E36893">
        <w:rPr>
          <w:rFonts w:asciiTheme="majorHAnsi" w:hAnsiTheme="majorHAnsi"/>
          <w:sz w:val="16"/>
          <w:szCs w:val="16"/>
          <w:lang w:val="es-ES"/>
        </w:rPr>
        <w:t>Opinión Consultiva OC-16/99 de 1 de octubre de 1999. Serie A No. 16,</w:t>
      </w:r>
      <w:r w:rsidRPr="00E36893">
        <w:rPr>
          <w:rFonts w:asciiTheme="majorHAnsi" w:eastAsia="Calibri" w:hAnsiTheme="majorHAnsi" w:cs="Calibri"/>
          <w:sz w:val="16"/>
          <w:szCs w:val="16"/>
          <w:lang w:val="es-ES"/>
        </w:rPr>
        <w:t xml:space="preserve"> p</w:t>
      </w:r>
      <w:r>
        <w:rPr>
          <w:rFonts w:asciiTheme="majorHAnsi" w:eastAsia="Calibri" w:hAnsiTheme="majorHAnsi" w:cs="Calibri"/>
          <w:sz w:val="16"/>
          <w:szCs w:val="16"/>
          <w:lang w:val="es-ES"/>
        </w:rPr>
        <w:t>á</w:t>
      </w:r>
      <w:r w:rsidRPr="00E36893">
        <w:rPr>
          <w:rFonts w:asciiTheme="majorHAnsi" w:eastAsia="Calibri" w:hAnsiTheme="majorHAnsi" w:cs="Calibri"/>
          <w:sz w:val="16"/>
          <w:szCs w:val="16"/>
          <w:lang w:val="es-ES"/>
        </w:rPr>
        <w:t xml:space="preserve">rr. 136. </w:t>
      </w:r>
    </w:p>
  </w:footnote>
  <w:footnote w:id="66">
    <w:p w14:paraId="5AC752F9" w14:textId="77777777" w:rsidR="00873D49" w:rsidRPr="00537BF9" w:rsidRDefault="00873D49" w:rsidP="004A0895">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37BF9">
        <w:rPr>
          <w:rStyle w:val="FootnoteReference"/>
          <w:rFonts w:asciiTheme="majorHAnsi" w:hAnsiTheme="majorHAnsi"/>
          <w:color w:val="auto"/>
          <w:sz w:val="16"/>
          <w:szCs w:val="16"/>
          <w:lang w:val="es-ES"/>
        </w:rPr>
        <w:t xml:space="preserve"> </w:t>
      </w:r>
      <w:r w:rsidRPr="00537BF9">
        <w:rPr>
          <w:rFonts w:asciiTheme="majorHAnsi" w:hAnsiTheme="majorHAnsi"/>
          <w:color w:val="auto"/>
          <w:sz w:val="16"/>
          <w:szCs w:val="16"/>
          <w:lang w:val="es-ES"/>
        </w:rPr>
        <w:t xml:space="preserve">El Artículo I de la Declaración Americana </w:t>
      </w:r>
      <w:r>
        <w:rPr>
          <w:rFonts w:asciiTheme="majorHAnsi" w:hAnsiTheme="majorHAnsi"/>
          <w:color w:val="auto"/>
          <w:sz w:val="16"/>
          <w:szCs w:val="16"/>
          <w:lang w:val="es-ES"/>
        </w:rPr>
        <w:t>dispone: “</w:t>
      </w:r>
      <w:r w:rsidRPr="006E3733">
        <w:rPr>
          <w:rFonts w:asciiTheme="majorHAnsi" w:hAnsiTheme="majorHAnsi"/>
          <w:sz w:val="16"/>
          <w:szCs w:val="16"/>
          <w:lang w:val="es-US"/>
        </w:rPr>
        <w:t>Todo ser humano tiene derecho a la vida, a la libertad y a la seguridad de su persona.</w:t>
      </w:r>
      <w:r>
        <w:rPr>
          <w:rFonts w:asciiTheme="majorHAnsi" w:hAnsiTheme="majorHAnsi"/>
          <w:sz w:val="16"/>
          <w:szCs w:val="16"/>
          <w:lang w:val="es-ES"/>
        </w:rPr>
        <w:t>”</w:t>
      </w:r>
    </w:p>
  </w:footnote>
  <w:footnote w:id="67">
    <w:p w14:paraId="2BC713D8" w14:textId="6BB12BE9" w:rsidR="00873D49" w:rsidRPr="00E36893" w:rsidRDefault="00873D49" w:rsidP="004A0895">
      <w:pPr>
        <w:pStyle w:val="FootnoteText"/>
        <w:jc w:val="both"/>
        <w:rPr>
          <w:rFonts w:asciiTheme="majorHAnsi" w:hAnsiTheme="majorHAnsi"/>
          <w:color w:val="auto"/>
          <w:sz w:val="16"/>
          <w:szCs w:val="16"/>
          <w:lang w:val="es-ES"/>
        </w:rPr>
      </w:pPr>
      <w:r w:rsidRPr="004A0895">
        <w:rPr>
          <w:rStyle w:val="FootnoteReference"/>
          <w:rFonts w:asciiTheme="majorHAnsi" w:hAnsiTheme="majorHAnsi"/>
          <w:color w:val="auto"/>
          <w:sz w:val="16"/>
          <w:szCs w:val="16"/>
        </w:rPr>
        <w:footnoteRef/>
      </w:r>
      <w:r w:rsidRPr="00537BF9">
        <w:rPr>
          <w:rFonts w:asciiTheme="majorHAnsi" w:hAnsiTheme="majorHAnsi"/>
          <w:color w:val="auto"/>
          <w:sz w:val="16"/>
          <w:szCs w:val="16"/>
          <w:lang w:val="es-ES"/>
        </w:rPr>
        <w:t xml:space="preserve"> CIDH, Informe No. 53/13, Caso 12.864, Fondo (Publicación), </w:t>
      </w:r>
      <w:proofErr w:type="spellStart"/>
      <w:r w:rsidRPr="00537BF9">
        <w:rPr>
          <w:rFonts w:asciiTheme="majorHAnsi" w:hAnsiTheme="majorHAnsi"/>
          <w:color w:val="auto"/>
          <w:sz w:val="16"/>
          <w:szCs w:val="16"/>
          <w:lang w:val="es-ES"/>
        </w:rPr>
        <w:t>Ivan</w:t>
      </w:r>
      <w:proofErr w:type="spellEnd"/>
      <w:r w:rsidRPr="00537BF9">
        <w:rPr>
          <w:rFonts w:asciiTheme="majorHAnsi" w:hAnsiTheme="majorHAnsi"/>
          <w:color w:val="auto"/>
          <w:sz w:val="16"/>
          <w:szCs w:val="16"/>
          <w:lang w:val="es-ES"/>
        </w:rPr>
        <w:t xml:space="preserve"> </w:t>
      </w:r>
      <w:proofErr w:type="spellStart"/>
      <w:r w:rsidRPr="00537BF9">
        <w:rPr>
          <w:rFonts w:asciiTheme="majorHAnsi" w:hAnsiTheme="majorHAnsi"/>
          <w:color w:val="auto"/>
          <w:sz w:val="16"/>
          <w:szCs w:val="16"/>
          <w:lang w:val="es-ES"/>
        </w:rPr>
        <w:t>Teleguz</w:t>
      </w:r>
      <w:proofErr w:type="spellEnd"/>
      <w:r w:rsidRPr="00537BF9">
        <w:rPr>
          <w:rFonts w:asciiTheme="majorHAnsi" w:hAnsiTheme="majorHAnsi"/>
          <w:color w:val="auto"/>
          <w:sz w:val="16"/>
          <w:szCs w:val="16"/>
          <w:lang w:val="es-ES"/>
        </w:rPr>
        <w:t>, Esta</w:t>
      </w:r>
      <w:r>
        <w:rPr>
          <w:rFonts w:asciiTheme="majorHAnsi" w:hAnsiTheme="majorHAnsi"/>
          <w:color w:val="auto"/>
          <w:sz w:val="16"/>
          <w:szCs w:val="16"/>
          <w:lang w:val="es-ES"/>
        </w:rPr>
        <w:t>dos Unidos, 15 de julio de 2013</w:t>
      </w:r>
      <w:r w:rsidRPr="00537BF9">
        <w:rPr>
          <w:rFonts w:asciiTheme="majorHAnsi" w:hAnsiTheme="majorHAnsi"/>
          <w:color w:val="auto"/>
          <w:sz w:val="16"/>
          <w:szCs w:val="16"/>
          <w:lang w:val="es-ES"/>
        </w:rPr>
        <w:t>, p</w:t>
      </w:r>
      <w:r>
        <w:rPr>
          <w:rFonts w:asciiTheme="majorHAnsi" w:hAnsiTheme="majorHAnsi"/>
          <w:color w:val="auto"/>
          <w:sz w:val="16"/>
          <w:szCs w:val="16"/>
          <w:lang w:val="es-ES"/>
        </w:rPr>
        <w:t>á</w:t>
      </w:r>
      <w:r w:rsidRPr="00537BF9">
        <w:rPr>
          <w:rFonts w:asciiTheme="majorHAnsi" w:hAnsiTheme="majorHAnsi"/>
          <w:color w:val="auto"/>
          <w:sz w:val="16"/>
          <w:szCs w:val="16"/>
          <w:lang w:val="es-ES"/>
        </w:rPr>
        <w:t>r</w:t>
      </w:r>
      <w:r>
        <w:rPr>
          <w:rFonts w:asciiTheme="majorHAnsi" w:hAnsiTheme="majorHAnsi"/>
          <w:color w:val="auto"/>
          <w:sz w:val="16"/>
          <w:szCs w:val="16"/>
          <w:lang w:val="es-ES"/>
        </w:rPr>
        <w:t>r</w:t>
      </w:r>
      <w:r w:rsidRPr="00537BF9">
        <w:rPr>
          <w:rFonts w:asciiTheme="majorHAnsi" w:hAnsiTheme="majorHAnsi"/>
          <w:color w:val="auto"/>
          <w:sz w:val="16"/>
          <w:szCs w:val="16"/>
          <w:lang w:val="es-ES"/>
        </w:rPr>
        <w:t xml:space="preserve">. </w:t>
      </w:r>
      <w:r w:rsidRPr="00E36893">
        <w:rPr>
          <w:rFonts w:asciiTheme="majorHAnsi" w:hAnsiTheme="majorHAnsi"/>
          <w:color w:val="auto"/>
          <w:sz w:val="16"/>
          <w:szCs w:val="16"/>
          <w:lang w:val="es-ES"/>
        </w:rPr>
        <w:t>129.</w:t>
      </w:r>
    </w:p>
  </w:footnote>
  <w:footnote w:id="68">
    <w:p w14:paraId="5DB09608" w14:textId="2BE2E0CD" w:rsidR="00873D49" w:rsidRPr="00FF3E59" w:rsidRDefault="00873D49" w:rsidP="00FF3E59">
      <w:pPr>
        <w:pStyle w:val="FootnoteText"/>
        <w:jc w:val="both"/>
        <w:rPr>
          <w:rFonts w:asciiTheme="majorHAnsi" w:hAnsiTheme="majorHAnsi"/>
          <w:color w:val="auto"/>
          <w:sz w:val="16"/>
          <w:szCs w:val="16"/>
          <w:lang w:val="es-ES_tradnl"/>
        </w:rPr>
      </w:pPr>
      <w:r w:rsidRPr="00FF3E59">
        <w:rPr>
          <w:rStyle w:val="FootnoteReference"/>
          <w:rFonts w:asciiTheme="majorHAnsi" w:hAnsiTheme="majorHAnsi"/>
          <w:color w:val="auto"/>
          <w:sz w:val="16"/>
          <w:szCs w:val="16"/>
          <w:lang w:val="es-ES_tradnl"/>
        </w:rPr>
        <w:footnoteRef/>
      </w:r>
      <w:r w:rsidRPr="00FF3E59">
        <w:rPr>
          <w:rFonts w:asciiTheme="majorHAnsi" w:hAnsiTheme="majorHAnsi"/>
          <w:color w:val="auto"/>
          <w:sz w:val="16"/>
          <w:szCs w:val="16"/>
          <w:lang w:val="es-ES_tradnl"/>
        </w:rPr>
        <w:t xml:space="preserve"> CIDH, I</w:t>
      </w:r>
      <w:r>
        <w:rPr>
          <w:rFonts w:asciiTheme="majorHAnsi" w:hAnsiTheme="majorHAnsi"/>
          <w:color w:val="auto"/>
          <w:sz w:val="16"/>
          <w:szCs w:val="16"/>
          <w:lang w:val="es-ES_tradnl"/>
        </w:rPr>
        <w:t>n</w:t>
      </w:r>
      <w:r w:rsidRPr="00FF3E59">
        <w:rPr>
          <w:rFonts w:asciiTheme="majorHAnsi" w:hAnsiTheme="majorHAnsi"/>
          <w:color w:val="auto"/>
          <w:sz w:val="16"/>
          <w:szCs w:val="16"/>
          <w:lang w:val="es-ES_tradnl"/>
        </w:rPr>
        <w:t xml:space="preserve">forme No. 11/15, Caso 12.833, </w:t>
      </w:r>
      <w:r>
        <w:rPr>
          <w:rFonts w:asciiTheme="majorHAnsi" w:hAnsiTheme="majorHAnsi"/>
          <w:color w:val="auto"/>
          <w:sz w:val="16"/>
          <w:szCs w:val="16"/>
          <w:lang w:val="es-ES_tradnl"/>
        </w:rPr>
        <w:t>Fondo</w:t>
      </w:r>
      <w:r w:rsidRPr="00FF3E59">
        <w:rPr>
          <w:rFonts w:asciiTheme="majorHAnsi" w:hAnsiTheme="majorHAnsi"/>
          <w:color w:val="auto"/>
          <w:sz w:val="16"/>
          <w:szCs w:val="16"/>
          <w:lang w:val="es-ES_tradnl"/>
        </w:rPr>
        <w:t xml:space="preserve"> (Publicación), Félix Rocha Díaz, Estados Unidos, 23 de marzo de 2015, párr. 106.</w:t>
      </w:r>
    </w:p>
  </w:footnote>
  <w:footnote w:id="69">
    <w:p w14:paraId="31953C60" w14:textId="77777777" w:rsidR="00873D49" w:rsidRPr="00537BF9" w:rsidRDefault="00873D49" w:rsidP="000932C2">
      <w:pPr>
        <w:pStyle w:val="FootnoteText"/>
        <w:jc w:val="both"/>
        <w:rPr>
          <w:rFonts w:asciiTheme="majorHAnsi" w:hAnsiTheme="majorHAnsi"/>
          <w:color w:val="auto"/>
          <w:sz w:val="16"/>
          <w:szCs w:val="16"/>
          <w:bdr w:val="none" w:sz="0" w:space="0" w:color="auto"/>
          <w:lang w:val="es-ES"/>
        </w:rPr>
      </w:pPr>
      <w:r w:rsidRPr="004A0895">
        <w:rPr>
          <w:rStyle w:val="FootnoteReference"/>
          <w:rFonts w:asciiTheme="majorHAnsi" w:hAnsiTheme="majorHAnsi"/>
          <w:color w:val="auto"/>
          <w:sz w:val="16"/>
          <w:szCs w:val="16"/>
        </w:rPr>
        <w:footnoteRef/>
      </w:r>
      <w:r w:rsidRPr="00537BF9">
        <w:rPr>
          <w:rFonts w:asciiTheme="majorHAnsi" w:hAnsiTheme="majorHAnsi"/>
          <w:color w:val="auto"/>
          <w:sz w:val="16"/>
          <w:szCs w:val="16"/>
          <w:lang w:val="es-ES"/>
        </w:rPr>
        <w:t xml:space="preserve"> Véase, sobre este punto, CIDH,</w:t>
      </w:r>
      <w:r w:rsidRPr="00537BF9">
        <w:rPr>
          <w:rFonts w:asciiTheme="majorHAnsi" w:hAnsiTheme="majorHAnsi"/>
          <w:sz w:val="16"/>
          <w:szCs w:val="16"/>
          <w:lang w:val="es-ES"/>
        </w:rPr>
        <w:t xml:space="preserve"> </w:t>
      </w:r>
      <w:r w:rsidRPr="004621D7">
        <w:rPr>
          <w:rFonts w:asciiTheme="majorHAnsi" w:hAnsiTheme="majorHAnsi"/>
          <w:sz w:val="16"/>
          <w:szCs w:val="16"/>
          <w:lang w:val="es-ES"/>
        </w:rPr>
        <w:t>La pena de muerte en el Sistema Interamericano de Derechos Huma</w:t>
      </w:r>
      <w:r>
        <w:rPr>
          <w:rFonts w:asciiTheme="majorHAnsi" w:hAnsiTheme="majorHAnsi"/>
          <w:sz w:val="16"/>
          <w:szCs w:val="16"/>
          <w:lang w:val="es-ES"/>
        </w:rPr>
        <w:t>nos: de restricciones a abolición</w:t>
      </w:r>
      <w:r w:rsidRPr="004621D7">
        <w:rPr>
          <w:rFonts w:asciiTheme="majorHAnsi" w:hAnsiTheme="majorHAnsi"/>
          <w:sz w:val="16"/>
          <w:szCs w:val="16"/>
          <w:lang w:val="es-ES"/>
        </w:rPr>
        <w:t>, OEA/</w:t>
      </w:r>
      <w:proofErr w:type="spellStart"/>
      <w:r w:rsidRPr="004621D7">
        <w:rPr>
          <w:rFonts w:asciiTheme="majorHAnsi" w:hAnsiTheme="majorHAnsi"/>
          <w:sz w:val="16"/>
          <w:szCs w:val="16"/>
          <w:lang w:val="es-ES"/>
        </w:rPr>
        <w:t>Ser.L</w:t>
      </w:r>
      <w:proofErr w:type="spellEnd"/>
      <w:r w:rsidRPr="004621D7">
        <w:rPr>
          <w:rFonts w:asciiTheme="majorHAnsi" w:hAnsiTheme="majorHAnsi"/>
          <w:sz w:val="16"/>
          <w:szCs w:val="16"/>
          <w:lang w:val="es-ES"/>
        </w:rPr>
        <w:t xml:space="preserve">/V/II.Doc. 68, </w:t>
      </w:r>
      <w:r>
        <w:rPr>
          <w:rFonts w:asciiTheme="majorHAnsi" w:hAnsiTheme="majorHAnsi"/>
          <w:sz w:val="16"/>
          <w:szCs w:val="16"/>
          <w:lang w:val="es-ES"/>
        </w:rPr>
        <w:t>31 de diciembre de 2011</w:t>
      </w:r>
      <w:r w:rsidRPr="00537BF9">
        <w:rPr>
          <w:rFonts w:asciiTheme="majorHAnsi" w:hAnsiTheme="majorHAnsi"/>
          <w:color w:val="auto"/>
          <w:sz w:val="16"/>
          <w:szCs w:val="16"/>
          <w:lang w:val="es-ES"/>
        </w:rPr>
        <w:t>.</w:t>
      </w:r>
    </w:p>
  </w:footnote>
  <w:footnote w:id="70">
    <w:p w14:paraId="0F5102D7" w14:textId="77777777" w:rsidR="00873D49" w:rsidRPr="00537BF9" w:rsidRDefault="00873D49" w:rsidP="005B2F88">
      <w:pPr>
        <w:pStyle w:val="FootnoteText"/>
        <w:jc w:val="both"/>
        <w:rPr>
          <w:rFonts w:asciiTheme="majorHAnsi" w:hAnsiTheme="majorHAnsi"/>
          <w:color w:val="auto"/>
          <w:sz w:val="16"/>
          <w:szCs w:val="16"/>
          <w:bdr w:val="none" w:sz="0" w:space="0" w:color="auto"/>
          <w:lang w:val="es-ES"/>
        </w:rPr>
      </w:pPr>
      <w:r w:rsidRPr="004A0895">
        <w:rPr>
          <w:rStyle w:val="FootnoteReference"/>
          <w:rFonts w:asciiTheme="majorHAnsi" w:hAnsiTheme="majorHAnsi"/>
          <w:color w:val="auto"/>
          <w:sz w:val="16"/>
          <w:szCs w:val="16"/>
        </w:rPr>
        <w:footnoteRef/>
      </w:r>
      <w:r w:rsidRPr="00537BF9">
        <w:rPr>
          <w:rFonts w:asciiTheme="majorHAnsi" w:hAnsiTheme="majorHAnsi"/>
          <w:color w:val="auto"/>
          <w:sz w:val="16"/>
          <w:szCs w:val="16"/>
          <w:lang w:val="es-ES"/>
        </w:rPr>
        <w:t xml:space="preserve"> Véase, sobre este punto, CIDH,</w:t>
      </w:r>
      <w:r w:rsidRPr="00537BF9">
        <w:rPr>
          <w:rFonts w:asciiTheme="majorHAnsi" w:hAnsiTheme="majorHAnsi"/>
          <w:sz w:val="16"/>
          <w:szCs w:val="16"/>
          <w:lang w:val="es-ES"/>
        </w:rPr>
        <w:t xml:space="preserve"> </w:t>
      </w:r>
      <w:r w:rsidRPr="004621D7">
        <w:rPr>
          <w:rFonts w:asciiTheme="majorHAnsi" w:hAnsiTheme="majorHAnsi"/>
          <w:sz w:val="16"/>
          <w:szCs w:val="16"/>
          <w:lang w:val="es-ES"/>
        </w:rPr>
        <w:t>La pena de muerte en el Sistema Interamericano de Derechos Huma</w:t>
      </w:r>
      <w:r>
        <w:rPr>
          <w:rFonts w:asciiTheme="majorHAnsi" w:hAnsiTheme="majorHAnsi"/>
          <w:sz w:val="16"/>
          <w:szCs w:val="16"/>
          <w:lang w:val="es-ES"/>
        </w:rPr>
        <w:t>nos: de restricciones a abolición</w:t>
      </w:r>
      <w:r w:rsidRPr="004621D7">
        <w:rPr>
          <w:rFonts w:asciiTheme="majorHAnsi" w:hAnsiTheme="majorHAnsi"/>
          <w:sz w:val="16"/>
          <w:szCs w:val="16"/>
          <w:lang w:val="es-ES"/>
        </w:rPr>
        <w:t>, OEA/</w:t>
      </w:r>
      <w:proofErr w:type="spellStart"/>
      <w:r w:rsidRPr="004621D7">
        <w:rPr>
          <w:rFonts w:asciiTheme="majorHAnsi" w:hAnsiTheme="majorHAnsi"/>
          <w:sz w:val="16"/>
          <w:szCs w:val="16"/>
          <w:lang w:val="es-ES"/>
        </w:rPr>
        <w:t>Ser.L</w:t>
      </w:r>
      <w:proofErr w:type="spellEnd"/>
      <w:r w:rsidRPr="004621D7">
        <w:rPr>
          <w:rFonts w:asciiTheme="majorHAnsi" w:hAnsiTheme="majorHAnsi"/>
          <w:sz w:val="16"/>
          <w:szCs w:val="16"/>
          <w:lang w:val="es-ES"/>
        </w:rPr>
        <w:t xml:space="preserve">/V/II.Doc. 68, </w:t>
      </w:r>
      <w:r>
        <w:rPr>
          <w:rFonts w:asciiTheme="majorHAnsi" w:hAnsiTheme="majorHAnsi"/>
          <w:sz w:val="16"/>
          <w:szCs w:val="16"/>
          <w:lang w:val="es-ES"/>
        </w:rPr>
        <w:t>31 de diciembre de 2011</w:t>
      </w:r>
      <w:r w:rsidRPr="00537BF9">
        <w:rPr>
          <w:rFonts w:asciiTheme="majorHAnsi" w:hAnsiTheme="majorHAnsi"/>
          <w:color w:val="auto"/>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8E31" w14:textId="77777777" w:rsidR="00873D49" w:rsidRDefault="00873D49"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26DC0E5" w14:textId="77777777" w:rsidR="00873D49" w:rsidRDefault="00873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267B" w14:textId="77777777" w:rsidR="00873D49" w:rsidRDefault="00873D49" w:rsidP="002C1641">
    <w:pPr>
      <w:pStyle w:val="Header"/>
      <w:tabs>
        <w:tab w:val="clear" w:pos="4320"/>
        <w:tab w:val="clear" w:pos="8640"/>
      </w:tabs>
      <w:jc w:val="center"/>
      <w:rPr>
        <w:sz w:val="22"/>
        <w:szCs w:val="22"/>
      </w:rPr>
    </w:pPr>
    <w:r>
      <w:rPr>
        <w:noProof/>
        <w:sz w:val="22"/>
        <w:szCs w:val="22"/>
      </w:rPr>
      <w:drawing>
        <wp:inline distT="0" distB="0" distL="0" distR="0" wp14:anchorId="2FB34ED7" wp14:editId="0CE46912">
          <wp:extent cx="1972237" cy="104775"/>
          <wp:effectExtent l="0" t="0" r="9525" b="0"/>
          <wp:docPr id="9" name="Picture 9"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9A20FA1" w14:textId="77777777" w:rsidR="00873D49" w:rsidRPr="00EC7D62" w:rsidRDefault="000F4996" w:rsidP="002C1641">
    <w:pPr>
      <w:pStyle w:val="Header"/>
      <w:tabs>
        <w:tab w:val="clear" w:pos="4320"/>
        <w:tab w:val="clear" w:pos="8640"/>
      </w:tabs>
      <w:jc w:val="center"/>
      <w:rPr>
        <w:sz w:val="22"/>
        <w:szCs w:val="22"/>
      </w:rPr>
    </w:pPr>
    <w:r>
      <w:rPr>
        <w:noProof/>
        <w:sz w:val="22"/>
        <w:szCs w:val="22"/>
        <w:bdr w:val="nil"/>
      </w:rPr>
      <w:pict w14:anchorId="3E692039">
        <v:rect id="_x0000_i1028"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Univers"/>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Univers"/>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Univers"/>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1" w15:restartNumberingAfterBreak="0">
    <w:nsid w:val="21E86F0F"/>
    <w:multiLevelType w:val="hybridMultilevel"/>
    <w:tmpl w:val="D39828EA"/>
    <w:styleLink w:val="ImportedStyle6"/>
    <w:lvl w:ilvl="0" w:tplc="1F008A38">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BB4C0FE">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D8AD98">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0A8B96E">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DC85C6C">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AE27590">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62A24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41C683C">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B65770">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Univers"/>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26" w15:restartNumberingAfterBreak="0">
    <w:nsid w:val="3A35477D"/>
    <w:multiLevelType w:val="hybridMultilevel"/>
    <w:tmpl w:val="73727A48"/>
    <w:styleLink w:val="ImportedStyle5"/>
    <w:lvl w:ilvl="0" w:tplc="8B888242">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7361202">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486038E">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407FD4">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9EE6B6A">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3AF742">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3A4A1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5CD5B0">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841E64">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Univers"/>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0"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063FFC"/>
    <w:multiLevelType w:val="hybridMultilevel"/>
    <w:tmpl w:val="BB6A699E"/>
    <w:styleLink w:val="ImportedStyle4"/>
    <w:lvl w:ilvl="0" w:tplc="4D38D32A">
      <w:start w:val="1"/>
      <w:numFmt w:val="decimal"/>
      <w:lvlText w:val="%1."/>
      <w:lvlJc w:val="left"/>
      <w:pPr>
        <w:tabs>
          <w:tab w:val="num" w:pos="1440"/>
        </w:tabs>
        <w:ind w:left="705" w:firstLine="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5499D0">
      <w:start w:val="1"/>
      <w:numFmt w:val="lowerLetter"/>
      <w:lvlText w:val="%2."/>
      <w:lvlJc w:val="left"/>
      <w:pPr>
        <w:tabs>
          <w:tab w:val="num" w:pos="1095"/>
        </w:tabs>
        <w:ind w:left="360"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AA06A2">
      <w:start w:val="1"/>
      <w:numFmt w:val="lowerRoman"/>
      <w:lvlText w:val="%3."/>
      <w:lvlJc w:val="left"/>
      <w:pPr>
        <w:tabs>
          <w:tab w:val="num" w:pos="1770"/>
        </w:tabs>
        <w:ind w:left="103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64ABDBE">
      <w:start w:val="1"/>
      <w:numFmt w:val="upperLetter"/>
      <w:lvlText w:val="%4."/>
      <w:lvlJc w:val="left"/>
      <w:pPr>
        <w:tabs>
          <w:tab w:val="num" w:pos="2850"/>
        </w:tabs>
        <w:ind w:left="211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B2059AA">
      <w:start w:val="1"/>
      <w:numFmt w:val="upperRoman"/>
      <w:lvlText w:val="%5."/>
      <w:lvlJc w:val="left"/>
      <w:pPr>
        <w:tabs>
          <w:tab w:val="num" w:pos="3570"/>
        </w:tabs>
        <w:ind w:left="283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9E490CC">
      <w:start w:val="1"/>
      <w:numFmt w:val="lowerRoman"/>
      <w:lvlText w:val="%6."/>
      <w:lvlJc w:val="left"/>
      <w:pPr>
        <w:tabs>
          <w:tab w:val="num" w:pos="3930"/>
        </w:tabs>
        <w:ind w:left="319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5286372">
      <w:start w:val="1"/>
      <w:numFmt w:val="decimal"/>
      <w:lvlText w:val="%7."/>
      <w:lvlJc w:val="left"/>
      <w:pPr>
        <w:tabs>
          <w:tab w:val="num" w:pos="4650"/>
        </w:tabs>
        <w:ind w:left="391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8CA4DA4">
      <w:start w:val="1"/>
      <w:numFmt w:val="lowerLetter"/>
      <w:lvlText w:val="%8."/>
      <w:lvlJc w:val="left"/>
      <w:pPr>
        <w:tabs>
          <w:tab w:val="num" w:pos="5370"/>
        </w:tabs>
        <w:ind w:left="463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440353E">
      <w:start w:val="1"/>
      <w:numFmt w:val="lowerRoman"/>
      <w:lvlText w:val="%9."/>
      <w:lvlJc w:val="left"/>
      <w:pPr>
        <w:tabs>
          <w:tab w:val="num" w:pos="6090"/>
        </w:tabs>
        <w:ind w:left="535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4" w15:restartNumberingAfterBreak="0">
    <w:nsid w:val="5A681F10"/>
    <w:multiLevelType w:val="hybridMultilevel"/>
    <w:tmpl w:val="41F4A2C8"/>
    <w:lvl w:ilvl="0" w:tplc="529A4590">
      <w:start w:val="1"/>
      <w:numFmt w:val="decimal"/>
      <w:lvlText w:val="%1."/>
      <w:lvlJc w:val="left"/>
      <w:pPr>
        <w:ind w:left="1425" w:hanging="705"/>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7" w15:restartNumberingAfterBreak="0">
    <w:nsid w:val="5C5E459A"/>
    <w:multiLevelType w:val="hybridMultilevel"/>
    <w:tmpl w:val="DFA2DF36"/>
    <w:styleLink w:val="ImportedStyle8"/>
    <w:lvl w:ilvl="0" w:tplc="AD90ED56">
      <w:start w:val="1"/>
      <w:numFmt w:val="decimal"/>
      <w:lvlText w:val="%1."/>
      <w:lvlJc w:val="left"/>
      <w:pPr>
        <w:ind w:left="1500" w:hanging="7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014B632">
      <w:start w:val="1"/>
      <w:numFmt w:val="lowerLetter"/>
      <w:lvlText w:val="%2."/>
      <w:lvlJc w:val="left"/>
      <w:pPr>
        <w:tabs>
          <w:tab w:val="left" w:pos="1500"/>
        </w:tabs>
        <w:ind w:left="18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58011E">
      <w:start w:val="1"/>
      <w:numFmt w:val="lowerRoman"/>
      <w:lvlText w:val="%3."/>
      <w:lvlJc w:val="left"/>
      <w:pPr>
        <w:tabs>
          <w:tab w:val="left" w:pos="1500"/>
        </w:tabs>
        <w:ind w:left="253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E2ADB6">
      <w:start w:val="1"/>
      <w:numFmt w:val="upperLetter"/>
      <w:lvlText w:val="%4."/>
      <w:lvlJc w:val="left"/>
      <w:pPr>
        <w:tabs>
          <w:tab w:val="left" w:pos="1500"/>
        </w:tabs>
        <w:ind w:left="361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52CB328">
      <w:start w:val="1"/>
      <w:numFmt w:val="upperRoman"/>
      <w:lvlText w:val="%5."/>
      <w:lvlJc w:val="left"/>
      <w:pPr>
        <w:tabs>
          <w:tab w:val="left" w:pos="1500"/>
        </w:tabs>
        <w:ind w:left="433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9E88C54">
      <w:start w:val="1"/>
      <w:numFmt w:val="lowerRoman"/>
      <w:lvlText w:val="%6."/>
      <w:lvlJc w:val="left"/>
      <w:pPr>
        <w:tabs>
          <w:tab w:val="left" w:pos="1500"/>
        </w:tabs>
        <w:ind w:left="469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405738">
      <w:start w:val="1"/>
      <w:numFmt w:val="decimal"/>
      <w:lvlText w:val="%7."/>
      <w:lvlJc w:val="left"/>
      <w:pPr>
        <w:tabs>
          <w:tab w:val="left" w:pos="1500"/>
        </w:tabs>
        <w:ind w:left="54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70B0D0">
      <w:start w:val="1"/>
      <w:numFmt w:val="lowerLetter"/>
      <w:lvlText w:val="%8."/>
      <w:lvlJc w:val="left"/>
      <w:pPr>
        <w:tabs>
          <w:tab w:val="left" w:pos="1500"/>
        </w:tabs>
        <w:ind w:left="613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A88B4D8">
      <w:start w:val="1"/>
      <w:numFmt w:val="lowerRoman"/>
      <w:lvlText w:val="%9."/>
      <w:lvlJc w:val="left"/>
      <w:pPr>
        <w:tabs>
          <w:tab w:val="left" w:pos="1500"/>
        </w:tabs>
        <w:ind w:left="685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5D7D4B9D"/>
    <w:multiLevelType w:val="hybridMultilevel"/>
    <w:tmpl w:val="B2BEA4E0"/>
    <w:lvl w:ilvl="0" w:tplc="5830BC58">
      <w:start w:val="1"/>
      <w:numFmt w:val="decimal"/>
      <w:lvlText w:val="%1."/>
      <w:lvlJc w:val="left"/>
      <w:pPr>
        <w:ind w:left="7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F261FE"/>
    <w:multiLevelType w:val="hybridMultilevel"/>
    <w:tmpl w:val="FDEC0620"/>
    <w:lvl w:ilvl="0" w:tplc="5DAE45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52"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5" w15:restartNumberingAfterBreak="0">
    <w:nsid w:val="70786ED7"/>
    <w:multiLevelType w:val="hybridMultilevel"/>
    <w:tmpl w:val="073A8A9E"/>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530" w:hanging="360"/>
      </w:pPr>
      <w:rPr>
        <w:rFonts w:hint="default"/>
      </w:rPr>
    </w:lvl>
    <w:lvl w:ilvl="2" w:tplc="0409001B">
      <w:start w:val="1"/>
      <w:numFmt w:val="lowerRoman"/>
      <w:lvlText w:val="%3."/>
      <w:lvlJc w:val="right"/>
      <w:pPr>
        <w:ind w:left="2160" w:hanging="180"/>
      </w:pPr>
    </w:lvl>
    <w:lvl w:ilvl="3" w:tplc="7BB669AE">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8" w15:restartNumberingAfterBreak="0">
    <w:nsid w:val="7745554A"/>
    <w:multiLevelType w:val="hybridMultilevel"/>
    <w:tmpl w:val="73D87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Univer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b/>
        <w:bCs/>
        <w:color w:val="000000"/>
        <w:position w:val="0"/>
        <w:sz w:val="22"/>
        <w:szCs w:val="22"/>
        <w:u w:color="000000"/>
        <w:lang w:val="es-ES_tradnl"/>
      </w:rPr>
    </w:lvl>
  </w:abstractNum>
  <w:abstractNum w:abstractNumId="61" w15:restartNumberingAfterBreak="0">
    <w:nsid w:val="7994649A"/>
    <w:multiLevelType w:val="hybridMultilevel"/>
    <w:tmpl w:val="107CE37A"/>
    <w:lvl w:ilvl="0" w:tplc="C6FEA962">
      <w:start w:val="1"/>
      <w:numFmt w:val="upperLetter"/>
      <w:lvlText w:val="%1."/>
      <w:lvlJc w:val="left"/>
      <w:pPr>
        <w:ind w:left="360" w:hanging="360"/>
      </w:pPr>
      <w:rPr>
        <w:rFonts w:hint="default"/>
        <w:color w:val="auto"/>
      </w:rPr>
    </w:lvl>
    <w:lvl w:ilvl="1" w:tplc="5B9AA624">
      <w:start w:val="1"/>
      <w:numFmt w:val="decimal"/>
      <w:lvlText w:val="%2."/>
      <w:lvlJc w:val="left"/>
      <w:pPr>
        <w:ind w:left="757" w:hanging="37"/>
      </w:pPr>
      <w:rPr>
        <w:rFonts w:hint="default"/>
        <w:color w:val="auto"/>
      </w:rPr>
    </w:lvl>
    <w:lvl w:ilvl="2" w:tplc="0409001B">
      <w:start w:val="1"/>
      <w:numFmt w:val="lowerRoman"/>
      <w:lvlText w:val="%3."/>
      <w:lvlJc w:val="right"/>
      <w:pPr>
        <w:ind w:left="1800" w:hanging="180"/>
      </w:pPr>
    </w:lvl>
    <w:lvl w:ilvl="3" w:tplc="6B5AD0B8">
      <w:start w:val="4"/>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3" w15:restartNumberingAfterBreak="0">
    <w:nsid w:val="7C051419"/>
    <w:multiLevelType w:val="hybridMultilevel"/>
    <w:tmpl w:val="66148FEE"/>
    <w:styleLink w:val="ImportedStyle3"/>
    <w:lvl w:ilvl="0" w:tplc="15D02884">
      <w:start w:val="1"/>
      <w:numFmt w:val="decimal"/>
      <w:lvlText w:val="%1."/>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1DCCBF6">
      <w:start w:val="1"/>
      <w:numFmt w:val="lowerLetter"/>
      <w:lvlText w:val="%2."/>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9A4F8BC">
      <w:start w:val="1"/>
      <w:numFmt w:val="lowerRoman"/>
      <w:lvlText w:val="%3."/>
      <w:lvlJc w:val="left"/>
      <w:pPr>
        <w:tabs>
          <w:tab w:val="left" w:pos="1260"/>
          <w:tab w:val="num" w:pos="1620"/>
          <w:tab w:val="left" w:pos="2040"/>
        </w:tabs>
        <w:ind w:left="900" w:firstLine="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A443A76">
      <w:start w:val="1"/>
      <w:numFmt w:val="decimal"/>
      <w:lvlText w:val="%4."/>
      <w:lvlJc w:val="left"/>
      <w:pPr>
        <w:tabs>
          <w:tab w:val="left" w:pos="1260"/>
          <w:tab w:val="left" w:pos="1440"/>
          <w:tab w:val="num" w:pos="2340"/>
        </w:tabs>
        <w:ind w:left="162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D267004">
      <w:start w:val="1"/>
      <w:numFmt w:val="lowerLetter"/>
      <w:lvlText w:val="%5."/>
      <w:lvlJc w:val="left"/>
      <w:pPr>
        <w:tabs>
          <w:tab w:val="left" w:pos="1260"/>
          <w:tab w:val="left" w:pos="1440"/>
          <w:tab w:val="left" w:pos="2040"/>
          <w:tab w:val="num" w:pos="3060"/>
        </w:tabs>
        <w:ind w:left="23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AFEA3FC">
      <w:start w:val="1"/>
      <w:numFmt w:val="lowerRoman"/>
      <w:lvlText w:val="%6."/>
      <w:lvlJc w:val="left"/>
      <w:pPr>
        <w:tabs>
          <w:tab w:val="left" w:pos="1260"/>
          <w:tab w:val="left" w:pos="1440"/>
          <w:tab w:val="left" w:pos="2040"/>
          <w:tab w:val="num" w:pos="3780"/>
        </w:tabs>
        <w:ind w:left="306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62C94E">
      <w:start w:val="1"/>
      <w:numFmt w:val="decimal"/>
      <w:lvlText w:val="%7."/>
      <w:lvlJc w:val="left"/>
      <w:pPr>
        <w:tabs>
          <w:tab w:val="left" w:pos="1260"/>
          <w:tab w:val="left" w:pos="1440"/>
          <w:tab w:val="left" w:pos="2040"/>
          <w:tab w:val="num" w:pos="4500"/>
        </w:tabs>
        <w:ind w:left="378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DB87126">
      <w:start w:val="1"/>
      <w:numFmt w:val="lowerLetter"/>
      <w:lvlText w:val="%8."/>
      <w:lvlJc w:val="left"/>
      <w:pPr>
        <w:tabs>
          <w:tab w:val="left" w:pos="1260"/>
          <w:tab w:val="left" w:pos="1440"/>
          <w:tab w:val="left" w:pos="2040"/>
          <w:tab w:val="num" w:pos="5220"/>
        </w:tabs>
        <w:ind w:left="450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3CAD92A">
      <w:start w:val="1"/>
      <w:numFmt w:val="lowerRoman"/>
      <w:lvlText w:val="%9."/>
      <w:lvlJc w:val="left"/>
      <w:pPr>
        <w:tabs>
          <w:tab w:val="left" w:pos="1260"/>
          <w:tab w:val="left" w:pos="1440"/>
          <w:tab w:val="left" w:pos="2040"/>
          <w:tab w:val="num" w:pos="5940"/>
        </w:tabs>
        <w:ind w:left="522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num w:numId="1">
    <w:abstractNumId w:val="3"/>
  </w:num>
  <w:num w:numId="2">
    <w:abstractNumId w:val="4"/>
  </w:num>
  <w:num w:numId="3">
    <w:abstractNumId w:val="60"/>
  </w:num>
  <w:num w:numId="4">
    <w:abstractNumId w:val="20"/>
  </w:num>
  <w:num w:numId="5">
    <w:abstractNumId w:val="51"/>
  </w:num>
  <w:num w:numId="6">
    <w:abstractNumId w:val="25"/>
  </w:num>
  <w:num w:numId="7">
    <w:abstractNumId w:val="5"/>
  </w:num>
  <w:num w:numId="8">
    <w:abstractNumId w:val="16"/>
  </w:num>
  <w:num w:numId="9">
    <w:abstractNumId w:val="43"/>
  </w:num>
  <w:num w:numId="10">
    <w:abstractNumId w:val="0"/>
  </w:num>
  <w:num w:numId="11">
    <w:abstractNumId w:val="35"/>
  </w:num>
  <w:num w:numId="12">
    <w:abstractNumId w:val="36"/>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50"/>
  </w:num>
  <w:num w:numId="42">
    <w:abstractNumId w:val="53"/>
  </w:num>
  <w:num w:numId="43">
    <w:abstractNumId w:val="54"/>
  </w:num>
  <w:num w:numId="44">
    <w:abstractNumId w:val="57"/>
  </w:num>
  <w:num w:numId="45">
    <w:abstractNumId w:val="59"/>
  </w:num>
  <w:num w:numId="46">
    <w:abstractNumId w:val="62"/>
  </w:num>
  <w:num w:numId="47">
    <w:abstractNumId w:val="64"/>
  </w:num>
  <w:num w:numId="48">
    <w:abstractNumId w:val="65"/>
  </w:num>
  <w:num w:numId="49">
    <w:abstractNumId w:val="66"/>
  </w:num>
  <w:num w:numId="50">
    <w:abstractNumId w:val="67"/>
  </w:num>
  <w:num w:numId="51">
    <w:abstractNumId w:val="19"/>
  </w:num>
  <w:num w:numId="52">
    <w:abstractNumId w:val="39"/>
  </w:num>
  <w:num w:numId="53">
    <w:abstractNumId w:val="55"/>
  </w:num>
  <w:num w:numId="54">
    <w:abstractNumId w:val="46"/>
  </w:num>
  <w:num w:numId="55">
    <w:abstractNumId w:val="48"/>
  </w:num>
  <w:num w:numId="56">
    <w:abstractNumId w:val="52"/>
  </w:num>
  <w:num w:numId="57">
    <w:abstractNumId w:val="41"/>
  </w:num>
  <w:num w:numId="58">
    <w:abstractNumId w:val="58"/>
  </w:num>
  <w:num w:numId="59">
    <w:abstractNumId w:val="56"/>
    <w:lvlOverride w:ilvl="0">
      <w:startOverride w:val="1"/>
    </w:lvlOverride>
  </w:num>
  <w:num w:numId="60">
    <w:abstractNumId w:val="56"/>
  </w:num>
  <w:num w:numId="61">
    <w:abstractNumId w:val="40"/>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num>
  <w:num w:numId="64">
    <w:abstractNumId w:val="42"/>
  </w:num>
  <w:num w:numId="65">
    <w:abstractNumId w:val="26"/>
  </w:num>
  <w:num w:numId="66">
    <w:abstractNumId w:val="11"/>
  </w:num>
  <w:num w:numId="67">
    <w:abstractNumId w:val="47"/>
  </w:num>
  <w:num w:numId="68">
    <w:abstractNumId w:val="61"/>
  </w:num>
  <w:num w:numId="69">
    <w:abstractNumId w:val="49"/>
  </w:num>
  <w:num w:numId="70">
    <w:abstractNumId w:val="55"/>
  </w:num>
  <w:num w:numId="71">
    <w:abstractNumId w:val="55"/>
  </w:num>
  <w:num w:numId="72">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97A"/>
    <w:rsid w:val="00001B5B"/>
    <w:rsid w:val="00002328"/>
    <w:rsid w:val="00003AC1"/>
    <w:rsid w:val="00003EC6"/>
    <w:rsid w:val="00004013"/>
    <w:rsid w:val="000050CC"/>
    <w:rsid w:val="00005BF3"/>
    <w:rsid w:val="00005E59"/>
    <w:rsid w:val="000060AC"/>
    <w:rsid w:val="00006693"/>
    <w:rsid w:val="00006DD7"/>
    <w:rsid w:val="00006E50"/>
    <w:rsid w:val="00006EDD"/>
    <w:rsid w:val="000070D7"/>
    <w:rsid w:val="00007690"/>
    <w:rsid w:val="00007A99"/>
    <w:rsid w:val="00007B4D"/>
    <w:rsid w:val="00007BD1"/>
    <w:rsid w:val="00010600"/>
    <w:rsid w:val="00010877"/>
    <w:rsid w:val="00010A7E"/>
    <w:rsid w:val="00011132"/>
    <w:rsid w:val="000111A1"/>
    <w:rsid w:val="000111A8"/>
    <w:rsid w:val="00011D57"/>
    <w:rsid w:val="00011E4C"/>
    <w:rsid w:val="00011EB8"/>
    <w:rsid w:val="00012267"/>
    <w:rsid w:val="00012470"/>
    <w:rsid w:val="00012683"/>
    <w:rsid w:val="00012ADD"/>
    <w:rsid w:val="00012C65"/>
    <w:rsid w:val="00012E4F"/>
    <w:rsid w:val="00013BDD"/>
    <w:rsid w:val="00013F78"/>
    <w:rsid w:val="00014FBC"/>
    <w:rsid w:val="00015472"/>
    <w:rsid w:val="00015F42"/>
    <w:rsid w:val="000169CA"/>
    <w:rsid w:val="00016B44"/>
    <w:rsid w:val="00017552"/>
    <w:rsid w:val="0001788C"/>
    <w:rsid w:val="00020925"/>
    <w:rsid w:val="00021201"/>
    <w:rsid w:val="00021557"/>
    <w:rsid w:val="00022424"/>
    <w:rsid w:val="00022F55"/>
    <w:rsid w:val="0002357A"/>
    <w:rsid w:val="00024428"/>
    <w:rsid w:val="00024730"/>
    <w:rsid w:val="00024818"/>
    <w:rsid w:val="000249D7"/>
    <w:rsid w:val="00024BB7"/>
    <w:rsid w:val="000265CB"/>
    <w:rsid w:val="0002681D"/>
    <w:rsid w:val="0003022F"/>
    <w:rsid w:val="00030834"/>
    <w:rsid w:val="00031189"/>
    <w:rsid w:val="000319B1"/>
    <w:rsid w:val="00031A82"/>
    <w:rsid w:val="0003262C"/>
    <w:rsid w:val="00032BDA"/>
    <w:rsid w:val="0003324D"/>
    <w:rsid w:val="000332F4"/>
    <w:rsid w:val="00034456"/>
    <w:rsid w:val="00034BF9"/>
    <w:rsid w:val="00035616"/>
    <w:rsid w:val="00035E22"/>
    <w:rsid w:val="00035ECA"/>
    <w:rsid w:val="00036A8A"/>
    <w:rsid w:val="00036BE0"/>
    <w:rsid w:val="00037633"/>
    <w:rsid w:val="000378D5"/>
    <w:rsid w:val="0004051B"/>
    <w:rsid w:val="00040A05"/>
    <w:rsid w:val="00040C3A"/>
    <w:rsid w:val="000414D2"/>
    <w:rsid w:val="00041B79"/>
    <w:rsid w:val="000427EE"/>
    <w:rsid w:val="00042A17"/>
    <w:rsid w:val="00042B2A"/>
    <w:rsid w:val="0004390C"/>
    <w:rsid w:val="00045601"/>
    <w:rsid w:val="000459E0"/>
    <w:rsid w:val="0004681B"/>
    <w:rsid w:val="00046D40"/>
    <w:rsid w:val="00046D41"/>
    <w:rsid w:val="0004761C"/>
    <w:rsid w:val="00047621"/>
    <w:rsid w:val="00047AF6"/>
    <w:rsid w:val="00047DA5"/>
    <w:rsid w:val="00047F35"/>
    <w:rsid w:val="000516F4"/>
    <w:rsid w:val="0005170B"/>
    <w:rsid w:val="000517B2"/>
    <w:rsid w:val="00051DB2"/>
    <w:rsid w:val="00051EB4"/>
    <w:rsid w:val="00052075"/>
    <w:rsid w:val="000520FB"/>
    <w:rsid w:val="00052C1E"/>
    <w:rsid w:val="00052D20"/>
    <w:rsid w:val="00053172"/>
    <w:rsid w:val="00053B2F"/>
    <w:rsid w:val="0005416F"/>
    <w:rsid w:val="00054A5F"/>
    <w:rsid w:val="00054E1B"/>
    <w:rsid w:val="000550C0"/>
    <w:rsid w:val="000552C7"/>
    <w:rsid w:val="00056205"/>
    <w:rsid w:val="000564E1"/>
    <w:rsid w:val="00056C0E"/>
    <w:rsid w:val="000576AA"/>
    <w:rsid w:val="00057789"/>
    <w:rsid w:val="00057843"/>
    <w:rsid w:val="00057D4F"/>
    <w:rsid w:val="00057EDB"/>
    <w:rsid w:val="00060666"/>
    <w:rsid w:val="0006096A"/>
    <w:rsid w:val="0006097A"/>
    <w:rsid w:val="0006100F"/>
    <w:rsid w:val="000611E2"/>
    <w:rsid w:val="00062269"/>
    <w:rsid w:val="00062C0F"/>
    <w:rsid w:val="00062FEC"/>
    <w:rsid w:val="000630E1"/>
    <w:rsid w:val="000639C0"/>
    <w:rsid w:val="00064F12"/>
    <w:rsid w:val="000657E1"/>
    <w:rsid w:val="00065FBA"/>
    <w:rsid w:val="00066108"/>
    <w:rsid w:val="00066378"/>
    <w:rsid w:val="000679BC"/>
    <w:rsid w:val="00070187"/>
    <w:rsid w:val="00070B9D"/>
    <w:rsid w:val="00070F3A"/>
    <w:rsid w:val="0007127E"/>
    <w:rsid w:val="000716C5"/>
    <w:rsid w:val="00071A9D"/>
    <w:rsid w:val="00071E45"/>
    <w:rsid w:val="000728CA"/>
    <w:rsid w:val="00072B03"/>
    <w:rsid w:val="00073C65"/>
    <w:rsid w:val="00074669"/>
    <w:rsid w:val="000756B4"/>
    <w:rsid w:val="00075E23"/>
    <w:rsid w:val="00075E4E"/>
    <w:rsid w:val="000764E3"/>
    <w:rsid w:val="00076BDB"/>
    <w:rsid w:val="0007716F"/>
    <w:rsid w:val="00077A87"/>
    <w:rsid w:val="00080249"/>
    <w:rsid w:val="00080357"/>
    <w:rsid w:val="00081EC3"/>
    <w:rsid w:val="000823DA"/>
    <w:rsid w:val="00082CBB"/>
    <w:rsid w:val="000830D5"/>
    <w:rsid w:val="0008366A"/>
    <w:rsid w:val="00083BF4"/>
    <w:rsid w:val="00084A11"/>
    <w:rsid w:val="00084C5B"/>
    <w:rsid w:val="00085519"/>
    <w:rsid w:val="00085DDF"/>
    <w:rsid w:val="00085F60"/>
    <w:rsid w:val="00085F65"/>
    <w:rsid w:val="000864A6"/>
    <w:rsid w:val="0008675E"/>
    <w:rsid w:val="00086BFA"/>
    <w:rsid w:val="00087231"/>
    <w:rsid w:val="0008733D"/>
    <w:rsid w:val="000901D7"/>
    <w:rsid w:val="00090720"/>
    <w:rsid w:val="00090E48"/>
    <w:rsid w:val="00090E82"/>
    <w:rsid w:val="00091707"/>
    <w:rsid w:val="00091ED5"/>
    <w:rsid w:val="000922C5"/>
    <w:rsid w:val="00092817"/>
    <w:rsid w:val="000929D9"/>
    <w:rsid w:val="00092F32"/>
    <w:rsid w:val="00093055"/>
    <w:rsid w:val="000932C2"/>
    <w:rsid w:val="0009344A"/>
    <w:rsid w:val="000942E8"/>
    <w:rsid w:val="0009454E"/>
    <w:rsid w:val="00094AFA"/>
    <w:rsid w:val="0009533B"/>
    <w:rsid w:val="00095575"/>
    <w:rsid w:val="0009575D"/>
    <w:rsid w:val="00095BFB"/>
    <w:rsid w:val="000966E9"/>
    <w:rsid w:val="000973C5"/>
    <w:rsid w:val="000A0948"/>
    <w:rsid w:val="000A0BA7"/>
    <w:rsid w:val="000A0EF3"/>
    <w:rsid w:val="000A16DB"/>
    <w:rsid w:val="000A1E84"/>
    <w:rsid w:val="000A2085"/>
    <w:rsid w:val="000A2229"/>
    <w:rsid w:val="000A254B"/>
    <w:rsid w:val="000A25B1"/>
    <w:rsid w:val="000A3276"/>
    <w:rsid w:val="000A393C"/>
    <w:rsid w:val="000A3E84"/>
    <w:rsid w:val="000A4138"/>
    <w:rsid w:val="000A4481"/>
    <w:rsid w:val="000A4DDD"/>
    <w:rsid w:val="000A5152"/>
    <w:rsid w:val="000A51D4"/>
    <w:rsid w:val="000A5214"/>
    <w:rsid w:val="000A5517"/>
    <w:rsid w:val="000A575F"/>
    <w:rsid w:val="000A584B"/>
    <w:rsid w:val="000A5B0F"/>
    <w:rsid w:val="000A62C0"/>
    <w:rsid w:val="000A650D"/>
    <w:rsid w:val="000A68B6"/>
    <w:rsid w:val="000A6BA2"/>
    <w:rsid w:val="000A6C50"/>
    <w:rsid w:val="000A73C0"/>
    <w:rsid w:val="000A76B0"/>
    <w:rsid w:val="000A7A76"/>
    <w:rsid w:val="000A7DBA"/>
    <w:rsid w:val="000A7FB8"/>
    <w:rsid w:val="000B040F"/>
    <w:rsid w:val="000B06AC"/>
    <w:rsid w:val="000B094A"/>
    <w:rsid w:val="000B25B8"/>
    <w:rsid w:val="000B25FC"/>
    <w:rsid w:val="000B276D"/>
    <w:rsid w:val="000B2EF7"/>
    <w:rsid w:val="000B3198"/>
    <w:rsid w:val="000B3441"/>
    <w:rsid w:val="000B39B4"/>
    <w:rsid w:val="000B418A"/>
    <w:rsid w:val="000B478D"/>
    <w:rsid w:val="000B4DAF"/>
    <w:rsid w:val="000B4EAA"/>
    <w:rsid w:val="000B50C3"/>
    <w:rsid w:val="000C0092"/>
    <w:rsid w:val="000C0149"/>
    <w:rsid w:val="000C04CF"/>
    <w:rsid w:val="000C0DC6"/>
    <w:rsid w:val="000C1094"/>
    <w:rsid w:val="000C1324"/>
    <w:rsid w:val="000C1B5A"/>
    <w:rsid w:val="000C1C2F"/>
    <w:rsid w:val="000C1E67"/>
    <w:rsid w:val="000C24CD"/>
    <w:rsid w:val="000C2751"/>
    <w:rsid w:val="000C2C82"/>
    <w:rsid w:val="000C3514"/>
    <w:rsid w:val="000C3705"/>
    <w:rsid w:val="000C45C3"/>
    <w:rsid w:val="000C5219"/>
    <w:rsid w:val="000C556C"/>
    <w:rsid w:val="000C55CE"/>
    <w:rsid w:val="000C59A4"/>
    <w:rsid w:val="000C5DEE"/>
    <w:rsid w:val="000C6B04"/>
    <w:rsid w:val="000C6E20"/>
    <w:rsid w:val="000C6FFD"/>
    <w:rsid w:val="000C7F55"/>
    <w:rsid w:val="000D0A5D"/>
    <w:rsid w:val="000D0BD2"/>
    <w:rsid w:val="000D10DB"/>
    <w:rsid w:val="000D1FC7"/>
    <w:rsid w:val="000D32CB"/>
    <w:rsid w:val="000D3921"/>
    <w:rsid w:val="000D3B27"/>
    <w:rsid w:val="000D43E0"/>
    <w:rsid w:val="000D5691"/>
    <w:rsid w:val="000D5AAB"/>
    <w:rsid w:val="000D600D"/>
    <w:rsid w:val="000D6817"/>
    <w:rsid w:val="000D68F4"/>
    <w:rsid w:val="000D6EEF"/>
    <w:rsid w:val="000E0392"/>
    <w:rsid w:val="000E07F7"/>
    <w:rsid w:val="000E0F8F"/>
    <w:rsid w:val="000E0FB5"/>
    <w:rsid w:val="000E1356"/>
    <w:rsid w:val="000E22B6"/>
    <w:rsid w:val="000E24D2"/>
    <w:rsid w:val="000E3937"/>
    <w:rsid w:val="000E43DA"/>
    <w:rsid w:val="000E44C7"/>
    <w:rsid w:val="000E56C3"/>
    <w:rsid w:val="000E69B3"/>
    <w:rsid w:val="000E6A5E"/>
    <w:rsid w:val="000E6EDD"/>
    <w:rsid w:val="000E6F7E"/>
    <w:rsid w:val="000E7140"/>
    <w:rsid w:val="000E7636"/>
    <w:rsid w:val="000E7ED0"/>
    <w:rsid w:val="000E7F69"/>
    <w:rsid w:val="000F0A25"/>
    <w:rsid w:val="000F0C58"/>
    <w:rsid w:val="000F0EEC"/>
    <w:rsid w:val="000F10C4"/>
    <w:rsid w:val="000F3499"/>
    <w:rsid w:val="000F4547"/>
    <w:rsid w:val="000F4996"/>
    <w:rsid w:val="000F4D36"/>
    <w:rsid w:val="000F51DA"/>
    <w:rsid w:val="000F5BCA"/>
    <w:rsid w:val="000F5D64"/>
    <w:rsid w:val="000F7409"/>
    <w:rsid w:val="00100FB7"/>
    <w:rsid w:val="00101553"/>
    <w:rsid w:val="001024E3"/>
    <w:rsid w:val="001025B1"/>
    <w:rsid w:val="00102742"/>
    <w:rsid w:val="0010275F"/>
    <w:rsid w:val="001032AB"/>
    <w:rsid w:val="00103331"/>
    <w:rsid w:val="00103526"/>
    <w:rsid w:val="00103ABE"/>
    <w:rsid w:val="00104889"/>
    <w:rsid w:val="00104896"/>
    <w:rsid w:val="00104B11"/>
    <w:rsid w:val="00104C50"/>
    <w:rsid w:val="00104CA5"/>
    <w:rsid w:val="00105599"/>
    <w:rsid w:val="0010592A"/>
    <w:rsid w:val="00105C96"/>
    <w:rsid w:val="0010625B"/>
    <w:rsid w:val="001063FA"/>
    <w:rsid w:val="0010643D"/>
    <w:rsid w:val="00106990"/>
    <w:rsid w:val="00107FBC"/>
    <w:rsid w:val="001110DA"/>
    <w:rsid w:val="00111D3C"/>
    <w:rsid w:val="00112617"/>
    <w:rsid w:val="001126EB"/>
    <w:rsid w:val="001128E0"/>
    <w:rsid w:val="00112956"/>
    <w:rsid w:val="00113149"/>
    <w:rsid w:val="001131EC"/>
    <w:rsid w:val="00113ACF"/>
    <w:rsid w:val="001142FE"/>
    <w:rsid w:val="00114527"/>
    <w:rsid w:val="00114A02"/>
    <w:rsid w:val="00115009"/>
    <w:rsid w:val="00115CB1"/>
    <w:rsid w:val="001171CF"/>
    <w:rsid w:val="00122709"/>
    <w:rsid w:val="00122DF4"/>
    <w:rsid w:val="00122F98"/>
    <w:rsid w:val="00123ECD"/>
    <w:rsid w:val="00125C97"/>
    <w:rsid w:val="00125D3B"/>
    <w:rsid w:val="0012610A"/>
    <w:rsid w:val="001263B8"/>
    <w:rsid w:val="00126557"/>
    <w:rsid w:val="001267FB"/>
    <w:rsid w:val="00126BC6"/>
    <w:rsid w:val="00126CA5"/>
    <w:rsid w:val="00126F3B"/>
    <w:rsid w:val="00126FD8"/>
    <w:rsid w:val="00127AE1"/>
    <w:rsid w:val="00130A27"/>
    <w:rsid w:val="00130DE9"/>
    <w:rsid w:val="00131042"/>
    <w:rsid w:val="0013104F"/>
    <w:rsid w:val="0013178F"/>
    <w:rsid w:val="00131B01"/>
    <w:rsid w:val="00131B9D"/>
    <w:rsid w:val="00133465"/>
    <w:rsid w:val="0013403C"/>
    <w:rsid w:val="001347D8"/>
    <w:rsid w:val="00134A7E"/>
    <w:rsid w:val="00134FD9"/>
    <w:rsid w:val="00134FF0"/>
    <w:rsid w:val="001357AD"/>
    <w:rsid w:val="00135988"/>
    <w:rsid w:val="001365B6"/>
    <w:rsid w:val="00136CB7"/>
    <w:rsid w:val="00136D3B"/>
    <w:rsid w:val="00137EBA"/>
    <w:rsid w:val="00140380"/>
    <w:rsid w:val="0014051C"/>
    <w:rsid w:val="001405A0"/>
    <w:rsid w:val="00140921"/>
    <w:rsid w:val="00140FF3"/>
    <w:rsid w:val="00141DEA"/>
    <w:rsid w:val="00142A56"/>
    <w:rsid w:val="00142AE8"/>
    <w:rsid w:val="00142FA1"/>
    <w:rsid w:val="0014320C"/>
    <w:rsid w:val="00143E4B"/>
    <w:rsid w:val="00143EB9"/>
    <w:rsid w:val="0014445A"/>
    <w:rsid w:val="001447D2"/>
    <w:rsid w:val="00145EDC"/>
    <w:rsid w:val="00147723"/>
    <w:rsid w:val="00147DC5"/>
    <w:rsid w:val="00150054"/>
    <w:rsid w:val="001503E0"/>
    <w:rsid w:val="00150DD0"/>
    <w:rsid w:val="00152085"/>
    <w:rsid w:val="00152829"/>
    <w:rsid w:val="00152944"/>
    <w:rsid w:val="0015335C"/>
    <w:rsid w:val="00154179"/>
    <w:rsid w:val="001558D7"/>
    <w:rsid w:val="0015592F"/>
    <w:rsid w:val="00155EEE"/>
    <w:rsid w:val="00155F1D"/>
    <w:rsid w:val="001571B9"/>
    <w:rsid w:val="00157341"/>
    <w:rsid w:val="001577B2"/>
    <w:rsid w:val="00157A9F"/>
    <w:rsid w:val="00157AAB"/>
    <w:rsid w:val="00157CE4"/>
    <w:rsid w:val="001600A4"/>
    <w:rsid w:val="001603B5"/>
    <w:rsid w:val="001604B8"/>
    <w:rsid w:val="0016108B"/>
    <w:rsid w:val="00161150"/>
    <w:rsid w:val="0016235F"/>
    <w:rsid w:val="00162778"/>
    <w:rsid w:val="00162AAD"/>
    <w:rsid w:val="00162CEF"/>
    <w:rsid w:val="0016356D"/>
    <w:rsid w:val="00163742"/>
    <w:rsid w:val="001638DF"/>
    <w:rsid w:val="0016411C"/>
    <w:rsid w:val="0016440B"/>
    <w:rsid w:val="00164449"/>
    <w:rsid w:val="0016465A"/>
    <w:rsid w:val="0016499F"/>
    <w:rsid w:val="00165F52"/>
    <w:rsid w:val="00166496"/>
    <w:rsid w:val="00166F26"/>
    <w:rsid w:val="00166F35"/>
    <w:rsid w:val="00167A34"/>
    <w:rsid w:val="00167E2C"/>
    <w:rsid w:val="00170952"/>
    <w:rsid w:val="00170976"/>
    <w:rsid w:val="001710D1"/>
    <w:rsid w:val="00171725"/>
    <w:rsid w:val="0017269A"/>
    <w:rsid w:val="00172A98"/>
    <w:rsid w:val="001733D5"/>
    <w:rsid w:val="0017348C"/>
    <w:rsid w:val="001739DA"/>
    <w:rsid w:val="001739F5"/>
    <w:rsid w:val="001747B4"/>
    <w:rsid w:val="00174911"/>
    <w:rsid w:val="001749B0"/>
    <w:rsid w:val="00174F72"/>
    <w:rsid w:val="00175827"/>
    <w:rsid w:val="0017642E"/>
    <w:rsid w:val="0017695A"/>
    <w:rsid w:val="00176967"/>
    <w:rsid w:val="00176DEE"/>
    <w:rsid w:val="001773AE"/>
    <w:rsid w:val="00180064"/>
    <w:rsid w:val="0018009D"/>
    <w:rsid w:val="00180166"/>
    <w:rsid w:val="0018037F"/>
    <w:rsid w:val="001805B4"/>
    <w:rsid w:val="00180C0F"/>
    <w:rsid w:val="00180D3C"/>
    <w:rsid w:val="00180E3B"/>
    <w:rsid w:val="001819A8"/>
    <w:rsid w:val="00182F27"/>
    <w:rsid w:val="00183113"/>
    <w:rsid w:val="001836BA"/>
    <w:rsid w:val="00183937"/>
    <w:rsid w:val="00183D04"/>
    <w:rsid w:val="00184083"/>
    <w:rsid w:val="0018495E"/>
    <w:rsid w:val="00184C6F"/>
    <w:rsid w:val="00185513"/>
    <w:rsid w:val="00186608"/>
    <w:rsid w:val="00187268"/>
    <w:rsid w:val="00190214"/>
    <w:rsid w:val="00190E99"/>
    <w:rsid w:val="00190F48"/>
    <w:rsid w:val="0019136D"/>
    <w:rsid w:val="001913E1"/>
    <w:rsid w:val="001917D9"/>
    <w:rsid w:val="00192FD4"/>
    <w:rsid w:val="0019332D"/>
    <w:rsid w:val="001937A5"/>
    <w:rsid w:val="001940F0"/>
    <w:rsid w:val="001947BA"/>
    <w:rsid w:val="00194D8A"/>
    <w:rsid w:val="0019569B"/>
    <w:rsid w:val="00196280"/>
    <w:rsid w:val="001965CC"/>
    <w:rsid w:val="00196728"/>
    <w:rsid w:val="001970F2"/>
    <w:rsid w:val="0019748D"/>
    <w:rsid w:val="001A013D"/>
    <w:rsid w:val="001A0782"/>
    <w:rsid w:val="001A0B42"/>
    <w:rsid w:val="001A1A51"/>
    <w:rsid w:val="001A1B32"/>
    <w:rsid w:val="001A1FD8"/>
    <w:rsid w:val="001A2434"/>
    <w:rsid w:val="001A25F1"/>
    <w:rsid w:val="001A306B"/>
    <w:rsid w:val="001A39CF"/>
    <w:rsid w:val="001A4221"/>
    <w:rsid w:val="001A45C1"/>
    <w:rsid w:val="001A4B7F"/>
    <w:rsid w:val="001A5F27"/>
    <w:rsid w:val="001A6423"/>
    <w:rsid w:val="001A64EB"/>
    <w:rsid w:val="001A7439"/>
    <w:rsid w:val="001A7870"/>
    <w:rsid w:val="001A7D5B"/>
    <w:rsid w:val="001A7EDC"/>
    <w:rsid w:val="001B02A6"/>
    <w:rsid w:val="001B17B9"/>
    <w:rsid w:val="001B2FCD"/>
    <w:rsid w:val="001B30F7"/>
    <w:rsid w:val="001B3279"/>
    <w:rsid w:val="001B413D"/>
    <w:rsid w:val="001B4593"/>
    <w:rsid w:val="001B4974"/>
    <w:rsid w:val="001B4E52"/>
    <w:rsid w:val="001B54FA"/>
    <w:rsid w:val="001B56BC"/>
    <w:rsid w:val="001B5F45"/>
    <w:rsid w:val="001B60FE"/>
    <w:rsid w:val="001B6216"/>
    <w:rsid w:val="001B658D"/>
    <w:rsid w:val="001B77F0"/>
    <w:rsid w:val="001B7BA1"/>
    <w:rsid w:val="001C04BF"/>
    <w:rsid w:val="001C0710"/>
    <w:rsid w:val="001C1241"/>
    <w:rsid w:val="001C14CB"/>
    <w:rsid w:val="001C1B41"/>
    <w:rsid w:val="001C2003"/>
    <w:rsid w:val="001C2173"/>
    <w:rsid w:val="001C217B"/>
    <w:rsid w:val="001C29C2"/>
    <w:rsid w:val="001C2A75"/>
    <w:rsid w:val="001C2F45"/>
    <w:rsid w:val="001C3032"/>
    <w:rsid w:val="001C311D"/>
    <w:rsid w:val="001C38BC"/>
    <w:rsid w:val="001C3B2D"/>
    <w:rsid w:val="001C3FE4"/>
    <w:rsid w:val="001C4006"/>
    <w:rsid w:val="001C460D"/>
    <w:rsid w:val="001C48AF"/>
    <w:rsid w:val="001C4ADD"/>
    <w:rsid w:val="001C50DC"/>
    <w:rsid w:val="001C52AF"/>
    <w:rsid w:val="001C5D79"/>
    <w:rsid w:val="001C6025"/>
    <w:rsid w:val="001C66D3"/>
    <w:rsid w:val="001C68E7"/>
    <w:rsid w:val="001C6C1E"/>
    <w:rsid w:val="001C6E0E"/>
    <w:rsid w:val="001C6F52"/>
    <w:rsid w:val="001D02D5"/>
    <w:rsid w:val="001D12B7"/>
    <w:rsid w:val="001D1343"/>
    <w:rsid w:val="001D1A17"/>
    <w:rsid w:val="001D1FC1"/>
    <w:rsid w:val="001D3218"/>
    <w:rsid w:val="001D3CD0"/>
    <w:rsid w:val="001D41F0"/>
    <w:rsid w:val="001D42A6"/>
    <w:rsid w:val="001D475E"/>
    <w:rsid w:val="001D4D75"/>
    <w:rsid w:val="001D59B1"/>
    <w:rsid w:val="001D5FB5"/>
    <w:rsid w:val="001D652F"/>
    <w:rsid w:val="001D68D0"/>
    <w:rsid w:val="001D6BA1"/>
    <w:rsid w:val="001D6D5D"/>
    <w:rsid w:val="001D75F2"/>
    <w:rsid w:val="001D7B45"/>
    <w:rsid w:val="001D7D96"/>
    <w:rsid w:val="001E0270"/>
    <w:rsid w:val="001E0808"/>
    <w:rsid w:val="001E1061"/>
    <w:rsid w:val="001E10CA"/>
    <w:rsid w:val="001E2867"/>
    <w:rsid w:val="001E2D48"/>
    <w:rsid w:val="001E3030"/>
    <w:rsid w:val="001E3060"/>
    <w:rsid w:val="001E31D4"/>
    <w:rsid w:val="001E3F3E"/>
    <w:rsid w:val="001E477E"/>
    <w:rsid w:val="001E4D7D"/>
    <w:rsid w:val="001E53FB"/>
    <w:rsid w:val="001E59A9"/>
    <w:rsid w:val="001E5A1A"/>
    <w:rsid w:val="001E5F04"/>
    <w:rsid w:val="001E699E"/>
    <w:rsid w:val="001E6C29"/>
    <w:rsid w:val="001E6C37"/>
    <w:rsid w:val="001F094C"/>
    <w:rsid w:val="001F0B72"/>
    <w:rsid w:val="001F1143"/>
    <w:rsid w:val="001F3B00"/>
    <w:rsid w:val="001F4A4B"/>
    <w:rsid w:val="001F4DB8"/>
    <w:rsid w:val="001F5C23"/>
    <w:rsid w:val="001F5DD2"/>
    <w:rsid w:val="001F62D9"/>
    <w:rsid w:val="001F65E5"/>
    <w:rsid w:val="001F6E7F"/>
    <w:rsid w:val="001F7AE0"/>
    <w:rsid w:val="00200D2E"/>
    <w:rsid w:val="002018AF"/>
    <w:rsid w:val="002027D1"/>
    <w:rsid w:val="00202A19"/>
    <w:rsid w:val="00203841"/>
    <w:rsid w:val="00203AEE"/>
    <w:rsid w:val="00204924"/>
    <w:rsid w:val="00204DFD"/>
    <w:rsid w:val="002056C8"/>
    <w:rsid w:val="00206728"/>
    <w:rsid w:val="002067F4"/>
    <w:rsid w:val="00207544"/>
    <w:rsid w:val="0021055A"/>
    <w:rsid w:val="00210E0E"/>
    <w:rsid w:val="002111AE"/>
    <w:rsid w:val="002112A5"/>
    <w:rsid w:val="00211891"/>
    <w:rsid w:val="00211F19"/>
    <w:rsid w:val="00211F3B"/>
    <w:rsid w:val="002131D3"/>
    <w:rsid w:val="00213A2F"/>
    <w:rsid w:val="0021485B"/>
    <w:rsid w:val="00214962"/>
    <w:rsid w:val="002152E5"/>
    <w:rsid w:val="0021591D"/>
    <w:rsid w:val="00215CE2"/>
    <w:rsid w:val="00217555"/>
    <w:rsid w:val="00217D6A"/>
    <w:rsid w:val="00220F56"/>
    <w:rsid w:val="0022169F"/>
    <w:rsid w:val="00221704"/>
    <w:rsid w:val="002218FD"/>
    <w:rsid w:val="00222050"/>
    <w:rsid w:val="002222EF"/>
    <w:rsid w:val="00222647"/>
    <w:rsid w:val="002226AA"/>
    <w:rsid w:val="00223245"/>
    <w:rsid w:val="002232BE"/>
    <w:rsid w:val="002237F3"/>
    <w:rsid w:val="00223AA5"/>
    <w:rsid w:val="00224AA7"/>
    <w:rsid w:val="00224CA5"/>
    <w:rsid w:val="00224E5F"/>
    <w:rsid w:val="00225375"/>
    <w:rsid w:val="002256AE"/>
    <w:rsid w:val="00225D07"/>
    <w:rsid w:val="00227020"/>
    <w:rsid w:val="002277C3"/>
    <w:rsid w:val="0023061B"/>
    <w:rsid w:val="00231242"/>
    <w:rsid w:val="00231CD1"/>
    <w:rsid w:val="00232A3C"/>
    <w:rsid w:val="00233353"/>
    <w:rsid w:val="00234BE7"/>
    <w:rsid w:val="00234DE9"/>
    <w:rsid w:val="002351E7"/>
    <w:rsid w:val="0023660F"/>
    <w:rsid w:val="002368C5"/>
    <w:rsid w:val="00236FA5"/>
    <w:rsid w:val="002374C5"/>
    <w:rsid w:val="0024070A"/>
    <w:rsid w:val="002411A1"/>
    <w:rsid w:val="00241B9E"/>
    <w:rsid w:val="00241D97"/>
    <w:rsid w:val="00241F98"/>
    <w:rsid w:val="0024247E"/>
    <w:rsid w:val="0024379B"/>
    <w:rsid w:val="00244E7D"/>
    <w:rsid w:val="00245446"/>
    <w:rsid w:val="00245452"/>
    <w:rsid w:val="00245F40"/>
    <w:rsid w:val="002461CD"/>
    <w:rsid w:val="00246859"/>
    <w:rsid w:val="00246E7D"/>
    <w:rsid w:val="00247019"/>
    <w:rsid w:val="00247403"/>
    <w:rsid w:val="00247542"/>
    <w:rsid w:val="00247592"/>
    <w:rsid w:val="00247E0E"/>
    <w:rsid w:val="00250662"/>
    <w:rsid w:val="00250B61"/>
    <w:rsid w:val="00250F0E"/>
    <w:rsid w:val="00250F42"/>
    <w:rsid w:val="0025100E"/>
    <w:rsid w:val="0025135E"/>
    <w:rsid w:val="002520C0"/>
    <w:rsid w:val="00253609"/>
    <w:rsid w:val="00253DE5"/>
    <w:rsid w:val="00253E5E"/>
    <w:rsid w:val="00253F1B"/>
    <w:rsid w:val="00254210"/>
    <w:rsid w:val="00254856"/>
    <w:rsid w:val="00255140"/>
    <w:rsid w:val="002552DF"/>
    <w:rsid w:val="0025532E"/>
    <w:rsid w:val="00255475"/>
    <w:rsid w:val="00255759"/>
    <w:rsid w:val="00255BE3"/>
    <w:rsid w:val="002560C3"/>
    <w:rsid w:val="00256813"/>
    <w:rsid w:val="00256D45"/>
    <w:rsid w:val="0025711C"/>
    <w:rsid w:val="0025726B"/>
    <w:rsid w:val="0025755D"/>
    <w:rsid w:val="00257893"/>
    <w:rsid w:val="00260C70"/>
    <w:rsid w:val="0026109F"/>
    <w:rsid w:val="0026124E"/>
    <w:rsid w:val="0026154C"/>
    <w:rsid w:val="00261C06"/>
    <w:rsid w:val="002626A2"/>
    <w:rsid w:val="002626F5"/>
    <w:rsid w:val="00262C41"/>
    <w:rsid w:val="00262ECA"/>
    <w:rsid w:val="00262FF2"/>
    <w:rsid w:val="00263B2B"/>
    <w:rsid w:val="00264033"/>
    <w:rsid w:val="00264870"/>
    <w:rsid w:val="00264944"/>
    <w:rsid w:val="00264998"/>
    <w:rsid w:val="00264A11"/>
    <w:rsid w:val="00264E59"/>
    <w:rsid w:val="00265031"/>
    <w:rsid w:val="00266092"/>
    <w:rsid w:val="00266B61"/>
    <w:rsid w:val="0026712A"/>
    <w:rsid w:val="00267891"/>
    <w:rsid w:val="00267EF0"/>
    <w:rsid w:val="0027004C"/>
    <w:rsid w:val="002701A7"/>
    <w:rsid w:val="002704DB"/>
    <w:rsid w:val="002704E0"/>
    <w:rsid w:val="002706E4"/>
    <w:rsid w:val="00270C7A"/>
    <w:rsid w:val="00271104"/>
    <w:rsid w:val="00271175"/>
    <w:rsid w:val="0027128E"/>
    <w:rsid w:val="00272570"/>
    <w:rsid w:val="00272596"/>
    <w:rsid w:val="00272854"/>
    <w:rsid w:val="00272A02"/>
    <w:rsid w:val="00272DEF"/>
    <w:rsid w:val="00272F7D"/>
    <w:rsid w:val="00273032"/>
    <w:rsid w:val="002730F6"/>
    <w:rsid w:val="00273854"/>
    <w:rsid w:val="00273DE2"/>
    <w:rsid w:val="00274F86"/>
    <w:rsid w:val="002758EF"/>
    <w:rsid w:val="00275FC9"/>
    <w:rsid w:val="0027671E"/>
    <w:rsid w:val="00276C31"/>
    <w:rsid w:val="002772E3"/>
    <w:rsid w:val="002809AC"/>
    <w:rsid w:val="0028111A"/>
    <w:rsid w:val="00281829"/>
    <w:rsid w:val="00283909"/>
    <w:rsid w:val="0028392E"/>
    <w:rsid w:val="002840B2"/>
    <w:rsid w:val="00284130"/>
    <w:rsid w:val="00284173"/>
    <w:rsid w:val="00284E86"/>
    <w:rsid w:val="002869C6"/>
    <w:rsid w:val="00287642"/>
    <w:rsid w:val="00287B22"/>
    <w:rsid w:val="00290094"/>
    <w:rsid w:val="0029089D"/>
    <w:rsid w:val="00291C7D"/>
    <w:rsid w:val="00292239"/>
    <w:rsid w:val="0029275D"/>
    <w:rsid w:val="00292CEC"/>
    <w:rsid w:val="00293513"/>
    <w:rsid w:val="0029354F"/>
    <w:rsid w:val="0029397E"/>
    <w:rsid w:val="00293AEB"/>
    <w:rsid w:val="00293B75"/>
    <w:rsid w:val="00293CA2"/>
    <w:rsid w:val="0029466E"/>
    <w:rsid w:val="00294727"/>
    <w:rsid w:val="00294B4A"/>
    <w:rsid w:val="00294FA9"/>
    <w:rsid w:val="002955D3"/>
    <w:rsid w:val="002957D7"/>
    <w:rsid w:val="00295C76"/>
    <w:rsid w:val="0029615A"/>
    <w:rsid w:val="002963E4"/>
    <w:rsid w:val="00296BE8"/>
    <w:rsid w:val="0029715B"/>
    <w:rsid w:val="00297288"/>
    <w:rsid w:val="0029754B"/>
    <w:rsid w:val="00297B6C"/>
    <w:rsid w:val="002A00C2"/>
    <w:rsid w:val="002A036F"/>
    <w:rsid w:val="002A05B1"/>
    <w:rsid w:val="002A1564"/>
    <w:rsid w:val="002A1C6E"/>
    <w:rsid w:val="002A1D6A"/>
    <w:rsid w:val="002A1EF3"/>
    <w:rsid w:val="002A24D4"/>
    <w:rsid w:val="002A2593"/>
    <w:rsid w:val="002A2720"/>
    <w:rsid w:val="002A2BEB"/>
    <w:rsid w:val="002A353A"/>
    <w:rsid w:val="002A3CD5"/>
    <w:rsid w:val="002A4B4A"/>
    <w:rsid w:val="002A5150"/>
    <w:rsid w:val="002A5269"/>
    <w:rsid w:val="002A6EAD"/>
    <w:rsid w:val="002A733A"/>
    <w:rsid w:val="002A78CC"/>
    <w:rsid w:val="002A7925"/>
    <w:rsid w:val="002A7A01"/>
    <w:rsid w:val="002B008D"/>
    <w:rsid w:val="002B0BE7"/>
    <w:rsid w:val="002B0C15"/>
    <w:rsid w:val="002B110C"/>
    <w:rsid w:val="002B1184"/>
    <w:rsid w:val="002B1D55"/>
    <w:rsid w:val="002B29F1"/>
    <w:rsid w:val="002B2AB5"/>
    <w:rsid w:val="002B30E6"/>
    <w:rsid w:val="002B33F6"/>
    <w:rsid w:val="002B3A2B"/>
    <w:rsid w:val="002B3CCF"/>
    <w:rsid w:val="002B4417"/>
    <w:rsid w:val="002B4B61"/>
    <w:rsid w:val="002B5794"/>
    <w:rsid w:val="002B5AF9"/>
    <w:rsid w:val="002B5F8A"/>
    <w:rsid w:val="002B6002"/>
    <w:rsid w:val="002B6682"/>
    <w:rsid w:val="002B7448"/>
    <w:rsid w:val="002C0B64"/>
    <w:rsid w:val="002C10D7"/>
    <w:rsid w:val="002C1641"/>
    <w:rsid w:val="002C1EB3"/>
    <w:rsid w:val="002C1F13"/>
    <w:rsid w:val="002C2792"/>
    <w:rsid w:val="002C2FB9"/>
    <w:rsid w:val="002C3312"/>
    <w:rsid w:val="002C3671"/>
    <w:rsid w:val="002C37C7"/>
    <w:rsid w:val="002C3D66"/>
    <w:rsid w:val="002C4070"/>
    <w:rsid w:val="002C440D"/>
    <w:rsid w:val="002C527E"/>
    <w:rsid w:val="002C58D2"/>
    <w:rsid w:val="002C5A89"/>
    <w:rsid w:val="002C5BCE"/>
    <w:rsid w:val="002C5DC6"/>
    <w:rsid w:val="002C5EC4"/>
    <w:rsid w:val="002C6557"/>
    <w:rsid w:val="002C6C33"/>
    <w:rsid w:val="002D0295"/>
    <w:rsid w:val="002D033F"/>
    <w:rsid w:val="002D064D"/>
    <w:rsid w:val="002D12CF"/>
    <w:rsid w:val="002D1B85"/>
    <w:rsid w:val="002D1CFA"/>
    <w:rsid w:val="002D33B3"/>
    <w:rsid w:val="002D40D8"/>
    <w:rsid w:val="002D41C9"/>
    <w:rsid w:val="002D45C2"/>
    <w:rsid w:val="002D4CA0"/>
    <w:rsid w:val="002D5514"/>
    <w:rsid w:val="002D5D4E"/>
    <w:rsid w:val="002D628F"/>
    <w:rsid w:val="002D6E69"/>
    <w:rsid w:val="002D7148"/>
    <w:rsid w:val="002D7DC4"/>
    <w:rsid w:val="002D7EA2"/>
    <w:rsid w:val="002E03A4"/>
    <w:rsid w:val="002E10CD"/>
    <w:rsid w:val="002E10DC"/>
    <w:rsid w:val="002E15DF"/>
    <w:rsid w:val="002E16E8"/>
    <w:rsid w:val="002E187C"/>
    <w:rsid w:val="002E18E3"/>
    <w:rsid w:val="002E1CDE"/>
    <w:rsid w:val="002E2267"/>
    <w:rsid w:val="002E2779"/>
    <w:rsid w:val="002E349E"/>
    <w:rsid w:val="002E35D7"/>
    <w:rsid w:val="002E3921"/>
    <w:rsid w:val="002E3C15"/>
    <w:rsid w:val="002E42B5"/>
    <w:rsid w:val="002E432F"/>
    <w:rsid w:val="002E4F0A"/>
    <w:rsid w:val="002E5A58"/>
    <w:rsid w:val="002E61E7"/>
    <w:rsid w:val="002E620F"/>
    <w:rsid w:val="002E6267"/>
    <w:rsid w:val="002E6663"/>
    <w:rsid w:val="002E6B47"/>
    <w:rsid w:val="002E6E57"/>
    <w:rsid w:val="002E70EC"/>
    <w:rsid w:val="002E755E"/>
    <w:rsid w:val="002E7736"/>
    <w:rsid w:val="002E78C1"/>
    <w:rsid w:val="002E7E79"/>
    <w:rsid w:val="002F0138"/>
    <w:rsid w:val="002F023D"/>
    <w:rsid w:val="002F097A"/>
    <w:rsid w:val="002F17C9"/>
    <w:rsid w:val="002F1B00"/>
    <w:rsid w:val="002F1B4A"/>
    <w:rsid w:val="002F2358"/>
    <w:rsid w:val="002F2430"/>
    <w:rsid w:val="002F2D41"/>
    <w:rsid w:val="002F2FCB"/>
    <w:rsid w:val="002F30A3"/>
    <w:rsid w:val="002F3202"/>
    <w:rsid w:val="002F3554"/>
    <w:rsid w:val="002F3598"/>
    <w:rsid w:val="002F35CB"/>
    <w:rsid w:val="002F3D27"/>
    <w:rsid w:val="002F3E55"/>
    <w:rsid w:val="002F414B"/>
    <w:rsid w:val="002F443F"/>
    <w:rsid w:val="002F4FE5"/>
    <w:rsid w:val="002F503E"/>
    <w:rsid w:val="002F5686"/>
    <w:rsid w:val="002F5941"/>
    <w:rsid w:val="002F5E45"/>
    <w:rsid w:val="002F6201"/>
    <w:rsid w:val="002F63D9"/>
    <w:rsid w:val="002F64D5"/>
    <w:rsid w:val="002F6C1E"/>
    <w:rsid w:val="002F6ECD"/>
    <w:rsid w:val="002F7B0F"/>
    <w:rsid w:val="00300F96"/>
    <w:rsid w:val="00301075"/>
    <w:rsid w:val="00301990"/>
    <w:rsid w:val="00301B3D"/>
    <w:rsid w:val="00301F71"/>
    <w:rsid w:val="00302733"/>
    <w:rsid w:val="003035DD"/>
    <w:rsid w:val="00303B04"/>
    <w:rsid w:val="00303D2D"/>
    <w:rsid w:val="00304182"/>
    <w:rsid w:val="0030446B"/>
    <w:rsid w:val="00304EED"/>
    <w:rsid w:val="003058E3"/>
    <w:rsid w:val="0030600F"/>
    <w:rsid w:val="00306012"/>
    <w:rsid w:val="00306C30"/>
    <w:rsid w:val="00306D2A"/>
    <w:rsid w:val="003070DE"/>
    <w:rsid w:val="003070EA"/>
    <w:rsid w:val="00307577"/>
    <w:rsid w:val="00307C8D"/>
    <w:rsid w:val="00307DF7"/>
    <w:rsid w:val="00310A00"/>
    <w:rsid w:val="00310EFD"/>
    <w:rsid w:val="003112C6"/>
    <w:rsid w:val="00311628"/>
    <w:rsid w:val="00311A4F"/>
    <w:rsid w:val="00313332"/>
    <w:rsid w:val="00313519"/>
    <w:rsid w:val="00313D9B"/>
    <w:rsid w:val="00314078"/>
    <w:rsid w:val="00315905"/>
    <w:rsid w:val="00316026"/>
    <w:rsid w:val="00316559"/>
    <w:rsid w:val="003166CB"/>
    <w:rsid w:val="003169FA"/>
    <w:rsid w:val="0031724D"/>
    <w:rsid w:val="00317255"/>
    <w:rsid w:val="00317E8A"/>
    <w:rsid w:val="00317FC6"/>
    <w:rsid w:val="003201AA"/>
    <w:rsid w:val="00320402"/>
    <w:rsid w:val="00320A64"/>
    <w:rsid w:val="00320AB6"/>
    <w:rsid w:val="00320D26"/>
    <w:rsid w:val="003215F2"/>
    <w:rsid w:val="003218DF"/>
    <w:rsid w:val="00321A96"/>
    <w:rsid w:val="00322398"/>
    <w:rsid w:val="00322450"/>
    <w:rsid w:val="0032360D"/>
    <w:rsid w:val="00323860"/>
    <w:rsid w:val="003241CF"/>
    <w:rsid w:val="003242B1"/>
    <w:rsid w:val="003245A7"/>
    <w:rsid w:val="003246B5"/>
    <w:rsid w:val="00324882"/>
    <w:rsid w:val="003249CF"/>
    <w:rsid w:val="003267B5"/>
    <w:rsid w:val="00327501"/>
    <w:rsid w:val="00327AC5"/>
    <w:rsid w:val="00330196"/>
    <w:rsid w:val="00330450"/>
    <w:rsid w:val="0033054B"/>
    <w:rsid w:val="00330DB1"/>
    <w:rsid w:val="00330E0E"/>
    <w:rsid w:val="0033161A"/>
    <w:rsid w:val="00331687"/>
    <w:rsid w:val="0033169F"/>
    <w:rsid w:val="00331F29"/>
    <w:rsid w:val="00332045"/>
    <w:rsid w:val="00332152"/>
    <w:rsid w:val="003326C2"/>
    <w:rsid w:val="00332A4D"/>
    <w:rsid w:val="003330D2"/>
    <w:rsid w:val="00333FDB"/>
    <w:rsid w:val="003343F1"/>
    <w:rsid w:val="00334B00"/>
    <w:rsid w:val="00336085"/>
    <w:rsid w:val="00337546"/>
    <w:rsid w:val="003378E0"/>
    <w:rsid w:val="00337961"/>
    <w:rsid w:val="00337C43"/>
    <w:rsid w:val="003407E0"/>
    <w:rsid w:val="00340A95"/>
    <w:rsid w:val="003410A6"/>
    <w:rsid w:val="003414AC"/>
    <w:rsid w:val="003414E6"/>
    <w:rsid w:val="00341F71"/>
    <w:rsid w:val="00342070"/>
    <w:rsid w:val="003427EA"/>
    <w:rsid w:val="00342FA8"/>
    <w:rsid w:val="00343330"/>
    <w:rsid w:val="003447BB"/>
    <w:rsid w:val="003447DA"/>
    <w:rsid w:val="00344B38"/>
    <w:rsid w:val="0034569F"/>
    <w:rsid w:val="00345AEC"/>
    <w:rsid w:val="00346D16"/>
    <w:rsid w:val="00347742"/>
    <w:rsid w:val="00351655"/>
    <w:rsid w:val="003520F3"/>
    <w:rsid w:val="0035485A"/>
    <w:rsid w:val="00354D5D"/>
    <w:rsid w:val="00355079"/>
    <w:rsid w:val="00355351"/>
    <w:rsid w:val="00355779"/>
    <w:rsid w:val="00356185"/>
    <w:rsid w:val="003567C7"/>
    <w:rsid w:val="00357206"/>
    <w:rsid w:val="00357961"/>
    <w:rsid w:val="00357C4D"/>
    <w:rsid w:val="00357D78"/>
    <w:rsid w:val="00360380"/>
    <w:rsid w:val="0036056F"/>
    <w:rsid w:val="0036137D"/>
    <w:rsid w:val="00361EB7"/>
    <w:rsid w:val="00362872"/>
    <w:rsid w:val="00362FE0"/>
    <w:rsid w:val="0036346A"/>
    <w:rsid w:val="00363954"/>
    <w:rsid w:val="003642D6"/>
    <w:rsid w:val="00364B6E"/>
    <w:rsid w:val="003659F2"/>
    <w:rsid w:val="00365D52"/>
    <w:rsid w:val="00366182"/>
    <w:rsid w:val="00366DBE"/>
    <w:rsid w:val="00367444"/>
    <w:rsid w:val="003675B8"/>
    <w:rsid w:val="003676F1"/>
    <w:rsid w:val="0036775E"/>
    <w:rsid w:val="00367CD6"/>
    <w:rsid w:val="00367EDD"/>
    <w:rsid w:val="00370DD4"/>
    <w:rsid w:val="0037116B"/>
    <w:rsid w:val="003712A0"/>
    <w:rsid w:val="003712A7"/>
    <w:rsid w:val="00371EFD"/>
    <w:rsid w:val="003729BF"/>
    <w:rsid w:val="00372AD5"/>
    <w:rsid w:val="00372B13"/>
    <w:rsid w:val="00372F8E"/>
    <w:rsid w:val="00373790"/>
    <w:rsid w:val="003741EF"/>
    <w:rsid w:val="003745F9"/>
    <w:rsid w:val="00374940"/>
    <w:rsid w:val="003750C8"/>
    <w:rsid w:val="003759D2"/>
    <w:rsid w:val="00375D88"/>
    <w:rsid w:val="00376244"/>
    <w:rsid w:val="00376462"/>
    <w:rsid w:val="00376CCB"/>
    <w:rsid w:val="00377614"/>
    <w:rsid w:val="00377ACE"/>
    <w:rsid w:val="00377AD8"/>
    <w:rsid w:val="00380645"/>
    <w:rsid w:val="00380831"/>
    <w:rsid w:val="00380A1D"/>
    <w:rsid w:val="00380AC1"/>
    <w:rsid w:val="00380B68"/>
    <w:rsid w:val="00380ECF"/>
    <w:rsid w:val="00381A63"/>
    <w:rsid w:val="0038209A"/>
    <w:rsid w:val="0038245A"/>
    <w:rsid w:val="00382598"/>
    <w:rsid w:val="0038262B"/>
    <w:rsid w:val="00382CE7"/>
    <w:rsid w:val="003832D9"/>
    <w:rsid w:val="0038330F"/>
    <w:rsid w:val="00383440"/>
    <w:rsid w:val="00383691"/>
    <w:rsid w:val="00384072"/>
    <w:rsid w:val="0038421B"/>
    <w:rsid w:val="00384BAF"/>
    <w:rsid w:val="0038559B"/>
    <w:rsid w:val="00385B08"/>
    <w:rsid w:val="00386CF0"/>
    <w:rsid w:val="00386F39"/>
    <w:rsid w:val="00386FEA"/>
    <w:rsid w:val="003877F8"/>
    <w:rsid w:val="00390045"/>
    <w:rsid w:val="003902B2"/>
    <w:rsid w:val="00390397"/>
    <w:rsid w:val="0039061F"/>
    <w:rsid w:val="00390D19"/>
    <w:rsid w:val="00391056"/>
    <w:rsid w:val="00391B88"/>
    <w:rsid w:val="00391CD8"/>
    <w:rsid w:val="00392748"/>
    <w:rsid w:val="003937BC"/>
    <w:rsid w:val="00393C8E"/>
    <w:rsid w:val="00394608"/>
    <w:rsid w:val="0039471C"/>
    <w:rsid w:val="00394A5D"/>
    <w:rsid w:val="00395C89"/>
    <w:rsid w:val="00396106"/>
    <w:rsid w:val="003963B7"/>
    <w:rsid w:val="003964BF"/>
    <w:rsid w:val="003A187E"/>
    <w:rsid w:val="003A18F4"/>
    <w:rsid w:val="003A1AE3"/>
    <w:rsid w:val="003A27F4"/>
    <w:rsid w:val="003A2DC1"/>
    <w:rsid w:val="003A33F8"/>
    <w:rsid w:val="003A348D"/>
    <w:rsid w:val="003A3C43"/>
    <w:rsid w:val="003A430F"/>
    <w:rsid w:val="003A4790"/>
    <w:rsid w:val="003A485E"/>
    <w:rsid w:val="003A4B42"/>
    <w:rsid w:val="003A527A"/>
    <w:rsid w:val="003A54CE"/>
    <w:rsid w:val="003A565C"/>
    <w:rsid w:val="003A5CAF"/>
    <w:rsid w:val="003A5DB5"/>
    <w:rsid w:val="003A5E9B"/>
    <w:rsid w:val="003A6019"/>
    <w:rsid w:val="003A632E"/>
    <w:rsid w:val="003A7118"/>
    <w:rsid w:val="003A71F1"/>
    <w:rsid w:val="003A789A"/>
    <w:rsid w:val="003A7BFE"/>
    <w:rsid w:val="003B0978"/>
    <w:rsid w:val="003B1BD7"/>
    <w:rsid w:val="003B1D61"/>
    <w:rsid w:val="003B268A"/>
    <w:rsid w:val="003B27EA"/>
    <w:rsid w:val="003B2C86"/>
    <w:rsid w:val="003B349D"/>
    <w:rsid w:val="003B3E27"/>
    <w:rsid w:val="003B3E94"/>
    <w:rsid w:val="003B408A"/>
    <w:rsid w:val="003B4AB3"/>
    <w:rsid w:val="003B4B47"/>
    <w:rsid w:val="003B4DEB"/>
    <w:rsid w:val="003B5191"/>
    <w:rsid w:val="003B5C8C"/>
    <w:rsid w:val="003B63A0"/>
    <w:rsid w:val="003B640E"/>
    <w:rsid w:val="003B6423"/>
    <w:rsid w:val="003B66DC"/>
    <w:rsid w:val="003B6950"/>
    <w:rsid w:val="003C1A36"/>
    <w:rsid w:val="003C21BD"/>
    <w:rsid w:val="003C240D"/>
    <w:rsid w:val="003C269F"/>
    <w:rsid w:val="003C32BC"/>
    <w:rsid w:val="003C3722"/>
    <w:rsid w:val="003C3ABB"/>
    <w:rsid w:val="003C42CB"/>
    <w:rsid w:val="003C49F4"/>
    <w:rsid w:val="003C4BC0"/>
    <w:rsid w:val="003C4F69"/>
    <w:rsid w:val="003C54AD"/>
    <w:rsid w:val="003C57E7"/>
    <w:rsid w:val="003C6480"/>
    <w:rsid w:val="003C7061"/>
    <w:rsid w:val="003C789A"/>
    <w:rsid w:val="003C7C3D"/>
    <w:rsid w:val="003D007D"/>
    <w:rsid w:val="003D0C05"/>
    <w:rsid w:val="003D0D3E"/>
    <w:rsid w:val="003D1D4D"/>
    <w:rsid w:val="003D1E49"/>
    <w:rsid w:val="003D2871"/>
    <w:rsid w:val="003D2C7F"/>
    <w:rsid w:val="003D3279"/>
    <w:rsid w:val="003D3435"/>
    <w:rsid w:val="003D3507"/>
    <w:rsid w:val="003D3CAC"/>
    <w:rsid w:val="003D3E1C"/>
    <w:rsid w:val="003D3F3F"/>
    <w:rsid w:val="003D40A7"/>
    <w:rsid w:val="003D45DE"/>
    <w:rsid w:val="003D4A67"/>
    <w:rsid w:val="003D51A2"/>
    <w:rsid w:val="003D5263"/>
    <w:rsid w:val="003D56C2"/>
    <w:rsid w:val="003D598B"/>
    <w:rsid w:val="003D5A38"/>
    <w:rsid w:val="003D5C6C"/>
    <w:rsid w:val="003D5CD7"/>
    <w:rsid w:val="003D5F18"/>
    <w:rsid w:val="003D684D"/>
    <w:rsid w:val="003D79BC"/>
    <w:rsid w:val="003D7CCF"/>
    <w:rsid w:val="003E06A3"/>
    <w:rsid w:val="003E0852"/>
    <w:rsid w:val="003E0ABC"/>
    <w:rsid w:val="003E14B0"/>
    <w:rsid w:val="003E1FEC"/>
    <w:rsid w:val="003E2564"/>
    <w:rsid w:val="003E2DFE"/>
    <w:rsid w:val="003E366F"/>
    <w:rsid w:val="003E3AD6"/>
    <w:rsid w:val="003E475D"/>
    <w:rsid w:val="003E4D93"/>
    <w:rsid w:val="003E4E8A"/>
    <w:rsid w:val="003E520F"/>
    <w:rsid w:val="003E60B8"/>
    <w:rsid w:val="003E65E7"/>
    <w:rsid w:val="003E68BB"/>
    <w:rsid w:val="003E6D7E"/>
    <w:rsid w:val="003E6FB6"/>
    <w:rsid w:val="003E70A6"/>
    <w:rsid w:val="003E7291"/>
    <w:rsid w:val="003E7380"/>
    <w:rsid w:val="003E752C"/>
    <w:rsid w:val="003E7F11"/>
    <w:rsid w:val="003F0153"/>
    <w:rsid w:val="003F03FA"/>
    <w:rsid w:val="003F06FB"/>
    <w:rsid w:val="003F0B2B"/>
    <w:rsid w:val="003F0EFF"/>
    <w:rsid w:val="003F1230"/>
    <w:rsid w:val="003F19D4"/>
    <w:rsid w:val="003F1BBF"/>
    <w:rsid w:val="003F1CFA"/>
    <w:rsid w:val="003F2D46"/>
    <w:rsid w:val="003F42A8"/>
    <w:rsid w:val="003F572E"/>
    <w:rsid w:val="003F57C9"/>
    <w:rsid w:val="003F5C67"/>
    <w:rsid w:val="003F6707"/>
    <w:rsid w:val="003F7001"/>
    <w:rsid w:val="003F7161"/>
    <w:rsid w:val="00400B9A"/>
    <w:rsid w:val="00400C14"/>
    <w:rsid w:val="00400E6B"/>
    <w:rsid w:val="00400EA4"/>
    <w:rsid w:val="00400FDE"/>
    <w:rsid w:val="00400FF0"/>
    <w:rsid w:val="004010E9"/>
    <w:rsid w:val="0040128B"/>
    <w:rsid w:val="004022E4"/>
    <w:rsid w:val="004023A0"/>
    <w:rsid w:val="00402B6C"/>
    <w:rsid w:val="00403306"/>
    <w:rsid w:val="00404333"/>
    <w:rsid w:val="00404A51"/>
    <w:rsid w:val="00404EFC"/>
    <w:rsid w:val="00404F22"/>
    <w:rsid w:val="00405991"/>
    <w:rsid w:val="00405F19"/>
    <w:rsid w:val="00406721"/>
    <w:rsid w:val="00406CB6"/>
    <w:rsid w:val="0040735D"/>
    <w:rsid w:val="0040759C"/>
    <w:rsid w:val="00407E1A"/>
    <w:rsid w:val="00407F3D"/>
    <w:rsid w:val="004106DD"/>
    <w:rsid w:val="00410840"/>
    <w:rsid w:val="00410925"/>
    <w:rsid w:val="00410E41"/>
    <w:rsid w:val="00411459"/>
    <w:rsid w:val="00411E9E"/>
    <w:rsid w:val="0041204B"/>
    <w:rsid w:val="004122AE"/>
    <w:rsid w:val="00412AF2"/>
    <w:rsid w:val="00413779"/>
    <w:rsid w:val="0041384F"/>
    <w:rsid w:val="00413B37"/>
    <w:rsid w:val="004142F6"/>
    <w:rsid w:val="0041459D"/>
    <w:rsid w:val="00414A54"/>
    <w:rsid w:val="00414D3F"/>
    <w:rsid w:val="004150D2"/>
    <w:rsid w:val="004154F4"/>
    <w:rsid w:val="00415BAE"/>
    <w:rsid w:val="00416443"/>
    <w:rsid w:val="004165C2"/>
    <w:rsid w:val="00416614"/>
    <w:rsid w:val="00416AD8"/>
    <w:rsid w:val="00416BC5"/>
    <w:rsid w:val="00416CB3"/>
    <w:rsid w:val="00417263"/>
    <w:rsid w:val="004172CB"/>
    <w:rsid w:val="00417356"/>
    <w:rsid w:val="0041749E"/>
    <w:rsid w:val="0041797E"/>
    <w:rsid w:val="00420486"/>
    <w:rsid w:val="00421966"/>
    <w:rsid w:val="00421D29"/>
    <w:rsid w:val="00422536"/>
    <w:rsid w:val="00422543"/>
    <w:rsid w:val="00422E3D"/>
    <w:rsid w:val="00423240"/>
    <w:rsid w:val="00423909"/>
    <w:rsid w:val="00423E69"/>
    <w:rsid w:val="004250D6"/>
    <w:rsid w:val="004262BB"/>
    <w:rsid w:val="004264FA"/>
    <w:rsid w:val="00426A93"/>
    <w:rsid w:val="00426DB7"/>
    <w:rsid w:val="00427406"/>
    <w:rsid w:val="0042749C"/>
    <w:rsid w:val="00427737"/>
    <w:rsid w:val="00427A53"/>
    <w:rsid w:val="00430052"/>
    <w:rsid w:val="00430AB4"/>
    <w:rsid w:val="00430F9F"/>
    <w:rsid w:val="00431085"/>
    <w:rsid w:val="0043193E"/>
    <w:rsid w:val="00432731"/>
    <w:rsid w:val="004332C3"/>
    <w:rsid w:val="004337C0"/>
    <w:rsid w:val="004343C8"/>
    <w:rsid w:val="00435A67"/>
    <w:rsid w:val="00435DF5"/>
    <w:rsid w:val="00436653"/>
    <w:rsid w:val="00436C66"/>
    <w:rsid w:val="004375C9"/>
    <w:rsid w:val="00437A98"/>
    <w:rsid w:val="004401E5"/>
    <w:rsid w:val="00440CD9"/>
    <w:rsid w:val="00440DB6"/>
    <w:rsid w:val="00440E90"/>
    <w:rsid w:val="004413C0"/>
    <w:rsid w:val="00441D48"/>
    <w:rsid w:val="00443C71"/>
    <w:rsid w:val="004443A8"/>
    <w:rsid w:val="00444596"/>
    <w:rsid w:val="00445183"/>
    <w:rsid w:val="00445C74"/>
    <w:rsid w:val="00445DAD"/>
    <w:rsid w:val="0044650B"/>
    <w:rsid w:val="004467BD"/>
    <w:rsid w:val="00446F15"/>
    <w:rsid w:val="0044706E"/>
    <w:rsid w:val="00447468"/>
    <w:rsid w:val="00447B8F"/>
    <w:rsid w:val="00447CE2"/>
    <w:rsid w:val="00447D9D"/>
    <w:rsid w:val="0045037E"/>
    <w:rsid w:val="00450A4A"/>
    <w:rsid w:val="00450D96"/>
    <w:rsid w:val="004520C7"/>
    <w:rsid w:val="00453466"/>
    <w:rsid w:val="00454345"/>
    <w:rsid w:val="00454492"/>
    <w:rsid w:val="0045481D"/>
    <w:rsid w:val="00455165"/>
    <w:rsid w:val="0045524E"/>
    <w:rsid w:val="004563B1"/>
    <w:rsid w:val="00456608"/>
    <w:rsid w:val="0045672D"/>
    <w:rsid w:val="00456CCD"/>
    <w:rsid w:val="00456D70"/>
    <w:rsid w:val="00456FF9"/>
    <w:rsid w:val="00457228"/>
    <w:rsid w:val="00457974"/>
    <w:rsid w:val="00457B89"/>
    <w:rsid w:val="004600B6"/>
    <w:rsid w:val="004602DB"/>
    <w:rsid w:val="0046041C"/>
    <w:rsid w:val="004606C0"/>
    <w:rsid w:val="0046072C"/>
    <w:rsid w:val="00460794"/>
    <w:rsid w:val="00461E19"/>
    <w:rsid w:val="0046208F"/>
    <w:rsid w:val="004621BE"/>
    <w:rsid w:val="004621D7"/>
    <w:rsid w:val="00462248"/>
    <w:rsid w:val="00462781"/>
    <w:rsid w:val="004628BB"/>
    <w:rsid w:val="00462C41"/>
    <w:rsid w:val="00462F9A"/>
    <w:rsid w:val="004642EF"/>
    <w:rsid w:val="0046488C"/>
    <w:rsid w:val="0046574C"/>
    <w:rsid w:val="0046583A"/>
    <w:rsid w:val="004662B0"/>
    <w:rsid w:val="004666FB"/>
    <w:rsid w:val="0046682E"/>
    <w:rsid w:val="00466A6B"/>
    <w:rsid w:val="00466F19"/>
    <w:rsid w:val="00467542"/>
    <w:rsid w:val="00467B7E"/>
    <w:rsid w:val="00467CF1"/>
    <w:rsid w:val="0047006D"/>
    <w:rsid w:val="004702E9"/>
    <w:rsid w:val="00470FD7"/>
    <w:rsid w:val="004715B7"/>
    <w:rsid w:val="00471BC8"/>
    <w:rsid w:val="00471ED1"/>
    <w:rsid w:val="00472B0E"/>
    <w:rsid w:val="004730AF"/>
    <w:rsid w:val="00473197"/>
    <w:rsid w:val="0047327D"/>
    <w:rsid w:val="00475C62"/>
    <w:rsid w:val="00475DDB"/>
    <w:rsid w:val="004761C6"/>
    <w:rsid w:val="00476B10"/>
    <w:rsid w:val="004773D3"/>
    <w:rsid w:val="00477BE3"/>
    <w:rsid w:val="00477D29"/>
    <w:rsid w:val="00477F5C"/>
    <w:rsid w:val="00480045"/>
    <w:rsid w:val="004804D4"/>
    <w:rsid w:val="00480502"/>
    <w:rsid w:val="00480B24"/>
    <w:rsid w:val="00480FC3"/>
    <w:rsid w:val="004810B3"/>
    <w:rsid w:val="0048119E"/>
    <w:rsid w:val="004817BD"/>
    <w:rsid w:val="00481C1F"/>
    <w:rsid w:val="00482208"/>
    <w:rsid w:val="00482528"/>
    <w:rsid w:val="00482644"/>
    <w:rsid w:val="00483146"/>
    <w:rsid w:val="00483697"/>
    <w:rsid w:val="00483974"/>
    <w:rsid w:val="00483D9E"/>
    <w:rsid w:val="00484B2F"/>
    <w:rsid w:val="00484EA7"/>
    <w:rsid w:val="00484F80"/>
    <w:rsid w:val="004850C2"/>
    <w:rsid w:val="00485C07"/>
    <w:rsid w:val="00486A15"/>
    <w:rsid w:val="0048701C"/>
    <w:rsid w:val="004907E1"/>
    <w:rsid w:val="00490BE7"/>
    <w:rsid w:val="00490C98"/>
    <w:rsid w:val="0049419D"/>
    <w:rsid w:val="004949AA"/>
    <w:rsid w:val="00494ACB"/>
    <w:rsid w:val="00494BFF"/>
    <w:rsid w:val="00495029"/>
    <w:rsid w:val="00495396"/>
    <w:rsid w:val="00495BFC"/>
    <w:rsid w:val="00495CD7"/>
    <w:rsid w:val="004962B8"/>
    <w:rsid w:val="00496687"/>
    <w:rsid w:val="00496C69"/>
    <w:rsid w:val="00496DBC"/>
    <w:rsid w:val="00497493"/>
    <w:rsid w:val="0049749D"/>
    <w:rsid w:val="004977D3"/>
    <w:rsid w:val="00497D68"/>
    <w:rsid w:val="004A0895"/>
    <w:rsid w:val="004A0977"/>
    <w:rsid w:val="004A1588"/>
    <w:rsid w:val="004A17A5"/>
    <w:rsid w:val="004A1B3A"/>
    <w:rsid w:val="004A1B66"/>
    <w:rsid w:val="004A1EEA"/>
    <w:rsid w:val="004A2B9D"/>
    <w:rsid w:val="004A37A5"/>
    <w:rsid w:val="004A3806"/>
    <w:rsid w:val="004A38DF"/>
    <w:rsid w:val="004A3DC4"/>
    <w:rsid w:val="004A3E0F"/>
    <w:rsid w:val="004A423C"/>
    <w:rsid w:val="004A4400"/>
    <w:rsid w:val="004A4A3E"/>
    <w:rsid w:val="004A4DB0"/>
    <w:rsid w:val="004A514F"/>
    <w:rsid w:val="004A53E7"/>
    <w:rsid w:val="004A5614"/>
    <w:rsid w:val="004A5A1D"/>
    <w:rsid w:val="004A5E29"/>
    <w:rsid w:val="004A6298"/>
    <w:rsid w:val="004A6629"/>
    <w:rsid w:val="004A6C43"/>
    <w:rsid w:val="004B0A49"/>
    <w:rsid w:val="004B13D0"/>
    <w:rsid w:val="004B16F9"/>
    <w:rsid w:val="004B1A98"/>
    <w:rsid w:val="004B1BD9"/>
    <w:rsid w:val="004B23FB"/>
    <w:rsid w:val="004B2429"/>
    <w:rsid w:val="004B2762"/>
    <w:rsid w:val="004B2DE8"/>
    <w:rsid w:val="004B31F9"/>
    <w:rsid w:val="004B388C"/>
    <w:rsid w:val="004B40A9"/>
    <w:rsid w:val="004B45B7"/>
    <w:rsid w:val="004B4611"/>
    <w:rsid w:val="004B4E6F"/>
    <w:rsid w:val="004B62CE"/>
    <w:rsid w:val="004B62D2"/>
    <w:rsid w:val="004B634D"/>
    <w:rsid w:val="004B6691"/>
    <w:rsid w:val="004B7D4C"/>
    <w:rsid w:val="004B7EB6"/>
    <w:rsid w:val="004C0FE4"/>
    <w:rsid w:val="004C14B0"/>
    <w:rsid w:val="004C17B4"/>
    <w:rsid w:val="004C2235"/>
    <w:rsid w:val="004C427F"/>
    <w:rsid w:val="004C4B62"/>
    <w:rsid w:val="004C5505"/>
    <w:rsid w:val="004C599D"/>
    <w:rsid w:val="004C68B8"/>
    <w:rsid w:val="004C7257"/>
    <w:rsid w:val="004C758F"/>
    <w:rsid w:val="004C77DC"/>
    <w:rsid w:val="004C7B18"/>
    <w:rsid w:val="004C7EE2"/>
    <w:rsid w:val="004C7EF0"/>
    <w:rsid w:val="004D0229"/>
    <w:rsid w:val="004D15C2"/>
    <w:rsid w:val="004D37B1"/>
    <w:rsid w:val="004D45F7"/>
    <w:rsid w:val="004D46A5"/>
    <w:rsid w:val="004D4782"/>
    <w:rsid w:val="004D4A6A"/>
    <w:rsid w:val="004D4D1B"/>
    <w:rsid w:val="004D4E01"/>
    <w:rsid w:val="004D5FA1"/>
    <w:rsid w:val="004D6025"/>
    <w:rsid w:val="004D61E8"/>
    <w:rsid w:val="004D657F"/>
    <w:rsid w:val="004D6A97"/>
    <w:rsid w:val="004D715B"/>
    <w:rsid w:val="004D72BC"/>
    <w:rsid w:val="004D78B4"/>
    <w:rsid w:val="004E021C"/>
    <w:rsid w:val="004E13F5"/>
    <w:rsid w:val="004E2452"/>
    <w:rsid w:val="004E2FE2"/>
    <w:rsid w:val="004E3A16"/>
    <w:rsid w:val="004E4761"/>
    <w:rsid w:val="004E4C6B"/>
    <w:rsid w:val="004E4E84"/>
    <w:rsid w:val="004E662D"/>
    <w:rsid w:val="004E6C9C"/>
    <w:rsid w:val="004E7578"/>
    <w:rsid w:val="004F04A5"/>
    <w:rsid w:val="004F07A6"/>
    <w:rsid w:val="004F0842"/>
    <w:rsid w:val="004F0928"/>
    <w:rsid w:val="004F0B52"/>
    <w:rsid w:val="004F15C4"/>
    <w:rsid w:val="004F16E8"/>
    <w:rsid w:val="004F173D"/>
    <w:rsid w:val="004F1DAD"/>
    <w:rsid w:val="004F2694"/>
    <w:rsid w:val="004F2FC4"/>
    <w:rsid w:val="004F302F"/>
    <w:rsid w:val="004F37CA"/>
    <w:rsid w:val="004F38E0"/>
    <w:rsid w:val="004F3905"/>
    <w:rsid w:val="004F441A"/>
    <w:rsid w:val="004F48CC"/>
    <w:rsid w:val="004F4C1C"/>
    <w:rsid w:val="004F530D"/>
    <w:rsid w:val="004F5466"/>
    <w:rsid w:val="004F5EE6"/>
    <w:rsid w:val="004F6949"/>
    <w:rsid w:val="004F69EA"/>
    <w:rsid w:val="004F69ED"/>
    <w:rsid w:val="004F6D1E"/>
    <w:rsid w:val="004F7707"/>
    <w:rsid w:val="004F7B86"/>
    <w:rsid w:val="0050076E"/>
    <w:rsid w:val="005008C7"/>
    <w:rsid w:val="00501399"/>
    <w:rsid w:val="00501CF1"/>
    <w:rsid w:val="00501D2A"/>
    <w:rsid w:val="00501D6B"/>
    <w:rsid w:val="00501DFB"/>
    <w:rsid w:val="005022A2"/>
    <w:rsid w:val="00502E35"/>
    <w:rsid w:val="00503834"/>
    <w:rsid w:val="00503C4C"/>
    <w:rsid w:val="0050536C"/>
    <w:rsid w:val="005057A5"/>
    <w:rsid w:val="005057C7"/>
    <w:rsid w:val="00505B63"/>
    <w:rsid w:val="005066A4"/>
    <w:rsid w:val="005068B0"/>
    <w:rsid w:val="00507534"/>
    <w:rsid w:val="005076FD"/>
    <w:rsid w:val="00507B5A"/>
    <w:rsid w:val="00507BC4"/>
    <w:rsid w:val="00507C24"/>
    <w:rsid w:val="00510142"/>
    <w:rsid w:val="00510311"/>
    <w:rsid w:val="00510327"/>
    <w:rsid w:val="0051113F"/>
    <w:rsid w:val="00511E3F"/>
    <w:rsid w:val="005128E4"/>
    <w:rsid w:val="00512A35"/>
    <w:rsid w:val="00513229"/>
    <w:rsid w:val="00513A45"/>
    <w:rsid w:val="00513B84"/>
    <w:rsid w:val="005140FC"/>
    <w:rsid w:val="005142E0"/>
    <w:rsid w:val="005152B7"/>
    <w:rsid w:val="00516035"/>
    <w:rsid w:val="00516196"/>
    <w:rsid w:val="00516BBE"/>
    <w:rsid w:val="00520095"/>
    <w:rsid w:val="00520369"/>
    <w:rsid w:val="00520FB9"/>
    <w:rsid w:val="00521895"/>
    <w:rsid w:val="00521909"/>
    <w:rsid w:val="005223AF"/>
    <w:rsid w:val="00522646"/>
    <w:rsid w:val="005234E7"/>
    <w:rsid w:val="00523977"/>
    <w:rsid w:val="00524268"/>
    <w:rsid w:val="00524748"/>
    <w:rsid w:val="00524EB4"/>
    <w:rsid w:val="00525278"/>
    <w:rsid w:val="00525560"/>
    <w:rsid w:val="00525C32"/>
    <w:rsid w:val="00525F05"/>
    <w:rsid w:val="00526204"/>
    <w:rsid w:val="00526492"/>
    <w:rsid w:val="005267AC"/>
    <w:rsid w:val="00526EF8"/>
    <w:rsid w:val="0052719A"/>
    <w:rsid w:val="00527461"/>
    <w:rsid w:val="00527E0A"/>
    <w:rsid w:val="00530295"/>
    <w:rsid w:val="00530B2B"/>
    <w:rsid w:val="00531008"/>
    <w:rsid w:val="0053134C"/>
    <w:rsid w:val="005313DA"/>
    <w:rsid w:val="00531517"/>
    <w:rsid w:val="0053187E"/>
    <w:rsid w:val="005325F6"/>
    <w:rsid w:val="005343C0"/>
    <w:rsid w:val="005346E1"/>
    <w:rsid w:val="00535135"/>
    <w:rsid w:val="005357A6"/>
    <w:rsid w:val="0053592E"/>
    <w:rsid w:val="00535D22"/>
    <w:rsid w:val="00535F3F"/>
    <w:rsid w:val="00535FF9"/>
    <w:rsid w:val="005366E5"/>
    <w:rsid w:val="005367D0"/>
    <w:rsid w:val="00536848"/>
    <w:rsid w:val="005369AE"/>
    <w:rsid w:val="00536ADF"/>
    <w:rsid w:val="00536B9E"/>
    <w:rsid w:val="00537159"/>
    <w:rsid w:val="00537BF9"/>
    <w:rsid w:val="005401F2"/>
    <w:rsid w:val="00540472"/>
    <w:rsid w:val="00540853"/>
    <w:rsid w:val="00540AEC"/>
    <w:rsid w:val="00541B01"/>
    <w:rsid w:val="005422EF"/>
    <w:rsid w:val="00542375"/>
    <w:rsid w:val="005430A6"/>
    <w:rsid w:val="00543705"/>
    <w:rsid w:val="005439C3"/>
    <w:rsid w:val="00544C49"/>
    <w:rsid w:val="0054561F"/>
    <w:rsid w:val="005456B2"/>
    <w:rsid w:val="00545886"/>
    <w:rsid w:val="005458F3"/>
    <w:rsid w:val="0054591A"/>
    <w:rsid w:val="00546C7A"/>
    <w:rsid w:val="00547EB7"/>
    <w:rsid w:val="00550141"/>
    <w:rsid w:val="00550FAA"/>
    <w:rsid w:val="005514A9"/>
    <w:rsid w:val="0055160C"/>
    <w:rsid w:val="00552510"/>
    <w:rsid w:val="005531BB"/>
    <w:rsid w:val="00553A04"/>
    <w:rsid w:val="00553EC6"/>
    <w:rsid w:val="00554BAB"/>
    <w:rsid w:val="00554D3A"/>
    <w:rsid w:val="00555492"/>
    <w:rsid w:val="00555780"/>
    <w:rsid w:val="005557F2"/>
    <w:rsid w:val="00555A6E"/>
    <w:rsid w:val="00555C6B"/>
    <w:rsid w:val="00555E95"/>
    <w:rsid w:val="0055667E"/>
    <w:rsid w:val="00557C07"/>
    <w:rsid w:val="00560563"/>
    <w:rsid w:val="005613AC"/>
    <w:rsid w:val="00561869"/>
    <w:rsid w:val="00562460"/>
    <w:rsid w:val="005627FD"/>
    <w:rsid w:val="00562E4A"/>
    <w:rsid w:val="00563167"/>
    <w:rsid w:val="0056330F"/>
    <w:rsid w:val="00563314"/>
    <w:rsid w:val="005633E7"/>
    <w:rsid w:val="00563C47"/>
    <w:rsid w:val="00563F04"/>
    <w:rsid w:val="0056432A"/>
    <w:rsid w:val="005650AC"/>
    <w:rsid w:val="005653D5"/>
    <w:rsid w:val="0056549F"/>
    <w:rsid w:val="005656C4"/>
    <w:rsid w:val="00565B4B"/>
    <w:rsid w:val="00565C1A"/>
    <w:rsid w:val="00566AEA"/>
    <w:rsid w:val="00566FD0"/>
    <w:rsid w:val="00567533"/>
    <w:rsid w:val="00567A47"/>
    <w:rsid w:val="00570699"/>
    <w:rsid w:val="005706EF"/>
    <w:rsid w:val="00570AF2"/>
    <w:rsid w:val="00571247"/>
    <w:rsid w:val="005713C7"/>
    <w:rsid w:val="00571425"/>
    <w:rsid w:val="00571713"/>
    <w:rsid w:val="00572315"/>
    <w:rsid w:val="00572495"/>
    <w:rsid w:val="0057276F"/>
    <w:rsid w:val="00573925"/>
    <w:rsid w:val="00573EB3"/>
    <w:rsid w:val="0057402A"/>
    <w:rsid w:val="00574148"/>
    <w:rsid w:val="005744A4"/>
    <w:rsid w:val="00574D8E"/>
    <w:rsid w:val="0057516B"/>
    <w:rsid w:val="005755D5"/>
    <w:rsid w:val="005761DA"/>
    <w:rsid w:val="005764DD"/>
    <w:rsid w:val="00576832"/>
    <w:rsid w:val="005771D0"/>
    <w:rsid w:val="00577336"/>
    <w:rsid w:val="00577B42"/>
    <w:rsid w:val="0058022B"/>
    <w:rsid w:val="00580E28"/>
    <w:rsid w:val="00580EE0"/>
    <w:rsid w:val="005820ED"/>
    <w:rsid w:val="005826EA"/>
    <w:rsid w:val="00582750"/>
    <w:rsid w:val="00582D0D"/>
    <w:rsid w:val="0058343A"/>
    <w:rsid w:val="00583C2B"/>
    <w:rsid w:val="005840B2"/>
    <w:rsid w:val="0058497E"/>
    <w:rsid w:val="00584C28"/>
    <w:rsid w:val="00584F43"/>
    <w:rsid w:val="00585DED"/>
    <w:rsid w:val="0058751B"/>
    <w:rsid w:val="00587964"/>
    <w:rsid w:val="00590239"/>
    <w:rsid w:val="005902A3"/>
    <w:rsid w:val="0059066D"/>
    <w:rsid w:val="00590872"/>
    <w:rsid w:val="00590A3C"/>
    <w:rsid w:val="00590A78"/>
    <w:rsid w:val="00590BF3"/>
    <w:rsid w:val="00590C43"/>
    <w:rsid w:val="00590C5B"/>
    <w:rsid w:val="00590E8E"/>
    <w:rsid w:val="005910C0"/>
    <w:rsid w:val="005916E2"/>
    <w:rsid w:val="005916F8"/>
    <w:rsid w:val="0059191A"/>
    <w:rsid w:val="00591B96"/>
    <w:rsid w:val="00591F60"/>
    <w:rsid w:val="005921FF"/>
    <w:rsid w:val="00592299"/>
    <w:rsid w:val="00592A6D"/>
    <w:rsid w:val="00592EDC"/>
    <w:rsid w:val="0059318E"/>
    <w:rsid w:val="005937E2"/>
    <w:rsid w:val="005946FF"/>
    <w:rsid w:val="00594772"/>
    <w:rsid w:val="00594CE1"/>
    <w:rsid w:val="00595766"/>
    <w:rsid w:val="005959C4"/>
    <w:rsid w:val="00595EDB"/>
    <w:rsid w:val="00596514"/>
    <w:rsid w:val="0059670F"/>
    <w:rsid w:val="00596AB5"/>
    <w:rsid w:val="00596ABE"/>
    <w:rsid w:val="00596AD3"/>
    <w:rsid w:val="00596B97"/>
    <w:rsid w:val="00596F42"/>
    <w:rsid w:val="00597162"/>
    <w:rsid w:val="0059770B"/>
    <w:rsid w:val="00597C8A"/>
    <w:rsid w:val="005A01B6"/>
    <w:rsid w:val="005A0410"/>
    <w:rsid w:val="005A0B5A"/>
    <w:rsid w:val="005A10C2"/>
    <w:rsid w:val="005A1832"/>
    <w:rsid w:val="005A2E9B"/>
    <w:rsid w:val="005A3704"/>
    <w:rsid w:val="005A37BB"/>
    <w:rsid w:val="005A482E"/>
    <w:rsid w:val="005A4B8E"/>
    <w:rsid w:val="005A58AF"/>
    <w:rsid w:val="005A6205"/>
    <w:rsid w:val="005A6A13"/>
    <w:rsid w:val="005A6D0E"/>
    <w:rsid w:val="005A6E50"/>
    <w:rsid w:val="005A6E68"/>
    <w:rsid w:val="005A734E"/>
    <w:rsid w:val="005B0001"/>
    <w:rsid w:val="005B0676"/>
    <w:rsid w:val="005B0C41"/>
    <w:rsid w:val="005B12C2"/>
    <w:rsid w:val="005B1DBA"/>
    <w:rsid w:val="005B222D"/>
    <w:rsid w:val="005B222E"/>
    <w:rsid w:val="005B245E"/>
    <w:rsid w:val="005B28A7"/>
    <w:rsid w:val="005B2F88"/>
    <w:rsid w:val="005B3609"/>
    <w:rsid w:val="005B3795"/>
    <w:rsid w:val="005B3A12"/>
    <w:rsid w:val="005B3DEC"/>
    <w:rsid w:val="005B3EF2"/>
    <w:rsid w:val="005B52B0"/>
    <w:rsid w:val="005B65AF"/>
    <w:rsid w:val="005B67DE"/>
    <w:rsid w:val="005B6806"/>
    <w:rsid w:val="005B711D"/>
    <w:rsid w:val="005B7EDC"/>
    <w:rsid w:val="005C00AF"/>
    <w:rsid w:val="005C00F9"/>
    <w:rsid w:val="005C0100"/>
    <w:rsid w:val="005C05FA"/>
    <w:rsid w:val="005C164F"/>
    <w:rsid w:val="005C16CF"/>
    <w:rsid w:val="005C1853"/>
    <w:rsid w:val="005C1A8D"/>
    <w:rsid w:val="005C1D8E"/>
    <w:rsid w:val="005C207A"/>
    <w:rsid w:val="005C23BD"/>
    <w:rsid w:val="005C2B10"/>
    <w:rsid w:val="005C2BA2"/>
    <w:rsid w:val="005C2E02"/>
    <w:rsid w:val="005C3149"/>
    <w:rsid w:val="005C34BB"/>
    <w:rsid w:val="005C3944"/>
    <w:rsid w:val="005C3DAB"/>
    <w:rsid w:val="005C3E22"/>
    <w:rsid w:val="005C4011"/>
    <w:rsid w:val="005C4225"/>
    <w:rsid w:val="005C44DE"/>
    <w:rsid w:val="005C4541"/>
    <w:rsid w:val="005C456D"/>
    <w:rsid w:val="005C4AF4"/>
    <w:rsid w:val="005C566A"/>
    <w:rsid w:val="005C5F93"/>
    <w:rsid w:val="005C6248"/>
    <w:rsid w:val="005C6674"/>
    <w:rsid w:val="005C6A11"/>
    <w:rsid w:val="005C6F09"/>
    <w:rsid w:val="005D05F4"/>
    <w:rsid w:val="005D0AC5"/>
    <w:rsid w:val="005D0FBF"/>
    <w:rsid w:val="005D1076"/>
    <w:rsid w:val="005D1128"/>
    <w:rsid w:val="005D1CBA"/>
    <w:rsid w:val="005D1D34"/>
    <w:rsid w:val="005D2B93"/>
    <w:rsid w:val="005D2E13"/>
    <w:rsid w:val="005D3E9A"/>
    <w:rsid w:val="005D447F"/>
    <w:rsid w:val="005D489C"/>
    <w:rsid w:val="005D50AD"/>
    <w:rsid w:val="005D55A5"/>
    <w:rsid w:val="005D5A45"/>
    <w:rsid w:val="005D5A94"/>
    <w:rsid w:val="005D5C54"/>
    <w:rsid w:val="005D5DED"/>
    <w:rsid w:val="005D6891"/>
    <w:rsid w:val="005D6A03"/>
    <w:rsid w:val="005D6A17"/>
    <w:rsid w:val="005D6AC4"/>
    <w:rsid w:val="005D6B2C"/>
    <w:rsid w:val="005D7191"/>
    <w:rsid w:val="005D7280"/>
    <w:rsid w:val="005E04BC"/>
    <w:rsid w:val="005E065C"/>
    <w:rsid w:val="005E09BC"/>
    <w:rsid w:val="005E0B92"/>
    <w:rsid w:val="005E0FC3"/>
    <w:rsid w:val="005E1D4B"/>
    <w:rsid w:val="005E22BD"/>
    <w:rsid w:val="005E2BDE"/>
    <w:rsid w:val="005E4013"/>
    <w:rsid w:val="005E47E8"/>
    <w:rsid w:val="005E4A95"/>
    <w:rsid w:val="005E4CF1"/>
    <w:rsid w:val="005E5196"/>
    <w:rsid w:val="005E5258"/>
    <w:rsid w:val="005E5419"/>
    <w:rsid w:val="005E5E0D"/>
    <w:rsid w:val="005E6203"/>
    <w:rsid w:val="005E63CE"/>
    <w:rsid w:val="005E6C0C"/>
    <w:rsid w:val="005E6EE3"/>
    <w:rsid w:val="005E74C5"/>
    <w:rsid w:val="005E7539"/>
    <w:rsid w:val="005E7642"/>
    <w:rsid w:val="005F03C7"/>
    <w:rsid w:val="005F063A"/>
    <w:rsid w:val="005F094B"/>
    <w:rsid w:val="005F0F33"/>
    <w:rsid w:val="005F1C54"/>
    <w:rsid w:val="005F1F31"/>
    <w:rsid w:val="005F2A0D"/>
    <w:rsid w:val="005F32A0"/>
    <w:rsid w:val="005F3F11"/>
    <w:rsid w:val="005F5456"/>
    <w:rsid w:val="005F55DC"/>
    <w:rsid w:val="005F57C1"/>
    <w:rsid w:val="005F7C35"/>
    <w:rsid w:val="00600384"/>
    <w:rsid w:val="0060040E"/>
    <w:rsid w:val="006005C1"/>
    <w:rsid w:val="00600A96"/>
    <w:rsid w:val="00600DEB"/>
    <w:rsid w:val="00600EE3"/>
    <w:rsid w:val="0060181F"/>
    <w:rsid w:val="00602146"/>
    <w:rsid w:val="006021D4"/>
    <w:rsid w:val="0060270A"/>
    <w:rsid w:val="00602B9B"/>
    <w:rsid w:val="00603CB6"/>
    <w:rsid w:val="00603D6F"/>
    <w:rsid w:val="006041C5"/>
    <w:rsid w:val="006045A7"/>
    <w:rsid w:val="006049BD"/>
    <w:rsid w:val="006049EC"/>
    <w:rsid w:val="006049F6"/>
    <w:rsid w:val="00604B83"/>
    <w:rsid w:val="00604BEF"/>
    <w:rsid w:val="006059FA"/>
    <w:rsid w:val="00606B40"/>
    <w:rsid w:val="00607325"/>
    <w:rsid w:val="00607F83"/>
    <w:rsid w:val="006104FA"/>
    <w:rsid w:val="006112EF"/>
    <w:rsid w:val="00612B39"/>
    <w:rsid w:val="00613027"/>
    <w:rsid w:val="00613120"/>
    <w:rsid w:val="00613A08"/>
    <w:rsid w:val="0061412F"/>
    <w:rsid w:val="00614153"/>
    <w:rsid w:val="00614248"/>
    <w:rsid w:val="006146AC"/>
    <w:rsid w:val="00614AE8"/>
    <w:rsid w:val="00615073"/>
    <w:rsid w:val="0061546B"/>
    <w:rsid w:val="00615B67"/>
    <w:rsid w:val="00615F46"/>
    <w:rsid w:val="00616320"/>
    <w:rsid w:val="00617156"/>
    <w:rsid w:val="006176BF"/>
    <w:rsid w:val="00617842"/>
    <w:rsid w:val="006206FF"/>
    <w:rsid w:val="00620A30"/>
    <w:rsid w:val="00620A65"/>
    <w:rsid w:val="00620B75"/>
    <w:rsid w:val="00621B67"/>
    <w:rsid w:val="006220E5"/>
    <w:rsid w:val="006225B7"/>
    <w:rsid w:val="00623324"/>
    <w:rsid w:val="006238CB"/>
    <w:rsid w:val="00624716"/>
    <w:rsid w:val="006247DB"/>
    <w:rsid w:val="00624E66"/>
    <w:rsid w:val="006250EE"/>
    <w:rsid w:val="00625577"/>
    <w:rsid w:val="00625585"/>
    <w:rsid w:val="00625980"/>
    <w:rsid w:val="006260B6"/>
    <w:rsid w:val="00626360"/>
    <w:rsid w:val="006263C9"/>
    <w:rsid w:val="006263CE"/>
    <w:rsid w:val="00626A1D"/>
    <w:rsid w:val="00626FB3"/>
    <w:rsid w:val="006271AD"/>
    <w:rsid w:val="006272AD"/>
    <w:rsid w:val="00627A51"/>
    <w:rsid w:val="00627C9F"/>
    <w:rsid w:val="0063009E"/>
    <w:rsid w:val="006307DF"/>
    <w:rsid w:val="00630A0E"/>
    <w:rsid w:val="00630B42"/>
    <w:rsid w:val="00630C75"/>
    <w:rsid w:val="00630F01"/>
    <w:rsid w:val="00630F7D"/>
    <w:rsid w:val="006311DA"/>
    <w:rsid w:val="006311E9"/>
    <w:rsid w:val="00631FE8"/>
    <w:rsid w:val="006322B9"/>
    <w:rsid w:val="00632354"/>
    <w:rsid w:val="00632429"/>
    <w:rsid w:val="0063262B"/>
    <w:rsid w:val="00632BF2"/>
    <w:rsid w:val="00633261"/>
    <w:rsid w:val="00634FA0"/>
    <w:rsid w:val="006354CD"/>
    <w:rsid w:val="0063586E"/>
    <w:rsid w:val="006360C4"/>
    <w:rsid w:val="00636406"/>
    <w:rsid w:val="00636E0C"/>
    <w:rsid w:val="00636F4A"/>
    <w:rsid w:val="00637539"/>
    <w:rsid w:val="00637B7B"/>
    <w:rsid w:val="00637E84"/>
    <w:rsid w:val="00637EDA"/>
    <w:rsid w:val="00640173"/>
    <w:rsid w:val="0064172A"/>
    <w:rsid w:val="006418C1"/>
    <w:rsid w:val="006420B7"/>
    <w:rsid w:val="00642573"/>
    <w:rsid w:val="00642810"/>
    <w:rsid w:val="00642EBB"/>
    <w:rsid w:val="00643F66"/>
    <w:rsid w:val="006455AC"/>
    <w:rsid w:val="006458AD"/>
    <w:rsid w:val="00646251"/>
    <w:rsid w:val="00647033"/>
    <w:rsid w:val="0064712F"/>
    <w:rsid w:val="006475B4"/>
    <w:rsid w:val="0064793C"/>
    <w:rsid w:val="00650422"/>
    <w:rsid w:val="006504D5"/>
    <w:rsid w:val="00650AA9"/>
    <w:rsid w:val="00650FA3"/>
    <w:rsid w:val="0065154E"/>
    <w:rsid w:val="006516A0"/>
    <w:rsid w:val="006516A4"/>
    <w:rsid w:val="006516FE"/>
    <w:rsid w:val="00651D04"/>
    <w:rsid w:val="00651D1D"/>
    <w:rsid w:val="00652333"/>
    <w:rsid w:val="00652F1B"/>
    <w:rsid w:val="00653FB1"/>
    <w:rsid w:val="006549A4"/>
    <w:rsid w:val="00656085"/>
    <w:rsid w:val="00656FE7"/>
    <w:rsid w:val="0065723A"/>
    <w:rsid w:val="0065765B"/>
    <w:rsid w:val="006605AC"/>
    <w:rsid w:val="006609DD"/>
    <w:rsid w:val="00661E36"/>
    <w:rsid w:val="006625CE"/>
    <w:rsid w:val="00662E23"/>
    <w:rsid w:val="00662F5D"/>
    <w:rsid w:val="006634C1"/>
    <w:rsid w:val="00663536"/>
    <w:rsid w:val="006635A6"/>
    <w:rsid w:val="00663FCB"/>
    <w:rsid w:val="00664C08"/>
    <w:rsid w:val="00664DDE"/>
    <w:rsid w:val="0066584C"/>
    <w:rsid w:val="00666382"/>
    <w:rsid w:val="006663C5"/>
    <w:rsid w:val="00666536"/>
    <w:rsid w:val="0066666B"/>
    <w:rsid w:val="00666AEF"/>
    <w:rsid w:val="0066797D"/>
    <w:rsid w:val="006705A7"/>
    <w:rsid w:val="00670B3D"/>
    <w:rsid w:val="006716B8"/>
    <w:rsid w:val="0067329C"/>
    <w:rsid w:val="00673523"/>
    <w:rsid w:val="00674465"/>
    <w:rsid w:val="0067472A"/>
    <w:rsid w:val="00674C6A"/>
    <w:rsid w:val="006754CD"/>
    <w:rsid w:val="00676888"/>
    <w:rsid w:val="00676ED0"/>
    <w:rsid w:val="00677938"/>
    <w:rsid w:val="00677DA7"/>
    <w:rsid w:val="0068009E"/>
    <w:rsid w:val="00680A71"/>
    <w:rsid w:val="00680AC6"/>
    <w:rsid w:val="00681A6B"/>
    <w:rsid w:val="00681BA6"/>
    <w:rsid w:val="00681ED3"/>
    <w:rsid w:val="00682CC9"/>
    <w:rsid w:val="00682D35"/>
    <w:rsid w:val="006831D4"/>
    <w:rsid w:val="00683305"/>
    <w:rsid w:val="00684434"/>
    <w:rsid w:val="006847BC"/>
    <w:rsid w:val="006849BF"/>
    <w:rsid w:val="00684EFB"/>
    <w:rsid w:val="00685184"/>
    <w:rsid w:val="0068579A"/>
    <w:rsid w:val="006865D7"/>
    <w:rsid w:val="006869EF"/>
    <w:rsid w:val="00686D22"/>
    <w:rsid w:val="00687432"/>
    <w:rsid w:val="006874B7"/>
    <w:rsid w:val="00687725"/>
    <w:rsid w:val="006901ED"/>
    <w:rsid w:val="006912EE"/>
    <w:rsid w:val="00691C6D"/>
    <w:rsid w:val="00691DE4"/>
    <w:rsid w:val="0069244C"/>
    <w:rsid w:val="00692996"/>
    <w:rsid w:val="00692A55"/>
    <w:rsid w:val="00692F79"/>
    <w:rsid w:val="006951BB"/>
    <w:rsid w:val="0069578C"/>
    <w:rsid w:val="00695EAA"/>
    <w:rsid w:val="00696944"/>
    <w:rsid w:val="00696F6F"/>
    <w:rsid w:val="006972FB"/>
    <w:rsid w:val="00697B2C"/>
    <w:rsid w:val="006A0548"/>
    <w:rsid w:val="006A074F"/>
    <w:rsid w:val="006A078D"/>
    <w:rsid w:val="006A0F00"/>
    <w:rsid w:val="006A0F77"/>
    <w:rsid w:val="006A11FD"/>
    <w:rsid w:val="006A15B5"/>
    <w:rsid w:val="006A17D2"/>
    <w:rsid w:val="006A2490"/>
    <w:rsid w:val="006A288E"/>
    <w:rsid w:val="006A3B33"/>
    <w:rsid w:val="006A3EE1"/>
    <w:rsid w:val="006A4B8C"/>
    <w:rsid w:val="006A508B"/>
    <w:rsid w:val="006A538E"/>
    <w:rsid w:val="006A5570"/>
    <w:rsid w:val="006A58D1"/>
    <w:rsid w:val="006A6DB8"/>
    <w:rsid w:val="006A6E1A"/>
    <w:rsid w:val="006A70B4"/>
    <w:rsid w:val="006A73E6"/>
    <w:rsid w:val="006A7408"/>
    <w:rsid w:val="006A7764"/>
    <w:rsid w:val="006B00DA"/>
    <w:rsid w:val="006B0169"/>
    <w:rsid w:val="006B05D1"/>
    <w:rsid w:val="006B0F2E"/>
    <w:rsid w:val="006B130C"/>
    <w:rsid w:val="006B17B3"/>
    <w:rsid w:val="006B22C0"/>
    <w:rsid w:val="006B231D"/>
    <w:rsid w:val="006B248C"/>
    <w:rsid w:val="006B2623"/>
    <w:rsid w:val="006B265D"/>
    <w:rsid w:val="006B295E"/>
    <w:rsid w:val="006B2D5C"/>
    <w:rsid w:val="006B37DA"/>
    <w:rsid w:val="006B3BC7"/>
    <w:rsid w:val="006B4324"/>
    <w:rsid w:val="006B50D6"/>
    <w:rsid w:val="006B544B"/>
    <w:rsid w:val="006B5C2E"/>
    <w:rsid w:val="006B5FBA"/>
    <w:rsid w:val="006B6D64"/>
    <w:rsid w:val="006B6FFA"/>
    <w:rsid w:val="006B7AD6"/>
    <w:rsid w:val="006C030E"/>
    <w:rsid w:val="006C0F5D"/>
    <w:rsid w:val="006C0F95"/>
    <w:rsid w:val="006C116A"/>
    <w:rsid w:val="006C11E8"/>
    <w:rsid w:val="006C1815"/>
    <w:rsid w:val="006C2346"/>
    <w:rsid w:val="006C2B38"/>
    <w:rsid w:val="006C3179"/>
    <w:rsid w:val="006C4233"/>
    <w:rsid w:val="006C448A"/>
    <w:rsid w:val="006C4596"/>
    <w:rsid w:val="006C4D48"/>
    <w:rsid w:val="006C4EB1"/>
    <w:rsid w:val="006C523B"/>
    <w:rsid w:val="006C555D"/>
    <w:rsid w:val="006C6E31"/>
    <w:rsid w:val="006C73ED"/>
    <w:rsid w:val="006C7E62"/>
    <w:rsid w:val="006D0195"/>
    <w:rsid w:val="006D01E3"/>
    <w:rsid w:val="006D0424"/>
    <w:rsid w:val="006D070F"/>
    <w:rsid w:val="006D0A9A"/>
    <w:rsid w:val="006D0B44"/>
    <w:rsid w:val="006D0F86"/>
    <w:rsid w:val="006D12A5"/>
    <w:rsid w:val="006D1A3C"/>
    <w:rsid w:val="006D1D69"/>
    <w:rsid w:val="006D2C28"/>
    <w:rsid w:val="006D2CC2"/>
    <w:rsid w:val="006D2D13"/>
    <w:rsid w:val="006D48BB"/>
    <w:rsid w:val="006D52FC"/>
    <w:rsid w:val="006D562F"/>
    <w:rsid w:val="006D5D5D"/>
    <w:rsid w:val="006D605A"/>
    <w:rsid w:val="006D6E36"/>
    <w:rsid w:val="006D6FD5"/>
    <w:rsid w:val="006D7976"/>
    <w:rsid w:val="006D7A08"/>
    <w:rsid w:val="006E00AB"/>
    <w:rsid w:val="006E0166"/>
    <w:rsid w:val="006E0404"/>
    <w:rsid w:val="006E0DF6"/>
    <w:rsid w:val="006E0F9B"/>
    <w:rsid w:val="006E0FB2"/>
    <w:rsid w:val="006E1163"/>
    <w:rsid w:val="006E1407"/>
    <w:rsid w:val="006E18B8"/>
    <w:rsid w:val="006E2E6B"/>
    <w:rsid w:val="006E309F"/>
    <w:rsid w:val="006E30DB"/>
    <w:rsid w:val="006E35A0"/>
    <w:rsid w:val="006E3733"/>
    <w:rsid w:val="006E37D3"/>
    <w:rsid w:val="006E4B61"/>
    <w:rsid w:val="006E4CCE"/>
    <w:rsid w:val="006E5C58"/>
    <w:rsid w:val="006E6048"/>
    <w:rsid w:val="006E67F6"/>
    <w:rsid w:val="006E6945"/>
    <w:rsid w:val="006E6C78"/>
    <w:rsid w:val="006E6F1E"/>
    <w:rsid w:val="006E7B34"/>
    <w:rsid w:val="006E7EA4"/>
    <w:rsid w:val="006F157C"/>
    <w:rsid w:val="006F1601"/>
    <w:rsid w:val="006F1716"/>
    <w:rsid w:val="006F2155"/>
    <w:rsid w:val="006F2580"/>
    <w:rsid w:val="006F3590"/>
    <w:rsid w:val="006F3597"/>
    <w:rsid w:val="006F374D"/>
    <w:rsid w:val="006F41F1"/>
    <w:rsid w:val="006F5590"/>
    <w:rsid w:val="006F5723"/>
    <w:rsid w:val="006F57AE"/>
    <w:rsid w:val="006F672E"/>
    <w:rsid w:val="006F6BFD"/>
    <w:rsid w:val="006F6DFD"/>
    <w:rsid w:val="006F6EE6"/>
    <w:rsid w:val="006F7488"/>
    <w:rsid w:val="0070045F"/>
    <w:rsid w:val="00700471"/>
    <w:rsid w:val="00700940"/>
    <w:rsid w:val="00700BCA"/>
    <w:rsid w:val="00700C65"/>
    <w:rsid w:val="00700E42"/>
    <w:rsid w:val="00701487"/>
    <w:rsid w:val="007015C1"/>
    <w:rsid w:val="00701610"/>
    <w:rsid w:val="007016FE"/>
    <w:rsid w:val="00701B24"/>
    <w:rsid w:val="00702565"/>
    <w:rsid w:val="007025EB"/>
    <w:rsid w:val="0070267B"/>
    <w:rsid w:val="00702A7C"/>
    <w:rsid w:val="00702CC5"/>
    <w:rsid w:val="00702CD7"/>
    <w:rsid w:val="00702DE6"/>
    <w:rsid w:val="00702EA5"/>
    <w:rsid w:val="00703320"/>
    <w:rsid w:val="00703F16"/>
    <w:rsid w:val="00703F90"/>
    <w:rsid w:val="0070404E"/>
    <w:rsid w:val="00704098"/>
    <w:rsid w:val="0070456C"/>
    <w:rsid w:val="00704B18"/>
    <w:rsid w:val="00704B88"/>
    <w:rsid w:val="007059E7"/>
    <w:rsid w:val="00705FAC"/>
    <w:rsid w:val="0070603C"/>
    <w:rsid w:val="00706347"/>
    <w:rsid w:val="00706591"/>
    <w:rsid w:val="00706698"/>
    <w:rsid w:val="00706D7E"/>
    <w:rsid w:val="00707486"/>
    <w:rsid w:val="00707A5C"/>
    <w:rsid w:val="00707BAF"/>
    <w:rsid w:val="00707E8E"/>
    <w:rsid w:val="00710376"/>
    <w:rsid w:val="00710ED5"/>
    <w:rsid w:val="00711137"/>
    <w:rsid w:val="00711F7B"/>
    <w:rsid w:val="00713759"/>
    <w:rsid w:val="007140C0"/>
    <w:rsid w:val="00714711"/>
    <w:rsid w:val="00715928"/>
    <w:rsid w:val="00716A38"/>
    <w:rsid w:val="00716BEC"/>
    <w:rsid w:val="00716D62"/>
    <w:rsid w:val="0071747A"/>
    <w:rsid w:val="00717B70"/>
    <w:rsid w:val="0072003B"/>
    <w:rsid w:val="007201F0"/>
    <w:rsid w:val="0072130B"/>
    <w:rsid w:val="00721ABD"/>
    <w:rsid w:val="00721AC2"/>
    <w:rsid w:val="00722293"/>
    <w:rsid w:val="0072287B"/>
    <w:rsid w:val="00722990"/>
    <w:rsid w:val="00722EC5"/>
    <w:rsid w:val="0072335A"/>
    <w:rsid w:val="007237C3"/>
    <w:rsid w:val="0072472F"/>
    <w:rsid w:val="007247E2"/>
    <w:rsid w:val="007258C2"/>
    <w:rsid w:val="00725D2B"/>
    <w:rsid w:val="00727D80"/>
    <w:rsid w:val="00730731"/>
    <w:rsid w:val="0073104E"/>
    <w:rsid w:val="00731457"/>
    <w:rsid w:val="00731DA0"/>
    <w:rsid w:val="00733573"/>
    <w:rsid w:val="00733C24"/>
    <w:rsid w:val="007354E7"/>
    <w:rsid w:val="007359CB"/>
    <w:rsid w:val="00736389"/>
    <w:rsid w:val="00737421"/>
    <w:rsid w:val="00737A15"/>
    <w:rsid w:val="00737D1C"/>
    <w:rsid w:val="007400D8"/>
    <w:rsid w:val="00741346"/>
    <w:rsid w:val="0074145C"/>
    <w:rsid w:val="00741D4C"/>
    <w:rsid w:val="0074296A"/>
    <w:rsid w:val="007433B0"/>
    <w:rsid w:val="0074342D"/>
    <w:rsid w:val="0074375D"/>
    <w:rsid w:val="007451C8"/>
    <w:rsid w:val="0074535C"/>
    <w:rsid w:val="0074572F"/>
    <w:rsid w:val="0074581C"/>
    <w:rsid w:val="00745899"/>
    <w:rsid w:val="00745BEA"/>
    <w:rsid w:val="007472CA"/>
    <w:rsid w:val="007475F5"/>
    <w:rsid w:val="00750078"/>
    <w:rsid w:val="00750568"/>
    <w:rsid w:val="0075074D"/>
    <w:rsid w:val="00750BB6"/>
    <w:rsid w:val="00750E1A"/>
    <w:rsid w:val="007510D4"/>
    <w:rsid w:val="00751379"/>
    <w:rsid w:val="0075164B"/>
    <w:rsid w:val="00752604"/>
    <w:rsid w:val="0075274A"/>
    <w:rsid w:val="00752844"/>
    <w:rsid w:val="0075330C"/>
    <w:rsid w:val="00753374"/>
    <w:rsid w:val="007538FC"/>
    <w:rsid w:val="00754A2A"/>
    <w:rsid w:val="00754E95"/>
    <w:rsid w:val="007552CC"/>
    <w:rsid w:val="00755F05"/>
    <w:rsid w:val="007561AD"/>
    <w:rsid w:val="007569B0"/>
    <w:rsid w:val="00756D00"/>
    <w:rsid w:val="007570FA"/>
    <w:rsid w:val="00757D5A"/>
    <w:rsid w:val="00757F66"/>
    <w:rsid w:val="007603A3"/>
    <w:rsid w:val="007605EC"/>
    <w:rsid w:val="007607C4"/>
    <w:rsid w:val="007607EC"/>
    <w:rsid w:val="007611A5"/>
    <w:rsid w:val="00761A58"/>
    <w:rsid w:val="00761AA5"/>
    <w:rsid w:val="00761FA1"/>
    <w:rsid w:val="007628EE"/>
    <w:rsid w:val="00762A2F"/>
    <w:rsid w:val="00762BA9"/>
    <w:rsid w:val="0076408D"/>
    <w:rsid w:val="00764470"/>
    <w:rsid w:val="00764912"/>
    <w:rsid w:val="0076495F"/>
    <w:rsid w:val="007649AF"/>
    <w:rsid w:val="00764B3B"/>
    <w:rsid w:val="00765584"/>
    <w:rsid w:val="00765CB7"/>
    <w:rsid w:val="0076643F"/>
    <w:rsid w:val="007676F5"/>
    <w:rsid w:val="007707B4"/>
    <w:rsid w:val="00770D4B"/>
    <w:rsid w:val="00771045"/>
    <w:rsid w:val="0077118F"/>
    <w:rsid w:val="00771205"/>
    <w:rsid w:val="00771730"/>
    <w:rsid w:val="00771B62"/>
    <w:rsid w:val="00773C5A"/>
    <w:rsid w:val="00774375"/>
    <w:rsid w:val="007744CC"/>
    <w:rsid w:val="0077454A"/>
    <w:rsid w:val="00774C36"/>
    <w:rsid w:val="00775B53"/>
    <w:rsid w:val="00776561"/>
    <w:rsid w:val="007769BE"/>
    <w:rsid w:val="007771C5"/>
    <w:rsid w:val="007775C0"/>
    <w:rsid w:val="007776FF"/>
    <w:rsid w:val="00777846"/>
    <w:rsid w:val="0078069F"/>
    <w:rsid w:val="007809DA"/>
    <w:rsid w:val="00780BCB"/>
    <w:rsid w:val="00780ED7"/>
    <w:rsid w:val="00781C89"/>
    <w:rsid w:val="007820A7"/>
    <w:rsid w:val="007820BB"/>
    <w:rsid w:val="00782E68"/>
    <w:rsid w:val="0078426B"/>
    <w:rsid w:val="00784600"/>
    <w:rsid w:val="00784694"/>
    <w:rsid w:val="00784DE5"/>
    <w:rsid w:val="00784FEC"/>
    <w:rsid w:val="00785522"/>
    <w:rsid w:val="007855C3"/>
    <w:rsid w:val="0078587E"/>
    <w:rsid w:val="0078595F"/>
    <w:rsid w:val="00785EE3"/>
    <w:rsid w:val="00785F8D"/>
    <w:rsid w:val="00786501"/>
    <w:rsid w:val="007870A2"/>
    <w:rsid w:val="0078761D"/>
    <w:rsid w:val="00787CDF"/>
    <w:rsid w:val="00787D57"/>
    <w:rsid w:val="00790499"/>
    <w:rsid w:val="00791124"/>
    <w:rsid w:val="007913F7"/>
    <w:rsid w:val="00791BF2"/>
    <w:rsid w:val="00792021"/>
    <w:rsid w:val="007928DA"/>
    <w:rsid w:val="00792EA6"/>
    <w:rsid w:val="00793A12"/>
    <w:rsid w:val="0079416E"/>
    <w:rsid w:val="00794415"/>
    <w:rsid w:val="00794A4E"/>
    <w:rsid w:val="00794E14"/>
    <w:rsid w:val="0079513F"/>
    <w:rsid w:val="00795940"/>
    <w:rsid w:val="00795B5E"/>
    <w:rsid w:val="00795E01"/>
    <w:rsid w:val="00796E7A"/>
    <w:rsid w:val="007977A5"/>
    <w:rsid w:val="00797969"/>
    <w:rsid w:val="00797AE7"/>
    <w:rsid w:val="007A13D7"/>
    <w:rsid w:val="007A17C8"/>
    <w:rsid w:val="007A18EB"/>
    <w:rsid w:val="007A1B40"/>
    <w:rsid w:val="007A22A0"/>
    <w:rsid w:val="007A2423"/>
    <w:rsid w:val="007A281C"/>
    <w:rsid w:val="007A2BD9"/>
    <w:rsid w:val="007A2EC7"/>
    <w:rsid w:val="007A2F70"/>
    <w:rsid w:val="007A3293"/>
    <w:rsid w:val="007A329D"/>
    <w:rsid w:val="007A3478"/>
    <w:rsid w:val="007A4240"/>
    <w:rsid w:val="007A4760"/>
    <w:rsid w:val="007A4980"/>
    <w:rsid w:val="007A5158"/>
    <w:rsid w:val="007A51E3"/>
    <w:rsid w:val="007A52E1"/>
    <w:rsid w:val="007A57A6"/>
    <w:rsid w:val="007A5893"/>
    <w:rsid w:val="007A5E25"/>
    <w:rsid w:val="007A5F7F"/>
    <w:rsid w:val="007A636F"/>
    <w:rsid w:val="007A6385"/>
    <w:rsid w:val="007A6474"/>
    <w:rsid w:val="007A7F31"/>
    <w:rsid w:val="007B030C"/>
    <w:rsid w:val="007B04BF"/>
    <w:rsid w:val="007B0DBB"/>
    <w:rsid w:val="007B1494"/>
    <w:rsid w:val="007B186C"/>
    <w:rsid w:val="007B19A1"/>
    <w:rsid w:val="007B19FE"/>
    <w:rsid w:val="007B1A01"/>
    <w:rsid w:val="007B1B6A"/>
    <w:rsid w:val="007B1BD2"/>
    <w:rsid w:val="007B1D1B"/>
    <w:rsid w:val="007B24E8"/>
    <w:rsid w:val="007B2769"/>
    <w:rsid w:val="007B3C72"/>
    <w:rsid w:val="007B430B"/>
    <w:rsid w:val="007B4826"/>
    <w:rsid w:val="007B499F"/>
    <w:rsid w:val="007B4C00"/>
    <w:rsid w:val="007B54BA"/>
    <w:rsid w:val="007B5867"/>
    <w:rsid w:val="007B6279"/>
    <w:rsid w:val="007B6C22"/>
    <w:rsid w:val="007B6EC4"/>
    <w:rsid w:val="007B762A"/>
    <w:rsid w:val="007B794F"/>
    <w:rsid w:val="007C0F3E"/>
    <w:rsid w:val="007C10AC"/>
    <w:rsid w:val="007C16AB"/>
    <w:rsid w:val="007C1BDE"/>
    <w:rsid w:val="007C1D74"/>
    <w:rsid w:val="007C22DF"/>
    <w:rsid w:val="007C2B7D"/>
    <w:rsid w:val="007C2C3C"/>
    <w:rsid w:val="007C3334"/>
    <w:rsid w:val="007C3481"/>
    <w:rsid w:val="007C3734"/>
    <w:rsid w:val="007C42D5"/>
    <w:rsid w:val="007C4478"/>
    <w:rsid w:val="007C4F1C"/>
    <w:rsid w:val="007C50F6"/>
    <w:rsid w:val="007C52BB"/>
    <w:rsid w:val="007C52EB"/>
    <w:rsid w:val="007C5476"/>
    <w:rsid w:val="007C58E8"/>
    <w:rsid w:val="007C6630"/>
    <w:rsid w:val="007C664F"/>
    <w:rsid w:val="007C7402"/>
    <w:rsid w:val="007C757E"/>
    <w:rsid w:val="007C769E"/>
    <w:rsid w:val="007C798F"/>
    <w:rsid w:val="007C7B95"/>
    <w:rsid w:val="007D0207"/>
    <w:rsid w:val="007D0309"/>
    <w:rsid w:val="007D06CB"/>
    <w:rsid w:val="007D071A"/>
    <w:rsid w:val="007D08BD"/>
    <w:rsid w:val="007D105B"/>
    <w:rsid w:val="007D19F0"/>
    <w:rsid w:val="007D20CF"/>
    <w:rsid w:val="007D278F"/>
    <w:rsid w:val="007D2B98"/>
    <w:rsid w:val="007D2FEE"/>
    <w:rsid w:val="007D33BE"/>
    <w:rsid w:val="007D362A"/>
    <w:rsid w:val="007D3E9B"/>
    <w:rsid w:val="007D4A55"/>
    <w:rsid w:val="007D4C93"/>
    <w:rsid w:val="007D4CD9"/>
    <w:rsid w:val="007D4FA5"/>
    <w:rsid w:val="007D5671"/>
    <w:rsid w:val="007D5A45"/>
    <w:rsid w:val="007D69AC"/>
    <w:rsid w:val="007D7C72"/>
    <w:rsid w:val="007D7E06"/>
    <w:rsid w:val="007E048D"/>
    <w:rsid w:val="007E13CE"/>
    <w:rsid w:val="007E160F"/>
    <w:rsid w:val="007E1856"/>
    <w:rsid w:val="007E2569"/>
    <w:rsid w:val="007E271D"/>
    <w:rsid w:val="007E2AC2"/>
    <w:rsid w:val="007E2C05"/>
    <w:rsid w:val="007E2CB3"/>
    <w:rsid w:val="007E33C3"/>
    <w:rsid w:val="007E350C"/>
    <w:rsid w:val="007E42C4"/>
    <w:rsid w:val="007E5338"/>
    <w:rsid w:val="007E59F7"/>
    <w:rsid w:val="007E5CC7"/>
    <w:rsid w:val="007E5EEF"/>
    <w:rsid w:val="007E6DAC"/>
    <w:rsid w:val="007E6E64"/>
    <w:rsid w:val="007E715E"/>
    <w:rsid w:val="007E783F"/>
    <w:rsid w:val="007F05E6"/>
    <w:rsid w:val="007F074A"/>
    <w:rsid w:val="007F1641"/>
    <w:rsid w:val="007F210C"/>
    <w:rsid w:val="007F39A0"/>
    <w:rsid w:val="007F410D"/>
    <w:rsid w:val="007F4167"/>
    <w:rsid w:val="007F42BF"/>
    <w:rsid w:val="007F4652"/>
    <w:rsid w:val="007F4A54"/>
    <w:rsid w:val="007F4B82"/>
    <w:rsid w:val="007F4F2C"/>
    <w:rsid w:val="007F4FE2"/>
    <w:rsid w:val="007F51EF"/>
    <w:rsid w:val="007F5CD1"/>
    <w:rsid w:val="007F6BB0"/>
    <w:rsid w:val="007F701E"/>
    <w:rsid w:val="008007AE"/>
    <w:rsid w:val="00800983"/>
    <w:rsid w:val="00800C25"/>
    <w:rsid w:val="00800E57"/>
    <w:rsid w:val="00800F71"/>
    <w:rsid w:val="00801880"/>
    <w:rsid w:val="00801B96"/>
    <w:rsid w:val="00801C7F"/>
    <w:rsid w:val="00802A23"/>
    <w:rsid w:val="00802DDA"/>
    <w:rsid w:val="0080393B"/>
    <w:rsid w:val="00803C4E"/>
    <w:rsid w:val="00803F1C"/>
    <w:rsid w:val="00804686"/>
    <w:rsid w:val="008053D5"/>
    <w:rsid w:val="0080600E"/>
    <w:rsid w:val="00806658"/>
    <w:rsid w:val="0080677A"/>
    <w:rsid w:val="00807549"/>
    <w:rsid w:val="008101A8"/>
    <w:rsid w:val="0081181A"/>
    <w:rsid w:val="0081256B"/>
    <w:rsid w:val="00812C8D"/>
    <w:rsid w:val="00812EAF"/>
    <w:rsid w:val="0081365E"/>
    <w:rsid w:val="00814843"/>
    <w:rsid w:val="008150B2"/>
    <w:rsid w:val="00816E06"/>
    <w:rsid w:val="0081728E"/>
    <w:rsid w:val="00817612"/>
    <w:rsid w:val="00817884"/>
    <w:rsid w:val="00817967"/>
    <w:rsid w:val="00817D2F"/>
    <w:rsid w:val="00820334"/>
    <w:rsid w:val="008204AE"/>
    <w:rsid w:val="00820573"/>
    <w:rsid w:val="00820D73"/>
    <w:rsid w:val="008215C0"/>
    <w:rsid w:val="008218A2"/>
    <w:rsid w:val="00821F4B"/>
    <w:rsid w:val="00823A91"/>
    <w:rsid w:val="008245AD"/>
    <w:rsid w:val="00824ACC"/>
    <w:rsid w:val="00824B62"/>
    <w:rsid w:val="00825952"/>
    <w:rsid w:val="00825B7F"/>
    <w:rsid w:val="008277A8"/>
    <w:rsid w:val="00827DB7"/>
    <w:rsid w:val="00830C92"/>
    <w:rsid w:val="00830E88"/>
    <w:rsid w:val="008315C5"/>
    <w:rsid w:val="008316A7"/>
    <w:rsid w:val="008317DA"/>
    <w:rsid w:val="00831D65"/>
    <w:rsid w:val="00831E89"/>
    <w:rsid w:val="00832398"/>
    <w:rsid w:val="00834FC9"/>
    <w:rsid w:val="008357F6"/>
    <w:rsid w:val="00835A28"/>
    <w:rsid w:val="00835BDD"/>
    <w:rsid w:val="00835F5A"/>
    <w:rsid w:val="00836223"/>
    <w:rsid w:val="00836E5C"/>
    <w:rsid w:val="0083716D"/>
    <w:rsid w:val="008373B6"/>
    <w:rsid w:val="008379F8"/>
    <w:rsid w:val="00837A50"/>
    <w:rsid w:val="00837C45"/>
    <w:rsid w:val="00837EDD"/>
    <w:rsid w:val="0084043E"/>
    <w:rsid w:val="00840923"/>
    <w:rsid w:val="008414A3"/>
    <w:rsid w:val="008417E4"/>
    <w:rsid w:val="008422DA"/>
    <w:rsid w:val="00842441"/>
    <w:rsid w:val="008426FE"/>
    <w:rsid w:val="0084302E"/>
    <w:rsid w:val="00843C1B"/>
    <w:rsid w:val="00843E8C"/>
    <w:rsid w:val="008448B4"/>
    <w:rsid w:val="0084554C"/>
    <w:rsid w:val="008456F3"/>
    <w:rsid w:val="008459C2"/>
    <w:rsid w:val="00845C1A"/>
    <w:rsid w:val="0084649B"/>
    <w:rsid w:val="00846865"/>
    <w:rsid w:val="00846B2C"/>
    <w:rsid w:val="00846D39"/>
    <w:rsid w:val="008472FB"/>
    <w:rsid w:val="008473B2"/>
    <w:rsid w:val="00847431"/>
    <w:rsid w:val="00847A8B"/>
    <w:rsid w:val="00847B26"/>
    <w:rsid w:val="0085016E"/>
    <w:rsid w:val="00850933"/>
    <w:rsid w:val="008509CC"/>
    <w:rsid w:val="008514E9"/>
    <w:rsid w:val="0085268D"/>
    <w:rsid w:val="00852C3A"/>
    <w:rsid w:val="00852C75"/>
    <w:rsid w:val="0085323F"/>
    <w:rsid w:val="00853419"/>
    <w:rsid w:val="00853512"/>
    <w:rsid w:val="008536EC"/>
    <w:rsid w:val="00853A23"/>
    <w:rsid w:val="00853F53"/>
    <w:rsid w:val="00854FE3"/>
    <w:rsid w:val="00855876"/>
    <w:rsid w:val="008560E1"/>
    <w:rsid w:val="00856256"/>
    <w:rsid w:val="008573A3"/>
    <w:rsid w:val="00860233"/>
    <w:rsid w:val="00860A02"/>
    <w:rsid w:val="00860C50"/>
    <w:rsid w:val="00861437"/>
    <w:rsid w:val="0086147D"/>
    <w:rsid w:val="00861972"/>
    <w:rsid w:val="00861D01"/>
    <w:rsid w:val="00861E51"/>
    <w:rsid w:val="00861EC2"/>
    <w:rsid w:val="00861F6D"/>
    <w:rsid w:val="008628FD"/>
    <w:rsid w:val="00863229"/>
    <w:rsid w:val="00863E9F"/>
    <w:rsid w:val="00864785"/>
    <w:rsid w:val="00865279"/>
    <w:rsid w:val="00865368"/>
    <w:rsid w:val="00865379"/>
    <w:rsid w:val="0086581A"/>
    <w:rsid w:val="00865C9B"/>
    <w:rsid w:val="0086628D"/>
    <w:rsid w:val="008665EC"/>
    <w:rsid w:val="008669E2"/>
    <w:rsid w:val="00866D7E"/>
    <w:rsid w:val="008676D3"/>
    <w:rsid w:val="008678EF"/>
    <w:rsid w:val="00867B70"/>
    <w:rsid w:val="00867DA3"/>
    <w:rsid w:val="0087014C"/>
    <w:rsid w:val="00871372"/>
    <w:rsid w:val="00871656"/>
    <w:rsid w:val="00871EBE"/>
    <w:rsid w:val="00873D49"/>
    <w:rsid w:val="008741A2"/>
    <w:rsid w:val="008745BF"/>
    <w:rsid w:val="00874BEE"/>
    <w:rsid w:val="00875128"/>
    <w:rsid w:val="00875ABB"/>
    <w:rsid w:val="00875EC6"/>
    <w:rsid w:val="00876085"/>
    <w:rsid w:val="00877E1B"/>
    <w:rsid w:val="0088011F"/>
    <w:rsid w:val="00880395"/>
    <w:rsid w:val="00880B21"/>
    <w:rsid w:val="00880F95"/>
    <w:rsid w:val="0088253F"/>
    <w:rsid w:val="00882952"/>
    <w:rsid w:val="00882C32"/>
    <w:rsid w:val="0088373B"/>
    <w:rsid w:val="00883E89"/>
    <w:rsid w:val="00883EA4"/>
    <w:rsid w:val="00884270"/>
    <w:rsid w:val="00885063"/>
    <w:rsid w:val="008869BA"/>
    <w:rsid w:val="00886C29"/>
    <w:rsid w:val="00887B7D"/>
    <w:rsid w:val="00887E8A"/>
    <w:rsid w:val="008903D5"/>
    <w:rsid w:val="0089156D"/>
    <w:rsid w:val="008917C2"/>
    <w:rsid w:val="00892E68"/>
    <w:rsid w:val="00893298"/>
    <w:rsid w:val="00893A3F"/>
    <w:rsid w:val="00893E24"/>
    <w:rsid w:val="00893E44"/>
    <w:rsid w:val="008945B4"/>
    <w:rsid w:val="008950C5"/>
    <w:rsid w:val="0089514B"/>
    <w:rsid w:val="00895C72"/>
    <w:rsid w:val="008969D3"/>
    <w:rsid w:val="00896EC2"/>
    <w:rsid w:val="008971D8"/>
    <w:rsid w:val="00897A3D"/>
    <w:rsid w:val="00897E12"/>
    <w:rsid w:val="008A065A"/>
    <w:rsid w:val="008A0A23"/>
    <w:rsid w:val="008A1C4B"/>
    <w:rsid w:val="008A2C74"/>
    <w:rsid w:val="008A3434"/>
    <w:rsid w:val="008A36FA"/>
    <w:rsid w:val="008A4FAC"/>
    <w:rsid w:val="008A5A80"/>
    <w:rsid w:val="008A5BF4"/>
    <w:rsid w:val="008A5F54"/>
    <w:rsid w:val="008A6043"/>
    <w:rsid w:val="008A6435"/>
    <w:rsid w:val="008A645F"/>
    <w:rsid w:val="008A67CF"/>
    <w:rsid w:val="008A694A"/>
    <w:rsid w:val="008A6DA2"/>
    <w:rsid w:val="008A7460"/>
    <w:rsid w:val="008A7E83"/>
    <w:rsid w:val="008A7F97"/>
    <w:rsid w:val="008A7FC7"/>
    <w:rsid w:val="008B01DF"/>
    <w:rsid w:val="008B03ED"/>
    <w:rsid w:val="008B0E6D"/>
    <w:rsid w:val="008B0EE7"/>
    <w:rsid w:val="008B14CB"/>
    <w:rsid w:val="008B1CA7"/>
    <w:rsid w:val="008B1EF4"/>
    <w:rsid w:val="008B24D5"/>
    <w:rsid w:val="008B25FC"/>
    <w:rsid w:val="008B2DA9"/>
    <w:rsid w:val="008B3466"/>
    <w:rsid w:val="008B44C5"/>
    <w:rsid w:val="008B4CBD"/>
    <w:rsid w:val="008B5124"/>
    <w:rsid w:val="008B768E"/>
    <w:rsid w:val="008B7B3C"/>
    <w:rsid w:val="008C00EE"/>
    <w:rsid w:val="008C05DD"/>
    <w:rsid w:val="008C067C"/>
    <w:rsid w:val="008C2789"/>
    <w:rsid w:val="008C2DF6"/>
    <w:rsid w:val="008C3182"/>
    <w:rsid w:val="008C3B28"/>
    <w:rsid w:val="008C4234"/>
    <w:rsid w:val="008C5978"/>
    <w:rsid w:val="008C606A"/>
    <w:rsid w:val="008C698C"/>
    <w:rsid w:val="008C6F82"/>
    <w:rsid w:val="008C6FC4"/>
    <w:rsid w:val="008C7564"/>
    <w:rsid w:val="008C7643"/>
    <w:rsid w:val="008D02D4"/>
    <w:rsid w:val="008D0556"/>
    <w:rsid w:val="008D07D4"/>
    <w:rsid w:val="008D0D4E"/>
    <w:rsid w:val="008D0DD0"/>
    <w:rsid w:val="008D1734"/>
    <w:rsid w:val="008D2272"/>
    <w:rsid w:val="008D287A"/>
    <w:rsid w:val="008D2EA5"/>
    <w:rsid w:val="008D307A"/>
    <w:rsid w:val="008D33C9"/>
    <w:rsid w:val="008D344B"/>
    <w:rsid w:val="008D3D62"/>
    <w:rsid w:val="008D3D6F"/>
    <w:rsid w:val="008D3DF6"/>
    <w:rsid w:val="008D4228"/>
    <w:rsid w:val="008D43BA"/>
    <w:rsid w:val="008D4651"/>
    <w:rsid w:val="008D4F11"/>
    <w:rsid w:val="008D6086"/>
    <w:rsid w:val="008D61F5"/>
    <w:rsid w:val="008D6249"/>
    <w:rsid w:val="008D7317"/>
    <w:rsid w:val="008D7623"/>
    <w:rsid w:val="008D7DF4"/>
    <w:rsid w:val="008E06C9"/>
    <w:rsid w:val="008E0A77"/>
    <w:rsid w:val="008E10AE"/>
    <w:rsid w:val="008E164D"/>
    <w:rsid w:val="008E168D"/>
    <w:rsid w:val="008E211D"/>
    <w:rsid w:val="008E33FB"/>
    <w:rsid w:val="008E3759"/>
    <w:rsid w:val="008E3EE8"/>
    <w:rsid w:val="008E45EF"/>
    <w:rsid w:val="008E53E4"/>
    <w:rsid w:val="008E5615"/>
    <w:rsid w:val="008E57D1"/>
    <w:rsid w:val="008E6153"/>
    <w:rsid w:val="008E62A4"/>
    <w:rsid w:val="008E71E6"/>
    <w:rsid w:val="008F166D"/>
    <w:rsid w:val="008F2796"/>
    <w:rsid w:val="008F298E"/>
    <w:rsid w:val="008F2A35"/>
    <w:rsid w:val="008F2A73"/>
    <w:rsid w:val="008F2E03"/>
    <w:rsid w:val="008F2E1C"/>
    <w:rsid w:val="008F3B12"/>
    <w:rsid w:val="008F3BF9"/>
    <w:rsid w:val="008F3C7F"/>
    <w:rsid w:val="008F3E4A"/>
    <w:rsid w:val="008F4101"/>
    <w:rsid w:val="008F4522"/>
    <w:rsid w:val="008F49E6"/>
    <w:rsid w:val="008F4A17"/>
    <w:rsid w:val="008F4A4D"/>
    <w:rsid w:val="008F559D"/>
    <w:rsid w:val="008F575C"/>
    <w:rsid w:val="008F6014"/>
    <w:rsid w:val="008F60C5"/>
    <w:rsid w:val="008F7B4C"/>
    <w:rsid w:val="008F7D51"/>
    <w:rsid w:val="008F7F3F"/>
    <w:rsid w:val="00900365"/>
    <w:rsid w:val="00900729"/>
    <w:rsid w:val="00900D01"/>
    <w:rsid w:val="00900D86"/>
    <w:rsid w:val="009021D6"/>
    <w:rsid w:val="00902C3B"/>
    <w:rsid w:val="00902D58"/>
    <w:rsid w:val="009039DC"/>
    <w:rsid w:val="00903BE6"/>
    <w:rsid w:val="009041DC"/>
    <w:rsid w:val="009043CE"/>
    <w:rsid w:val="009047EE"/>
    <w:rsid w:val="00904B4B"/>
    <w:rsid w:val="009062C5"/>
    <w:rsid w:val="0090640F"/>
    <w:rsid w:val="009065A1"/>
    <w:rsid w:val="00906679"/>
    <w:rsid w:val="0090668D"/>
    <w:rsid w:val="009104B4"/>
    <w:rsid w:val="009110B9"/>
    <w:rsid w:val="009111FF"/>
    <w:rsid w:val="00912171"/>
    <w:rsid w:val="00912195"/>
    <w:rsid w:val="00912523"/>
    <w:rsid w:val="00912642"/>
    <w:rsid w:val="00913018"/>
    <w:rsid w:val="00913B6D"/>
    <w:rsid w:val="0091418E"/>
    <w:rsid w:val="00915CDE"/>
    <w:rsid w:val="00915FDE"/>
    <w:rsid w:val="0091627C"/>
    <w:rsid w:val="0091677E"/>
    <w:rsid w:val="0091728F"/>
    <w:rsid w:val="0091789D"/>
    <w:rsid w:val="00917F4B"/>
    <w:rsid w:val="00920A6E"/>
    <w:rsid w:val="00921023"/>
    <w:rsid w:val="009214A7"/>
    <w:rsid w:val="009214C8"/>
    <w:rsid w:val="00921DC6"/>
    <w:rsid w:val="00922A9F"/>
    <w:rsid w:val="00922B74"/>
    <w:rsid w:val="00922E4D"/>
    <w:rsid w:val="0092346B"/>
    <w:rsid w:val="00923561"/>
    <w:rsid w:val="00923920"/>
    <w:rsid w:val="00923E54"/>
    <w:rsid w:val="00923EA6"/>
    <w:rsid w:val="00924F0A"/>
    <w:rsid w:val="00925FCD"/>
    <w:rsid w:val="00927B0B"/>
    <w:rsid w:val="00927B93"/>
    <w:rsid w:val="009300A7"/>
    <w:rsid w:val="0093035E"/>
    <w:rsid w:val="00930A5D"/>
    <w:rsid w:val="00930ED0"/>
    <w:rsid w:val="009315CD"/>
    <w:rsid w:val="009320F5"/>
    <w:rsid w:val="009322FE"/>
    <w:rsid w:val="009327B8"/>
    <w:rsid w:val="00932B67"/>
    <w:rsid w:val="009330E1"/>
    <w:rsid w:val="00933441"/>
    <w:rsid w:val="00933621"/>
    <w:rsid w:val="0093441A"/>
    <w:rsid w:val="00934829"/>
    <w:rsid w:val="00935244"/>
    <w:rsid w:val="009356F2"/>
    <w:rsid w:val="00935735"/>
    <w:rsid w:val="009359E3"/>
    <w:rsid w:val="00935A29"/>
    <w:rsid w:val="00936C4F"/>
    <w:rsid w:val="0093721A"/>
    <w:rsid w:val="00937CFA"/>
    <w:rsid w:val="00940D0A"/>
    <w:rsid w:val="009412E0"/>
    <w:rsid w:val="00941393"/>
    <w:rsid w:val="0094199B"/>
    <w:rsid w:val="00942138"/>
    <w:rsid w:val="009424BD"/>
    <w:rsid w:val="0094253B"/>
    <w:rsid w:val="00942AA6"/>
    <w:rsid w:val="00942AF8"/>
    <w:rsid w:val="00942BBC"/>
    <w:rsid w:val="009435DC"/>
    <w:rsid w:val="00943E51"/>
    <w:rsid w:val="00944486"/>
    <w:rsid w:val="0094598C"/>
    <w:rsid w:val="00945F51"/>
    <w:rsid w:val="00946729"/>
    <w:rsid w:val="00946C8B"/>
    <w:rsid w:val="0094702E"/>
    <w:rsid w:val="00947215"/>
    <w:rsid w:val="00947306"/>
    <w:rsid w:val="00947B86"/>
    <w:rsid w:val="00950120"/>
    <w:rsid w:val="00950D77"/>
    <w:rsid w:val="00951A16"/>
    <w:rsid w:val="00952323"/>
    <w:rsid w:val="00952CAA"/>
    <w:rsid w:val="00952DC4"/>
    <w:rsid w:val="00953A8F"/>
    <w:rsid w:val="00953E5D"/>
    <w:rsid w:val="009544AF"/>
    <w:rsid w:val="0095466D"/>
    <w:rsid w:val="00954BF7"/>
    <w:rsid w:val="00955093"/>
    <w:rsid w:val="009552DA"/>
    <w:rsid w:val="009554F0"/>
    <w:rsid w:val="00955C06"/>
    <w:rsid w:val="00955CB9"/>
    <w:rsid w:val="00955EA3"/>
    <w:rsid w:val="0095641C"/>
    <w:rsid w:val="00956868"/>
    <w:rsid w:val="00956AAD"/>
    <w:rsid w:val="00956D1D"/>
    <w:rsid w:val="0095713F"/>
    <w:rsid w:val="009579D8"/>
    <w:rsid w:val="00957A32"/>
    <w:rsid w:val="00960555"/>
    <w:rsid w:val="00962F1A"/>
    <w:rsid w:val="00963233"/>
    <w:rsid w:val="00964917"/>
    <w:rsid w:val="00964BC4"/>
    <w:rsid w:val="00964E5C"/>
    <w:rsid w:val="00965000"/>
    <w:rsid w:val="009653A0"/>
    <w:rsid w:val="00965F42"/>
    <w:rsid w:val="009661DF"/>
    <w:rsid w:val="009668D9"/>
    <w:rsid w:val="009668E5"/>
    <w:rsid w:val="0096706E"/>
    <w:rsid w:val="00967150"/>
    <w:rsid w:val="009678C3"/>
    <w:rsid w:val="00967987"/>
    <w:rsid w:val="00967996"/>
    <w:rsid w:val="00967ECF"/>
    <w:rsid w:val="00970813"/>
    <w:rsid w:val="00970FD7"/>
    <w:rsid w:val="009714F6"/>
    <w:rsid w:val="009724C3"/>
    <w:rsid w:val="0097261D"/>
    <w:rsid w:val="009729C9"/>
    <w:rsid w:val="00972F48"/>
    <w:rsid w:val="00973675"/>
    <w:rsid w:val="00973798"/>
    <w:rsid w:val="00973E1D"/>
    <w:rsid w:val="009740BE"/>
    <w:rsid w:val="00974B7D"/>
    <w:rsid w:val="009753D7"/>
    <w:rsid w:val="009757D0"/>
    <w:rsid w:val="00976295"/>
    <w:rsid w:val="0097691D"/>
    <w:rsid w:val="00976A35"/>
    <w:rsid w:val="00976D29"/>
    <w:rsid w:val="00976E74"/>
    <w:rsid w:val="0097748D"/>
    <w:rsid w:val="009803A4"/>
    <w:rsid w:val="00981FBA"/>
    <w:rsid w:val="00982E24"/>
    <w:rsid w:val="00983AF6"/>
    <w:rsid w:val="00983D6A"/>
    <w:rsid w:val="00983F8C"/>
    <w:rsid w:val="009843A2"/>
    <w:rsid w:val="0098528B"/>
    <w:rsid w:val="009856D7"/>
    <w:rsid w:val="00985A4B"/>
    <w:rsid w:val="00986129"/>
    <w:rsid w:val="00986662"/>
    <w:rsid w:val="009869B3"/>
    <w:rsid w:val="00986AEE"/>
    <w:rsid w:val="00986FC1"/>
    <w:rsid w:val="009879D3"/>
    <w:rsid w:val="00992B3E"/>
    <w:rsid w:val="00992D3D"/>
    <w:rsid w:val="009937A7"/>
    <w:rsid w:val="00994ECF"/>
    <w:rsid w:val="0099538C"/>
    <w:rsid w:val="009967AF"/>
    <w:rsid w:val="0099714E"/>
    <w:rsid w:val="009974BF"/>
    <w:rsid w:val="009978F5"/>
    <w:rsid w:val="00997C4E"/>
    <w:rsid w:val="00997E99"/>
    <w:rsid w:val="009A01D8"/>
    <w:rsid w:val="009A03E7"/>
    <w:rsid w:val="009A0816"/>
    <w:rsid w:val="009A0B09"/>
    <w:rsid w:val="009A0F04"/>
    <w:rsid w:val="009A1A5D"/>
    <w:rsid w:val="009A1D2A"/>
    <w:rsid w:val="009A28FA"/>
    <w:rsid w:val="009A2A95"/>
    <w:rsid w:val="009A30CA"/>
    <w:rsid w:val="009A3D51"/>
    <w:rsid w:val="009A5765"/>
    <w:rsid w:val="009A6130"/>
    <w:rsid w:val="009A700D"/>
    <w:rsid w:val="009A7953"/>
    <w:rsid w:val="009A7F2B"/>
    <w:rsid w:val="009B074C"/>
    <w:rsid w:val="009B07BE"/>
    <w:rsid w:val="009B0A1C"/>
    <w:rsid w:val="009B1206"/>
    <w:rsid w:val="009B1525"/>
    <w:rsid w:val="009B18E1"/>
    <w:rsid w:val="009B26C8"/>
    <w:rsid w:val="009B2F9E"/>
    <w:rsid w:val="009B351F"/>
    <w:rsid w:val="009B381B"/>
    <w:rsid w:val="009B4705"/>
    <w:rsid w:val="009B4FCA"/>
    <w:rsid w:val="009B5129"/>
    <w:rsid w:val="009B541A"/>
    <w:rsid w:val="009B5D32"/>
    <w:rsid w:val="009B5E0C"/>
    <w:rsid w:val="009B61B2"/>
    <w:rsid w:val="009B6619"/>
    <w:rsid w:val="009B71D5"/>
    <w:rsid w:val="009B74A4"/>
    <w:rsid w:val="009B76BF"/>
    <w:rsid w:val="009B7794"/>
    <w:rsid w:val="009C03AE"/>
    <w:rsid w:val="009C047F"/>
    <w:rsid w:val="009C14DA"/>
    <w:rsid w:val="009C1615"/>
    <w:rsid w:val="009C1691"/>
    <w:rsid w:val="009C180C"/>
    <w:rsid w:val="009C1877"/>
    <w:rsid w:val="009C1D8B"/>
    <w:rsid w:val="009C2F75"/>
    <w:rsid w:val="009C2F9F"/>
    <w:rsid w:val="009C458A"/>
    <w:rsid w:val="009C4893"/>
    <w:rsid w:val="009C4D68"/>
    <w:rsid w:val="009C5559"/>
    <w:rsid w:val="009C59D3"/>
    <w:rsid w:val="009C6457"/>
    <w:rsid w:val="009C70F6"/>
    <w:rsid w:val="009C799E"/>
    <w:rsid w:val="009D0012"/>
    <w:rsid w:val="009D0946"/>
    <w:rsid w:val="009D0DEE"/>
    <w:rsid w:val="009D15C7"/>
    <w:rsid w:val="009D16D3"/>
    <w:rsid w:val="009D173B"/>
    <w:rsid w:val="009D2342"/>
    <w:rsid w:val="009D241E"/>
    <w:rsid w:val="009D280B"/>
    <w:rsid w:val="009D28C4"/>
    <w:rsid w:val="009D2A12"/>
    <w:rsid w:val="009D2BBE"/>
    <w:rsid w:val="009D3728"/>
    <w:rsid w:val="009D44D1"/>
    <w:rsid w:val="009D45F5"/>
    <w:rsid w:val="009D4AFD"/>
    <w:rsid w:val="009D4CF8"/>
    <w:rsid w:val="009D561E"/>
    <w:rsid w:val="009D6116"/>
    <w:rsid w:val="009D62CD"/>
    <w:rsid w:val="009D6CE9"/>
    <w:rsid w:val="009D7611"/>
    <w:rsid w:val="009E075C"/>
    <w:rsid w:val="009E13FA"/>
    <w:rsid w:val="009E15DB"/>
    <w:rsid w:val="009E25B3"/>
    <w:rsid w:val="009E27A9"/>
    <w:rsid w:val="009E3162"/>
    <w:rsid w:val="009E3488"/>
    <w:rsid w:val="009E374A"/>
    <w:rsid w:val="009E3762"/>
    <w:rsid w:val="009E3A41"/>
    <w:rsid w:val="009E3ABD"/>
    <w:rsid w:val="009E3C23"/>
    <w:rsid w:val="009E3F7C"/>
    <w:rsid w:val="009E41B3"/>
    <w:rsid w:val="009E4906"/>
    <w:rsid w:val="009E53DE"/>
    <w:rsid w:val="009E6FD9"/>
    <w:rsid w:val="009E77F0"/>
    <w:rsid w:val="009F0AED"/>
    <w:rsid w:val="009F0D8A"/>
    <w:rsid w:val="009F114F"/>
    <w:rsid w:val="009F1ED5"/>
    <w:rsid w:val="009F229C"/>
    <w:rsid w:val="009F2349"/>
    <w:rsid w:val="009F24AF"/>
    <w:rsid w:val="009F24FF"/>
    <w:rsid w:val="009F297A"/>
    <w:rsid w:val="009F2CC4"/>
    <w:rsid w:val="009F382B"/>
    <w:rsid w:val="009F4877"/>
    <w:rsid w:val="009F5BEF"/>
    <w:rsid w:val="009F6069"/>
    <w:rsid w:val="009F7113"/>
    <w:rsid w:val="009F76DF"/>
    <w:rsid w:val="009F76E5"/>
    <w:rsid w:val="009F7E41"/>
    <w:rsid w:val="009F7EDD"/>
    <w:rsid w:val="00A01453"/>
    <w:rsid w:val="00A014DA"/>
    <w:rsid w:val="00A02FFE"/>
    <w:rsid w:val="00A03056"/>
    <w:rsid w:val="00A03222"/>
    <w:rsid w:val="00A03342"/>
    <w:rsid w:val="00A0345B"/>
    <w:rsid w:val="00A03579"/>
    <w:rsid w:val="00A036B7"/>
    <w:rsid w:val="00A0370F"/>
    <w:rsid w:val="00A03B6C"/>
    <w:rsid w:val="00A03DA5"/>
    <w:rsid w:val="00A04910"/>
    <w:rsid w:val="00A050D8"/>
    <w:rsid w:val="00A05601"/>
    <w:rsid w:val="00A057B8"/>
    <w:rsid w:val="00A05C64"/>
    <w:rsid w:val="00A062DD"/>
    <w:rsid w:val="00A0645D"/>
    <w:rsid w:val="00A06FEB"/>
    <w:rsid w:val="00A07134"/>
    <w:rsid w:val="00A07809"/>
    <w:rsid w:val="00A10246"/>
    <w:rsid w:val="00A10403"/>
    <w:rsid w:val="00A10450"/>
    <w:rsid w:val="00A10C01"/>
    <w:rsid w:val="00A10CCC"/>
    <w:rsid w:val="00A1131F"/>
    <w:rsid w:val="00A12196"/>
    <w:rsid w:val="00A12250"/>
    <w:rsid w:val="00A12773"/>
    <w:rsid w:val="00A13A94"/>
    <w:rsid w:val="00A14317"/>
    <w:rsid w:val="00A14D37"/>
    <w:rsid w:val="00A158BA"/>
    <w:rsid w:val="00A15A9B"/>
    <w:rsid w:val="00A15C9A"/>
    <w:rsid w:val="00A163A4"/>
    <w:rsid w:val="00A1688B"/>
    <w:rsid w:val="00A16943"/>
    <w:rsid w:val="00A17625"/>
    <w:rsid w:val="00A1788C"/>
    <w:rsid w:val="00A17E82"/>
    <w:rsid w:val="00A2015A"/>
    <w:rsid w:val="00A2089E"/>
    <w:rsid w:val="00A20B65"/>
    <w:rsid w:val="00A20BD9"/>
    <w:rsid w:val="00A20F5F"/>
    <w:rsid w:val="00A2130F"/>
    <w:rsid w:val="00A21930"/>
    <w:rsid w:val="00A21BFD"/>
    <w:rsid w:val="00A2232B"/>
    <w:rsid w:val="00A22AE8"/>
    <w:rsid w:val="00A22B7B"/>
    <w:rsid w:val="00A23100"/>
    <w:rsid w:val="00A238D4"/>
    <w:rsid w:val="00A23924"/>
    <w:rsid w:val="00A23AFA"/>
    <w:rsid w:val="00A23BD2"/>
    <w:rsid w:val="00A23E45"/>
    <w:rsid w:val="00A24082"/>
    <w:rsid w:val="00A24331"/>
    <w:rsid w:val="00A243E5"/>
    <w:rsid w:val="00A2456A"/>
    <w:rsid w:val="00A249A8"/>
    <w:rsid w:val="00A255BD"/>
    <w:rsid w:val="00A26545"/>
    <w:rsid w:val="00A269C8"/>
    <w:rsid w:val="00A27314"/>
    <w:rsid w:val="00A274BD"/>
    <w:rsid w:val="00A27C5A"/>
    <w:rsid w:val="00A3014C"/>
    <w:rsid w:val="00A3072C"/>
    <w:rsid w:val="00A30FDD"/>
    <w:rsid w:val="00A31451"/>
    <w:rsid w:val="00A31CB0"/>
    <w:rsid w:val="00A31F51"/>
    <w:rsid w:val="00A321C2"/>
    <w:rsid w:val="00A3286C"/>
    <w:rsid w:val="00A32B22"/>
    <w:rsid w:val="00A32D38"/>
    <w:rsid w:val="00A33219"/>
    <w:rsid w:val="00A33DB9"/>
    <w:rsid w:val="00A34273"/>
    <w:rsid w:val="00A359C5"/>
    <w:rsid w:val="00A36168"/>
    <w:rsid w:val="00A36C33"/>
    <w:rsid w:val="00A36E16"/>
    <w:rsid w:val="00A37DA9"/>
    <w:rsid w:val="00A40463"/>
    <w:rsid w:val="00A40C4A"/>
    <w:rsid w:val="00A40CED"/>
    <w:rsid w:val="00A42803"/>
    <w:rsid w:val="00A43458"/>
    <w:rsid w:val="00A438C4"/>
    <w:rsid w:val="00A438F6"/>
    <w:rsid w:val="00A43E87"/>
    <w:rsid w:val="00A43EF8"/>
    <w:rsid w:val="00A444C4"/>
    <w:rsid w:val="00A445B3"/>
    <w:rsid w:val="00A447CD"/>
    <w:rsid w:val="00A4561B"/>
    <w:rsid w:val="00A47174"/>
    <w:rsid w:val="00A473E3"/>
    <w:rsid w:val="00A47406"/>
    <w:rsid w:val="00A47D0B"/>
    <w:rsid w:val="00A500DA"/>
    <w:rsid w:val="00A50201"/>
    <w:rsid w:val="00A5028C"/>
    <w:rsid w:val="00A50581"/>
    <w:rsid w:val="00A50CF2"/>
    <w:rsid w:val="00A51D32"/>
    <w:rsid w:val="00A52375"/>
    <w:rsid w:val="00A5251F"/>
    <w:rsid w:val="00A527E1"/>
    <w:rsid w:val="00A52876"/>
    <w:rsid w:val="00A528D1"/>
    <w:rsid w:val="00A52D39"/>
    <w:rsid w:val="00A53B54"/>
    <w:rsid w:val="00A53D23"/>
    <w:rsid w:val="00A542D1"/>
    <w:rsid w:val="00A547A8"/>
    <w:rsid w:val="00A54BD3"/>
    <w:rsid w:val="00A54E22"/>
    <w:rsid w:val="00A55776"/>
    <w:rsid w:val="00A55BB2"/>
    <w:rsid w:val="00A55ED2"/>
    <w:rsid w:val="00A57058"/>
    <w:rsid w:val="00A57A0D"/>
    <w:rsid w:val="00A60093"/>
    <w:rsid w:val="00A60198"/>
    <w:rsid w:val="00A60A32"/>
    <w:rsid w:val="00A60F07"/>
    <w:rsid w:val="00A6269C"/>
    <w:rsid w:val="00A6287A"/>
    <w:rsid w:val="00A628AE"/>
    <w:rsid w:val="00A6386E"/>
    <w:rsid w:val="00A63958"/>
    <w:rsid w:val="00A642B6"/>
    <w:rsid w:val="00A6472C"/>
    <w:rsid w:val="00A647EB"/>
    <w:rsid w:val="00A649AE"/>
    <w:rsid w:val="00A64D06"/>
    <w:rsid w:val="00A64DA8"/>
    <w:rsid w:val="00A64EE8"/>
    <w:rsid w:val="00A64F5F"/>
    <w:rsid w:val="00A650D1"/>
    <w:rsid w:val="00A6588A"/>
    <w:rsid w:val="00A659E8"/>
    <w:rsid w:val="00A669C6"/>
    <w:rsid w:val="00A66BE5"/>
    <w:rsid w:val="00A67461"/>
    <w:rsid w:val="00A67539"/>
    <w:rsid w:val="00A709DB"/>
    <w:rsid w:val="00A70FA6"/>
    <w:rsid w:val="00A71D99"/>
    <w:rsid w:val="00A73439"/>
    <w:rsid w:val="00A734B2"/>
    <w:rsid w:val="00A73772"/>
    <w:rsid w:val="00A75A39"/>
    <w:rsid w:val="00A7605D"/>
    <w:rsid w:val="00A7718F"/>
    <w:rsid w:val="00A7730C"/>
    <w:rsid w:val="00A774E2"/>
    <w:rsid w:val="00A77818"/>
    <w:rsid w:val="00A77A1F"/>
    <w:rsid w:val="00A77E82"/>
    <w:rsid w:val="00A80079"/>
    <w:rsid w:val="00A80C1E"/>
    <w:rsid w:val="00A8162B"/>
    <w:rsid w:val="00A81A9A"/>
    <w:rsid w:val="00A81D28"/>
    <w:rsid w:val="00A823ED"/>
    <w:rsid w:val="00A8335C"/>
    <w:rsid w:val="00A83588"/>
    <w:rsid w:val="00A845BE"/>
    <w:rsid w:val="00A84A45"/>
    <w:rsid w:val="00A84A53"/>
    <w:rsid w:val="00A84B01"/>
    <w:rsid w:val="00A8653E"/>
    <w:rsid w:val="00A86646"/>
    <w:rsid w:val="00A86CF8"/>
    <w:rsid w:val="00A871CA"/>
    <w:rsid w:val="00A87FF5"/>
    <w:rsid w:val="00A91578"/>
    <w:rsid w:val="00A91614"/>
    <w:rsid w:val="00A91C87"/>
    <w:rsid w:val="00A91ED0"/>
    <w:rsid w:val="00A91F89"/>
    <w:rsid w:val="00A92714"/>
    <w:rsid w:val="00A92DCA"/>
    <w:rsid w:val="00A9304C"/>
    <w:rsid w:val="00A947C6"/>
    <w:rsid w:val="00A94BBB"/>
    <w:rsid w:val="00A94DF1"/>
    <w:rsid w:val="00A95F1A"/>
    <w:rsid w:val="00A9641B"/>
    <w:rsid w:val="00A96B68"/>
    <w:rsid w:val="00A96D18"/>
    <w:rsid w:val="00A96F96"/>
    <w:rsid w:val="00A97366"/>
    <w:rsid w:val="00A978E7"/>
    <w:rsid w:val="00A979CE"/>
    <w:rsid w:val="00A97CDE"/>
    <w:rsid w:val="00AA07DC"/>
    <w:rsid w:val="00AA109D"/>
    <w:rsid w:val="00AA23D3"/>
    <w:rsid w:val="00AA33AF"/>
    <w:rsid w:val="00AA3C9F"/>
    <w:rsid w:val="00AA4746"/>
    <w:rsid w:val="00AA4D70"/>
    <w:rsid w:val="00AA4DF0"/>
    <w:rsid w:val="00AA5C88"/>
    <w:rsid w:val="00AA6DCB"/>
    <w:rsid w:val="00AA792C"/>
    <w:rsid w:val="00AA7A2C"/>
    <w:rsid w:val="00AA7A53"/>
    <w:rsid w:val="00AA7AD9"/>
    <w:rsid w:val="00AA7E8A"/>
    <w:rsid w:val="00AB0745"/>
    <w:rsid w:val="00AB097B"/>
    <w:rsid w:val="00AB160E"/>
    <w:rsid w:val="00AB19E9"/>
    <w:rsid w:val="00AB2ECE"/>
    <w:rsid w:val="00AB3118"/>
    <w:rsid w:val="00AB3712"/>
    <w:rsid w:val="00AB45A1"/>
    <w:rsid w:val="00AB55B8"/>
    <w:rsid w:val="00AB6166"/>
    <w:rsid w:val="00AB6D53"/>
    <w:rsid w:val="00AB6F62"/>
    <w:rsid w:val="00AB7EE1"/>
    <w:rsid w:val="00AC00EA"/>
    <w:rsid w:val="00AC0531"/>
    <w:rsid w:val="00AC0F5B"/>
    <w:rsid w:val="00AC1A24"/>
    <w:rsid w:val="00AC2C44"/>
    <w:rsid w:val="00AC30C7"/>
    <w:rsid w:val="00AC313B"/>
    <w:rsid w:val="00AC31F6"/>
    <w:rsid w:val="00AC388E"/>
    <w:rsid w:val="00AC3AAE"/>
    <w:rsid w:val="00AC3B78"/>
    <w:rsid w:val="00AC3EE2"/>
    <w:rsid w:val="00AC4106"/>
    <w:rsid w:val="00AC4350"/>
    <w:rsid w:val="00AC4B75"/>
    <w:rsid w:val="00AC4B90"/>
    <w:rsid w:val="00AC4E50"/>
    <w:rsid w:val="00AC4F7C"/>
    <w:rsid w:val="00AC53DA"/>
    <w:rsid w:val="00AC5728"/>
    <w:rsid w:val="00AC644A"/>
    <w:rsid w:val="00AC6AE6"/>
    <w:rsid w:val="00AC703A"/>
    <w:rsid w:val="00AC72BD"/>
    <w:rsid w:val="00AC740E"/>
    <w:rsid w:val="00AC75FB"/>
    <w:rsid w:val="00AC78C4"/>
    <w:rsid w:val="00AC7969"/>
    <w:rsid w:val="00AC7AC6"/>
    <w:rsid w:val="00AC7F4D"/>
    <w:rsid w:val="00AD08D1"/>
    <w:rsid w:val="00AD0D8F"/>
    <w:rsid w:val="00AD0E15"/>
    <w:rsid w:val="00AD1293"/>
    <w:rsid w:val="00AD1317"/>
    <w:rsid w:val="00AD1E27"/>
    <w:rsid w:val="00AD2957"/>
    <w:rsid w:val="00AD29F5"/>
    <w:rsid w:val="00AD34D9"/>
    <w:rsid w:val="00AD37C1"/>
    <w:rsid w:val="00AD38E9"/>
    <w:rsid w:val="00AD4435"/>
    <w:rsid w:val="00AD452E"/>
    <w:rsid w:val="00AD4A7C"/>
    <w:rsid w:val="00AD4C43"/>
    <w:rsid w:val="00AD4CD7"/>
    <w:rsid w:val="00AD4E05"/>
    <w:rsid w:val="00AD5EB5"/>
    <w:rsid w:val="00AD72AC"/>
    <w:rsid w:val="00AD73A3"/>
    <w:rsid w:val="00AD7A33"/>
    <w:rsid w:val="00AE04AD"/>
    <w:rsid w:val="00AE078A"/>
    <w:rsid w:val="00AE0DEC"/>
    <w:rsid w:val="00AE15A9"/>
    <w:rsid w:val="00AE1852"/>
    <w:rsid w:val="00AE1A08"/>
    <w:rsid w:val="00AE1A2D"/>
    <w:rsid w:val="00AE1F0C"/>
    <w:rsid w:val="00AE2A5A"/>
    <w:rsid w:val="00AE2C24"/>
    <w:rsid w:val="00AE3F3C"/>
    <w:rsid w:val="00AE4C05"/>
    <w:rsid w:val="00AE4C43"/>
    <w:rsid w:val="00AE501F"/>
    <w:rsid w:val="00AE61D8"/>
    <w:rsid w:val="00AE6271"/>
    <w:rsid w:val="00AE653F"/>
    <w:rsid w:val="00AE66EC"/>
    <w:rsid w:val="00AE6AE5"/>
    <w:rsid w:val="00AE6F91"/>
    <w:rsid w:val="00AF010B"/>
    <w:rsid w:val="00AF020C"/>
    <w:rsid w:val="00AF0440"/>
    <w:rsid w:val="00AF0F61"/>
    <w:rsid w:val="00AF0FB6"/>
    <w:rsid w:val="00AF10BC"/>
    <w:rsid w:val="00AF14A6"/>
    <w:rsid w:val="00AF18F9"/>
    <w:rsid w:val="00AF22CE"/>
    <w:rsid w:val="00AF2782"/>
    <w:rsid w:val="00AF29D4"/>
    <w:rsid w:val="00AF3344"/>
    <w:rsid w:val="00AF4085"/>
    <w:rsid w:val="00AF40A7"/>
    <w:rsid w:val="00AF4AC5"/>
    <w:rsid w:val="00AF511A"/>
    <w:rsid w:val="00AF5571"/>
    <w:rsid w:val="00AF5B3F"/>
    <w:rsid w:val="00AF7526"/>
    <w:rsid w:val="00AF79FA"/>
    <w:rsid w:val="00B00604"/>
    <w:rsid w:val="00B00CBD"/>
    <w:rsid w:val="00B015CD"/>
    <w:rsid w:val="00B016BF"/>
    <w:rsid w:val="00B016EF"/>
    <w:rsid w:val="00B018F6"/>
    <w:rsid w:val="00B01D8D"/>
    <w:rsid w:val="00B0207D"/>
    <w:rsid w:val="00B033E8"/>
    <w:rsid w:val="00B0350E"/>
    <w:rsid w:val="00B0379A"/>
    <w:rsid w:val="00B05B2D"/>
    <w:rsid w:val="00B06114"/>
    <w:rsid w:val="00B0667E"/>
    <w:rsid w:val="00B06BF4"/>
    <w:rsid w:val="00B07033"/>
    <w:rsid w:val="00B07227"/>
    <w:rsid w:val="00B07607"/>
    <w:rsid w:val="00B11C6F"/>
    <w:rsid w:val="00B11E55"/>
    <w:rsid w:val="00B11F9A"/>
    <w:rsid w:val="00B124E6"/>
    <w:rsid w:val="00B12638"/>
    <w:rsid w:val="00B13ABA"/>
    <w:rsid w:val="00B14837"/>
    <w:rsid w:val="00B15204"/>
    <w:rsid w:val="00B160A4"/>
    <w:rsid w:val="00B167E9"/>
    <w:rsid w:val="00B16FF4"/>
    <w:rsid w:val="00B1724A"/>
    <w:rsid w:val="00B17640"/>
    <w:rsid w:val="00B207F5"/>
    <w:rsid w:val="00B20B83"/>
    <w:rsid w:val="00B21064"/>
    <w:rsid w:val="00B21794"/>
    <w:rsid w:val="00B21BC5"/>
    <w:rsid w:val="00B22C40"/>
    <w:rsid w:val="00B23A86"/>
    <w:rsid w:val="00B24509"/>
    <w:rsid w:val="00B24749"/>
    <w:rsid w:val="00B24A00"/>
    <w:rsid w:val="00B270C2"/>
    <w:rsid w:val="00B27127"/>
    <w:rsid w:val="00B2728E"/>
    <w:rsid w:val="00B301E8"/>
    <w:rsid w:val="00B30278"/>
    <w:rsid w:val="00B31391"/>
    <w:rsid w:val="00B314DB"/>
    <w:rsid w:val="00B316A7"/>
    <w:rsid w:val="00B3171A"/>
    <w:rsid w:val="00B31EBE"/>
    <w:rsid w:val="00B324F0"/>
    <w:rsid w:val="00B3401D"/>
    <w:rsid w:val="00B343BE"/>
    <w:rsid w:val="00B3465D"/>
    <w:rsid w:val="00B34D82"/>
    <w:rsid w:val="00B34E2B"/>
    <w:rsid w:val="00B34F8C"/>
    <w:rsid w:val="00B367B1"/>
    <w:rsid w:val="00B36E37"/>
    <w:rsid w:val="00B37047"/>
    <w:rsid w:val="00B3718B"/>
    <w:rsid w:val="00B37584"/>
    <w:rsid w:val="00B37C3B"/>
    <w:rsid w:val="00B37E8E"/>
    <w:rsid w:val="00B37F73"/>
    <w:rsid w:val="00B40F7F"/>
    <w:rsid w:val="00B41104"/>
    <w:rsid w:val="00B41A5D"/>
    <w:rsid w:val="00B41A5F"/>
    <w:rsid w:val="00B41AAC"/>
    <w:rsid w:val="00B41B62"/>
    <w:rsid w:val="00B42254"/>
    <w:rsid w:val="00B424CD"/>
    <w:rsid w:val="00B42ABC"/>
    <w:rsid w:val="00B432D6"/>
    <w:rsid w:val="00B441B9"/>
    <w:rsid w:val="00B443C8"/>
    <w:rsid w:val="00B44448"/>
    <w:rsid w:val="00B44F4C"/>
    <w:rsid w:val="00B45BE7"/>
    <w:rsid w:val="00B45ECD"/>
    <w:rsid w:val="00B46033"/>
    <w:rsid w:val="00B46313"/>
    <w:rsid w:val="00B4632A"/>
    <w:rsid w:val="00B46600"/>
    <w:rsid w:val="00B46771"/>
    <w:rsid w:val="00B46F0A"/>
    <w:rsid w:val="00B478B1"/>
    <w:rsid w:val="00B478C4"/>
    <w:rsid w:val="00B506F8"/>
    <w:rsid w:val="00B50B18"/>
    <w:rsid w:val="00B50DB9"/>
    <w:rsid w:val="00B5149E"/>
    <w:rsid w:val="00B515A8"/>
    <w:rsid w:val="00B52BB8"/>
    <w:rsid w:val="00B540E8"/>
    <w:rsid w:val="00B54DF4"/>
    <w:rsid w:val="00B550D3"/>
    <w:rsid w:val="00B552E7"/>
    <w:rsid w:val="00B55402"/>
    <w:rsid w:val="00B55E95"/>
    <w:rsid w:val="00B55F23"/>
    <w:rsid w:val="00B56929"/>
    <w:rsid w:val="00B5746F"/>
    <w:rsid w:val="00B574A0"/>
    <w:rsid w:val="00B574EE"/>
    <w:rsid w:val="00B575D6"/>
    <w:rsid w:val="00B57C17"/>
    <w:rsid w:val="00B57C7D"/>
    <w:rsid w:val="00B6077E"/>
    <w:rsid w:val="00B60E25"/>
    <w:rsid w:val="00B62894"/>
    <w:rsid w:val="00B62BC0"/>
    <w:rsid w:val="00B63572"/>
    <w:rsid w:val="00B63577"/>
    <w:rsid w:val="00B6408B"/>
    <w:rsid w:val="00B642BF"/>
    <w:rsid w:val="00B64CF2"/>
    <w:rsid w:val="00B66B51"/>
    <w:rsid w:val="00B67053"/>
    <w:rsid w:val="00B673F4"/>
    <w:rsid w:val="00B67B19"/>
    <w:rsid w:val="00B67B9B"/>
    <w:rsid w:val="00B70040"/>
    <w:rsid w:val="00B70462"/>
    <w:rsid w:val="00B70902"/>
    <w:rsid w:val="00B713DC"/>
    <w:rsid w:val="00B71CEC"/>
    <w:rsid w:val="00B72E00"/>
    <w:rsid w:val="00B72F71"/>
    <w:rsid w:val="00B74BBA"/>
    <w:rsid w:val="00B74DAF"/>
    <w:rsid w:val="00B75D57"/>
    <w:rsid w:val="00B7650A"/>
    <w:rsid w:val="00B765F1"/>
    <w:rsid w:val="00B766A1"/>
    <w:rsid w:val="00B76BE8"/>
    <w:rsid w:val="00B777B0"/>
    <w:rsid w:val="00B77B09"/>
    <w:rsid w:val="00B801CB"/>
    <w:rsid w:val="00B80F60"/>
    <w:rsid w:val="00B82710"/>
    <w:rsid w:val="00B82D01"/>
    <w:rsid w:val="00B83D79"/>
    <w:rsid w:val="00B8475C"/>
    <w:rsid w:val="00B849A5"/>
    <w:rsid w:val="00B84FC7"/>
    <w:rsid w:val="00B8596A"/>
    <w:rsid w:val="00B85B6B"/>
    <w:rsid w:val="00B8646F"/>
    <w:rsid w:val="00B86577"/>
    <w:rsid w:val="00B8664E"/>
    <w:rsid w:val="00B868A4"/>
    <w:rsid w:val="00B86D99"/>
    <w:rsid w:val="00B8724D"/>
    <w:rsid w:val="00B8786D"/>
    <w:rsid w:val="00B90178"/>
    <w:rsid w:val="00B90496"/>
    <w:rsid w:val="00B920B7"/>
    <w:rsid w:val="00B92546"/>
    <w:rsid w:val="00B926B1"/>
    <w:rsid w:val="00B92AA7"/>
    <w:rsid w:val="00B92DC9"/>
    <w:rsid w:val="00B933E4"/>
    <w:rsid w:val="00B93E70"/>
    <w:rsid w:val="00B93EF7"/>
    <w:rsid w:val="00B96FE9"/>
    <w:rsid w:val="00B97838"/>
    <w:rsid w:val="00B979E4"/>
    <w:rsid w:val="00BA0E3E"/>
    <w:rsid w:val="00BA10D9"/>
    <w:rsid w:val="00BA11D2"/>
    <w:rsid w:val="00BA198F"/>
    <w:rsid w:val="00BA1D41"/>
    <w:rsid w:val="00BA276C"/>
    <w:rsid w:val="00BA2988"/>
    <w:rsid w:val="00BA3099"/>
    <w:rsid w:val="00BA3133"/>
    <w:rsid w:val="00BA31DF"/>
    <w:rsid w:val="00BA3DCF"/>
    <w:rsid w:val="00BA4BCF"/>
    <w:rsid w:val="00BA542F"/>
    <w:rsid w:val="00BA64E3"/>
    <w:rsid w:val="00BA6FFA"/>
    <w:rsid w:val="00BA7984"/>
    <w:rsid w:val="00BB151F"/>
    <w:rsid w:val="00BB17B3"/>
    <w:rsid w:val="00BB285D"/>
    <w:rsid w:val="00BB2AFE"/>
    <w:rsid w:val="00BB3066"/>
    <w:rsid w:val="00BB306F"/>
    <w:rsid w:val="00BB3466"/>
    <w:rsid w:val="00BB356D"/>
    <w:rsid w:val="00BB36D4"/>
    <w:rsid w:val="00BB3E94"/>
    <w:rsid w:val="00BB4212"/>
    <w:rsid w:val="00BB521F"/>
    <w:rsid w:val="00BB53AD"/>
    <w:rsid w:val="00BB59AB"/>
    <w:rsid w:val="00BB5A59"/>
    <w:rsid w:val="00BB645E"/>
    <w:rsid w:val="00BB6D82"/>
    <w:rsid w:val="00BB6D96"/>
    <w:rsid w:val="00BB7163"/>
    <w:rsid w:val="00BB76B9"/>
    <w:rsid w:val="00BB78FE"/>
    <w:rsid w:val="00BB7B0A"/>
    <w:rsid w:val="00BB7C52"/>
    <w:rsid w:val="00BC04F8"/>
    <w:rsid w:val="00BC1521"/>
    <w:rsid w:val="00BC2154"/>
    <w:rsid w:val="00BC243A"/>
    <w:rsid w:val="00BC26AE"/>
    <w:rsid w:val="00BC35EB"/>
    <w:rsid w:val="00BC397C"/>
    <w:rsid w:val="00BC5766"/>
    <w:rsid w:val="00BC5D20"/>
    <w:rsid w:val="00BC6714"/>
    <w:rsid w:val="00BC68ED"/>
    <w:rsid w:val="00BC6DA1"/>
    <w:rsid w:val="00BC6FB1"/>
    <w:rsid w:val="00BC71C5"/>
    <w:rsid w:val="00BC73B5"/>
    <w:rsid w:val="00BD10AC"/>
    <w:rsid w:val="00BD11DC"/>
    <w:rsid w:val="00BD232B"/>
    <w:rsid w:val="00BD2C5B"/>
    <w:rsid w:val="00BD3469"/>
    <w:rsid w:val="00BD393F"/>
    <w:rsid w:val="00BD4B89"/>
    <w:rsid w:val="00BD520D"/>
    <w:rsid w:val="00BD5B66"/>
    <w:rsid w:val="00BD5CCE"/>
    <w:rsid w:val="00BD5E83"/>
    <w:rsid w:val="00BD5F0C"/>
    <w:rsid w:val="00BD63B7"/>
    <w:rsid w:val="00BD6AF8"/>
    <w:rsid w:val="00BD7B08"/>
    <w:rsid w:val="00BD7F14"/>
    <w:rsid w:val="00BE0098"/>
    <w:rsid w:val="00BE014C"/>
    <w:rsid w:val="00BE118B"/>
    <w:rsid w:val="00BE1438"/>
    <w:rsid w:val="00BE1B74"/>
    <w:rsid w:val="00BE201A"/>
    <w:rsid w:val="00BE3185"/>
    <w:rsid w:val="00BE34C6"/>
    <w:rsid w:val="00BE3560"/>
    <w:rsid w:val="00BE35D9"/>
    <w:rsid w:val="00BE36D7"/>
    <w:rsid w:val="00BE3967"/>
    <w:rsid w:val="00BE4872"/>
    <w:rsid w:val="00BE4C89"/>
    <w:rsid w:val="00BE4DCA"/>
    <w:rsid w:val="00BE5AD0"/>
    <w:rsid w:val="00BE60A3"/>
    <w:rsid w:val="00BE6182"/>
    <w:rsid w:val="00BE66B0"/>
    <w:rsid w:val="00BE6B74"/>
    <w:rsid w:val="00BE6FDB"/>
    <w:rsid w:val="00BE7E23"/>
    <w:rsid w:val="00BF0063"/>
    <w:rsid w:val="00BF08CB"/>
    <w:rsid w:val="00BF0EAA"/>
    <w:rsid w:val="00BF1F10"/>
    <w:rsid w:val="00BF206B"/>
    <w:rsid w:val="00BF2523"/>
    <w:rsid w:val="00BF2939"/>
    <w:rsid w:val="00BF2EA8"/>
    <w:rsid w:val="00BF3BF0"/>
    <w:rsid w:val="00BF40C6"/>
    <w:rsid w:val="00BF4600"/>
    <w:rsid w:val="00BF4865"/>
    <w:rsid w:val="00BF4871"/>
    <w:rsid w:val="00BF4994"/>
    <w:rsid w:val="00BF4AF7"/>
    <w:rsid w:val="00BF5F11"/>
    <w:rsid w:val="00BF61E9"/>
    <w:rsid w:val="00BF649B"/>
    <w:rsid w:val="00BF65BD"/>
    <w:rsid w:val="00BF6BE9"/>
    <w:rsid w:val="00BF7B54"/>
    <w:rsid w:val="00BF7C42"/>
    <w:rsid w:val="00C0028D"/>
    <w:rsid w:val="00C01142"/>
    <w:rsid w:val="00C01451"/>
    <w:rsid w:val="00C01882"/>
    <w:rsid w:val="00C018FF"/>
    <w:rsid w:val="00C01A81"/>
    <w:rsid w:val="00C028C4"/>
    <w:rsid w:val="00C02A78"/>
    <w:rsid w:val="00C03059"/>
    <w:rsid w:val="00C0391B"/>
    <w:rsid w:val="00C03A29"/>
    <w:rsid w:val="00C04473"/>
    <w:rsid w:val="00C04FA3"/>
    <w:rsid w:val="00C05169"/>
    <w:rsid w:val="00C0546D"/>
    <w:rsid w:val="00C05820"/>
    <w:rsid w:val="00C06128"/>
    <w:rsid w:val="00C070BA"/>
    <w:rsid w:val="00C07884"/>
    <w:rsid w:val="00C07B4D"/>
    <w:rsid w:val="00C07BB8"/>
    <w:rsid w:val="00C101BC"/>
    <w:rsid w:val="00C10283"/>
    <w:rsid w:val="00C10EA4"/>
    <w:rsid w:val="00C136FB"/>
    <w:rsid w:val="00C144E7"/>
    <w:rsid w:val="00C14557"/>
    <w:rsid w:val="00C14701"/>
    <w:rsid w:val="00C14A51"/>
    <w:rsid w:val="00C14CE0"/>
    <w:rsid w:val="00C14F39"/>
    <w:rsid w:val="00C1525C"/>
    <w:rsid w:val="00C153DE"/>
    <w:rsid w:val="00C15824"/>
    <w:rsid w:val="00C16D95"/>
    <w:rsid w:val="00C17BAA"/>
    <w:rsid w:val="00C20667"/>
    <w:rsid w:val="00C2077E"/>
    <w:rsid w:val="00C21375"/>
    <w:rsid w:val="00C2142B"/>
    <w:rsid w:val="00C21701"/>
    <w:rsid w:val="00C21762"/>
    <w:rsid w:val="00C21AE2"/>
    <w:rsid w:val="00C21EFD"/>
    <w:rsid w:val="00C224DF"/>
    <w:rsid w:val="00C22723"/>
    <w:rsid w:val="00C22DD6"/>
    <w:rsid w:val="00C23BA8"/>
    <w:rsid w:val="00C23DC3"/>
    <w:rsid w:val="00C24049"/>
    <w:rsid w:val="00C24543"/>
    <w:rsid w:val="00C251B1"/>
    <w:rsid w:val="00C256A2"/>
    <w:rsid w:val="00C25804"/>
    <w:rsid w:val="00C25808"/>
    <w:rsid w:val="00C258A0"/>
    <w:rsid w:val="00C25B0D"/>
    <w:rsid w:val="00C26350"/>
    <w:rsid w:val="00C26A69"/>
    <w:rsid w:val="00C270EB"/>
    <w:rsid w:val="00C303FD"/>
    <w:rsid w:val="00C31497"/>
    <w:rsid w:val="00C31770"/>
    <w:rsid w:val="00C3238A"/>
    <w:rsid w:val="00C32415"/>
    <w:rsid w:val="00C32A61"/>
    <w:rsid w:val="00C338B0"/>
    <w:rsid w:val="00C33EB0"/>
    <w:rsid w:val="00C340DC"/>
    <w:rsid w:val="00C344B0"/>
    <w:rsid w:val="00C3492D"/>
    <w:rsid w:val="00C34973"/>
    <w:rsid w:val="00C34A87"/>
    <w:rsid w:val="00C34F68"/>
    <w:rsid w:val="00C35423"/>
    <w:rsid w:val="00C354BF"/>
    <w:rsid w:val="00C3629F"/>
    <w:rsid w:val="00C36568"/>
    <w:rsid w:val="00C36E35"/>
    <w:rsid w:val="00C4068A"/>
    <w:rsid w:val="00C41AB9"/>
    <w:rsid w:val="00C420AF"/>
    <w:rsid w:val="00C42196"/>
    <w:rsid w:val="00C4237D"/>
    <w:rsid w:val="00C423E4"/>
    <w:rsid w:val="00C432D8"/>
    <w:rsid w:val="00C43943"/>
    <w:rsid w:val="00C43FC7"/>
    <w:rsid w:val="00C443E8"/>
    <w:rsid w:val="00C44886"/>
    <w:rsid w:val="00C44ECB"/>
    <w:rsid w:val="00C45555"/>
    <w:rsid w:val="00C45976"/>
    <w:rsid w:val="00C45A93"/>
    <w:rsid w:val="00C4696E"/>
    <w:rsid w:val="00C46A80"/>
    <w:rsid w:val="00C4716E"/>
    <w:rsid w:val="00C47791"/>
    <w:rsid w:val="00C4793D"/>
    <w:rsid w:val="00C47B6D"/>
    <w:rsid w:val="00C47E39"/>
    <w:rsid w:val="00C506EB"/>
    <w:rsid w:val="00C50C1E"/>
    <w:rsid w:val="00C51166"/>
    <w:rsid w:val="00C51C98"/>
    <w:rsid w:val="00C5237D"/>
    <w:rsid w:val="00C535F1"/>
    <w:rsid w:val="00C53F60"/>
    <w:rsid w:val="00C546AB"/>
    <w:rsid w:val="00C5474E"/>
    <w:rsid w:val="00C548F2"/>
    <w:rsid w:val="00C548FA"/>
    <w:rsid w:val="00C55378"/>
    <w:rsid w:val="00C55560"/>
    <w:rsid w:val="00C55AA8"/>
    <w:rsid w:val="00C55C6F"/>
    <w:rsid w:val="00C56511"/>
    <w:rsid w:val="00C568F9"/>
    <w:rsid w:val="00C57994"/>
    <w:rsid w:val="00C57D17"/>
    <w:rsid w:val="00C60644"/>
    <w:rsid w:val="00C60AB3"/>
    <w:rsid w:val="00C61095"/>
    <w:rsid w:val="00C614A9"/>
    <w:rsid w:val="00C618A0"/>
    <w:rsid w:val="00C61956"/>
    <w:rsid w:val="00C61997"/>
    <w:rsid w:val="00C62393"/>
    <w:rsid w:val="00C6257E"/>
    <w:rsid w:val="00C6293A"/>
    <w:rsid w:val="00C62BF4"/>
    <w:rsid w:val="00C6323C"/>
    <w:rsid w:val="00C634B4"/>
    <w:rsid w:val="00C63576"/>
    <w:rsid w:val="00C63585"/>
    <w:rsid w:val="00C63B6F"/>
    <w:rsid w:val="00C64686"/>
    <w:rsid w:val="00C65998"/>
    <w:rsid w:val="00C669C1"/>
    <w:rsid w:val="00C66B72"/>
    <w:rsid w:val="00C674CD"/>
    <w:rsid w:val="00C67F18"/>
    <w:rsid w:val="00C703DF"/>
    <w:rsid w:val="00C71254"/>
    <w:rsid w:val="00C714BB"/>
    <w:rsid w:val="00C7275B"/>
    <w:rsid w:val="00C7281A"/>
    <w:rsid w:val="00C735F1"/>
    <w:rsid w:val="00C73738"/>
    <w:rsid w:val="00C7377E"/>
    <w:rsid w:val="00C73BAE"/>
    <w:rsid w:val="00C748D8"/>
    <w:rsid w:val="00C74AAA"/>
    <w:rsid w:val="00C74C37"/>
    <w:rsid w:val="00C7513A"/>
    <w:rsid w:val="00C7526E"/>
    <w:rsid w:val="00C759BE"/>
    <w:rsid w:val="00C75A4F"/>
    <w:rsid w:val="00C75E68"/>
    <w:rsid w:val="00C76135"/>
    <w:rsid w:val="00C768EA"/>
    <w:rsid w:val="00C76C96"/>
    <w:rsid w:val="00C77013"/>
    <w:rsid w:val="00C77B21"/>
    <w:rsid w:val="00C77F47"/>
    <w:rsid w:val="00C804FA"/>
    <w:rsid w:val="00C80A54"/>
    <w:rsid w:val="00C811BA"/>
    <w:rsid w:val="00C81339"/>
    <w:rsid w:val="00C81FBE"/>
    <w:rsid w:val="00C8212F"/>
    <w:rsid w:val="00C82791"/>
    <w:rsid w:val="00C82B0B"/>
    <w:rsid w:val="00C831C7"/>
    <w:rsid w:val="00C83A33"/>
    <w:rsid w:val="00C83A40"/>
    <w:rsid w:val="00C84604"/>
    <w:rsid w:val="00C84B0E"/>
    <w:rsid w:val="00C84E16"/>
    <w:rsid w:val="00C850FD"/>
    <w:rsid w:val="00C857A1"/>
    <w:rsid w:val="00C85897"/>
    <w:rsid w:val="00C85CF6"/>
    <w:rsid w:val="00C85DDE"/>
    <w:rsid w:val="00C86C06"/>
    <w:rsid w:val="00C8734C"/>
    <w:rsid w:val="00C8737F"/>
    <w:rsid w:val="00C87A0C"/>
    <w:rsid w:val="00C87B2C"/>
    <w:rsid w:val="00C9055F"/>
    <w:rsid w:val="00C91645"/>
    <w:rsid w:val="00C916AD"/>
    <w:rsid w:val="00C92987"/>
    <w:rsid w:val="00C92CF7"/>
    <w:rsid w:val="00C936C3"/>
    <w:rsid w:val="00C93DCE"/>
    <w:rsid w:val="00C949E2"/>
    <w:rsid w:val="00C94BF5"/>
    <w:rsid w:val="00C9567A"/>
    <w:rsid w:val="00C957E5"/>
    <w:rsid w:val="00C95B20"/>
    <w:rsid w:val="00C95BF6"/>
    <w:rsid w:val="00C965D3"/>
    <w:rsid w:val="00C9670F"/>
    <w:rsid w:val="00C96AF3"/>
    <w:rsid w:val="00C96BFF"/>
    <w:rsid w:val="00C97B52"/>
    <w:rsid w:val="00CA0428"/>
    <w:rsid w:val="00CA06E5"/>
    <w:rsid w:val="00CA0730"/>
    <w:rsid w:val="00CA0E2F"/>
    <w:rsid w:val="00CA164C"/>
    <w:rsid w:val="00CA16AD"/>
    <w:rsid w:val="00CA1D19"/>
    <w:rsid w:val="00CA2199"/>
    <w:rsid w:val="00CA223F"/>
    <w:rsid w:val="00CA249C"/>
    <w:rsid w:val="00CA28C5"/>
    <w:rsid w:val="00CA2DE7"/>
    <w:rsid w:val="00CA3B1D"/>
    <w:rsid w:val="00CA4160"/>
    <w:rsid w:val="00CA44E8"/>
    <w:rsid w:val="00CA4BE3"/>
    <w:rsid w:val="00CA53D1"/>
    <w:rsid w:val="00CA5B5E"/>
    <w:rsid w:val="00CA61E3"/>
    <w:rsid w:val="00CA6219"/>
    <w:rsid w:val="00CA65F1"/>
    <w:rsid w:val="00CA6E49"/>
    <w:rsid w:val="00CA6EE1"/>
    <w:rsid w:val="00CB02CB"/>
    <w:rsid w:val="00CB08A1"/>
    <w:rsid w:val="00CB13BC"/>
    <w:rsid w:val="00CB17C1"/>
    <w:rsid w:val="00CB2422"/>
    <w:rsid w:val="00CB2660"/>
    <w:rsid w:val="00CB2A1A"/>
    <w:rsid w:val="00CB320F"/>
    <w:rsid w:val="00CB3418"/>
    <w:rsid w:val="00CB36CE"/>
    <w:rsid w:val="00CB3738"/>
    <w:rsid w:val="00CB3827"/>
    <w:rsid w:val="00CB3A1A"/>
    <w:rsid w:val="00CB4965"/>
    <w:rsid w:val="00CB4BF9"/>
    <w:rsid w:val="00CB4C01"/>
    <w:rsid w:val="00CB5334"/>
    <w:rsid w:val="00CB5E44"/>
    <w:rsid w:val="00CB712B"/>
    <w:rsid w:val="00CB7805"/>
    <w:rsid w:val="00CB7A42"/>
    <w:rsid w:val="00CB7D6F"/>
    <w:rsid w:val="00CC012E"/>
    <w:rsid w:val="00CC06F6"/>
    <w:rsid w:val="00CC0E8C"/>
    <w:rsid w:val="00CC0F64"/>
    <w:rsid w:val="00CC1B33"/>
    <w:rsid w:val="00CC1DF2"/>
    <w:rsid w:val="00CC232B"/>
    <w:rsid w:val="00CC25A6"/>
    <w:rsid w:val="00CC30E5"/>
    <w:rsid w:val="00CC3970"/>
    <w:rsid w:val="00CC44ED"/>
    <w:rsid w:val="00CC4BB7"/>
    <w:rsid w:val="00CC5639"/>
    <w:rsid w:val="00CC5E13"/>
    <w:rsid w:val="00CC5E90"/>
    <w:rsid w:val="00CC72FB"/>
    <w:rsid w:val="00CD046C"/>
    <w:rsid w:val="00CD0979"/>
    <w:rsid w:val="00CD1893"/>
    <w:rsid w:val="00CD36BA"/>
    <w:rsid w:val="00CD38C8"/>
    <w:rsid w:val="00CD3EDF"/>
    <w:rsid w:val="00CD403E"/>
    <w:rsid w:val="00CD58F8"/>
    <w:rsid w:val="00CD6BCF"/>
    <w:rsid w:val="00CD7BBE"/>
    <w:rsid w:val="00CE0052"/>
    <w:rsid w:val="00CE1390"/>
    <w:rsid w:val="00CE1E71"/>
    <w:rsid w:val="00CE2A6C"/>
    <w:rsid w:val="00CE47A5"/>
    <w:rsid w:val="00CE4868"/>
    <w:rsid w:val="00CE4999"/>
    <w:rsid w:val="00CE5199"/>
    <w:rsid w:val="00CE66D5"/>
    <w:rsid w:val="00CE66E4"/>
    <w:rsid w:val="00CF07C3"/>
    <w:rsid w:val="00CF0A29"/>
    <w:rsid w:val="00CF0AD5"/>
    <w:rsid w:val="00CF12C1"/>
    <w:rsid w:val="00CF1E94"/>
    <w:rsid w:val="00CF1FF5"/>
    <w:rsid w:val="00CF273B"/>
    <w:rsid w:val="00CF2824"/>
    <w:rsid w:val="00CF396A"/>
    <w:rsid w:val="00CF3EBB"/>
    <w:rsid w:val="00CF4138"/>
    <w:rsid w:val="00CF439C"/>
    <w:rsid w:val="00CF4B16"/>
    <w:rsid w:val="00CF5539"/>
    <w:rsid w:val="00CF634E"/>
    <w:rsid w:val="00CF63BF"/>
    <w:rsid w:val="00CF6754"/>
    <w:rsid w:val="00CF768E"/>
    <w:rsid w:val="00D0028E"/>
    <w:rsid w:val="00D002FC"/>
    <w:rsid w:val="00D01E81"/>
    <w:rsid w:val="00D01F78"/>
    <w:rsid w:val="00D01FAC"/>
    <w:rsid w:val="00D0228D"/>
    <w:rsid w:val="00D02E9F"/>
    <w:rsid w:val="00D03633"/>
    <w:rsid w:val="00D03C39"/>
    <w:rsid w:val="00D04137"/>
    <w:rsid w:val="00D04674"/>
    <w:rsid w:val="00D05066"/>
    <w:rsid w:val="00D065A9"/>
    <w:rsid w:val="00D06AE0"/>
    <w:rsid w:val="00D06D0A"/>
    <w:rsid w:val="00D070D7"/>
    <w:rsid w:val="00D07439"/>
    <w:rsid w:val="00D0799B"/>
    <w:rsid w:val="00D07A1B"/>
    <w:rsid w:val="00D10D00"/>
    <w:rsid w:val="00D10FF4"/>
    <w:rsid w:val="00D11349"/>
    <w:rsid w:val="00D1134B"/>
    <w:rsid w:val="00D1169D"/>
    <w:rsid w:val="00D11888"/>
    <w:rsid w:val="00D118CF"/>
    <w:rsid w:val="00D12883"/>
    <w:rsid w:val="00D12B8D"/>
    <w:rsid w:val="00D12D6C"/>
    <w:rsid w:val="00D12F97"/>
    <w:rsid w:val="00D13FAB"/>
    <w:rsid w:val="00D14582"/>
    <w:rsid w:val="00D14B21"/>
    <w:rsid w:val="00D1539E"/>
    <w:rsid w:val="00D15858"/>
    <w:rsid w:val="00D15ABB"/>
    <w:rsid w:val="00D15E54"/>
    <w:rsid w:val="00D16299"/>
    <w:rsid w:val="00D162B0"/>
    <w:rsid w:val="00D16C41"/>
    <w:rsid w:val="00D16ED9"/>
    <w:rsid w:val="00D2095A"/>
    <w:rsid w:val="00D209B8"/>
    <w:rsid w:val="00D20BFA"/>
    <w:rsid w:val="00D20CB3"/>
    <w:rsid w:val="00D20D54"/>
    <w:rsid w:val="00D210F8"/>
    <w:rsid w:val="00D211D9"/>
    <w:rsid w:val="00D2131F"/>
    <w:rsid w:val="00D21D95"/>
    <w:rsid w:val="00D21DA2"/>
    <w:rsid w:val="00D2250C"/>
    <w:rsid w:val="00D22F94"/>
    <w:rsid w:val="00D2345D"/>
    <w:rsid w:val="00D23567"/>
    <w:rsid w:val="00D23785"/>
    <w:rsid w:val="00D23A91"/>
    <w:rsid w:val="00D2426A"/>
    <w:rsid w:val="00D24291"/>
    <w:rsid w:val="00D2456B"/>
    <w:rsid w:val="00D2565C"/>
    <w:rsid w:val="00D25889"/>
    <w:rsid w:val="00D25C75"/>
    <w:rsid w:val="00D25FCD"/>
    <w:rsid w:val="00D2617B"/>
    <w:rsid w:val="00D275B4"/>
    <w:rsid w:val="00D27F0D"/>
    <w:rsid w:val="00D27FBF"/>
    <w:rsid w:val="00D31199"/>
    <w:rsid w:val="00D31472"/>
    <w:rsid w:val="00D31511"/>
    <w:rsid w:val="00D31A13"/>
    <w:rsid w:val="00D31A84"/>
    <w:rsid w:val="00D32BCF"/>
    <w:rsid w:val="00D32D94"/>
    <w:rsid w:val="00D330A7"/>
    <w:rsid w:val="00D3350E"/>
    <w:rsid w:val="00D340AA"/>
    <w:rsid w:val="00D34786"/>
    <w:rsid w:val="00D34C1A"/>
    <w:rsid w:val="00D35609"/>
    <w:rsid w:val="00D35A0A"/>
    <w:rsid w:val="00D35A72"/>
    <w:rsid w:val="00D35CFB"/>
    <w:rsid w:val="00D35D47"/>
    <w:rsid w:val="00D36696"/>
    <w:rsid w:val="00D36A2C"/>
    <w:rsid w:val="00D37539"/>
    <w:rsid w:val="00D37557"/>
    <w:rsid w:val="00D4040F"/>
    <w:rsid w:val="00D40A1E"/>
    <w:rsid w:val="00D41308"/>
    <w:rsid w:val="00D42007"/>
    <w:rsid w:val="00D42A76"/>
    <w:rsid w:val="00D42BAB"/>
    <w:rsid w:val="00D43C78"/>
    <w:rsid w:val="00D43D02"/>
    <w:rsid w:val="00D44328"/>
    <w:rsid w:val="00D443A5"/>
    <w:rsid w:val="00D44A80"/>
    <w:rsid w:val="00D44B04"/>
    <w:rsid w:val="00D44BDF"/>
    <w:rsid w:val="00D44F7A"/>
    <w:rsid w:val="00D45150"/>
    <w:rsid w:val="00D45500"/>
    <w:rsid w:val="00D4644B"/>
    <w:rsid w:val="00D4662C"/>
    <w:rsid w:val="00D46696"/>
    <w:rsid w:val="00D46CDC"/>
    <w:rsid w:val="00D46FBE"/>
    <w:rsid w:val="00D47631"/>
    <w:rsid w:val="00D47E97"/>
    <w:rsid w:val="00D47F4D"/>
    <w:rsid w:val="00D5025B"/>
    <w:rsid w:val="00D50AFF"/>
    <w:rsid w:val="00D50CBE"/>
    <w:rsid w:val="00D512DC"/>
    <w:rsid w:val="00D523C3"/>
    <w:rsid w:val="00D52434"/>
    <w:rsid w:val="00D52B5B"/>
    <w:rsid w:val="00D52C14"/>
    <w:rsid w:val="00D537DA"/>
    <w:rsid w:val="00D53960"/>
    <w:rsid w:val="00D539A6"/>
    <w:rsid w:val="00D53DF6"/>
    <w:rsid w:val="00D53F3D"/>
    <w:rsid w:val="00D54537"/>
    <w:rsid w:val="00D54FD9"/>
    <w:rsid w:val="00D558C4"/>
    <w:rsid w:val="00D55D01"/>
    <w:rsid w:val="00D55EC8"/>
    <w:rsid w:val="00D568A0"/>
    <w:rsid w:val="00D56E33"/>
    <w:rsid w:val="00D57019"/>
    <w:rsid w:val="00D57833"/>
    <w:rsid w:val="00D57BA3"/>
    <w:rsid w:val="00D6069C"/>
    <w:rsid w:val="00D606AC"/>
    <w:rsid w:val="00D6092C"/>
    <w:rsid w:val="00D60BBD"/>
    <w:rsid w:val="00D60D42"/>
    <w:rsid w:val="00D61163"/>
    <w:rsid w:val="00D611FB"/>
    <w:rsid w:val="00D6144B"/>
    <w:rsid w:val="00D620D2"/>
    <w:rsid w:val="00D62108"/>
    <w:rsid w:val="00D6211E"/>
    <w:rsid w:val="00D62894"/>
    <w:rsid w:val="00D62BD0"/>
    <w:rsid w:val="00D62F66"/>
    <w:rsid w:val="00D62FB8"/>
    <w:rsid w:val="00D63033"/>
    <w:rsid w:val="00D63233"/>
    <w:rsid w:val="00D64AAD"/>
    <w:rsid w:val="00D65E4F"/>
    <w:rsid w:val="00D6603B"/>
    <w:rsid w:val="00D66F60"/>
    <w:rsid w:val="00D671D3"/>
    <w:rsid w:val="00D677D5"/>
    <w:rsid w:val="00D70778"/>
    <w:rsid w:val="00D70D74"/>
    <w:rsid w:val="00D70EFB"/>
    <w:rsid w:val="00D712B9"/>
    <w:rsid w:val="00D712D3"/>
    <w:rsid w:val="00D71422"/>
    <w:rsid w:val="00D7145E"/>
    <w:rsid w:val="00D72789"/>
    <w:rsid w:val="00D72985"/>
    <w:rsid w:val="00D73376"/>
    <w:rsid w:val="00D73946"/>
    <w:rsid w:val="00D73D78"/>
    <w:rsid w:val="00D73E27"/>
    <w:rsid w:val="00D74A1F"/>
    <w:rsid w:val="00D74B5B"/>
    <w:rsid w:val="00D74C93"/>
    <w:rsid w:val="00D74E82"/>
    <w:rsid w:val="00D74F68"/>
    <w:rsid w:val="00D7514B"/>
    <w:rsid w:val="00D7558D"/>
    <w:rsid w:val="00D76232"/>
    <w:rsid w:val="00D7649A"/>
    <w:rsid w:val="00D76A3D"/>
    <w:rsid w:val="00D7762E"/>
    <w:rsid w:val="00D77A99"/>
    <w:rsid w:val="00D77B2C"/>
    <w:rsid w:val="00D77BCE"/>
    <w:rsid w:val="00D80250"/>
    <w:rsid w:val="00D80440"/>
    <w:rsid w:val="00D80C85"/>
    <w:rsid w:val="00D80FAB"/>
    <w:rsid w:val="00D811FF"/>
    <w:rsid w:val="00D81C90"/>
    <w:rsid w:val="00D81D92"/>
    <w:rsid w:val="00D81F73"/>
    <w:rsid w:val="00D826A0"/>
    <w:rsid w:val="00D82760"/>
    <w:rsid w:val="00D82876"/>
    <w:rsid w:val="00D82EA8"/>
    <w:rsid w:val="00D838BE"/>
    <w:rsid w:val="00D83DD3"/>
    <w:rsid w:val="00D83FFE"/>
    <w:rsid w:val="00D86110"/>
    <w:rsid w:val="00D86402"/>
    <w:rsid w:val="00D86569"/>
    <w:rsid w:val="00D865A2"/>
    <w:rsid w:val="00D87416"/>
    <w:rsid w:val="00D87567"/>
    <w:rsid w:val="00D8763F"/>
    <w:rsid w:val="00D876B2"/>
    <w:rsid w:val="00D877E9"/>
    <w:rsid w:val="00D878CA"/>
    <w:rsid w:val="00D9040B"/>
    <w:rsid w:val="00D9087A"/>
    <w:rsid w:val="00D91047"/>
    <w:rsid w:val="00D912A6"/>
    <w:rsid w:val="00D9141D"/>
    <w:rsid w:val="00D915AB"/>
    <w:rsid w:val="00D91B1E"/>
    <w:rsid w:val="00D91D59"/>
    <w:rsid w:val="00D92374"/>
    <w:rsid w:val="00D9253C"/>
    <w:rsid w:val="00D93446"/>
    <w:rsid w:val="00D9382D"/>
    <w:rsid w:val="00D946AA"/>
    <w:rsid w:val="00D94D1C"/>
    <w:rsid w:val="00D94F44"/>
    <w:rsid w:val="00D9539C"/>
    <w:rsid w:val="00D95402"/>
    <w:rsid w:val="00D96245"/>
    <w:rsid w:val="00D9657F"/>
    <w:rsid w:val="00D975F8"/>
    <w:rsid w:val="00D978E5"/>
    <w:rsid w:val="00DA062D"/>
    <w:rsid w:val="00DA0F27"/>
    <w:rsid w:val="00DA1520"/>
    <w:rsid w:val="00DA1F9E"/>
    <w:rsid w:val="00DA21AB"/>
    <w:rsid w:val="00DA249D"/>
    <w:rsid w:val="00DA2A7C"/>
    <w:rsid w:val="00DA3005"/>
    <w:rsid w:val="00DA300A"/>
    <w:rsid w:val="00DA312D"/>
    <w:rsid w:val="00DA36AE"/>
    <w:rsid w:val="00DA3E52"/>
    <w:rsid w:val="00DA40CF"/>
    <w:rsid w:val="00DA4E4E"/>
    <w:rsid w:val="00DA5DEA"/>
    <w:rsid w:val="00DA5ECF"/>
    <w:rsid w:val="00DA6812"/>
    <w:rsid w:val="00DA6AB3"/>
    <w:rsid w:val="00DA7151"/>
    <w:rsid w:val="00DA755B"/>
    <w:rsid w:val="00DA77AA"/>
    <w:rsid w:val="00DA7982"/>
    <w:rsid w:val="00DA79D0"/>
    <w:rsid w:val="00DA7B5F"/>
    <w:rsid w:val="00DB18A8"/>
    <w:rsid w:val="00DB1D14"/>
    <w:rsid w:val="00DB202B"/>
    <w:rsid w:val="00DB3050"/>
    <w:rsid w:val="00DB30EC"/>
    <w:rsid w:val="00DB3374"/>
    <w:rsid w:val="00DB3D31"/>
    <w:rsid w:val="00DB3ED4"/>
    <w:rsid w:val="00DB4A1E"/>
    <w:rsid w:val="00DB4D80"/>
    <w:rsid w:val="00DB5429"/>
    <w:rsid w:val="00DB5C3C"/>
    <w:rsid w:val="00DB6C6C"/>
    <w:rsid w:val="00DB6D0E"/>
    <w:rsid w:val="00DB7CA0"/>
    <w:rsid w:val="00DC043A"/>
    <w:rsid w:val="00DC07A4"/>
    <w:rsid w:val="00DC12A5"/>
    <w:rsid w:val="00DC174D"/>
    <w:rsid w:val="00DC190C"/>
    <w:rsid w:val="00DC2858"/>
    <w:rsid w:val="00DC28C0"/>
    <w:rsid w:val="00DC28DD"/>
    <w:rsid w:val="00DC2FF2"/>
    <w:rsid w:val="00DC3121"/>
    <w:rsid w:val="00DC4238"/>
    <w:rsid w:val="00DC42BF"/>
    <w:rsid w:val="00DC4839"/>
    <w:rsid w:val="00DC5FD6"/>
    <w:rsid w:val="00DC6453"/>
    <w:rsid w:val="00DC6D2C"/>
    <w:rsid w:val="00DC7597"/>
    <w:rsid w:val="00DC7693"/>
    <w:rsid w:val="00DC7C8C"/>
    <w:rsid w:val="00DD045E"/>
    <w:rsid w:val="00DD1E65"/>
    <w:rsid w:val="00DD2032"/>
    <w:rsid w:val="00DD2635"/>
    <w:rsid w:val="00DD2BE4"/>
    <w:rsid w:val="00DD2C54"/>
    <w:rsid w:val="00DD3FE1"/>
    <w:rsid w:val="00DD4B5B"/>
    <w:rsid w:val="00DD5501"/>
    <w:rsid w:val="00DD6D8F"/>
    <w:rsid w:val="00DD6DEF"/>
    <w:rsid w:val="00DD6E25"/>
    <w:rsid w:val="00DD6F04"/>
    <w:rsid w:val="00DD759E"/>
    <w:rsid w:val="00DD7F29"/>
    <w:rsid w:val="00DE01CB"/>
    <w:rsid w:val="00DE0266"/>
    <w:rsid w:val="00DE0893"/>
    <w:rsid w:val="00DE1546"/>
    <w:rsid w:val="00DE16C3"/>
    <w:rsid w:val="00DE181C"/>
    <w:rsid w:val="00DE26A2"/>
    <w:rsid w:val="00DE2792"/>
    <w:rsid w:val="00DE343D"/>
    <w:rsid w:val="00DE3B4F"/>
    <w:rsid w:val="00DE3E14"/>
    <w:rsid w:val="00DE4E10"/>
    <w:rsid w:val="00DE6249"/>
    <w:rsid w:val="00DE62F2"/>
    <w:rsid w:val="00DE735D"/>
    <w:rsid w:val="00DE7417"/>
    <w:rsid w:val="00DE7624"/>
    <w:rsid w:val="00DE783D"/>
    <w:rsid w:val="00DE7D2E"/>
    <w:rsid w:val="00DF1907"/>
    <w:rsid w:val="00DF1CDD"/>
    <w:rsid w:val="00DF1DF9"/>
    <w:rsid w:val="00DF2C26"/>
    <w:rsid w:val="00DF2FDC"/>
    <w:rsid w:val="00DF3130"/>
    <w:rsid w:val="00DF3A3C"/>
    <w:rsid w:val="00DF42A0"/>
    <w:rsid w:val="00DF472F"/>
    <w:rsid w:val="00DF4BDE"/>
    <w:rsid w:val="00DF5077"/>
    <w:rsid w:val="00DF56EC"/>
    <w:rsid w:val="00DF7793"/>
    <w:rsid w:val="00E0059C"/>
    <w:rsid w:val="00E01798"/>
    <w:rsid w:val="00E018BA"/>
    <w:rsid w:val="00E01B40"/>
    <w:rsid w:val="00E02360"/>
    <w:rsid w:val="00E023DF"/>
    <w:rsid w:val="00E04CC5"/>
    <w:rsid w:val="00E052B0"/>
    <w:rsid w:val="00E05E02"/>
    <w:rsid w:val="00E06730"/>
    <w:rsid w:val="00E067A6"/>
    <w:rsid w:val="00E068E0"/>
    <w:rsid w:val="00E06B5A"/>
    <w:rsid w:val="00E06BAE"/>
    <w:rsid w:val="00E06D84"/>
    <w:rsid w:val="00E06DDE"/>
    <w:rsid w:val="00E0702F"/>
    <w:rsid w:val="00E070DA"/>
    <w:rsid w:val="00E07187"/>
    <w:rsid w:val="00E0734B"/>
    <w:rsid w:val="00E0740A"/>
    <w:rsid w:val="00E07618"/>
    <w:rsid w:val="00E078E6"/>
    <w:rsid w:val="00E079D8"/>
    <w:rsid w:val="00E11392"/>
    <w:rsid w:val="00E114A7"/>
    <w:rsid w:val="00E121DA"/>
    <w:rsid w:val="00E137B4"/>
    <w:rsid w:val="00E13D70"/>
    <w:rsid w:val="00E1451D"/>
    <w:rsid w:val="00E15130"/>
    <w:rsid w:val="00E15217"/>
    <w:rsid w:val="00E1542A"/>
    <w:rsid w:val="00E1542D"/>
    <w:rsid w:val="00E15626"/>
    <w:rsid w:val="00E1578C"/>
    <w:rsid w:val="00E15F82"/>
    <w:rsid w:val="00E15FBA"/>
    <w:rsid w:val="00E16F9D"/>
    <w:rsid w:val="00E17683"/>
    <w:rsid w:val="00E2121C"/>
    <w:rsid w:val="00E215E9"/>
    <w:rsid w:val="00E215EF"/>
    <w:rsid w:val="00E22278"/>
    <w:rsid w:val="00E2284A"/>
    <w:rsid w:val="00E230FD"/>
    <w:rsid w:val="00E236F1"/>
    <w:rsid w:val="00E23718"/>
    <w:rsid w:val="00E2398E"/>
    <w:rsid w:val="00E23A98"/>
    <w:rsid w:val="00E25486"/>
    <w:rsid w:val="00E2586D"/>
    <w:rsid w:val="00E25A41"/>
    <w:rsid w:val="00E25A6B"/>
    <w:rsid w:val="00E25BE4"/>
    <w:rsid w:val="00E2673A"/>
    <w:rsid w:val="00E26AC8"/>
    <w:rsid w:val="00E26F97"/>
    <w:rsid w:val="00E26FCD"/>
    <w:rsid w:val="00E272A4"/>
    <w:rsid w:val="00E27AA4"/>
    <w:rsid w:val="00E30281"/>
    <w:rsid w:val="00E30994"/>
    <w:rsid w:val="00E30DB9"/>
    <w:rsid w:val="00E314FA"/>
    <w:rsid w:val="00E31AAE"/>
    <w:rsid w:val="00E32FE3"/>
    <w:rsid w:val="00E3317B"/>
    <w:rsid w:val="00E337D9"/>
    <w:rsid w:val="00E3386F"/>
    <w:rsid w:val="00E33E64"/>
    <w:rsid w:val="00E3533B"/>
    <w:rsid w:val="00E3622A"/>
    <w:rsid w:val="00E364C4"/>
    <w:rsid w:val="00E36893"/>
    <w:rsid w:val="00E36993"/>
    <w:rsid w:val="00E369D6"/>
    <w:rsid w:val="00E37292"/>
    <w:rsid w:val="00E3757F"/>
    <w:rsid w:val="00E377C8"/>
    <w:rsid w:val="00E37980"/>
    <w:rsid w:val="00E40AEA"/>
    <w:rsid w:val="00E41133"/>
    <w:rsid w:val="00E412F2"/>
    <w:rsid w:val="00E41E9F"/>
    <w:rsid w:val="00E42994"/>
    <w:rsid w:val="00E42C74"/>
    <w:rsid w:val="00E43157"/>
    <w:rsid w:val="00E43212"/>
    <w:rsid w:val="00E4390D"/>
    <w:rsid w:val="00E43C54"/>
    <w:rsid w:val="00E43C96"/>
    <w:rsid w:val="00E43E39"/>
    <w:rsid w:val="00E44853"/>
    <w:rsid w:val="00E44961"/>
    <w:rsid w:val="00E45D29"/>
    <w:rsid w:val="00E461F9"/>
    <w:rsid w:val="00E46307"/>
    <w:rsid w:val="00E477E8"/>
    <w:rsid w:val="00E4781D"/>
    <w:rsid w:val="00E47E00"/>
    <w:rsid w:val="00E50136"/>
    <w:rsid w:val="00E50E66"/>
    <w:rsid w:val="00E51067"/>
    <w:rsid w:val="00E52427"/>
    <w:rsid w:val="00E524D4"/>
    <w:rsid w:val="00E533FF"/>
    <w:rsid w:val="00E53BD8"/>
    <w:rsid w:val="00E53DC6"/>
    <w:rsid w:val="00E53E5E"/>
    <w:rsid w:val="00E54100"/>
    <w:rsid w:val="00E54BF5"/>
    <w:rsid w:val="00E54CE4"/>
    <w:rsid w:val="00E54EF8"/>
    <w:rsid w:val="00E56125"/>
    <w:rsid w:val="00E56477"/>
    <w:rsid w:val="00E56D15"/>
    <w:rsid w:val="00E56EB8"/>
    <w:rsid w:val="00E57833"/>
    <w:rsid w:val="00E57AC6"/>
    <w:rsid w:val="00E57B6B"/>
    <w:rsid w:val="00E57ECF"/>
    <w:rsid w:val="00E60063"/>
    <w:rsid w:val="00E608CA"/>
    <w:rsid w:val="00E61067"/>
    <w:rsid w:val="00E61127"/>
    <w:rsid w:val="00E61DC3"/>
    <w:rsid w:val="00E61F91"/>
    <w:rsid w:val="00E61FC3"/>
    <w:rsid w:val="00E62965"/>
    <w:rsid w:val="00E62BF1"/>
    <w:rsid w:val="00E6356C"/>
    <w:rsid w:val="00E6364D"/>
    <w:rsid w:val="00E63B98"/>
    <w:rsid w:val="00E64645"/>
    <w:rsid w:val="00E64863"/>
    <w:rsid w:val="00E648F3"/>
    <w:rsid w:val="00E64AF6"/>
    <w:rsid w:val="00E64E6F"/>
    <w:rsid w:val="00E64FF5"/>
    <w:rsid w:val="00E651FD"/>
    <w:rsid w:val="00E654A2"/>
    <w:rsid w:val="00E65CB4"/>
    <w:rsid w:val="00E661FD"/>
    <w:rsid w:val="00E6703B"/>
    <w:rsid w:val="00E6788B"/>
    <w:rsid w:val="00E67CBA"/>
    <w:rsid w:val="00E67E23"/>
    <w:rsid w:val="00E709B3"/>
    <w:rsid w:val="00E70B54"/>
    <w:rsid w:val="00E711AB"/>
    <w:rsid w:val="00E7126F"/>
    <w:rsid w:val="00E71410"/>
    <w:rsid w:val="00E7193A"/>
    <w:rsid w:val="00E71E57"/>
    <w:rsid w:val="00E71E89"/>
    <w:rsid w:val="00E71FD7"/>
    <w:rsid w:val="00E72FFF"/>
    <w:rsid w:val="00E73D6A"/>
    <w:rsid w:val="00E74123"/>
    <w:rsid w:val="00E74177"/>
    <w:rsid w:val="00E74D7C"/>
    <w:rsid w:val="00E75229"/>
    <w:rsid w:val="00E753FA"/>
    <w:rsid w:val="00E75440"/>
    <w:rsid w:val="00E75F13"/>
    <w:rsid w:val="00E7676B"/>
    <w:rsid w:val="00E767BD"/>
    <w:rsid w:val="00E76C84"/>
    <w:rsid w:val="00E76CBC"/>
    <w:rsid w:val="00E7739E"/>
    <w:rsid w:val="00E774E4"/>
    <w:rsid w:val="00E807AA"/>
    <w:rsid w:val="00E80E83"/>
    <w:rsid w:val="00E81771"/>
    <w:rsid w:val="00E81A3E"/>
    <w:rsid w:val="00E82CCD"/>
    <w:rsid w:val="00E82F32"/>
    <w:rsid w:val="00E830CC"/>
    <w:rsid w:val="00E833E9"/>
    <w:rsid w:val="00E833FA"/>
    <w:rsid w:val="00E83848"/>
    <w:rsid w:val="00E85038"/>
    <w:rsid w:val="00E855B5"/>
    <w:rsid w:val="00E8617F"/>
    <w:rsid w:val="00E86541"/>
    <w:rsid w:val="00E86761"/>
    <w:rsid w:val="00E86ABD"/>
    <w:rsid w:val="00E86C3A"/>
    <w:rsid w:val="00E86DAF"/>
    <w:rsid w:val="00E86E84"/>
    <w:rsid w:val="00E86EAF"/>
    <w:rsid w:val="00E87515"/>
    <w:rsid w:val="00E8789F"/>
    <w:rsid w:val="00E90530"/>
    <w:rsid w:val="00E9068B"/>
    <w:rsid w:val="00E908CF"/>
    <w:rsid w:val="00E90F4C"/>
    <w:rsid w:val="00E91BE2"/>
    <w:rsid w:val="00E91CFF"/>
    <w:rsid w:val="00E920D0"/>
    <w:rsid w:val="00E92215"/>
    <w:rsid w:val="00E92993"/>
    <w:rsid w:val="00E92E80"/>
    <w:rsid w:val="00E9316D"/>
    <w:rsid w:val="00E93BDB"/>
    <w:rsid w:val="00E94203"/>
    <w:rsid w:val="00E947D7"/>
    <w:rsid w:val="00E94D19"/>
    <w:rsid w:val="00E94E3D"/>
    <w:rsid w:val="00E95F0A"/>
    <w:rsid w:val="00E961D0"/>
    <w:rsid w:val="00E96942"/>
    <w:rsid w:val="00E978C5"/>
    <w:rsid w:val="00E97B71"/>
    <w:rsid w:val="00EA01E7"/>
    <w:rsid w:val="00EA077D"/>
    <w:rsid w:val="00EA0836"/>
    <w:rsid w:val="00EA0FBB"/>
    <w:rsid w:val="00EA1283"/>
    <w:rsid w:val="00EA1D9B"/>
    <w:rsid w:val="00EA26BA"/>
    <w:rsid w:val="00EA27CF"/>
    <w:rsid w:val="00EA48EC"/>
    <w:rsid w:val="00EA4EB1"/>
    <w:rsid w:val="00EA4F82"/>
    <w:rsid w:val="00EA5A04"/>
    <w:rsid w:val="00EA5FE2"/>
    <w:rsid w:val="00EA603E"/>
    <w:rsid w:val="00EA66A2"/>
    <w:rsid w:val="00EA6A6E"/>
    <w:rsid w:val="00EA70E0"/>
    <w:rsid w:val="00EA7131"/>
    <w:rsid w:val="00EA7378"/>
    <w:rsid w:val="00EA7448"/>
    <w:rsid w:val="00EA78CC"/>
    <w:rsid w:val="00EA7F95"/>
    <w:rsid w:val="00EB01F4"/>
    <w:rsid w:val="00EB0252"/>
    <w:rsid w:val="00EB0BBC"/>
    <w:rsid w:val="00EB15FF"/>
    <w:rsid w:val="00EB18F6"/>
    <w:rsid w:val="00EB1CAE"/>
    <w:rsid w:val="00EB1D83"/>
    <w:rsid w:val="00EB21A5"/>
    <w:rsid w:val="00EB22B0"/>
    <w:rsid w:val="00EB24D7"/>
    <w:rsid w:val="00EB2ED9"/>
    <w:rsid w:val="00EB315A"/>
    <w:rsid w:val="00EB394F"/>
    <w:rsid w:val="00EB3B99"/>
    <w:rsid w:val="00EB4080"/>
    <w:rsid w:val="00EB4249"/>
    <w:rsid w:val="00EB454D"/>
    <w:rsid w:val="00EB454F"/>
    <w:rsid w:val="00EB4B7E"/>
    <w:rsid w:val="00EB51DC"/>
    <w:rsid w:val="00EB51EA"/>
    <w:rsid w:val="00EB55C1"/>
    <w:rsid w:val="00EB6170"/>
    <w:rsid w:val="00EB62D9"/>
    <w:rsid w:val="00EB64EF"/>
    <w:rsid w:val="00EB696C"/>
    <w:rsid w:val="00EB6B06"/>
    <w:rsid w:val="00EB7A72"/>
    <w:rsid w:val="00EB7F0A"/>
    <w:rsid w:val="00EC091F"/>
    <w:rsid w:val="00EC0BA4"/>
    <w:rsid w:val="00EC112E"/>
    <w:rsid w:val="00EC1674"/>
    <w:rsid w:val="00EC192C"/>
    <w:rsid w:val="00EC20C2"/>
    <w:rsid w:val="00EC2AAD"/>
    <w:rsid w:val="00EC311A"/>
    <w:rsid w:val="00EC31F9"/>
    <w:rsid w:val="00EC36F6"/>
    <w:rsid w:val="00EC437D"/>
    <w:rsid w:val="00EC440C"/>
    <w:rsid w:val="00EC45C1"/>
    <w:rsid w:val="00EC4738"/>
    <w:rsid w:val="00EC5123"/>
    <w:rsid w:val="00EC514D"/>
    <w:rsid w:val="00EC5570"/>
    <w:rsid w:val="00EC55EA"/>
    <w:rsid w:val="00EC59D9"/>
    <w:rsid w:val="00EC68B2"/>
    <w:rsid w:val="00EC6931"/>
    <w:rsid w:val="00EC6F2B"/>
    <w:rsid w:val="00EC714E"/>
    <w:rsid w:val="00EC74EB"/>
    <w:rsid w:val="00EC7C31"/>
    <w:rsid w:val="00EC7F2E"/>
    <w:rsid w:val="00ED0268"/>
    <w:rsid w:val="00ED03BE"/>
    <w:rsid w:val="00ED04F8"/>
    <w:rsid w:val="00ED0E31"/>
    <w:rsid w:val="00ED0F40"/>
    <w:rsid w:val="00ED1405"/>
    <w:rsid w:val="00ED144B"/>
    <w:rsid w:val="00ED147C"/>
    <w:rsid w:val="00ED18FD"/>
    <w:rsid w:val="00ED19E9"/>
    <w:rsid w:val="00ED2D1D"/>
    <w:rsid w:val="00ED3A8E"/>
    <w:rsid w:val="00ED3AB2"/>
    <w:rsid w:val="00ED404F"/>
    <w:rsid w:val="00ED52B0"/>
    <w:rsid w:val="00ED56AB"/>
    <w:rsid w:val="00ED5BE1"/>
    <w:rsid w:val="00ED7CC1"/>
    <w:rsid w:val="00EE04C1"/>
    <w:rsid w:val="00EE0ACC"/>
    <w:rsid w:val="00EE0BA9"/>
    <w:rsid w:val="00EE0D3E"/>
    <w:rsid w:val="00EE0F6B"/>
    <w:rsid w:val="00EE140F"/>
    <w:rsid w:val="00EE22E3"/>
    <w:rsid w:val="00EE2931"/>
    <w:rsid w:val="00EE2BD2"/>
    <w:rsid w:val="00EE3522"/>
    <w:rsid w:val="00EE36D7"/>
    <w:rsid w:val="00EE39AD"/>
    <w:rsid w:val="00EE4E4B"/>
    <w:rsid w:val="00EE504E"/>
    <w:rsid w:val="00EE5C5E"/>
    <w:rsid w:val="00EE5D7E"/>
    <w:rsid w:val="00EE5E58"/>
    <w:rsid w:val="00EE61AB"/>
    <w:rsid w:val="00EE7188"/>
    <w:rsid w:val="00EE7718"/>
    <w:rsid w:val="00EF04A0"/>
    <w:rsid w:val="00EF0CB9"/>
    <w:rsid w:val="00EF0CEF"/>
    <w:rsid w:val="00EF1B3F"/>
    <w:rsid w:val="00EF2493"/>
    <w:rsid w:val="00EF2BCD"/>
    <w:rsid w:val="00EF36AC"/>
    <w:rsid w:val="00EF4804"/>
    <w:rsid w:val="00EF4866"/>
    <w:rsid w:val="00EF49F0"/>
    <w:rsid w:val="00EF4C4E"/>
    <w:rsid w:val="00EF4EC3"/>
    <w:rsid w:val="00EF56CE"/>
    <w:rsid w:val="00EF5839"/>
    <w:rsid w:val="00EF5AA9"/>
    <w:rsid w:val="00EF619B"/>
    <w:rsid w:val="00EF620A"/>
    <w:rsid w:val="00EF6972"/>
    <w:rsid w:val="00EF7231"/>
    <w:rsid w:val="00EF78C3"/>
    <w:rsid w:val="00F001CA"/>
    <w:rsid w:val="00F005EE"/>
    <w:rsid w:val="00F00B55"/>
    <w:rsid w:val="00F012D6"/>
    <w:rsid w:val="00F0235E"/>
    <w:rsid w:val="00F02586"/>
    <w:rsid w:val="00F037C6"/>
    <w:rsid w:val="00F04AFE"/>
    <w:rsid w:val="00F059CF"/>
    <w:rsid w:val="00F06961"/>
    <w:rsid w:val="00F1005F"/>
    <w:rsid w:val="00F10CE6"/>
    <w:rsid w:val="00F11242"/>
    <w:rsid w:val="00F1129E"/>
    <w:rsid w:val="00F1188B"/>
    <w:rsid w:val="00F11EF1"/>
    <w:rsid w:val="00F1380F"/>
    <w:rsid w:val="00F14F0E"/>
    <w:rsid w:val="00F14F98"/>
    <w:rsid w:val="00F15799"/>
    <w:rsid w:val="00F15B6A"/>
    <w:rsid w:val="00F16AD4"/>
    <w:rsid w:val="00F16F8E"/>
    <w:rsid w:val="00F175ED"/>
    <w:rsid w:val="00F1763D"/>
    <w:rsid w:val="00F17799"/>
    <w:rsid w:val="00F17D5E"/>
    <w:rsid w:val="00F20236"/>
    <w:rsid w:val="00F2059E"/>
    <w:rsid w:val="00F20D2B"/>
    <w:rsid w:val="00F21553"/>
    <w:rsid w:val="00F21703"/>
    <w:rsid w:val="00F227E6"/>
    <w:rsid w:val="00F2328B"/>
    <w:rsid w:val="00F24AB2"/>
    <w:rsid w:val="00F24C29"/>
    <w:rsid w:val="00F253CC"/>
    <w:rsid w:val="00F25C31"/>
    <w:rsid w:val="00F267BE"/>
    <w:rsid w:val="00F267E4"/>
    <w:rsid w:val="00F26B0B"/>
    <w:rsid w:val="00F27458"/>
    <w:rsid w:val="00F277DB"/>
    <w:rsid w:val="00F27ACD"/>
    <w:rsid w:val="00F27CD8"/>
    <w:rsid w:val="00F27CFD"/>
    <w:rsid w:val="00F27F00"/>
    <w:rsid w:val="00F311E2"/>
    <w:rsid w:val="00F31814"/>
    <w:rsid w:val="00F32262"/>
    <w:rsid w:val="00F3282B"/>
    <w:rsid w:val="00F3379A"/>
    <w:rsid w:val="00F34265"/>
    <w:rsid w:val="00F34430"/>
    <w:rsid w:val="00F345AF"/>
    <w:rsid w:val="00F352AF"/>
    <w:rsid w:val="00F35C2A"/>
    <w:rsid w:val="00F35E2A"/>
    <w:rsid w:val="00F36C33"/>
    <w:rsid w:val="00F36D40"/>
    <w:rsid w:val="00F36F27"/>
    <w:rsid w:val="00F37481"/>
    <w:rsid w:val="00F377BE"/>
    <w:rsid w:val="00F37F99"/>
    <w:rsid w:val="00F40B92"/>
    <w:rsid w:val="00F40F3F"/>
    <w:rsid w:val="00F4139C"/>
    <w:rsid w:val="00F41A44"/>
    <w:rsid w:val="00F41F32"/>
    <w:rsid w:val="00F427D9"/>
    <w:rsid w:val="00F427E6"/>
    <w:rsid w:val="00F42943"/>
    <w:rsid w:val="00F4316F"/>
    <w:rsid w:val="00F434F9"/>
    <w:rsid w:val="00F438CD"/>
    <w:rsid w:val="00F441B9"/>
    <w:rsid w:val="00F4424F"/>
    <w:rsid w:val="00F44C31"/>
    <w:rsid w:val="00F45817"/>
    <w:rsid w:val="00F45EBF"/>
    <w:rsid w:val="00F46107"/>
    <w:rsid w:val="00F46498"/>
    <w:rsid w:val="00F4796B"/>
    <w:rsid w:val="00F47B79"/>
    <w:rsid w:val="00F503B5"/>
    <w:rsid w:val="00F5080C"/>
    <w:rsid w:val="00F50844"/>
    <w:rsid w:val="00F50CCD"/>
    <w:rsid w:val="00F50E6B"/>
    <w:rsid w:val="00F516D3"/>
    <w:rsid w:val="00F51F0D"/>
    <w:rsid w:val="00F51F28"/>
    <w:rsid w:val="00F545AC"/>
    <w:rsid w:val="00F547B5"/>
    <w:rsid w:val="00F54873"/>
    <w:rsid w:val="00F548A6"/>
    <w:rsid w:val="00F5497B"/>
    <w:rsid w:val="00F54F56"/>
    <w:rsid w:val="00F55507"/>
    <w:rsid w:val="00F55AB7"/>
    <w:rsid w:val="00F55F3B"/>
    <w:rsid w:val="00F55FC4"/>
    <w:rsid w:val="00F566C6"/>
    <w:rsid w:val="00F5694D"/>
    <w:rsid w:val="00F56A40"/>
    <w:rsid w:val="00F56BA5"/>
    <w:rsid w:val="00F56BE1"/>
    <w:rsid w:val="00F56D59"/>
    <w:rsid w:val="00F56EC5"/>
    <w:rsid w:val="00F56F31"/>
    <w:rsid w:val="00F572A5"/>
    <w:rsid w:val="00F57538"/>
    <w:rsid w:val="00F57731"/>
    <w:rsid w:val="00F6022A"/>
    <w:rsid w:val="00F60E01"/>
    <w:rsid w:val="00F61053"/>
    <w:rsid w:val="00F6108F"/>
    <w:rsid w:val="00F61379"/>
    <w:rsid w:val="00F6140C"/>
    <w:rsid w:val="00F6160F"/>
    <w:rsid w:val="00F61B4C"/>
    <w:rsid w:val="00F61BE4"/>
    <w:rsid w:val="00F62179"/>
    <w:rsid w:val="00F6255A"/>
    <w:rsid w:val="00F62641"/>
    <w:rsid w:val="00F626BF"/>
    <w:rsid w:val="00F629C7"/>
    <w:rsid w:val="00F62C42"/>
    <w:rsid w:val="00F6351B"/>
    <w:rsid w:val="00F637BF"/>
    <w:rsid w:val="00F644E6"/>
    <w:rsid w:val="00F652F0"/>
    <w:rsid w:val="00F6589A"/>
    <w:rsid w:val="00F6657C"/>
    <w:rsid w:val="00F666B5"/>
    <w:rsid w:val="00F669EC"/>
    <w:rsid w:val="00F66BDC"/>
    <w:rsid w:val="00F70342"/>
    <w:rsid w:val="00F703D1"/>
    <w:rsid w:val="00F7144F"/>
    <w:rsid w:val="00F71643"/>
    <w:rsid w:val="00F71982"/>
    <w:rsid w:val="00F71F53"/>
    <w:rsid w:val="00F724F3"/>
    <w:rsid w:val="00F725D1"/>
    <w:rsid w:val="00F72B58"/>
    <w:rsid w:val="00F737D9"/>
    <w:rsid w:val="00F7392C"/>
    <w:rsid w:val="00F746CA"/>
    <w:rsid w:val="00F74834"/>
    <w:rsid w:val="00F74B0B"/>
    <w:rsid w:val="00F74F0B"/>
    <w:rsid w:val="00F769C7"/>
    <w:rsid w:val="00F76ADB"/>
    <w:rsid w:val="00F7730A"/>
    <w:rsid w:val="00F7784C"/>
    <w:rsid w:val="00F77995"/>
    <w:rsid w:val="00F77BFA"/>
    <w:rsid w:val="00F77E6F"/>
    <w:rsid w:val="00F810EB"/>
    <w:rsid w:val="00F8194C"/>
    <w:rsid w:val="00F81B3F"/>
    <w:rsid w:val="00F820EF"/>
    <w:rsid w:val="00F8244B"/>
    <w:rsid w:val="00F82683"/>
    <w:rsid w:val="00F82B9D"/>
    <w:rsid w:val="00F83617"/>
    <w:rsid w:val="00F83D11"/>
    <w:rsid w:val="00F849BF"/>
    <w:rsid w:val="00F84B63"/>
    <w:rsid w:val="00F857F6"/>
    <w:rsid w:val="00F867F6"/>
    <w:rsid w:val="00F86CC8"/>
    <w:rsid w:val="00F86E36"/>
    <w:rsid w:val="00F86EE8"/>
    <w:rsid w:val="00F87A9A"/>
    <w:rsid w:val="00F902BF"/>
    <w:rsid w:val="00F90D42"/>
    <w:rsid w:val="00F91540"/>
    <w:rsid w:val="00F916AC"/>
    <w:rsid w:val="00F91A4B"/>
    <w:rsid w:val="00F929C3"/>
    <w:rsid w:val="00F92CA1"/>
    <w:rsid w:val="00F93826"/>
    <w:rsid w:val="00F9453D"/>
    <w:rsid w:val="00F9491E"/>
    <w:rsid w:val="00F94D4F"/>
    <w:rsid w:val="00F9653B"/>
    <w:rsid w:val="00F968E0"/>
    <w:rsid w:val="00F968E5"/>
    <w:rsid w:val="00F96DEE"/>
    <w:rsid w:val="00F977ED"/>
    <w:rsid w:val="00F97B89"/>
    <w:rsid w:val="00F97D53"/>
    <w:rsid w:val="00FA01C8"/>
    <w:rsid w:val="00FA081A"/>
    <w:rsid w:val="00FA083B"/>
    <w:rsid w:val="00FA1759"/>
    <w:rsid w:val="00FA1ADA"/>
    <w:rsid w:val="00FA1C6B"/>
    <w:rsid w:val="00FA21FC"/>
    <w:rsid w:val="00FA2245"/>
    <w:rsid w:val="00FA2B95"/>
    <w:rsid w:val="00FA2C02"/>
    <w:rsid w:val="00FA2C1D"/>
    <w:rsid w:val="00FA30B0"/>
    <w:rsid w:val="00FA310E"/>
    <w:rsid w:val="00FA33B5"/>
    <w:rsid w:val="00FA359A"/>
    <w:rsid w:val="00FA3A17"/>
    <w:rsid w:val="00FA3BDF"/>
    <w:rsid w:val="00FA476F"/>
    <w:rsid w:val="00FA5112"/>
    <w:rsid w:val="00FA5E83"/>
    <w:rsid w:val="00FA5FCF"/>
    <w:rsid w:val="00FA63CD"/>
    <w:rsid w:val="00FA6873"/>
    <w:rsid w:val="00FA73EB"/>
    <w:rsid w:val="00FA773D"/>
    <w:rsid w:val="00FA7982"/>
    <w:rsid w:val="00FA7A5D"/>
    <w:rsid w:val="00FA7CCD"/>
    <w:rsid w:val="00FB0135"/>
    <w:rsid w:val="00FB0E27"/>
    <w:rsid w:val="00FB0F8C"/>
    <w:rsid w:val="00FB0F94"/>
    <w:rsid w:val="00FB1A16"/>
    <w:rsid w:val="00FB1A3C"/>
    <w:rsid w:val="00FB2597"/>
    <w:rsid w:val="00FB37A2"/>
    <w:rsid w:val="00FB3991"/>
    <w:rsid w:val="00FB3C92"/>
    <w:rsid w:val="00FB3F0E"/>
    <w:rsid w:val="00FB49E0"/>
    <w:rsid w:val="00FB4EE9"/>
    <w:rsid w:val="00FB5B57"/>
    <w:rsid w:val="00FB62CF"/>
    <w:rsid w:val="00FB74A8"/>
    <w:rsid w:val="00FC052E"/>
    <w:rsid w:val="00FC06C3"/>
    <w:rsid w:val="00FC084F"/>
    <w:rsid w:val="00FC1154"/>
    <w:rsid w:val="00FC13F0"/>
    <w:rsid w:val="00FC1D53"/>
    <w:rsid w:val="00FC1E3D"/>
    <w:rsid w:val="00FC240A"/>
    <w:rsid w:val="00FC2B57"/>
    <w:rsid w:val="00FC2B76"/>
    <w:rsid w:val="00FC3262"/>
    <w:rsid w:val="00FC3283"/>
    <w:rsid w:val="00FC3C01"/>
    <w:rsid w:val="00FC3E0A"/>
    <w:rsid w:val="00FC3EB4"/>
    <w:rsid w:val="00FC41AB"/>
    <w:rsid w:val="00FC4AB2"/>
    <w:rsid w:val="00FC544A"/>
    <w:rsid w:val="00FC5458"/>
    <w:rsid w:val="00FC6C58"/>
    <w:rsid w:val="00FC70D7"/>
    <w:rsid w:val="00FC774A"/>
    <w:rsid w:val="00FC77D2"/>
    <w:rsid w:val="00FC78B0"/>
    <w:rsid w:val="00FD11C7"/>
    <w:rsid w:val="00FD1863"/>
    <w:rsid w:val="00FD1BA1"/>
    <w:rsid w:val="00FD1C8A"/>
    <w:rsid w:val="00FD1DD0"/>
    <w:rsid w:val="00FD24A9"/>
    <w:rsid w:val="00FD279F"/>
    <w:rsid w:val="00FD3996"/>
    <w:rsid w:val="00FD3BD1"/>
    <w:rsid w:val="00FD3E3D"/>
    <w:rsid w:val="00FD50E1"/>
    <w:rsid w:val="00FD5518"/>
    <w:rsid w:val="00FD56CC"/>
    <w:rsid w:val="00FD635E"/>
    <w:rsid w:val="00FD6B02"/>
    <w:rsid w:val="00FD706D"/>
    <w:rsid w:val="00FD71F0"/>
    <w:rsid w:val="00FD746F"/>
    <w:rsid w:val="00FD7A58"/>
    <w:rsid w:val="00FE09CA"/>
    <w:rsid w:val="00FE144F"/>
    <w:rsid w:val="00FE157F"/>
    <w:rsid w:val="00FE1B1C"/>
    <w:rsid w:val="00FE1C4E"/>
    <w:rsid w:val="00FE1EAD"/>
    <w:rsid w:val="00FE21AB"/>
    <w:rsid w:val="00FE24E6"/>
    <w:rsid w:val="00FE25F4"/>
    <w:rsid w:val="00FE276D"/>
    <w:rsid w:val="00FE3CC4"/>
    <w:rsid w:val="00FE3CEC"/>
    <w:rsid w:val="00FE40DE"/>
    <w:rsid w:val="00FE459C"/>
    <w:rsid w:val="00FE48DC"/>
    <w:rsid w:val="00FE4BF7"/>
    <w:rsid w:val="00FE4DAB"/>
    <w:rsid w:val="00FE514A"/>
    <w:rsid w:val="00FE5494"/>
    <w:rsid w:val="00FE5C4B"/>
    <w:rsid w:val="00FE6030"/>
    <w:rsid w:val="00FE65A5"/>
    <w:rsid w:val="00FE6A5A"/>
    <w:rsid w:val="00FE6B45"/>
    <w:rsid w:val="00FE6B58"/>
    <w:rsid w:val="00FE6EBC"/>
    <w:rsid w:val="00FE6F98"/>
    <w:rsid w:val="00FE7303"/>
    <w:rsid w:val="00FE769E"/>
    <w:rsid w:val="00FF03FB"/>
    <w:rsid w:val="00FF05BC"/>
    <w:rsid w:val="00FF0651"/>
    <w:rsid w:val="00FF19BA"/>
    <w:rsid w:val="00FF19E2"/>
    <w:rsid w:val="00FF1B45"/>
    <w:rsid w:val="00FF1B5F"/>
    <w:rsid w:val="00FF1C0D"/>
    <w:rsid w:val="00FF1C1C"/>
    <w:rsid w:val="00FF2A07"/>
    <w:rsid w:val="00FF2F9E"/>
    <w:rsid w:val="00FF3563"/>
    <w:rsid w:val="00FF379A"/>
    <w:rsid w:val="00FF3E59"/>
    <w:rsid w:val="00FF3FB7"/>
    <w:rsid w:val="00FF49B4"/>
    <w:rsid w:val="00FF4B22"/>
    <w:rsid w:val="00FF5724"/>
    <w:rsid w:val="00FF5851"/>
    <w:rsid w:val="00FF6A1A"/>
    <w:rsid w:val="00FF6B34"/>
    <w:rsid w:val="00FF6C89"/>
    <w:rsid w:val="00FF7145"/>
    <w:rsid w:val="00FF7650"/>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1" w:uiPriority="9" w:qFormat="1"/>
    <w:lsdException w:name="heading 2" w:uiPriority="9"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0CEF"/>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36AE"/>
    <w:rPr>
      <w:u w:val="single"/>
    </w:rPr>
  </w:style>
  <w:style w:type="paragraph" w:customStyle="1" w:styleId="Cabeceraypie">
    <w:name w:val="Cabecera y pie"/>
    <w:rsid w:val="00DA36AE"/>
    <w:pPr>
      <w:tabs>
        <w:tab w:val="right" w:pos="9020"/>
      </w:tabs>
    </w:pPr>
    <w:rPr>
      <w:rFonts w:ascii="Helvetica" w:hAnsi="Arial Unicode MS" w:cs="Arial Unicode MS"/>
      <w:color w:val="000000"/>
    </w:rPr>
  </w:style>
  <w:style w:type="paragraph" w:styleId="Footer">
    <w:name w:val="footer"/>
    <w:link w:val="FooterChar"/>
    <w:uiPriority w:val="99"/>
    <w:rsid w:val="00DA36AE"/>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DA36AE"/>
    <w:rPr>
      <w:rFonts w:ascii="Cambria" w:eastAsia="Cambria" w:hAnsi="Cambria" w:cs="Cambria"/>
      <w:color w:val="000000"/>
      <w:u w:color="000000"/>
    </w:rPr>
  </w:style>
  <w:style w:type="paragraph" w:styleId="BodyTextIndent">
    <w:name w:val="Body Text Indent"/>
    <w:rsid w:val="00DA36AE"/>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rsid w:val="00DA36AE"/>
    <w:pPr>
      <w:ind w:left="720"/>
    </w:pPr>
    <w:rPr>
      <w:rFonts w:ascii="Cambria" w:eastAsia="Cambria" w:hAnsi="Cambria" w:cs="Cambria"/>
      <w:color w:val="000000"/>
      <w:u w:color="000000"/>
      <w:lang w:val="en-US"/>
    </w:rPr>
  </w:style>
  <w:style w:type="numbering" w:customStyle="1" w:styleId="List0">
    <w:name w:val="List 0"/>
    <w:basedOn w:val="Estiloimportado1"/>
    <w:rsid w:val="00DA36AE"/>
    <w:pPr>
      <w:numPr>
        <w:numId w:val="31"/>
      </w:numPr>
    </w:pPr>
  </w:style>
  <w:style w:type="numbering" w:customStyle="1" w:styleId="Estiloimportado1">
    <w:name w:val="Estilo importado 1"/>
    <w:rsid w:val="00DA36AE"/>
  </w:style>
  <w:style w:type="numbering" w:customStyle="1" w:styleId="List1">
    <w:name w:val="List 1"/>
    <w:basedOn w:val="Estiloimportado2"/>
    <w:rsid w:val="00DA36AE"/>
    <w:pPr>
      <w:numPr>
        <w:numId w:val="1"/>
      </w:numPr>
    </w:pPr>
  </w:style>
  <w:style w:type="numbering" w:customStyle="1" w:styleId="Estiloimportado2">
    <w:name w:val="Estilo importado 2"/>
    <w:rsid w:val="00DA36AE"/>
  </w:style>
  <w:style w:type="numbering" w:customStyle="1" w:styleId="List210">
    <w:name w:val="List 21"/>
    <w:basedOn w:val="Estiloimportado3"/>
    <w:rsid w:val="00DA36AE"/>
    <w:pPr>
      <w:numPr>
        <w:numId w:val="52"/>
      </w:numPr>
    </w:pPr>
  </w:style>
  <w:style w:type="numbering" w:customStyle="1" w:styleId="Estiloimportado3">
    <w:name w:val="Estilo importado 3"/>
    <w:rsid w:val="00DA36AE"/>
  </w:style>
  <w:style w:type="numbering" w:customStyle="1" w:styleId="List31">
    <w:name w:val="List 31"/>
    <w:basedOn w:val="Estiloimportado4"/>
    <w:rsid w:val="00DA36AE"/>
    <w:pPr>
      <w:numPr>
        <w:numId w:val="51"/>
      </w:numPr>
    </w:pPr>
  </w:style>
  <w:style w:type="numbering" w:customStyle="1" w:styleId="Estiloimportado4">
    <w:name w:val="Estilo importado 4"/>
    <w:rsid w:val="00DA36AE"/>
  </w:style>
  <w:style w:type="numbering" w:customStyle="1" w:styleId="List41">
    <w:name w:val="List 41"/>
    <w:basedOn w:val="Estiloimportado5"/>
    <w:rsid w:val="00DA36AE"/>
    <w:pPr>
      <w:numPr>
        <w:numId w:val="2"/>
      </w:numPr>
    </w:pPr>
  </w:style>
  <w:style w:type="numbering" w:customStyle="1" w:styleId="Estiloimportado5">
    <w:name w:val="Estilo importado 5"/>
    <w:rsid w:val="00DA36AE"/>
  </w:style>
  <w:style w:type="numbering" w:customStyle="1" w:styleId="List510">
    <w:name w:val="List 51"/>
    <w:basedOn w:val="Estiloimportado6"/>
    <w:rsid w:val="00DA36AE"/>
    <w:pPr>
      <w:numPr>
        <w:numId w:val="54"/>
      </w:numPr>
    </w:pPr>
  </w:style>
  <w:style w:type="numbering" w:customStyle="1" w:styleId="Estiloimportado6">
    <w:name w:val="Estilo importado 6"/>
    <w:rsid w:val="00DA36AE"/>
  </w:style>
  <w:style w:type="numbering" w:customStyle="1" w:styleId="List6">
    <w:name w:val="List 6"/>
    <w:basedOn w:val="Estiloimportado7"/>
    <w:rsid w:val="00DA36AE"/>
    <w:pPr>
      <w:numPr>
        <w:numId w:val="3"/>
      </w:numPr>
    </w:pPr>
  </w:style>
  <w:style w:type="numbering" w:customStyle="1" w:styleId="Estiloimportado7">
    <w:name w:val="Estilo importado 7"/>
    <w:rsid w:val="00DA36AE"/>
  </w:style>
  <w:style w:type="numbering" w:customStyle="1" w:styleId="List7">
    <w:name w:val="List 7"/>
    <w:basedOn w:val="Estiloimportado8"/>
    <w:rsid w:val="00DA36AE"/>
    <w:pPr>
      <w:numPr>
        <w:numId w:val="4"/>
      </w:numPr>
    </w:pPr>
  </w:style>
  <w:style w:type="numbering" w:customStyle="1" w:styleId="Estiloimportado8">
    <w:name w:val="Estilo importado 8"/>
    <w:rsid w:val="00DA36AE"/>
  </w:style>
  <w:style w:type="numbering" w:customStyle="1" w:styleId="List8">
    <w:name w:val="List 8"/>
    <w:basedOn w:val="Estiloimportado9"/>
    <w:rsid w:val="00DA36AE"/>
    <w:pPr>
      <w:numPr>
        <w:numId w:val="5"/>
      </w:numPr>
    </w:pPr>
  </w:style>
  <w:style w:type="numbering" w:customStyle="1" w:styleId="Estiloimportado9">
    <w:name w:val="Estilo importado 9"/>
    <w:rsid w:val="00DA36AE"/>
  </w:style>
  <w:style w:type="numbering" w:customStyle="1" w:styleId="List9">
    <w:name w:val="List 9"/>
    <w:basedOn w:val="Estiloimportado10"/>
    <w:rsid w:val="00DA36AE"/>
    <w:pPr>
      <w:numPr>
        <w:numId w:val="22"/>
      </w:numPr>
    </w:pPr>
  </w:style>
  <w:style w:type="numbering" w:customStyle="1" w:styleId="Estiloimportado10">
    <w:name w:val="Estilo importado 10"/>
    <w:rsid w:val="00DA36AE"/>
  </w:style>
  <w:style w:type="numbering" w:customStyle="1" w:styleId="List10">
    <w:name w:val="List 10"/>
    <w:basedOn w:val="Estiloimportado11"/>
    <w:rsid w:val="00DA36AE"/>
    <w:pPr>
      <w:numPr>
        <w:numId w:val="6"/>
      </w:numPr>
    </w:pPr>
  </w:style>
  <w:style w:type="numbering" w:customStyle="1" w:styleId="Estiloimportado11">
    <w:name w:val="Estilo importado 11"/>
    <w:rsid w:val="00DA36AE"/>
  </w:style>
  <w:style w:type="numbering" w:customStyle="1" w:styleId="List11">
    <w:name w:val="List 11"/>
    <w:basedOn w:val="Estiloimportado12"/>
    <w:rsid w:val="00DA36AE"/>
    <w:pPr>
      <w:numPr>
        <w:numId w:val="7"/>
      </w:numPr>
    </w:pPr>
  </w:style>
  <w:style w:type="numbering" w:customStyle="1" w:styleId="Estiloimportado12">
    <w:name w:val="Estilo importado 12"/>
    <w:rsid w:val="00DA36AE"/>
  </w:style>
  <w:style w:type="numbering" w:customStyle="1" w:styleId="List12">
    <w:name w:val="List 12"/>
    <w:basedOn w:val="Estiloimportado13"/>
    <w:rsid w:val="00DA36AE"/>
    <w:pPr>
      <w:numPr>
        <w:numId w:val="36"/>
      </w:numPr>
    </w:pPr>
  </w:style>
  <w:style w:type="numbering" w:customStyle="1" w:styleId="Estiloimportado13">
    <w:name w:val="Estilo importado 13"/>
    <w:rsid w:val="00DA36AE"/>
  </w:style>
  <w:style w:type="numbering" w:customStyle="1" w:styleId="List13">
    <w:name w:val="List 13"/>
    <w:basedOn w:val="Estiloimportado14"/>
    <w:rsid w:val="00DA36AE"/>
    <w:pPr>
      <w:numPr>
        <w:numId w:val="42"/>
      </w:numPr>
    </w:pPr>
  </w:style>
  <w:style w:type="numbering" w:customStyle="1" w:styleId="Estiloimportado14">
    <w:name w:val="Estilo importado 14"/>
    <w:rsid w:val="00DA36AE"/>
  </w:style>
  <w:style w:type="numbering" w:customStyle="1" w:styleId="List14">
    <w:name w:val="List 14"/>
    <w:basedOn w:val="Estiloimportado15"/>
    <w:rsid w:val="00DA36AE"/>
    <w:pPr>
      <w:numPr>
        <w:numId w:val="17"/>
      </w:numPr>
    </w:pPr>
  </w:style>
  <w:style w:type="numbering" w:customStyle="1" w:styleId="Estiloimportado15">
    <w:name w:val="Estilo importado 15"/>
    <w:rsid w:val="00DA36AE"/>
  </w:style>
  <w:style w:type="numbering" w:customStyle="1" w:styleId="List15">
    <w:name w:val="List 15"/>
    <w:basedOn w:val="Estiloimportado16"/>
    <w:rsid w:val="00DA36AE"/>
    <w:pPr>
      <w:numPr>
        <w:numId w:val="16"/>
      </w:numPr>
    </w:pPr>
  </w:style>
  <w:style w:type="numbering" w:customStyle="1" w:styleId="Estiloimportado16">
    <w:name w:val="Estilo importado 16"/>
    <w:rsid w:val="00DA36AE"/>
  </w:style>
  <w:style w:type="numbering" w:customStyle="1" w:styleId="List16">
    <w:name w:val="List 16"/>
    <w:basedOn w:val="Estiloimportado16"/>
    <w:rsid w:val="00DA36AE"/>
    <w:pPr>
      <w:numPr>
        <w:numId w:val="10"/>
      </w:numPr>
    </w:pPr>
  </w:style>
  <w:style w:type="numbering" w:customStyle="1" w:styleId="List17">
    <w:name w:val="List 17"/>
    <w:basedOn w:val="Estiloimportado17"/>
    <w:rsid w:val="00DA36AE"/>
    <w:pPr>
      <w:numPr>
        <w:numId w:val="25"/>
      </w:numPr>
    </w:pPr>
  </w:style>
  <w:style w:type="numbering" w:customStyle="1" w:styleId="Estiloimportado17">
    <w:name w:val="Estilo importado 17"/>
    <w:rsid w:val="00DA36AE"/>
  </w:style>
  <w:style w:type="numbering" w:customStyle="1" w:styleId="List18">
    <w:name w:val="List 18"/>
    <w:basedOn w:val="Estiloimportado18"/>
    <w:rsid w:val="00DA36AE"/>
    <w:pPr>
      <w:numPr>
        <w:numId w:val="27"/>
      </w:numPr>
    </w:pPr>
  </w:style>
  <w:style w:type="numbering" w:customStyle="1" w:styleId="Estiloimportado18">
    <w:name w:val="Estilo importado 18"/>
    <w:rsid w:val="00DA36AE"/>
  </w:style>
  <w:style w:type="numbering" w:customStyle="1" w:styleId="List19">
    <w:name w:val="List 19"/>
    <w:basedOn w:val="Estiloimportado10"/>
    <w:rsid w:val="00DA36AE"/>
    <w:pPr>
      <w:numPr>
        <w:numId w:val="19"/>
      </w:numPr>
    </w:pPr>
  </w:style>
  <w:style w:type="numbering" w:customStyle="1" w:styleId="List20">
    <w:name w:val="List 20"/>
    <w:basedOn w:val="Estiloimportado12"/>
    <w:rsid w:val="00DA36AE"/>
    <w:pPr>
      <w:numPr>
        <w:numId w:val="43"/>
      </w:numPr>
    </w:pPr>
  </w:style>
  <w:style w:type="numbering" w:customStyle="1" w:styleId="List21">
    <w:name w:val="List 21"/>
    <w:basedOn w:val="Estiloimportado19"/>
    <w:rsid w:val="00DA36AE"/>
    <w:pPr>
      <w:numPr>
        <w:numId w:val="38"/>
      </w:numPr>
    </w:pPr>
  </w:style>
  <w:style w:type="numbering" w:customStyle="1" w:styleId="Estiloimportado19">
    <w:name w:val="Estilo importado 19"/>
    <w:rsid w:val="00DA36AE"/>
  </w:style>
  <w:style w:type="numbering" w:customStyle="1" w:styleId="List22">
    <w:name w:val="List 22"/>
    <w:basedOn w:val="Estiloimportado19"/>
    <w:rsid w:val="00DA36AE"/>
    <w:pPr>
      <w:numPr>
        <w:numId w:val="28"/>
      </w:numPr>
    </w:pPr>
  </w:style>
  <w:style w:type="numbering" w:customStyle="1" w:styleId="List23">
    <w:name w:val="List 23"/>
    <w:basedOn w:val="Estiloimportado19"/>
    <w:rsid w:val="00DA36AE"/>
    <w:pPr>
      <w:numPr>
        <w:numId w:val="18"/>
      </w:numPr>
    </w:pPr>
  </w:style>
  <w:style w:type="numbering" w:customStyle="1" w:styleId="List24">
    <w:name w:val="List 24"/>
    <w:basedOn w:val="Estiloimportado20"/>
    <w:rsid w:val="00DA36AE"/>
    <w:pPr>
      <w:numPr>
        <w:numId w:val="13"/>
      </w:numPr>
    </w:pPr>
  </w:style>
  <w:style w:type="numbering" w:customStyle="1" w:styleId="Estiloimportado20">
    <w:name w:val="Estilo importado 20"/>
    <w:rsid w:val="00DA36AE"/>
  </w:style>
  <w:style w:type="numbering" w:customStyle="1" w:styleId="List25">
    <w:name w:val="List 25"/>
    <w:basedOn w:val="Estiloimportado21"/>
    <w:rsid w:val="00DA36AE"/>
    <w:pPr>
      <w:numPr>
        <w:numId w:val="15"/>
      </w:numPr>
    </w:pPr>
  </w:style>
  <w:style w:type="numbering" w:customStyle="1" w:styleId="Estiloimportado21">
    <w:name w:val="Estilo importado 21"/>
    <w:rsid w:val="00DA36AE"/>
  </w:style>
  <w:style w:type="numbering" w:customStyle="1" w:styleId="List26">
    <w:name w:val="List 26"/>
    <w:basedOn w:val="Estiloimportado22"/>
    <w:rsid w:val="00DA36AE"/>
    <w:pPr>
      <w:numPr>
        <w:numId w:val="49"/>
      </w:numPr>
    </w:pPr>
  </w:style>
  <w:style w:type="numbering" w:customStyle="1" w:styleId="Estiloimportado22">
    <w:name w:val="Estilo importado 22"/>
    <w:rsid w:val="00DA36AE"/>
  </w:style>
  <w:style w:type="numbering" w:customStyle="1" w:styleId="List27">
    <w:name w:val="List 27"/>
    <w:basedOn w:val="Estiloimportado23"/>
    <w:rsid w:val="00DA36AE"/>
    <w:pPr>
      <w:numPr>
        <w:numId w:val="41"/>
      </w:numPr>
    </w:pPr>
  </w:style>
  <w:style w:type="numbering" w:customStyle="1" w:styleId="Estiloimportado23">
    <w:name w:val="Estilo importado 23"/>
    <w:rsid w:val="00DA36AE"/>
  </w:style>
  <w:style w:type="numbering" w:customStyle="1" w:styleId="List28">
    <w:name w:val="List 28"/>
    <w:basedOn w:val="Estiloimportado24"/>
    <w:rsid w:val="00DA36AE"/>
    <w:pPr>
      <w:numPr>
        <w:numId w:val="30"/>
      </w:numPr>
    </w:pPr>
  </w:style>
  <w:style w:type="numbering" w:customStyle="1" w:styleId="Estiloimportado24">
    <w:name w:val="Estilo importado 24"/>
    <w:rsid w:val="00DA36AE"/>
  </w:style>
  <w:style w:type="numbering" w:customStyle="1" w:styleId="List29">
    <w:name w:val="List 29"/>
    <w:basedOn w:val="Estiloimportado25"/>
    <w:rsid w:val="00DA36AE"/>
    <w:pPr>
      <w:numPr>
        <w:numId w:val="34"/>
      </w:numPr>
    </w:pPr>
  </w:style>
  <w:style w:type="numbering" w:customStyle="1" w:styleId="Estiloimportado25">
    <w:name w:val="Estilo importado 25"/>
    <w:rsid w:val="00DA36AE"/>
  </w:style>
  <w:style w:type="numbering" w:customStyle="1" w:styleId="List30">
    <w:name w:val="List 30"/>
    <w:basedOn w:val="Estiloimportado26"/>
    <w:rsid w:val="00DA36AE"/>
    <w:pPr>
      <w:numPr>
        <w:numId w:val="32"/>
      </w:numPr>
    </w:pPr>
  </w:style>
  <w:style w:type="numbering" w:customStyle="1" w:styleId="Estiloimportado26">
    <w:name w:val="Estilo importado 26"/>
    <w:rsid w:val="00DA36AE"/>
  </w:style>
  <w:style w:type="numbering" w:customStyle="1" w:styleId="List310">
    <w:name w:val="List 31"/>
    <w:basedOn w:val="Estiloimportado27"/>
    <w:rsid w:val="00DA36AE"/>
    <w:pPr>
      <w:numPr>
        <w:numId w:val="45"/>
      </w:numPr>
    </w:pPr>
  </w:style>
  <w:style w:type="numbering" w:customStyle="1" w:styleId="Estiloimportado27">
    <w:name w:val="Estilo importado 27"/>
    <w:rsid w:val="00DA36AE"/>
  </w:style>
  <w:style w:type="numbering" w:customStyle="1" w:styleId="List32">
    <w:name w:val="List 32"/>
    <w:basedOn w:val="Estiloimportado28"/>
    <w:rsid w:val="00DA36AE"/>
    <w:pPr>
      <w:numPr>
        <w:numId w:val="48"/>
      </w:numPr>
    </w:pPr>
  </w:style>
  <w:style w:type="numbering" w:customStyle="1" w:styleId="Estiloimportado28">
    <w:name w:val="Estilo importado 28"/>
    <w:rsid w:val="00DA36A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DA36AE"/>
    <w:rPr>
      <w:rFonts w:ascii="Calibri" w:eastAsia="Calibri" w:hAnsi="Calibri" w:cs="Calibri"/>
      <w:color w:val="000000"/>
      <w:u w:color="000000"/>
      <w:lang w:val="en-US"/>
    </w:rPr>
  </w:style>
  <w:style w:type="numbering" w:customStyle="1" w:styleId="List33">
    <w:name w:val="List 33"/>
    <w:basedOn w:val="Estiloimportado29"/>
    <w:rsid w:val="00DA36AE"/>
    <w:pPr>
      <w:numPr>
        <w:numId w:val="26"/>
      </w:numPr>
    </w:pPr>
  </w:style>
  <w:style w:type="numbering" w:customStyle="1" w:styleId="Estiloimportado29">
    <w:name w:val="Estilo importado 29"/>
    <w:rsid w:val="00DA36AE"/>
  </w:style>
  <w:style w:type="numbering" w:customStyle="1" w:styleId="List34">
    <w:name w:val="List 34"/>
    <w:basedOn w:val="Estiloimportado30"/>
    <w:rsid w:val="00DA36AE"/>
    <w:pPr>
      <w:numPr>
        <w:numId w:val="11"/>
      </w:numPr>
    </w:pPr>
  </w:style>
  <w:style w:type="numbering" w:customStyle="1" w:styleId="Estiloimportado30">
    <w:name w:val="Estilo importado 30"/>
    <w:rsid w:val="00DA36AE"/>
  </w:style>
  <w:style w:type="numbering" w:customStyle="1" w:styleId="List35">
    <w:name w:val="List 35"/>
    <w:basedOn w:val="Estiloimportado31"/>
    <w:rsid w:val="00DA36AE"/>
    <w:pPr>
      <w:numPr>
        <w:numId w:val="8"/>
      </w:numPr>
    </w:pPr>
  </w:style>
  <w:style w:type="numbering" w:customStyle="1" w:styleId="Estiloimportado31">
    <w:name w:val="Estilo importado 31"/>
    <w:rsid w:val="00DA36AE"/>
  </w:style>
  <w:style w:type="numbering" w:customStyle="1" w:styleId="List36">
    <w:name w:val="List 36"/>
    <w:basedOn w:val="Estiloimportado32"/>
    <w:rsid w:val="00DA36AE"/>
    <w:pPr>
      <w:numPr>
        <w:numId w:val="14"/>
      </w:numPr>
    </w:pPr>
  </w:style>
  <w:style w:type="numbering" w:customStyle="1" w:styleId="Estiloimportado32">
    <w:name w:val="Estilo importado 32"/>
    <w:rsid w:val="00DA36AE"/>
  </w:style>
  <w:style w:type="numbering" w:customStyle="1" w:styleId="List37">
    <w:name w:val="List 37"/>
    <w:basedOn w:val="Estiloimportado33"/>
    <w:rsid w:val="00DA36AE"/>
    <w:pPr>
      <w:numPr>
        <w:numId w:val="47"/>
      </w:numPr>
    </w:pPr>
  </w:style>
  <w:style w:type="numbering" w:customStyle="1" w:styleId="Estiloimportado33">
    <w:name w:val="Estilo importado 33"/>
    <w:rsid w:val="00DA36AE"/>
  </w:style>
  <w:style w:type="numbering" w:customStyle="1" w:styleId="List38">
    <w:name w:val="List 38"/>
    <w:basedOn w:val="Estiloimportado34"/>
    <w:rsid w:val="00DA36AE"/>
    <w:pPr>
      <w:numPr>
        <w:numId w:val="35"/>
      </w:numPr>
    </w:pPr>
  </w:style>
  <w:style w:type="numbering" w:customStyle="1" w:styleId="Estiloimportado34">
    <w:name w:val="Estilo importado 34"/>
    <w:rsid w:val="00DA36AE"/>
  </w:style>
  <w:style w:type="numbering" w:customStyle="1" w:styleId="List39">
    <w:name w:val="List 39"/>
    <w:basedOn w:val="Estiloimportado35"/>
    <w:rsid w:val="00DA36AE"/>
    <w:pPr>
      <w:numPr>
        <w:numId w:val="46"/>
      </w:numPr>
    </w:pPr>
  </w:style>
  <w:style w:type="numbering" w:customStyle="1" w:styleId="Estiloimportado35">
    <w:name w:val="Estilo importado 35"/>
    <w:rsid w:val="00DA36AE"/>
  </w:style>
  <w:style w:type="numbering" w:customStyle="1" w:styleId="List40">
    <w:name w:val="List 40"/>
    <w:basedOn w:val="Estiloimportado36"/>
    <w:rsid w:val="00DA36AE"/>
    <w:pPr>
      <w:numPr>
        <w:numId w:val="21"/>
      </w:numPr>
    </w:pPr>
  </w:style>
  <w:style w:type="numbering" w:customStyle="1" w:styleId="Estiloimportado36">
    <w:name w:val="Estilo importado 36"/>
    <w:rsid w:val="00DA36AE"/>
  </w:style>
  <w:style w:type="numbering" w:customStyle="1" w:styleId="List410">
    <w:name w:val="List 41"/>
    <w:basedOn w:val="Estiloimportado37"/>
    <w:rsid w:val="00DA36AE"/>
    <w:pPr>
      <w:numPr>
        <w:numId w:val="44"/>
      </w:numPr>
    </w:pPr>
  </w:style>
  <w:style w:type="numbering" w:customStyle="1" w:styleId="Estiloimportado37">
    <w:name w:val="Estilo importado 37"/>
    <w:rsid w:val="00DA36AE"/>
  </w:style>
  <w:style w:type="numbering" w:customStyle="1" w:styleId="List42">
    <w:name w:val="List 42"/>
    <w:basedOn w:val="Estiloimportado12"/>
    <w:rsid w:val="00DA36AE"/>
    <w:pPr>
      <w:numPr>
        <w:numId w:val="12"/>
      </w:numPr>
    </w:pPr>
  </w:style>
  <w:style w:type="numbering" w:customStyle="1" w:styleId="List43">
    <w:name w:val="List 43"/>
    <w:basedOn w:val="Estiloimportado38"/>
    <w:rsid w:val="00DA36AE"/>
    <w:pPr>
      <w:numPr>
        <w:numId w:val="23"/>
      </w:numPr>
    </w:pPr>
  </w:style>
  <w:style w:type="numbering" w:customStyle="1" w:styleId="Estiloimportado38">
    <w:name w:val="Estilo importado 38"/>
    <w:rsid w:val="00DA36AE"/>
  </w:style>
  <w:style w:type="numbering" w:customStyle="1" w:styleId="List44">
    <w:name w:val="List 44"/>
    <w:basedOn w:val="Estiloimportado39"/>
    <w:rsid w:val="00DA36AE"/>
    <w:pPr>
      <w:numPr>
        <w:numId w:val="40"/>
      </w:numPr>
    </w:pPr>
  </w:style>
  <w:style w:type="numbering" w:customStyle="1" w:styleId="Estiloimportado39">
    <w:name w:val="Estilo importado 39"/>
    <w:rsid w:val="00DA36AE"/>
  </w:style>
  <w:style w:type="numbering" w:customStyle="1" w:styleId="List45">
    <w:name w:val="List 45"/>
    <w:basedOn w:val="Estiloimportado40"/>
    <w:rsid w:val="00DA36AE"/>
    <w:pPr>
      <w:numPr>
        <w:numId w:val="20"/>
      </w:numPr>
    </w:pPr>
  </w:style>
  <w:style w:type="numbering" w:customStyle="1" w:styleId="Estiloimportado40">
    <w:name w:val="Estilo importado 40"/>
    <w:rsid w:val="00DA36AE"/>
  </w:style>
  <w:style w:type="numbering" w:customStyle="1" w:styleId="List46">
    <w:name w:val="List 46"/>
    <w:basedOn w:val="Estiloimportado41"/>
    <w:rsid w:val="00DA36AE"/>
    <w:pPr>
      <w:numPr>
        <w:numId w:val="24"/>
      </w:numPr>
    </w:pPr>
  </w:style>
  <w:style w:type="numbering" w:customStyle="1" w:styleId="Estiloimportado41">
    <w:name w:val="Estilo importado 41"/>
    <w:rsid w:val="00DA36AE"/>
  </w:style>
  <w:style w:type="numbering" w:customStyle="1" w:styleId="List47">
    <w:name w:val="List 47"/>
    <w:basedOn w:val="Estiloimportado42"/>
    <w:rsid w:val="00DA36AE"/>
    <w:pPr>
      <w:numPr>
        <w:numId w:val="29"/>
      </w:numPr>
    </w:pPr>
  </w:style>
  <w:style w:type="numbering" w:customStyle="1" w:styleId="Estiloimportado42">
    <w:name w:val="Estilo importado 42"/>
    <w:rsid w:val="00DA36AE"/>
  </w:style>
  <w:style w:type="numbering" w:customStyle="1" w:styleId="List48">
    <w:name w:val="List 48"/>
    <w:basedOn w:val="Estiloimportado43"/>
    <w:rsid w:val="00DA36AE"/>
    <w:pPr>
      <w:numPr>
        <w:numId w:val="50"/>
      </w:numPr>
    </w:pPr>
  </w:style>
  <w:style w:type="numbering" w:customStyle="1" w:styleId="Estiloimportado43">
    <w:name w:val="Estilo importado 43"/>
    <w:rsid w:val="00DA36AE"/>
  </w:style>
  <w:style w:type="numbering" w:customStyle="1" w:styleId="List49">
    <w:name w:val="List 49"/>
    <w:basedOn w:val="Estiloimportado44"/>
    <w:rsid w:val="00DA36AE"/>
    <w:pPr>
      <w:numPr>
        <w:numId w:val="39"/>
      </w:numPr>
    </w:pPr>
  </w:style>
  <w:style w:type="numbering" w:customStyle="1" w:styleId="Estiloimportado44">
    <w:name w:val="Estilo importado 44"/>
    <w:rsid w:val="00DA36AE"/>
  </w:style>
  <w:style w:type="numbering" w:customStyle="1" w:styleId="List50">
    <w:name w:val="List 50"/>
    <w:basedOn w:val="Estiloimportado45"/>
    <w:rsid w:val="00DA36AE"/>
    <w:pPr>
      <w:numPr>
        <w:numId w:val="37"/>
      </w:numPr>
    </w:pPr>
  </w:style>
  <w:style w:type="numbering" w:customStyle="1" w:styleId="Estiloimportado45">
    <w:name w:val="Estilo importado 45"/>
    <w:rsid w:val="00DA36AE"/>
  </w:style>
  <w:style w:type="numbering" w:customStyle="1" w:styleId="List51">
    <w:name w:val="List 51"/>
    <w:basedOn w:val="Estiloimportado46"/>
    <w:rsid w:val="00DA36AE"/>
    <w:pPr>
      <w:numPr>
        <w:numId w:val="33"/>
      </w:numPr>
    </w:pPr>
  </w:style>
  <w:style w:type="numbering" w:customStyle="1" w:styleId="Estiloimportado46">
    <w:name w:val="Estilo importado 46"/>
    <w:rsid w:val="00DA36AE"/>
  </w:style>
  <w:style w:type="numbering" w:customStyle="1" w:styleId="List52">
    <w:name w:val="List 52"/>
    <w:basedOn w:val="Estiloimportado1"/>
    <w:rsid w:val="00DA36AE"/>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3350E"/>
    <w:pPr>
      <w:tabs>
        <w:tab w:val="left" w:pos="1440"/>
        <w:tab w:val="right" w:leader="dot" w:pos="9350"/>
      </w:tabs>
      <w:spacing w:after="100"/>
      <w:ind w:left="1440" w:hanging="360"/>
    </w:pPr>
    <w:rPr>
      <w:noProof/>
    </w:rPr>
  </w:style>
  <w:style w:type="paragraph" w:styleId="TOC1">
    <w:name w:val="toc 1"/>
    <w:basedOn w:val="Normal"/>
    <w:next w:val="Normal"/>
    <w:autoRedefine/>
    <w:uiPriority w:val="39"/>
    <w:unhideWhenUsed/>
    <w:rsid w:val="00232A3C"/>
    <w:pPr>
      <w:tabs>
        <w:tab w:val="left" w:pos="1440"/>
        <w:tab w:val="right" w:leader="dot" w:pos="9350"/>
      </w:tabs>
      <w:spacing w:after="100"/>
      <w:ind w:left="720"/>
    </w:pPr>
    <w:rPr>
      <w:rFonts w:asciiTheme="majorHAnsi" w:hAnsiTheme="majorHAnsi"/>
      <w:b/>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6"/>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unhideWhenUsed/>
    <w:rsid w:val="00EA6A6E"/>
    <w:rPr>
      <w:sz w:val="20"/>
      <w:szCs w:val="20"/>
    </w:rPr>
  </w:style>
  <w:style w:type="character" w:customStyle="1" w:styleId="CommentTextChar">
    <w:name w:val="Comment Text Char"/>
    <w:basedOn w:val="DefaultParagraphFont"/>
    <w:link w:val="CommentText"/>
    <w:uiPriority w:val="99"/>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character" w:customStyle="1" w:styleId="jurisdiction">
    <w:name w:val="jurisdiction"/>
    <w:basedOn w:val="DefaultParagraphFont"/>
    <w:rsid w:val="0045037E"/>
  </w:style>
  <w:style w:type="character" w:customStyle="1" w:styleId="decide-date">
    <w:name w:val="decide-date"/>
    <w:basedOn w:val="DefaultParagraphFont"/>
    <w:rsid w:val="0045037E"/>
  </w:style>
  <w:style w:type="character" w:customStyle="1" w:styleId="citation">
    <w:name w:val="citation"/>
    <w:basedOn w:val="DefaultParagraphFont"/>
    <w:rsid w:val="0045037E"/>
  </w:style>
  <w:style w:type="paragraph" w:customStyle="1" w:styleId="paragraph">
    <w:name w:val="paragraph"/>
    <w:basedOn w:val="Normal"/>
    <w:rsid w:val="003642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OC5">
    <w:name w:val="toc 5"/>
    <w:basedOn w:val="Normal"/>
    <w:next w:val="Normal"/>
    <w:autoRedefine/>
    <w:uiPriority w:val="39"/>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960"/>
    </w:pPr>
    <w:rPr>
      <w:rFonts w:asciiTheme="minorHAnsi" w:eastAsiaTheme="minorEastAsia" w:hAnsiTheme="minorHAnsi" w:cstheme="minorBidi"/>
      <w:bdr w:val="none" w:sz="0" w:space="0" w:color="auto"/>
    </w:rPr>
  </w:style>
  <w:style w:type="paragraph" w:styleId="TOC6">
    <w:name w:val="toc 6"/>
    <w:basedOn w:val="Normal"/>
    <w:next w:val="Normal"/>
    <w:autoRedefine/>
    <w:uiPriority w:val="39"/>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200"/>
    </w:pPr>
    <w:rPr>
      <w:rFonts w:asciiTheme="minorHAnsi" w:eastAsiaTheme="minorEastAsia" w:hAnsiTheme="minorHAnsi" w:cstheme="minorBidi"/>
      <w:bdr w:val="none" w:sz="0" w:space="0" w:color="auto"/>
    </w:rPr>
  </w:style>
  <w:style w:type="paragraph" w:styleId="TOC7">
    <w:name w:val="toc 7"/>
    <w:basedOn w:val="Normal"/>
    <w:next w:val="Normal"/>
    <w:autoRedefine/>
    <w:uiPriority w:val="39"/>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440"/>
    </w:pPr>
    <w:rPr>
      <w:rFonts w:asciiTheme="minorHAnsi" w:eastAsiaTheme="minorEastAsia" w:hAnsiTheme="minorHAnsi" w:cstheme="minorBidi"/>
      <w:bdr w:val="none" w:sz="0" w:space="0" w:color="auto"/>
    </w:rPr>
  </w:style>
  <w:style w:type="paragraph" w:styleId="TOC8">
    <w:name w:val="toc 8"/>
    <w:basedOn w:val="Normal"/>
    <w:next w:val="Normal"/>
    <w:autoRedefine/>
    <w:uiPriority w:val="39"/>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680"/>
    </w:pPr>
    <w:rPr>
      <w:rFonts w:asciiTheme="minorHAnsi" w:eastAsiaTheme="minorEastAsia" w:hAnsiTheme="minorHAnsi" w:cstheme="minorBidi"/>
      <w:bdr w:val="none" w:sz="0" w:space="0" w:color="auto"/>
    </w:rPr>
  </w:style>
  <w:style w:type="paragraph" w:styleId="TOC9">
    <w:name w:val="toc 9"/>
    <w:basedOn w:val="Normal"/>
    <w:next w:val="Normal"/>
    <w:autoRedefine/>
    <w:uiPriority w:val="39"/>
    <w:unhideWhenUsed/>
    <w:rsid w:val="005959C4"/>
    <w:pPr>
      <w:pBdr>
        <w:top w:val="none" w:sz="0" w:space="0" w:color="auto"/>
        <w:left w:val="none" w:sz="0" w:space="0" w:color="auto"/>
        <w:bottom w:val="none" w:sz="0" w:space="0" w:color="auto"/>
        <w:right w:val="none" w:sz="0" w:space="0" w:color="auto"/>
        <w:between w:val="none" w:sz="0" w:space="0" w:color="auto"/>
        <w:bar w:val="none" w:sz="0" w:color="auto"/>
      </w:pBdr>
      <w:spacing w:after="100"/>
      <w:ind w:left="1920"/>
    </w:pPr>
    <w:rPr>
      <w:rFonts w:asciiTheme="minorHAnsi" w:eastAsiaTheme="minorEastAsia" w:hAnsiTheme="minorHAnsi" w:cstheme="minorBidi"/>
      <w:bdr w:val="none" w:sz="0" w:space="0" w:color="auto"/>
    </w:rPr>
  </w:style>
  <w:style w:type="character" w:customStyle="1" w:styleId="sectionnumber">
    <w:name w:val="sectionnumber"/>
    <w:basedOn w:val="DefaultParagraphFont"/>
    <w:rsid w:val="00B46600"/>
  </w:style>
  <w:style w:type="character" w:customStyle="1" w:styleId="catchlinetext">
    <w:name w:val="catchlinetext"/>
    <w:basedOn w:val="DefaultParagraphFont"/>
    <w:rsid w:val="00B46600"/>
  </w:style>
  <w:style w:type="character" w:customStyle="1" w:styleId="emdash">
    <w:name w:val="emdash"/>
    <w:basedOn w:val="DefaultParagraphFont"/>
    <w:rsid w:val="00B46600"/>
  </w:style>
  <w:style w:type="character" w:customStyle="1" w:styleId="sectionbody">
    <w:name w:val="sectionbody"/>
    <w:basedOn w:val="DefaultParagraphFont"/>
    <w:rsid w:val="00B46600"/>
  </w:style>
  <w:style w:type="character" w:customStyle="1" w:styleId="id">
    <w:name w:val="id"/>
    <w:basedOn w:val="DefaultParagraphFont"/>
    <w:rsid w:val="00B46600"/>
  </w:style>
  <w:style w:type="character" w:customStyle="1" w:styleId="textintrojustify">
    <w:name w:val="text intro justify"/>
    <w:basedOn w:val="DefaultParagraphFont"/>
    <w:rsid w:val="00B46600"/>
  </w:style>
  <w:style w:type="paragraph" w:customStyle="1" w:styleId="Body">
    <w:name w:val="Body"/>
    <w:uiPriority w:val="99"/>
    <w:rsid w:val="0050076E"/>
    <w:rPr>
      <w:rFonts w:cs="Arial Unicode MS"/>
      <w:color w:val="000000"/>
      <w:u w:color="000000"/>
      <w:lang w:val="en-US" w:eastAsia="en-US"/>
    </w:rPr>
  </w:style>
  <w:style w:type="numbering" w:customStyle="1" w:styleId="ImportedStyle3">
    <w:name w:val="Imported Style 3"/>
    <w:rsid w:val="0050076E"/>
    <w:pPr>
      <w:numPr>
        <w:numId w:val="63"/>
      </w:numPr>
    </w:pPr>
  </w:style>
  <w:style w:type="numbering" w:customStyle="1" w:styleId="ImportedStyle4">
    <w:name w:val="Imported Style 4"/>
    <w:rsid w:val="0050076E"/>
    <w:pPr>
      <w:numPr>
        <w:numId w:val="64"/>
      </w:numPr>
    </w:pPr>
  </w:style>
  <w:style w:type="numbering" w:customStyle="1" w:styleId="ImportedStyle5">
    <w:name w:val="Imported Style 5"/>
    <w:rsid w:val="0050076E"/>
    <w:pPr>
      <w:numPr>
        <w:numId w:val="65"/>
      </w:numPr>
    </w:pPr>
  </w:style>
  <w:style w:type="numbering" w:customStyle="1" w:styleId="ImportedStyle6">
    <w:name w:val="Imported Style 6"/>
    <w:rsid w:val="0050076E"/>
    <w:pPr>
      <w:numPr>
        <w:numId w:val="66"/>
      </w:numPr>
    </w:pPr>
  </w:style>
  <w:style w:type="numbering" w:customStyle="1" w:styleId="ImportedStyle8">
    <w:name w:val="Imported Style 8"/>
    <w:rsid w:val="0050076E"/>
    <w:pPr>
      <w:numPr>
        <w:numId w:val="67"/>
      </w:numPr>
    </w:pPr>
  </w:style>
  <w:style w:type="character" w:customStyle="1" w:styleId="Hyperlink0">
    <w:name w:val="Hyperlink.0"/>
    <w:basedOn w:val="DefaultParagraphFont"/>
    <w:rsid w:val="0050076E"/>
    <w:rPr>
      <w:rFonts w:ascii="Cambria" w:eastAsia="Cambria" w:hAnsi="Cambria" w:cs="Cambria"/>
      <w:color w:val="0000FF"/>
      <w:sz w:val="16"/>
      <w:szCs w:val="16"/>
      <w:u w:val="single" w:color="0000FF"/>
    </w:rPr>
  </w:style>
  <w:style w:type="paragraph" w:styleId="Index1">
    <w:name w:val="index 1"/>
    <w:basedOn w:val="Normal"/>
    <w:next w:val="Normal"/>
    <w:autoRedefine/>
    <w:uiPriority w:val="99"/>
    <w:unhideWhenUsed/>
    <w:rsid w:val="0050076E"/>
    <w:pPr>
      <w:ind w:left="240" w:hanging="240"/>
    </w:pPr>
  </w:style>
  <w:style w:type="paragraph" w:styleId="Index2">
    <w:name w:val="index 2"/>
    <w:basedOn w:val="Normal"/>
    <w:next w:val="Normal"/>
    <w:autoRedefine/>
    <w:uiPriority w:val="99"/>
    <w:unhideWhenUsed/>
    <w:rsid w:val="0050076E"/>
    <w:pPr>
      <w:ind w:left="480" w:hanging="240"/>
    </w:pPr>
  </w:style>
  <w:style w:type="paragraph" w:styleId="Index3">
    <w:name w:val="index 3"/>
    <w:basedOn w:val="Normal"/>
    <w:next w:val="Normal"/>
    <w:autoRedefine/>
    <w:uiPriority w:val="99"/>
    <w:unhideWhenUsed/>
    <w:rsid w:val="0050076E"/>
    <w:pPr>
      <w:ind w:left="720" w:hanging="240"/>
    </w:pPr>
  </w:style>
  <w:style w:type="paragraph" w:styleId="Index4">
    <w:name w:val="index 4"/>
    <w:basedOn w:val="Normal"/>
    <w:next w:val="Normal"/>
    <w:autoRedefine/>
    <w:uiPriority w:val="99"/>
    <w:unhideWhenUsed/>
    <w:rsid w:val="0050076E"/>
    <w:pPr>
      <w:ind w:left="960" w:hanging="240"/>
    </w:pPr>
  </w:style>
  <w:style w:type="paragraph" w:styleId="Index5">
    <w:name w:val="index 5"/>
    <w:basedOn w:val="Normal"/>
    <w:next w:val="Normal"/>
    <w:autoRedefine/>
    <w:uiPriority w:val="99"/>
    <w:unhideWhenUsed/>
    <w:rsid w:val="0050076E"/>
    <w:pPr>
      <w:ind w:left="1200" w:hanging="240"/>
    </w:pPr>
  </w:style>
  <w:style w:type="paragraph" w:styleId="Index6">
    <w:name w:val="index 6"/>
    <w:basedOn w:val="Normal"/>
    <w:next w:val="Normal"/>
    <w:autoRedefine/>
    <w:uiPriority w:val="99"/>
    <w:unhideWhenUsed/>
    <w:rsid w:val="0050076E"/>
    <w:pPr>
      <w:ind w:left="1440" w:hanging="240"/>
    </w:pPr>
  </w:style>
  <w:style w:type="paragraph" w:styleId="Index7">
    <w:name w:val="index 7"/>
    <w:basedOn w:val="Normal"/>
    <w:next w:val="Normal"/>
    <w:autoRedefine/>
    <w:uiPriority w:val="99"/>
    <w:unhideWhenUsed/>
    <w:rsid w:val="0050076E"/>
    <w:pPr>
      <w:ind w:left="1680" w:hanging="240"/>
    </w:pPr>
  </w:style>
  <w:style w:type="paragraph" w:styleId="Index8">
    <w:name w:val="index 8"/>
    <w:basedOn w:val="Normal"/>
    <w:next w:val="Normal"/>
    <w:autoRedefine/>
    <w:uiPriority w:val="99"/>
    <w:unhideWhenUsed/>
    <w:rsid w:val="0050076E"/>
    <w:pPr>
      <w:ind w:left="1920" w:hanging="240"/>
    </w:pPr>
  </w:style>
  <w:style w:type="paragraph" w:styleId="Index9">
    <w:name w:val="index 9"/>
    <w:basedOn w:val="Normal"/>
    <w:next w:val="Normal"/>
    <w:autoRedefine/>
    <w:uiPriority w:val="99"/>
    <w:unhideWhenUsed/>
    <w:rsid w:val="0050076E"/>
    <w:pPr>
      <w:ind w:left="2160" w:hanging="240"/>
    </w:pPr>
  </w:style>
  <w:style w:type="paragraph" w:styleId="IndexHeading">
    <w:name w:val="index heading"/>
    <w:basedOn w:val="Normal"/>
    <w:next w:val="Index1"/>
    <w:uiPriority w:val="99"/>
    <w:unhideWhenUsed/>
    <w:rsid w:val="0050076E"/>
  </w:style>
  <w:style w:type="character" w:customStyle="1" w:styleId="dfrq">
    <w:name w:val="df_rq"/>
    <w:basedOn w:val="DefaultParagraphFont"/>
    <w:rsid w:val="0050076E"/>
  </w:style>
  <w:style w:type="paragraph" w:styleId="BodyText3">
    <w:name w:val="Body Text 3"/>
    <w:basedOn w:val="Normal"/>
    <w:link w:val="BodyText3Char"/>
    <w:unhideWhenUsed/>
    <w:rsid w:val="0050076E"/>
    <w:pPr>
      <w:spacing w:after="120"/>
    </w:pPr>
    <w:rPr>
      <w:sz w:val="16"/>
      <w:szCs w:val="16"/>
    </w:rPr>
  </w:style>
  <w:style w:type="character" w:customStyle="1" w:styleId="BodyText3Char">
    <w:name w:val="Body Text 3 Char"/>
    <w:basedOn w:val="DefaultParagraphFont"/>
    <w:link w:val="BodyText3"/>
    <w:rsid w:val="0050076E"/>
    <w:rPr>
      <w:sz w:val="16"/>
      <w:szCs w:val="16"/>
      <w:lang w:val="en-US" w:eastAsia="en-US"/>
    </w:rPr>
  </w:style>
  <w:style w:type="character" w:styleId="Emphasis">
    <w:name w:val="Emphasis"/>
    <w:basedOn w:val="DefaultParagraphFont"/>
    <w:uiPriority w:val="20"/>
    <w:qFormat/>
    <w:rsid w:val="00590239"/>
    <w:rPr>
      <w:b/>
      <w:bCs/>
      <w:i w:val="0"/>
      <w:iCs w:val="0"/>
    </w:rPr>
  </w:style>
  <w:style w:type="character" w:customStyle="1" w:styleId="st1">
    <w:name w:val="st1"/>
    <w:basedOn w:val="DefaultParagraphFont"/>
    <w:rsid w:val="00590239"/>
  </w:style>
  <w:style w:type="paragraph" w:customStyle="1" w:styleId="xmsonormal">
    <w:name w:val="x_msonormal"/>
    <w:basedOn w:val="Normal"/>
    <w:rsid w:val="009F7E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 w:type="paragraph" w:customStyle="1" w:styleId="xparrafos">
    <w:name w:val="x_parrafos"/>
    <w:basedOn w:val="Normal"/>
    <w:rsid w:val="009F7E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41752012">
      <w:bodyDiv w:val="1"/>
      <w:marLeft w:val="0"/>
      <w:marRight w:val="0"/>
      <w:marTop w:val="0"/>
      <w:marBottom w:val="0"/>
      <w:divBdr>
        <w:top w:val="none" w:sz="0" w:space="0" w:color="auto"/>
        <w:left w:val="none" w:sz="0" w:space="0" w:color="auto"/>
        <w:bottom w:val="none" w:sz="0" w:space="0" w:color="auto"/>
        <w:right w:val="none" w:sz="0" w:space="0" w:color="auto"/>
      </w:divBdr>
    </w:div>
    <w:div w:id="45833967">
      <w:bodyDiv w:val="1"/>
      <w:marLeft w:val="0"/>
      <w:marRight w:val="0"/>
      <w:marTop w:val="0"/>
      <w:marBottom w:val="0"/>
      <w:divBdr>
        <w:top w:val="none" w:sz="0" w:space="0" w:color="auto"/>
        <w:left w:val="none" w:sz="0" w:space="0" w:color="auto"/>
        <w:bottom w:val="none" w:sz="0" w:space="0" w:color="auto"/>
        <w:right w:val="none" w:sz="0" w:space="0" w:color="auto"/>
      </w:divBdr>
      <w:divsChild>
        <w:div w:id="304430074">
          <w:marLeft w:val="0"/>
          <w:marRight w:val="0"/>
          <w:marTop w:val="0"/>
          <w:marBottom w:val="0"/>
          <w:divBdr>
            <w:top w:val="none" w:sz="0" w:space="0" w:color="auto"/>
            <w:left w:val="none" w:sz="0" w:space="0" w:color="auto"/>
            <w:bottom w:val="none" w:sz="0" w:space="0" w:color="auto"/>
            <w:right w:val="none" w:sz="0" w:space="0" w:color="auto"/>
          </w:divBdr>
          <w:divsChild>
            <w:div w:id="1554999831">
              <w:marLeft w:val="0"/>
              <w:marRight w:val="0"/>
              <w:marTop w:val="0"/>
              <w:marBottom w:val="0"/>
              <w:divBdr>
                <w:top w:val="none" w:sz="0" w:space="0" w:color="auto"/>
                <w:left w:val="none" w:sz="0" w:space="0" w:color="auto"/>
                <w:bottom w:val="none" w:sz="0" w:space="0" w:color="auto"/>
                <w:right w:val="none" w:sz="0" w:space="0" w:color="auto"/>
              </w:divBdr>
              <w:divsChild>
                <w:div w:id="8240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2755">
      <w:bodyDiv w:val="1"/>
      <w:marLeft w:val="0"/>
      <w:marRight w:val="0"/>
      <w:marTop w:val="0"/>
      <w:marBottom w:val="0"/>
      <w:divBdr>
        <w:top w:val="none" w:sz="0" w:space="0" w:color="auto"/>
        <w:left w:val="none" w:sz="0" w:space="0" w:color="auto"/>
        <w:bottom w:val="none" w:sz="0" w:space="0" w:color="auto"/>
        <w:right w:val="none" w:sz="0" w:space="0" w:color="auto"/>
      </w:divBdr>
    </w:div>
    <w:div w:id="109279037">
      <w:bodyDiv w:val="1"/>
      <w:marLeft w:val="0"/>
      <w:marRight w:val="0"/>
      <w:marTop w:val="0"/>
      <w:marBottom w:val="0"/>
      <w:divBdr>
        <w:top w:val="none" w:sz="0" w:space="0" w:color="auto"/>
        <w:left w:val="none" w:sz="0" w:space="0" w:color="auto"/>
        <w:bottom w:val="none" w:sz="0" w:space="0" w:color="auto"/>
        <w:right w:val="none" w:sz="0" w:space="0" w:color="auto"/>
      </w:divBdr>
      <w:divsChild>
        <w:div w:id="1963999440">
          <w:marLeft w:val="0"/>
          <w:marRight w:val="0"/>
          <w:marTop w:val="0"/>
          <w:marBottom w:val="0"/>
          <w:divBdr>
            <w:top w:val="none" w:sz="0" w:space="0" w:color="auto"/>
            <w:left w:val="none" w:sz="0" w:space="0" w:color="auto"/>
            <w:bottom w:val="none" w:sz="0" w:space="0" w:color="auto"/>
            <w:right w:val="none" w:sz="0" w:space="0" w:color="auto"/>
          </w:divBdr>
          <w:divsChild>
            <w:div w:id="1811090849">
              <w:marLeft w:val="0"/>
              <w:marRight w:val="0"/>
              <w:marTop w:val="0"/>
              <w:marBottom w:val="0"/>
              <w:divBdr>
                <w:top w:val="none" w:sz="0" w:space="0" w:color="auto"/>
                <w:left w:val="none" w:sz="0" w:space="0" w:color="auto"/>
                <w:bottom w:val="none" w:sz="0" w:space="0" w:color="auto"/>
                <w:right w:val="none" w:sz="0" w:space="0" w:color="auto"/>
              </w:divBdr>
              <w:divsChild>
                <w:div w:id="13446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970">
      <w:bodyDiv w:val="1"/>
      <w:marLeft w:val="0"/>
      <w:marRight w:val="0"/>
      <w:marTop w:val="0"/>
      <w:marBottom w:val="0"/>
      <w:divBdr>
        <w:top w:val="none" w:sz="0" w:space="0" w:color="auto"/>
        <w:left w:val="none" w:sz="0" w:space="0" w:color="auto"/>
        <w:bottom w:val="none" w:sz="0" w:space="0" w:color="auto"/>
        <w:right w:val="none" w:sz="0" w:space="0" w:color="auto"/>
      </w:divBdr>
      <w:divsChild>
        <w:div w:id="122505111">
          <w:marLeft w:val="0"/>
          <w:marRight w:val="0"/>
          <w:marTop w:val="0"/>
          <w:marBottom w:val="0"/>
          <w:divBdr>
            <w:top w:val="none" w:sz="0" w:space="0" w:color="auto"/>
            <w:left w:val="none" w:sz="0" w:space="0" w:color="auto"/>
            <w:bottom w:val="none" w:sz="0" w:space="0" w:color="auto"/>
            <w:right w:val="none" w:sz="0" w:space="0" w:color="auto"/>
          </w:divBdr>
          <w:divsChild>
            <w:div w:id="1451900515">
              <w:marLeft w:val="0"/>
              <w:marRight w:val="0"/>
              <w:marTop w:val="0"/>
              <w:marBottom w:val="0"/>
              <w:divBdr>
                <w:top w:val="none" w:sz="0" w:space="0" w:color="auto"/>
                <w:left w:val="none" w:sz="0" w:space="0" w:color="auto"/>
                <w:bottom w:val="none" w:sz="0" w:space="0" w:color="auto"/>
                <w:right w:val="none" w:sz="0" w:space="0" w:color="auto"/>
              </w:divBdr>
              <w:divsChild>
                <w:div w:id="128255539">
                  <w:marLeft w:val="0"/>
                  <w:marRight w:val="0"/>
                  <w:marTop w:val="0"/>
                  <w:marBottom w:val="0"/>
                  <w:divBdr>
                    <w:top w:val="none" w:sz="0" w:space="0" w:color="auto"/>
                    <w:left w:val="none" w:sz="0" w:space="0" w:color="auto"/>
                    <w:bottom w:val="none" w:sz="0" w:space="0" w:color="auto"/>
                    <w:right w:val="none" w:sz="0" w:space="0" w:color="auto"/>
                  </w:divBdr>
                  <w:divsChild>
                    <w:div w:id="9139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99505">
      <w:bodyDiv w:val="1"/>
      <w:marLeft w:val="0"/>
      <w:marRight w:val="0"/>
      <w:marTop w:val="0"/>
      <w:marBottom w:val="0"/>
      <w:divBdr>
        <w:top w:val="none" w:sz="0" w:space="0" w:color="auto"/>
        <w:left w:val="none" w:sz="0" w:space="0" w:color="auto"/>
        <w:bottom w:val="none" w:sz="0" w:space="0" w:color="auto"/>
        <w:right w:val="none" w:sz="0" w:space="0" w:color="auto"/>
      </w:divBdr>
      <w:divsChild>
        <w:div w:id="541789862">
          <w:marLeft w:val="0"/>
          <w:marRight w:val="0"/>
          <w:marTop w:val="0"/>
          <w:marBottom w:val="0"/>
          <w:divBdr>
            <w:top w:val="none" w:sz="0" w:space="0" w:color="auto"/>
            <w:left w:val="none" w:sz="0" w:space="0" w:color="auto"/>
            <w:bottom w:val="none" w:sz="0" w:space="0" w:color="auto"/>
            <w:right w:val="none" w:sz="0" w:space="0" w:color="auto"/>
          </w:divBdr>
          <w:divsChild>
            <w:div w:id="1563828744">
              <w:marLeft w:val="0"/>
              <w:marRight w:val="0"/>
              <w:marTop w:val="0"/>
              <w:marBottom w:val="0"/>
              <w:divBdr>
                <w:top w:val="none" w:sz="0" w:space="0" w:color="auto"/>
                <w:left w:val="none" w:sz="0" w:space="0" w:color="auto"/>
                <w:bottom w:val="none" w:sz="0" w:space="0" w:color="auto"/>
                <w:right w:val="none" w:sz="0" w:space="0" w:color="auto"/>
              </w:divBdr>
              <w:divsChild>
                <w:div w:id="4347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8267">
      <w:bodyDiv w:val="1"/>
      <w:marLeft w:val="0"/>
      <w:marRight w:val="0"/>
      <w:marTop w:val="0"/>
      <w:marBottom w:val="0"/>
      <w:divBdr>
        <w:top w:val="none" w:sz="0" w:space="0" w:color="auto"/>
        <w:left w:val="none" w:sz="0" w:space="0" w:color="auto"/>
        <w:bottom w:val="none" w:sz="0" w:space="0" w:color="auto"/>
        <w:right w:val="none" w:sz="0" w:space="0" w:color="auto"/>
      </w:divBdr>
    </w:div>
    <w:div w:id="144661268">
      <w:bodyDiv w:val="1"/>
      <w:marLeft w:val="0"/>
      <w:marRight w:val="0"/>
      <w:marTop w:val="0"/>
      <w:marBottom w:val="0"/>
      <w:divBdr>
        <w:top w:val="none" w:sz="0" w:space="0" w:color="auto"/>
        <w:left w:val="none" w:sz="0" w:space="0" w:color="auto"/>
        <w:bottom w:val="none" w:sz="0" w:space="0" w:color="auto"/>
        <w:right w:val="none" w:sz="0" w:space="0" w:color="auto"/>
      </w:divBdr>
      <w:divsChild>
        <w:div w:id="438986559">
          <w:marLeft w:val="0"/>
          <w:marRight w:val="0"/>
          <w:marTop w:val="0"/>
          <w:marBottom w:val="0"/>
          <w:divBdr>
            <w:top w:val="none" w:sz="0" w:space="0" w:color="auto"/>
            <w:left w:val="none" w:sz="0" w:space="0" w:color="auto"/>
            <w:bottom w:val="none" w:sz="0" w:space="0" w:color="auto"/>
            <w:right w:val="none" w:sz="0" w:space="0" w:color="auto"/>
          </w:divBdr>
          <w:divsChild>
            <w:div w:id="586115857">
              <w:marLeft w:val="0"/>
              <w:marRight w:val="0"/>
              <w:marTop w:val="0"/>
              <w:marBottom w:val="0"/>
              <w:divBdr>
                <w:top w:val="none" w:sz="0" w:space="0" w:color="auto"/>
                <w:left w:val="none" w:sz="0" w:space="0" w:color="auto"/>
                <w:bottom w:val="none" w:sz="0" w:space="0" w:color="auto"/>
                <w:right w:val="none" w:sz="0" w:space="0" w:color="auto"/>
              </w:divBdr>
              <w:divsChild>
                <w:div w:id="1724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4588">
      <w:bodyDiv w:val="1"/>
      <w:marLeft w:val="0"/>
      <w:marRight w:val="0"/>
      <w:marTop w:val="0"/>
      <w:marBottom w:val="0"/>
      <w:divBdr>
        <w:top w:val="none" w:sz="0" w:space="0" w:color="auto"/>
        <w:left w:val="none" w:sz="0" w:space="0" w:color="auto"/>
        <w:bottom w:val="none" w:sz="0" w:space="0" w:color="auto"/>
        <w:right w:val="none" w:sz="0" w:space="0" w:color="auto"/>
      </w:divBdr>
    </w:div>
    <w:div w:id="194271308">
      <w:bodyDiv w:val="1"/>
      <w:marLeft w:val="0"/>
      <w:marRight w:val="0"/>
      <w:marTop w:val="0"/>
      <w:marBottom w:val="0"/>
      <w:divBdr>
        <w:top w:val="none" w:sz="0" w:space="0" w:color="auto"/>
        <w:left w:val="none" w:sz="0" w:space="0" w:color="auto"/>
        <w:bottom w:val="none" w:sz="0" w:space="0" w:color="auto"/>
        <w:right w:val="none" w:sz="0" w:space="0" w:color="auto"/>
      </w:divBdr>
      <w:divsChild>
        <w:div w:id="1203322251">
          <w:marLeft w:val="0"/>
          <w:marRight w:val="0"/>
          <w:marTop w:val="0"/>
          <w:marBottom w:val="0"/>
          <w:divBdr>
            <w:top w:val="none" w:sz="0" w:space="0" w:color="auto"/>
            <w:left w:val="none" w:sz="0" w:space="0" w:color="auto"/>
            <w:bottom w:val="none" w:sz="0" w:space="0" w:color="auto"/>
            <w:right w:val="none" w:sz="0" w:space="0" w:color="auto"/>
          </w:divBdr>
          <w:divsChild>
            <w:div w:id="1713653426">
              <w:marLeft w:val="0"/>
              <w:marRight w:val="0"/>
              <w:marTop w:val="0"/>
              <w:marBottom w:val="0"/>
              <w:divBdr>
                <w:top w:val="none" w:sz="0" w:space="0" w:color="auto"/>
                <w:left w:val="none" w:sz="0" w:space="0" w:color="auto"/>
                <w:bottom w:val="none" w:sz="0" w:space="0" w:color="auto"/>
                <w:right w:val="none" w:sz="0" w:space="0" w:color="auto"/>
              </w:divBdr>
              <w:divsChild>
                <w:div w:id="836772265">
                  <w:marLeft w:val="0"/>
                  <w:marRight w:val="0"/>
                  <w:marTop w:val="0"/>
                  <w:marBottom w:val="0"/>
                  <w:divBdr>
                    <w:top w:val="none" w:sz="0" w:space="0" w:color="auto"/>
                    <w:left w:val="none" w:sz="0" w:space="0" w:color="auto"/>
                    <w:bottom w:val="none" w:sz="0" w:space="0" w:color="auto"/>
                    <w:right w:val="none" w:sz="0" w:space="0" w:color="auto"/>
                  </w:divBdr>
                  <w:divsChild>
                    <w:div w:id="4333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1100">
      <w:bodyDiv w:val="1"/>
      <w:marLeft w:val="0"/>
      <w:marRight w:val="0"/>
      <w:marTop w:val="0"/>
      <w:marBottom w:val="0"/>
      <w:divBdr>
        <w:top w:val="none" w:sz="0" w:space="0" w:color="auto"/>
        <w:left w:val="none" w:sz="0" w:space="0" w:color="auto"/>
        <w:bottom w:val="none" w:sz="0" w:space="0" w:color="auto"/>
        <w:right w:val="none" w:sz="0" w:space="0" w:color="auto"/>
      </w:divBdr>
      <w:divsChild>
        <w:div w:id="555433108">
          <w:marLeft w:val="0"/>
          <w:marRight w:val="0"/>
          <w:marTop w:val="0"/>
          <w:marBottom w:val="0"/>
          <w:divBdr>
            <w:top w:val="none" w:sz="0" w:space="0" w:color="auto"/>
            <w:left w:val="none" w:sz="0" w:space="0" w:color="auto"/>
            <w:bottom w:val="none" w:sz="0" w:space="0" w:color="auto"/>
            <w:right w:val="none" w:sz="0" w:space="0" w:color="auto"/>
          </w:divBdr>
          <w:divsChild>
            <w:div w:id="193929072">
              <w:marLeft w:val="0"/>
              <w:marRight w:val="0"/>
              <w:marTop w:val="0"/>
              <w:marBottom w:val="0"/>
              <w:divBdr>
                <w:top w:val="none" w:sz="0" w:space="0" w:color="auto"/>
                <w:left w:val="none" w:sz="0" w:space="0" w:color="auto"/>
                <w:bottom w:val="none" w:sz="0" w:space="0" w:color="auto"/>
                <w:right w:val="none" w:sz="0" w:space="0" w:color="auto"/>
              </w:divBdr>
              <w:divsChild>
                <w:div w:id="922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146">
      <w:bodyDiv w:val="1"/>
      <w:marLeft w:val="0"/>
      <w:marRight w:val="0"/>
      <w:marTop w:val="0"/>
      <w:marBottom w:val="0"/>
      <w:divBdr>
        <w:top w:val="none" w:sz="0" w:space="0" w:color="auto"/>
        <w:left w:val="none" w:sz="0" w:space="0" w:color="auto"/>
        <w:bottom w:val="none" w:sz="0" w:space="0" w:color="auto"/>
        <w:right w:val="none" w:sz="0" w:space="0" w:color="auto"/>
      </w:divBdr>
    </w:div>
    <w:div w:id="214700394">
      <w:bodyDiv w:val="1"/>
      <w:marLeft w:val="0"/>
      <w:marRight w:val="0"/>
      <w:marTop w:val="0"/>
      <w:marBottom w:val="0"/>
      <w:divBdr>
        <w:top w:val="none" w:sz="0" w:space="0" w:color="auto"/>
        <w:left w:val="none" w:sz="0" w:space="0" w:color="auto"/>
        <w:bottom w:val="none" w:sz="0" w:space="0" w:color="auto"/>
        <w:right w:val="none" w:sz="0" w:space="0" w:color="auto"/>
      </w:divBdr>
      <w:divsChild>
        <w:div w:id="119108520">
          <w:marLeft w:val="0"/>
          <w:marRight w:val="0"/>
          <w:marTop w:val="0"/>
          <w:marBottom w:val="0"/>
          <w:divBdr>
            <w:top w:val="none" w:sz="0" w:space="0" w:color="auto"/>
            <w:left w:val="none" w:sz="0" w:space="0" w:color="auto"/>
            <w:bottom w:val="none" w:sz="0" w:space="0" w:color="auto"/>
            <w:right w:val="none" w:sz="0" w:space="0" w:color="auto"/>
          </w:divBdr>
          <w:divsChild>
            <w:div w:id="85005070">
              <w:marLeft w:val="0"/>
              <w:marRight w:val="0"/>
              <w:marTop w:val="0"/>
              <w:marBottom w:val="0"/>
              <w:divBdr>
                <w:top w:val="none" w:sz="0" w:space="0" w:color="auto"/>
                <w:left w:val="none" w:sz="0" w:space="0" w:color="auto"/>
                <w:bottom w:val="none" w:sz="0" w:space="0" w:color="auto"/>
                <w:right w:val="none" w:sz="0" w:space="0" w:color="auto"/>
              </w:divBdr>
              <w:divsChild>
                <w:div w:id="19507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74026">
      <w:bodyDiv w:val="1"/>
      <w:marLeft w:val="0"/>
      <w:marRight w:val="0"/>
      <w:marTop w:val="0"/>
      <w:marBottom w:val="0"/>
      <w:divBdr>
        <w:top w:val="none" w:sz="0" w:space="0" w:color="auto"/>
        <w:left w:val="none" w:sz="0" w:space="0" w:color="auto"/>
        <w:bottom w:val="none" w:sz="0" w:space="0" w:color="auto"/>
        <w:right w:val="none" w:sz="0" w:space="0" w:color="auto"/>
      </w:divBdr>
      <w:divsChild>
        <w:div w:id="1975478883">
          <w:marLeft w:val="0"/>
          <w:marRight w:val="0"/>
          <w:marTop w:val="0"/>
          <w:marBottom w:val="0"/>
          <w:divBdr>
            <w:top w:val="none" w:sz="0" w:space="0" w:color="auto"/>
            <w:left w:val="none" w:sz="0" w:space="0" w:color="auto"/>
            <w:bottom w:val="none" w:sz="0" w:space="0" w:color="auto"/>
            <w:right w:val="none" w:sz="0" w:space="0" w:color="auto"/>
          </w:divBdr>
          <w:divsChild>
            <w:div w:id="1400009269">
              <w:marLeft w:val="0"/>
              <w:marRight w:val="0"/>
              <w:marTop w:val="0"/>
              <w:marBottom w:val="0"/>
              <w:divBdr>
                <w:top w:val="none" w:sz="0" w:space="0" w:color="auto"/>
                <w:left w:val="none" w:sz="0" w:space="0" w:color="auto"/>
                <w:bottom w:val="none" w:sz="0" w:space="0" w:color="auto"/>
                <w:right w:val="none" w:sz="0" w:space="0" w:color="auto"/>
              </w:divBdr>
              <w:divsChild>
                <w:div w:id="798299683">
                  <w:marLeft w:val="0"/>
                  <w:marRight w:val="0"/>
                  <w:marTop w:val="0"/>
                  <w:marBottom w:val="0"/>
                  <w:divBdr>
                    <w:top w:val="none" w:sz="0" w:space="0" w:color="auto"/>
                    <w:left w:val="none" w:sz="0" w:space="0" w:color="auto"/>
                    <w:bottom w:val="none" w:sz="0" w:space="0" w:color="auto"/>
                    <w:right w:val="none" w:sz="0" w:space="0" w:color="auto"/>
                  </w:divBdr>
                  <w:divsChild>
                    <w:div w:id="152573708">
                      <w:marLeft w:val="0"/>
                      <w:marRight w:val="0"/>
                      <w:marTop w:val="0"/>
                      <w:marBottom w:val="0"/>
                      <w:divBdr>
                        <w:top w:val="none" w:sz="0" w:space="0" w:color="auto"/>
                        <w:left w:val="none" w:sz="0" w:space="0" w:color="auto"/>
                        <w:bottom w:val="none" w:sz="0" w:space="0" w:color="auto"/>
                        <w:right w:val="none" w:sz="0" w:space="0" w:color="auto"/>
                      </w:divBdr>
                      <w:divsChild>
                        <w:div w:id="1884057718">
                          <w:marLeft w:val="0"/>
                          <w:marRight w:val="0"/>
                          <w:marTop w:val="0"/>
                          <w:marBottom w:val="0"/>
                          <w:divBdr>
                            <w:top w:val="none" w:sz="0" w:space="0" w:color="auto"/>
                            <w:left w:val="none" w:sz="0" w:space="0" w:color="auto"/>
                            <w:bottom w:val="none" w:sz="0" w:space="0" w:color="auto"/>
                            <w:right w:val="none" w:sz="0" w:space="0" w:color="auto"/>
                          </w:divBdr>
                          <w:divsChild>
                            <w:div w:id="160700384">
                              <w:marLeft w:val="0"/>
                              <w:marRight w:val="0"/>
                              <w:marTop w:val="0"/>
                              <w:marBottom w:val="0"/>
                              <w:divBdr>
                                <w:top w:val="none" w:sz="0" w:space="0" w:color="auto"/>
                                <w:left w:val="none" w:sz="0" w:space="0" w:color="auto"/>
                                <w:bottom w:val="none" w:sz="0" w:space="0" w:color="auto"/>
                                <w:right w:val="none" w:sz="0" w:space="0" w:color="auto"/>
                              </w:divBdr>
                              <w:divsChild>
                                <w:div w:id="1674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913947">
      <w:bodyDiv w:val="1"/>
      <w:marLeft w:val="0"/>
      <w:marRight w:val="0"/>
      <w:marTop w:val="0"/>
      <w:marBottom w:val="0"/>
      <w:divBdr>
        <w:top w:val="none" w:sz="0" w:space="0" w:color="auto"/>
        <w:left w:val="none" w:sz="0" w:space="0" w:color="auto"/>
        <w:bottom w:val="none" w:sz="0" w:space="0" w:color="auto"/>
        <w:right w:val="none" w:sz="0" w:space="0" w:color="auto"/>
      </w:divBdr>
      <w:divsChild>
        <w:div w:id="98448241">
          <w:marLeft w:val="0"/>
          <w:marRight w:val="0"/>
          <w:marTop w:val="0"/>
          <w:marBottom w:val="0"/>
          <w:divBdr>
            <w:top w:val="none" w:sz="0" w:space="0" w:color="auto"/>
            <w:left w:val="none" w:sz="0" w:space="0" w:color="auto"/>
            <w:bottom w:val="none" w:sz="0" w:space="0" w:color="auto"/>
            <w:right w:val="none" w:sz="0" w:space="0" w:color="auto"/>
          </w:divBdr>
          <w:divsChild>
            <w:div w:id="1768308530">
              <w:marLeft w:val="0"/>
              <w:marRight w:val="0"/>
              <w:marTop w:val="0"/>
              <w:marBottom w:val="0"/>
              <w:divBdr>
                <w:top w:val="none" w:sz="0" w:space="0" w:color="auto"/>
                <w:left w:val="none" w:sz="0" w:space="0" w:color="auto"/>
                <w:bottom w:val="none" w:sz="0" w:space="0" w:color="auto"/>
                <w:right w:val="none" w:sz="0" w:space="0" w:color="auto"/>
              </w:divBdr>
              <w:divsChild>
                <w:div w:id="995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5902">
      <w:bodyDiv w:val="1"/>
      <w:marLeft w:val="0"/>
      <w:marRight w:val="0"/>
      <w:marTop w:val="0"/>
      <w:marBottom w:val="0"/>
      <w:divBdr>
        <w:top w:val="none" w:sz="0" w:space="0" w:color="auto"/>
        <w:left w:val="none" w:sz="0" w:space="0" w:color="auto"/>
        <w:bottom w:val="none" w:sz="0" w:space="0" w:color="auto"/>
        <w:right w:val="none" w:sz="0" w:space="0" w:color="auto"/>
      </w:divBdr>
      <w:divsChild>
        <w:div w:id="1917277721">
          <w:marLeft w:val="0"/>
          <w:marRight w:val="0"/>
          <w:marTop w:val="0"/>
          <w:marBottom w:val="0"/>
          <w:divBdr>
            <w:top w:val="none" w:sz="0" w:space="0" w:color="auto"/>
            <w:left w:val="none" w:sz="0" w:space="0" w:color="auto"/>
            <w:bottom w:val="none" w:sz="0" w:space="0" w:color="auto"/>
            <w:right w:val="none" w:sz="0" w:space="0" w:color="auto"/>
          </w:divBdr>
          <w:divsChild>
            <w:div w:id="2144225611">
              <w:marLeft w:val="0"/>
              <w:marRight w:val="0"/>
              <w:marTop w:val="0"/>
              <w:marBottom w:val="0"/>
              <w:divBdr>
                <w:top w:val="none" w:sz="0" w:space="0" w:color="auto"/>
                <w:left w:val="none" w:sz="0" w:space="0" w:color="auto"/>
                <w:bottom w:val="none" w:sz="0" w:space="0" w:color="auto"/>
                <w:right w:val="none" w:sz="0" w:space="0" w:color="auto"/>
              </w:divBdr>
              <w:divsChild>
                <w:div w:id="1598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5968">
      <w:bodyDiv w:val="1"/>
      <w:marLeft w:val="0"/>
      <w:marRight w:val="0"/>
      <w:marTop w:val="0"/>
      <w:marBottom w:val="0"/>
      <w:divBdr>
        <w:top w:val="none" w:sz="0" w:space="0" w:color="auto"/>
        <w:left w:val="none" w:sz="0" w:space="0" w:color="auto"/>
        <w:bottom w:val="none" w:sz="0" w:space="0" w:color="auto"/>
        <w:right w:val="none" w:sz="0" w:space="0" w:color="auto"/>
      </w:divBdr>
      <w:divsChild>
        <w:div w:id="832643165">
          <w:marLeft w:val="0"/>
          <w:marRight w:val="0"/>
          <w:marTop w:val="0"/>
          <w:marBottom w:val="0"/>
          <w:divBdr>
            <w:top w:val="none" w:sz="0" w:space="0" w:color="auto"/>
            <w:left w:val="none" w:sz="0" w:space="0" w:color="auto"/>
            <w:bottom w:val="none" w:sz="0" w:space="0" w:color="auto"/>
            <w:right w:val="none" w:sz="0" w:space="0" w:color="auto"/>
          </w:divBdr>
          <w:divsChild>
            <w:div w:id="1865826423">
              <w:marLeft w:val="0"/>
              <w:marRight w:val="0"/>
              <w:marTop w:val="0"/>
              <w:marBottom w:val="0"/>
              <w:divBdr>
                <w:top w:val="none" w:sz="0" w:space="0" w:color="auto"/>
                <w:left w:val="none" w:sz="0" w:space="0" w:color="auto"/>
                <w:bottom w:val="none" w:sz="0" w:space="0" w:color="auto"/>
                <w:right w:val="none" w:sz="0" w:space="0" w:color="auto"/>
              </w:divBdr>
              <w:divsChild>
                <w:div w:id="3829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79910">
      <w:bodyDiv w:val="1"/>
      <w:marLeft w:val="0"/>
      <w:marRight w:val="0"/>
      <w:marTop w:val="0"/>
      <w:marBottom w:val="0"/>
      <w:divBdr>
        <w:top w:val="none" w:sz="0" w:space="0" w:color="auto"/>
        <w:left w:val="none" w:sz="0" w:space="0" w:color="auto"/>
        <w:bottom w:val="none" w:sz="0" w:space="0" w:color="auto"/>
        <w:right w:val="none" w:sz="0" w:space="0" w:color="auto"/>
      </w:divBdr>
      <w:divsChild>
        <w:div w:id="969365187">
          <w:marLeft w:val="0"/>
          <w:marRight w:val="0"/>
          <w:marTop w:val="0"/>
          <w:marBottom w:val="0"/>
          <w:divBdr>
            <w:top w:val="none" w:sz="0" w:space="0" w:color="auto"/>
            <w:left w:val="none" w:sz="0" w:space="0" w:color="auto"/>
            <w:bottom w:val="none" w:sz="0" w:space="0" w:color="auto"/>
            <w:right w:val="none" w:sz="0" w:space="0" w:color="auto"/>
          </w:divBdr>
          <w:divsChild>
            <w:div w:id="2130657365">
              <w:marLeft w:val="0"/>
              <w:marRight w:val="0"/>
              <w:marTop w:val="0"/>
              <w:marBottom w:val="0"/>
              <w:divBdr>
                <w:top w:val="none" w:sz="0" w:space="0" w:color="auto"/>
                <w:left w:val="none" w:sz="0" w:space="0" w:color="auto"/>
                <w:bottom w:val="none" w:sz="0" w:space="0" w:color="auto"/>
                <w:right w:val="none" w:sz="0" w:space="0" w:color="auto"/>
              </w:divBdr>
              <w:divsChild>
                <w:div w:id="122773470">
                  <w:marLeft w:val="0"/>
                  <w:marRight w:val="0"/>
                  <w:marTop w:val="0"/>
                  <w:marBottom w:val="0"/>
                  <w:divBdr>
                    <w:top w:val="none" w:sz="0" w:space="0" w:color="auto"/>
                    <w:left w:val="none" w:sz="0" w:space="0" w:color="auto"/>
                    <w:bottom w:val="none" w:sz="0" w:space="0" w:color="auto"/>
                    <w:right w:val="none" w:sz="0" w:space="0" w:color="auto"/>
                  </w:divBdr>
                </w:div>
              </w:divsChild>
            </w:div>
            <w:div w:id="929195614">
              <w:marLeft w:val="0"/>
              <w:marRight w:val="0"/>
              <w:marTop w:val="0"/>
              <w:marBottom w:val="0"/>
              <w:divBdr>
                <w:top w:val="none" w:sz="0" w:space="0" w:color="auto"/>
                <w:left w:val="none" w:sz="0" w:space="0" w:color="auto"/>
                <w:bottom w:val="none" w:sz="0" w:space="0" w:color="auto"/>
                <w:right w:val="none" w:sz="0" w:space="0" w:color="auto"/>
              </w:divBdr>
              <w:divsChild>
                <w:div w:id="352654419">
                  <w:marLeft w:val="0"/>
                  <w:marRight w:val="0"/>
                  <w:marTop w:val="0"/>
                  <w:marBottom w:val="0"/>
                  <w:divBdr>
                    <w:top w:val="none" w:sz="0" w:space="0" w:color="auto"/>
                    <w:left w:val="none" w:sz="0" w:space="0" w:color="auto"/>
                    <w:bottom w:val="none" w:sz="0" w:space="0" w:color="auto"/>
                    <w:right w:val="none" w:sz="0" w:space="0" w:color="auto"/>
                  </w:divBdr>
                </w:div>
              </w:divsChild>
            </w:div>
            <w:div w:id="1704860393">
              <w:marLeft w:val="0"/>
              <w:marRight w:val="0"/>
              <w:marTop w:val="0"/>
              <w:marBottom w:val="0"/>
              <w:divBdr>
                <w:top w:val="none" w:sz="0" w:space="0" w:color="auto"/>
                <w:left w:val="none" w:sz="0" w:space="0" w:color="auto"/>
                <w:bottom w:val="none" w:sz="0" w:space="0" w:color="auto"/>
                <w:right w:val="none" w:sz="0" w:space="0" w:color="auto"/>
              </w:divBdr>
              <w:divsChild>
                <w:div w:id="1066993857">
                  <w:marLeft w:val="0"/>
                  <w:marRight w:val="0"/>
                  <w:marTop w:val="0"/>
                  <w:marBottom w:val="0"/>
                  <w:divBdr>
                    <w:top w:val="none" w:sz="0" w:space="0" w:color="auto"/>
                    <w:left w:val="none" w:sz="0" w:space="0" w:color="auto"/>
                    <w:bottom w:val="none" w:sz="0" w:space="0" w:color="auto"/>
                    <w:right w:val="none" w:sz="0" w:space="0" w:color="auto"/>
                  </w:divBdr>
                </w:div>
              </w:divsChild>
            </w:div>
            <w:div w:id="1624265191">
              <w:marLeft w:val="0"/>
              <w:marRight w:val="0"/>
              <w:marTop w:val="0"/>
              <w:marBottom w:val="0"/>
              <w:divBdr>
                <w:top w:val="none" w:sz="0" w:space="0" w:color="auto"/>
                <w:left w:val="none" w:sz="0" w:space="0" w:color="auto"/>
                <w:bottom w:val="none" w:sz="0" w:space="0" w:color="auto"/>
                <w:right w:val="none" w:sz="0" w:space="0" w:color="auto"/>
              </w:divBdr>
              <w:divsChild>
                <w:div w:id="18086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0197">
      <w:bodyDiv w:val="1"/>
      <w:marLeft w:val="0"/>
      <w:marRight w:val="0"/>
      <w:marTop w:val="0"/>
      <w:marBottom w:val="0"/>
      <w:divBdr>
        <w:top w:val="none" w:sz="0" w:space="0" w:color="auto"/>
        <w:left w:val="none" w:sz="0" w:space="0" w:color="auto"/>
        <w:bottom w:val="none" w:sz="0" w:space="0" w:color="auto"/>
        <w:right w:val="none" w:sz="0" w:space="0" w:color="auto"/>
      </w:divBdr>
    </w:div>
    <w:div w:id="298925157">
      <w:bodyDiv w:val="1"/>
      <w:marLeft w:val="0"/>
      <w:marRight w:val="0"/>
      <w:marTop w:val="0"/>
      <w:marBottom w:val="0"/>
      <w:divBdr>
        <w:top w:val="none" w:sz="0" w:space="0" w:color="auto"/>
        <w:left w:val="none" w:sz="0" w:space="0" w:color="auto"/>
        <w:bottom w:val="none" w:sz="0" w:space="0" w:color="auto"/>
        <w:right w:val="none" w:sz="0" w:space="0" w:color="auto"/>
      </w:divBdr>
      <w:divsChild>
        <w:div w:id="1951425683">
          <w:marLeft w:val="0"/>
          <w:marRight w:val="0"/>
          <w:marTop w:val="0"/>
          <w:marBottom w:val="0"/>
          <w:divBdr>
            <w:top w:val="none" w:sz="0" w:space="0" w:color="auto"/>
            <w:left w:val="none" w:sz="0" w:space="0" w:color="auto"/>
            <w:bottom w:val="none" w:sz="0" w:space="0" w:color="auto"/>
            <w:right w:val="none" w:sz="0" w:space="0" w:color="auto"/>
          </w:divBdr>
          <w:divsChild>
            <w:div w:id="823743704">
              <w:marLeft w:val="0"/>
              <w:marRight w:val="0"/>
              <w:marTop w:val="0"/>
              <w:marBottom w:val="0"/>
              <w:divBdr>
                <w:top w:val="none" w:sz="0" w:space="0" w:color="auto"/>
                <w:left w:val="none" w:sz="0" w:space="0" w:color="auto"/>
                <w:bottom w:val="none" w:sz="0" w:space="0" w:color="auto"/>
                <w:right w:val="none" w:sz="0" w:space="0" w:color="auto"/>
              </w:divBdr>
              <w:divsChild>
                <w:div w:id="18692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8512">
      <w:bodyDiv w:val="1"/>
      <w:marLeft w:val="0"/>
      <w:marRight w:val="0"/>
      <w:marTop w:val="0"/>
      <w:marBottom w:val="0"/>
      <w:divBdr>
        <w:top w:val="none" w:sz="0" w:space="0" w:color="auto"/>
        <w:left w:val="none" w:sz="0" w:space="0" w:color="auto"/>
        <w:bottom w:val="none" w:sz="0" w:space="0" w:color="auto"/>
        <w:right w:val="none" w:sz="0" w:space="0" w:color="auto"/>
      </w:divBdr>
      <w:divsChild>
        <w:div w:id="1659115972">
          <w:marLeft w:val="0"/>
          <w:marRight w:val="0"/>
          <w:marTop w:val="0"/>
          <w:marBottom w:val="0"/>
          <w:divBdr>
            <w:top w:val="none" w:sz="0" w:space="0" w:color="auto"/>
            <w:left w:val="none" w:sz="0" w:space="0" w:color="auto"/>
            <w:bottom w:val="none" w:sz="0" w:space="0" w:color="auto"/>
            <w:right w:val="none" w:sz="0" w:space="0" w:color="auto"/>
          </w:divBdr>
          <w:divsChild>
            <w:div w:id="1487864928">
              <w:marLeft w:val="0"/>
              <w:marRight w:val="0"/>
              <w:marTop w:val="0"/>
              <w:marBottom w:val="0"/>
              <w:divBdr>
                <w:top w:val="none" w:sz="0" w:space="0" w:color="auto"/>
                <w:left w:val="none" w:sz="0" w:space="0" w:color="auto"/>
                <w:bottom w:val="none" w:sz="0" w:space="0" w:color="auto"/>
                <w:right w:val="none" w:sz="0" w:space="0" w:color="auto"/>
              </w:divBdr>
              <w:divsChild>
                <w:div w:id="18101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355473771">
      <w:bodyDiv w:val="1"/>
      <w:marLeft w:val="0"/>
      <w:marRight w:val="0"/>
      <w:marTop w:val="0"/>
      <w:marBottom w:val="0"/>
      <w:divBdr>
        <w:top w:val="none" w:sz="0" w:space="0" w:color="auto"/>
        <w:left w:val="none" w:sz="0" w:space="0" w:color="auto"/>
        <w:bottom w:val="none" w:sz="0" w:space="0" w:color="auto"/>
        <w:right w:val="none" w:sz="0" w:space="0" w:color="auto"/>
      </w:divBdr>
    </w:div>
    <w:div w:id="393091193">
      <w:bodyDiv w:val="1"/>
      <w:marLeft w:val="0"/>
      <w:marRight w:val="0"/>
      <w:marTop w:val="0"/>
      <w:marBottom w:val="0"/>
      <w:divBdr>
        <w:top w:val="none" w:sz="0" w:space="0" w:color="auto"/>
        <w:left w:val="none" w:sz="0" w:space="0" w:color="auto"/>
        <w:bottom w:val="none" w:sz="0" w:space="0" w:color="auto"/>
        <w:right w:val="none" w:sz="0" w:space="0" w:color="auto"/>
      </w:divBdr>
      <w:divsChild>
        <w:div w:id="1649627225">
          <w:marLeft w:val="0"/>
          <w:marRight w:val="0"/>
          <w:marTop w:val="0"/>
          <w:marBottom w:val="0"/>
          <w:divBdr>
            <w:top w:val="none" w:sz="0" w:space="0" w:color="auto"/>
            <w:left w:val="none" w:sz="0" w:space="0" w:color="auto"/>
            <w:bottom w:val="none" w:sz="0" w:space="0" w:color="auto"/>
            <w:right w:val="none" w:sz="0" w:space="0" w:color="auto"/>
          </w:divBdr>
          <w:divsChild>
            <w:div w:id="4017487">
              <w:marLeft w:val="0"/>
              <w:marRight w:val="0"/>
              <w:marTop w:val="0"/>
              <w:marBottom w:val="0"/>
              <w:divBdr>
                <w:top w:val="none" w:sz="0" w:space="0" w:color="auto"/>
                <w:left w:val="none" w:sz="0" w:space="0" w:color="auto"/>
                <w:bottom w:val="none" w:sz="0" w:space="0" w:color="auto"/>
                <w:right w:val="none" w:sz="0" w:space="0" w:color="auto"/>
              </w:divBdr>
              <w:divsChild>
                <w:div w:id="1291277351">
                  <w:marLeft w:val="0"/>
                  <w:marRight w:val="0"/>
                  <w:marTop w:val="0"/>
                  <w:marBottom w:val="0"/>
                  <w:divBdr>
                    <w:top w:val="none" w:sz="0" w:space="0" w:color="auto"/>
                    <w:left w:val="none" w:sz="0" w:space="0" w:color="auto"/>
                    <w:bottom w:val="none" w:sz="0" w:space="0" w:color="auto"/>
                    <w:right w:val="none" w:sz="0" w:space="0" w:color="auto"/>
                  </w:divBdr>
                  <w:divsChild>
                    <w:div w:id="782266758">
                      <w:marLeft w:val="0"/>
                      <w:marRight w:val="0"/>
                      <w:marTop w:val="0"/>
                      <w:marBottom w:val="0"/>
                      <w:divBdr>
                        <w:top w:val="none" w:sz="0" w:space="0" w:color="auto"/>
                        <w:left w:val="none" w:sz="0" w:space="0" w:color="auto"/>
                        <w:bottom w:val="none" w:sz="0" w:space="0" w:color="auto"/>
                        <w:right w:val="none" w:sz="0" w:space="0" w:color="auto"/>
                      </w:divBdr>
                      <w:divsChild>
                        <w:div w:id="1929073658">
                          <w:marLeft w:val="0"/>
                          <w:marRight w:val="0"/>
                          <w:marTop w:val="0"/>
                          <w:marBottom w:val="0"/>
                          <w:divBdr>
                            <w:top w:val="none" w:sz="0" w:space="0" w:color="auto"/>
                            <w:left w:val="none" w:sz="0" w:space="0" w:color="auto"/>
                            <w:bottom w:val="none" w:sz="0" w:space="0" w:color="auto"/>
                            <w:right w:val="none" w:sz="0" w:space="0" w:color="auto"/>
                          </w:divBdr>
                          <w:divsChild>
                            <w:div w:id="1106317059">
                              <w:marLeft w:val="0"/>
                              <w:marRight w:val="0"/>
                              <w:marTop w:val="0"/>
                              <w:marBottom w:val="0"/>
                              <w:divBdr>
                                <w:top w:val="none" w:sz="0" w:space="0" w:color="auto"/>
                                <w:left w:val="none" w:sz="0" w:space="0" w:color="auto"/>
                                <w:bottom w:val="none" w:sz="0" w:space="0" w:color="auto"/>
                                <w:right w:val="none" w:sz="0" w:space="0" w:color="auto"/>
                              </w:divBdr>
                              <w:divsChild>
                                <w:div w:id="6854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05015">
      <w:bodyDiv w:val="1"/>
      <w:marLeft w:val="0"/>
      <w:marRight w:val="0"/>
      <w:marTop w:val="0"/>
      <w:marBottom w:val="0"/>
      <w:divBdr>
        <w:top w:val="none" w:sz="0" w:space="0" w:color="auto"/>
        <w:left w:val="none" w:sz="0" w:space="0" w:color="auto"/>
        <w:bottom w:val="none" w:sz="0" w:space="0" w:color="auto"/>
        <w:right w:val="none" w:sz="0" w:space="0" w:color="auto"/>
      </w:divBdr>
      <w:divsChild>
        <w:div w:id="617612796">
          <w:marLeft w:val="0"/>
          <w:marRight w:val="0"/>
          <w:marTop w:val="0"/>
          <w:marBottom w:val="0"/>
          <w:divBdr>
            <w:top w:val="none" w:sz="0" w:space="0" w:color="auto"/>
            <w:left w:val="none" w:sz="0" w:space="0" w:color="auto"/>
            <w:bottom w:val="none" w:sz="0" w:space="0" w:color="auto"/>
            <w:right w:val="none" w:sz="0" w:space="0" w:color="auto"/>
          </w:divBdr>
          <w:divsChild>
            <w:div w:id="1703901750">
              <w:marLeft w:val="0"/>
              <w:marRight w:val="0"/>
              <w:marTop w:val="0"/>
              <w:marBottom w:val="0"/>
              <w:divBdr>
                <w:top w:val="none" w:sz="0" w:space="0" w:color="auto"/>
                <w:left w:val="none" w:sz="0" w:space="0" w:color="auto"/>
                <w:bottom w:val="none" w:sz="0" w:space="0" w:color="auto"/>
                <w:right w:val="none" w:sz="0" w:space="0" w:color="auto"/>
              </w:divBdr>
              <w:divsChild>
                <w:div w:id="9763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7314">
      <w:bodyDiv w:val="1"/>
      <w:marLeft w:val="0"/>
      <w:marRight w:val="0"/>
      <w:marTop w:val="0"/>
      <w:marBottom w:val="0"/>
      <w:divBdr>
        <w:top w:val="none" w:sz="0" w:space="0" w:color="auto"/>
        <w:left w:val="none" w:sz="0" w:space="0" w:color="auto"/>
        <w:bottom w:val="none" w:sz="0" w:space="0" w:color="auto"/>
        <w:right w:val="none" w:sz="0" w:space="0" w:color="auto"/>
      </w:divBdr>
      <w:divsChild>
        <w:div w:id="1289897646">
          <w:marLeft w:val="0"/>
          <w:marRight w:val="0"/>
          <w:marTop w:val="0"/>
          <w:marBottom w:val="0"/>
          <w:divBdr>
            <w:top w:val="none" w:sz="0" w:space="0" w:color="auto"/>
            <w:left w:val="none" w:sz="0" w:space="0" w:color="auto"/>
            <w:bottom w:val="none" w:sz="0" w:space="0" w:color="auto"/>
            <w:right w:val="none" w:sz="0" w:space="0" w:color="auto"/>
          </w:divBdr>
          <w:divsChild>
            <w:div w:id="1049845048">
              <w:marLeft w:val="0"/>
              <w:marRight w:val="0"/>
              <w:marTop w:val="0"/>
              <w:marBottom w:val="0"/>
              <w:divBdr>
                <w:top w:val="none" w:sz="0" w:space="0" w:color="auto"/>
                <w:left w:val="none" w:sz="0" w:space="0" w:color="auto"/>
                <w:bottom w:val="none" w:sz="0" w:space="0" w:color="auto"/>
                <w:right w:val="none" w:sz="0" w:space="0" w:color="auto"/>
              </w:divBdr>
              <w:divsChild>
                <w:div w:id="295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479271033">
      <w:bodyDiv w:val="1"/>
      <w:marLeft w:val="0"/>
      <w:marRight w:val="0"/>
      <w:marTop w:val="0"/>
      <w:marBottom w:val="0"/>
      <w:divBdr>
        <w:top w:val="none" w:sz="0" w:space="0" w:color="auto"/>
        <w:left w:val="none" w:sz="0" w:space="0" w:color="auto"/>
        <w:bottom w:val="none" w:sz="0" w:space="0" w:color="auto"/>
        <w:right w:val="none" w:sz="0" w:space="0" w:color="auto"/>
      </w:divBdr>
      <w:divsChild>
        <w:div w:id="2111470321">
          <w:marLeft w:val="0"/>
          <w:marRight w:val="0"/>
          <w:marTop w:val="0"/>
          <w:marBottom w:val="0"/>
          <w:divBdr>
            <w:top w:val="none" w:sz="0" w:space="0" w:color="auto"/>
            <w:left w:val="none" w:sz="0" w:space="0" w:color="auto"/>
            <w:bottom w:val="none" w:sz="0" w:space="0" w:color="auto"/>
            <w:right w:val="none" w:sz="0" w:space="0" w:color="auto"/>
          </w:divBdr>
          <w:divsChild>
            <w:div w:id="318851724">
              <w:marLeft w:val="0"/>
              <w:marRight w:val="0"/>
              <w:marTop w:val="0"/>
              <w:marBottom w:val="0"/>
              <w:divBdr>
                <w:top w:val="none" w:sz="0" w:space="0" w:color="auto"/>
                <w:left w:val="none" w:sz="0" w:space="0" w:color="auto"/>
                <w:bottom w:val="none" w:sz="0" w:space="0" w:color="auto"/>
                <w:right w:val="none" w:sz="0" w:space="0" w:color="auto"/>
              </w:divBdr>
              <w:divsChild>
                <w:div w:id="7885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865">
      <w:bodyDiv w:val="1"/>
      <w:marLeft w:val="0"/>
      <w:marRight w:val="0"/>
      <w:marTop w:val="0"/>
      <w:marBottom w:val="0"/>
      <w:divBdr>
        <w:top w:val="none" w:sz="0" w:space="0" w:color="auto"/>
        <w:left w:val="none" w:sz="0" w:space="0" w:color="auto"/>
        <w:bottom w:val="none" w:sz="0" w:space="0" w:color="auto"/>
        <w:right w:val="none" w:sz="0" w:space="0" w:color="auto"/>
      </w:divBdr>
      <w:divsChild>
        <w:div w:id="1739404252">
          <w:marLeft w:val="0"/>
          <w:marRight w:val="0"/>
          <w:marTop w:val="0"/>
          <w:marBottom w:val="0"/>
          <w:divBdr>
            <w:top w:val="none" w:sz="0" w:space="0" w:color="auto"/>
            <w:left w:val="none" w:sz="0" w:space="0" w:color="auto"/>
            <w:bottom w:val="none" w:sz="0" w:space="0" w:color="auto"/>
            <w:right w:val="none" w:sz="0" w:space="0" w:color="auto"/>
          </w:divBdr>
          <w:divsChild>
            <w:div w:id="172691340">
              <w:marLeft w:val="0"/>
              <w:marRight w:val="0"/>
              <w:marTop w:val="0"/>
              <w:marBottom w:val="0"/>
              <w:divBdr>
                <w:top w:val="none" w:sz="0" w:space="0" w:color="auto"/>
                <w:left w:val="none" w:sz="0" w:space="0" w:color="auto"/>
                <w:bottom w:val="none" w:sz="0" w:space="0" w:color="auto"/>
                <w:right w:val="none" w:sz="0" w:space="0" w:color="auto"/>
              </w:divBdr>
              <w:divsChild>
                <w:div w:id="18720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79538">
      <w:bodyDiv w:val="1"/>
      <w:marLeft w:val="0"/>
      <w:marRight w:val="0"/>
      <w:marTop w:val="0"/>
      <w:marBottom w:val="0"/>
      <w:divBdr>
        <w:top w:val="none" w:sz="0" w:space="0" w:color="auto"/>
        <w:left w:val="none" w:sz="0" w:space="0" w:color="auto"/>
        <w:bottom w:val="none" w:sz="0" w:space="0" w:color="auto"/>
        <w:right w:val="none" w:sz="0" w:space="0" w:color="auto"/>
      </w:divBdr>
      <w:divsChild>
        <w:div w:id="1795513171">
          <w:marLeft w:val="0"/>
          <w:marRight w:val="0"/>
          <w:marTop w:val="0"/>
          <w:marBottom w:val="0"/>
          <w:divBdr>
            <w:top w:val="none" w:sz="0" w:space="0" w:color="auto"/>
            <w:left w:val="none" w:sz="0" w:space="0" w:color="auto"/>
            <w:bottom w:val="none" w:sz="0" w:space="0" w:color="auto"/>
            <w:right w:val="none" w:sz="0" w:space="0" w:color="auto"/>
          </w:divBdr>
        </w:div>
      </w:divsChild>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77833381">
      <w:bodyDiv w:val="1"/>
      <w:marLeft w:val="0"/>
      <w:marRight w:val="0"/>
      <w:marTop w:val="0"/>
      <w:marBottom w:val="0"/>
      <w:divBdr>
        <w:top w:val="none" w:sz="0" w:space="0" w:color="auto"/>
        <w:left w:val="none" w:sz="0" w:space="0" w:color="auto"/>
        <w:bottom w:val="none" w:sz="0" w:space="0" w:color="auto"/>
        <w:right w:val="none" w:sz="0" w:space="0" w:color="auto"/>
      </w:divBdr>
      <w:divsChild>
        <w:div w:id="372191727">
          <w:marLeft w:val="0"/>
          <w:marRight w:val="0"/>
          <w:marTop w:val="0"/>
          <w:marBottom w:val="0"/>
          <w:divBdr>
            <w:top w:val="none" w:sz="0" w:space="0" w:color="auto"/>
            <w:left w:val="none" w:sz="0" w:space="0" w:color="auto"/>
            <w:bottom w:val="none" w:sz="0" w:space="0" w:color="auto"/>
            <w:right w:val="none" w:sz="0" w:space="0" w:color="auto"/>
          </w:divBdr>
          <w:divsChild>
            <w:div w:id="804663507">
              <w:marLeft w:val="0"/>
              <w:marRight w:val="0"/>
              <w:marTop w:val="0"/>
              <w:marBottom w:val="0"/>
              <w:divBdr>
                <w:top w:val="none" w:sz="0" w:space="0" w:color="auto"/>
                <w:left w:val="none" w:sz="0" w:space="0" w:color="auto"/>
                <w:bottom w:val="none" w:sz="0" w:space="0" w:color="auto"/>
                <w:right w:val="none" w:sz="0" w:space="0" w:color="auto"/>
              </w:divBdr>
              <w:divsChild>
                <w:div w:id="128594101">
                  <w:marLeft w:val="0"/>
                  <w:marRight w:val="0"/>
                  <w:marTop w:val="0"/>
                  <w:marBottom w:val="0"/>
                  <w:divBdr>
                    <w:top w:val="none" w:sz="0" w:space="0" w:color="auto"/>
                    <w:left w:val="none" w:sz="0" w:space="0" w:color="auto"/>
                    <w:bottom w:val="none" w:sz="0" w:space="0" w:color="auto"/>
                    <w:right w:val="none" w:sz="0" w:space="0" w:color="auto"/>
                  </w:divBdr>
                  <w:divsChild>
                    <w:div w:id="15349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596400994">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634873443">
      <w:bodyDiv w:val="1"/>
      <w:marLeft w:val="0"/>
      <w:marRight w:val="0"/>
      <w:marTop w:val="0"/>
      <w:marBottom w:val="0"/>
      <w:divBdr>
        <w:top w:val="none" w:sz="0" w:space="0" w:color="auto"/>
        <w:left w:val="none" w:sz="0" w:space="0" w:color="auto"/>
        <w:bottom w:val="none" w:sz="0" w:space="0" w:color="auto"/>
        <w:right w:val="none" w:sz="0" w:space="0" w:color="auto"/>
      </w:divBdr>
      <w:divsChild>
        <w:div w:id="1025912436">
          <w:marLeft w:val="0"/>
          <w:marRight w:val="0"/>
          <w:marTop w:val="0"/>
          <w:marBottom w:val="0"/>
          <w:divBdr>
            <w:top w:val="none" w:sz="0" w:space="0" w:color="auto"/>
            <w:left w:val="none" w:sz="0" w:space="0" w:color="auto"/>
            <w:bottom w:val="none" w:sz="0" w:space="0" w:color="auto"/>
            <w:right w:val="none" w:sz="0" w:space="0" w:color="auto"/>
          </w:divBdr>
          <w:divsChild>
            <w:div w:id="1840539910">
              <w:marLeft w:val="0"/>
              <w:marRight w:val="0"/>
              <w:marTop w:val="0"/>
              <w:marBottom w:val="0"/>
              <w:divBdr>
                <w:top w:val="none" w:sz="0" w:space="0" w:color="auto"/>
                <w:left w:val="none" w:sz="0" w:space="0" w:color="auto"/>
                <w:bottom w:val="none" w:sz="0" w:space="0" w:color="auto"/>
                <w:right w:val="none" w:sz="0" w:space="0" w:color="auto"/>
              </w:divBdr>
              <w:divsChild>
                <w:div w:id="588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2692">
      <w:bodyDiv w:val="1"/>
      <w:marLeft w:val="0"/>
      <w:marRight w:val="0"/>
      <w:marTop w:val="0"/>
      <w:marBottom w:val="0"/>
      <w:divBdr>
        <w:top w:val="none" w:sz="0" w:space="0" w:color="auto"/>
        <w:left w:val="none" w:sz="0" w:space="0" w:color="auto"/>
        <w:bottom w:val="none" w:sz="0" w:space="0" w:color="auto"/>
        <w:right w:val="none" w:sz="0" w:space="0" w:color="auto"/>
      </w:divBdr>
    </w:div>
    <w:div w:id="660701105">
      <w:bodyDiv w:val="1"/>
      <w:marLeft w:val="0"/>
      <w:marRight w:val="0"/>
      <w:marTop w:val="0"/>
      <w:marBottom w:val="0"/>
      <w:divBdr>
        <w:top w:val="none" w:sz="0" w:space="0" w:color="auto"/>
        <w:left w:val="none" w:sz="0" w:space="0" w:color="auto"/>
        <w:bottom w:val="none" w:sz="0" w:space="0" w:color="auto"/>
        <w:right w:val="none" w:sz="0" w:space="0" w:color="auto"/>
      </w:divBdr>
      <w:divsChild>
        <w:div w:id="1317149522">
          <w:marLeft w:val="0"/>
          <w:marRight w:val="0"/>
          <w:marTop w:val="0"/>
          <w:marBottom w:val="0"/>
          <w:divBdr>
            <w:top w:val="none" w:sz="0" w:space="0" w:color="auto"/>
            <w:left w:val="none" w:sz="0" w:space="0" w:color="auto"/>
            <w:bottom w:val="none" w:sz="0" w:space="0" w:color="auto"/>
            <w:right w:val="none" w:sz="0" w:space="0" w:color="auto"/>
          </w:divBdr>
          <w:divsChild>
            <w:div w:id="1283998538">
              <w:marLeft w:val="0"/>
              <w:marRight w:val="0"/>
              <w:marTop w:val="0"/>
              <w:marBottom w:val="0"/>
              <w:divBdr>
                <w:top w:val="none" w:sz="0" w:space="0" w:color="auto"/>
                <w:left w:val="none" w:sz="0" w:space="0" w:color="auto"/>
                <w:bottom w:val="none" w:sz="0" w:space="0" w:color="auto"/>
                <w:right w:val="none" w:sz="0" w:space="0" w:color="auto"/>
              </w:divBdr>
              <w:divsChild>
                <w:div w:id="385228277">
                  <w:marLeft w:val="0"/>
                  <w:marRight w:val="0"/>
                  <w:marTop w:val="0"/>
                  <w:marBottom w:val="0"/>
                  <w:divBdr>
                    <w:top w:val="none" w:sz="0" w:space="0" w:color="auto"/>
                    <w:left w:val="none" w:sz="0" w:space="0" w:color="auto"/>
                    <w:bottom w:val="none" w:sz="0" w:space="0" w:color="auto"/>
                    <w:right w:val="none" w:sz="0" w:space="0" w:color="auto"/>
                  </w:divBdr>
                </w:div>
              </w:divsChild>
            </w:div>
            <w:div w:id="120998390">
              <w:marLeft w:val="0"/>
              <w:marRight w:val="0"/>
              <w:marTop w:val="0"/>
              <w:marBottom w:val="0"/>
              <w:divBdr>
                <w:top w:val="none" w:sz="0" w:space="0" w:color="auto"/>
                <w:left w:val="none" w:sz="0" w:space="0" w:color="auto"/>
                <w:bottom w:val="none" w:sz="0" w:space="0" w:color="auto"/>
                <w:right w:val="none" w:sz="0" w:space="0" w:color="auto"/>
              </w:divBdr>
              <w:divsChild>
                <w:div w:id="237251407">
                  <w:marLeft w:val="0"/>
                  <w:marRight w:val="0"/>
                  <w:marTop w:val="0"/>
                  <w:marBottom w:val="0"/>
                  <w:divBdr>
                    <w:top w:val="none" w:sz="0" w:space="0" w:color="auto"/>
                    <w:left w:val="none" w:sz="0" w:space="0" w:color="auto"/>
                    <w:bottom w:val="none" w:sz="0" w:space="0" w:color="auto"/>
                    <w:right w:val="none" w:sz="0" w:space="0" w:color="auto"/>
                  </w:divBdr>
                  <w:divsChild>
                    <w:div w:id="4307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506">
              <w:marLeft w:val="0"/>
              <w:marRight w:val="0"/>
              <w:marTop w:val="0"/>
              <w:marBottom w:val="0"/>
              <w:divBdr>
                <w:top w:val="none" w:sz="0" w:space="0" w:color="auto"/>
                <w:left w:val="none" w:sz="0" w:space="0" w:color="auto"/>
                <w:bottom w:val="none" w:sz="0" w:space="0" w:color="auto"/>
                <w:right w:val="none" w:sz="0" w:space="0" w:color="auto"/>
              </w:divBdr>
              <w:divsChild>
                <w:div w:id="19048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1685">
      <w:bodyDiv w:val="1"/>
      <w:marLeft w:val="0"/>
      <w:marRight w:val="0"/>
      <w:marTop w:val="0"/>
      <w:marBottom w:val="0"/>
      <w:divBdr>
        <w:top w:val="none" w:sz="0" w:space="0" w:color="auto"/>
        <w:left w:val="none" w:sz="0" w:space="0" w:color="auto"/>
        <w:bottom w:val="none" w:sz="0" w:space="0" w:color="auto"/>
        <w:right w:val="none" w:sz="0" w:space="0" w:color="auto"/>
      </w:divBdr>
      <w:divsChild>
        <w:div w:id="1927112612">
          <w:marLeft w:val="0"/>
          <w:marRight w:val="0"/>
          <w:marTop w:val="0"/>
          <w:marBottom w:val="0"/>
          <w:divBdr>
            <w:top w:val="none" w:sz="0" w:space="0" w:color="auto"/>
            <w:left w:val="none" w:sz="0" w:space="0" w:color="auto"/>
            <w:bottom w:val="none" w:sz="0" w:space="0" w:color="auto"/>
            <w:right w:val="none" w:sz="0" w:space="0" w:color="auto"/>
          </w:divBdr>
          <w:divsChild>
            <w:div w:id="544945138">
              <w:marLeft w:val="0"/>
              <w:marRight w:val="0"/>
              <w:marTop w:val="0"/>
              <w:marBottom w:val="0"/>
              <w:divBdr>
                <w:top w:val="none" w:sz="0" w:space="0" w:color="auto"/>
                <w:left w:val="none" w:sz="0" w:space="0" w:color="auto"/>
                <w:bottom w:val="none" w:sz="0" w:space="0" w:color="auto"/>
                <w:right w:val="none" w:sz="0" w:space="0" w:color="auto"/>
              </w:divBdr>
              <w:divsChild>
                <w:div w:id="1506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16719">
      <w:bodyDiv w:val="1"/>
      <w:marLeft w:val="0"/>
      <w:marRight w:val="0"/>
      <w:marTop w:val="0"/>
      <w:marBottom w:val="0"/>
      <w:divBdr>
        <w:top w:val="none" w:sz="0" w:space="0" w:color="auto"/>
        <w:left w:val="none" w:sz="0" w:space="0" w:color="auto"/>
        <w:bottom w:val="none" w:sz="0" w:space="0" w:color="auto"/>
        <w:right w:val="none" w:sz="0" w:space="0" w:color="auto"/>
      </w:divBdr>
      <w:divsChild>
        <w:div w:id="614407064">
          <w:marLeft w:val="0"/>
          <w:marRight w:val="0"/>
          <w:marTop w:val="0"/>
          <w:marBottom w:val="0"/>
          <w:divBdr>
            <w:top w:val="none" w:sz="0" w:space="0" w:color="auto"/>
            <w:left w:val="none" w:sz="0" w:space="0" w:color="auto"/>
            <w:bottom w:val="none" w:sz="0" w:space="0" w:color="auto"/>
            <w:right w:val="none" w:sz="0" w:space="0" w:color="auto"/>
          </w:divBdr>
          <w:divsChild>
            <w:div w:id="1976638166">
              <w:marLeft w:val="0"/>
              <w:marRight w:val="0"/>
              <w:marTop w:val="0"/>
              <w:marBottom w:val="0"/>
              <w:divBdr>
                <w:top w:val="none" w:sz="0" w:space="0" w:color="auto"/>
                <w:left w:val="none" w:sz="0" w:space="0" w:color="auto"/>
                <w:bottom w:val="none" w:sz="0" w:space="0" w:color="auto"/>
                <w:right w:val="none" w:sz="0" w:space="0" w:color="auto"/>
              </w:divBdr>
              <w:divsChild>
                <w:div w:id="17432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4265">
      <w:bodyDiv w:val="1"/>
      <w:marLeft w:val="0"/>
      <w:marRight w:val="0"/>
      <w:marTop w:val="0"/>
      <w:marBottom w:val="0"/>
      <w:divBdr>
        <w:top w:val="none" w:sz="0" w:space="0" w:color="auto"/>
        <w:left w:val="none" w:sz="0" w:space="0" w:color="auto"/>
        <w:bottom w:val="none" w:sz="0" w:space="0" w:color="auto"/>
        <w:right w:val="none" w:sz="0" w:space="0" w:color="auto"/>
      </w:divBdr>
      <w:divsChild>
        <w:div w:id="1747920413">
          <w:marLeft w:val="0"/>
          <w:marRight w:val="0"/>
          <w:marTop w:val="0"/>
          <w:marBottom w:val="0"/>
          <w:divBdr>
            <w:top w:val="none" w:sz="0" w:space="0" w:color="auto"/>
            <w:left w:val="none" w:sz="0" w:space="0" w:color="auto"/>
            <w:bottom w:val="none" w:sz="0" w:space="0" w:color="auto"/>
            <w:right w:val="none" w:sz="0" w:space="0" w:color="auto"/>
          </w:divBdr>
          <w:divsChild>
            <w:div w:id="681051899">
              <w:marLeft w:val="0"/>
              <w:marRight w:val="0"/>
              <w:marTop w:val="0"/>
              <w:marBottom w:val="0"/>
              <w:divBdr>
                <w:top w:val="none" w:sz="0" w:space="0" w:color="auto"/>
                <w:left w:val="none" w:sz="0" w:space="0" w:color="auto"/>
                <w:bottom w:val="none" w:sz="0" w:space="0" w:color="auto"/>
                <w:right w:val="none" w:sz="0" w:space="0" w:color="auto"/>
              </w:divBdr>
              <w:divsChild>
                <w:div w:id="15957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797989693">
      <w:bodyDiv w:val="1"/>
      <w:marLeft w:val="0"/>
      <w:marRight w:val="0"/>
      <w:marTop w:val="0"/>
      <w:marBottom w:val="0"/>
      <w:divBdr>
        <w:top w:val="none" w:sz="0" w:space="0" w:color="auto"/>
        <w:left w:val="none" w:sz="0" w:space="0" w:color="auto"/>
        <w:bottom w:val="none" w:sz="0" w:space="0" w:color="auto"/>
        <w:right w:val="none" w:sz="0" w:space="0" w:color="auto"/>
      </w:divBdr>
    </w:div>
    <w:div w:id="805007196">
      <w:bodyDiv w:val="1"/>
      <w:marLeft w:val="0"/>
      <w:marRight w:val="0"/>
      <w:marTop w:val="0"/>
      <w:marBottom w:val="0"/>
      <w:divBdr>
        <w:top w:val="none" w:sz="0" w:space="0" w:color="auto"/>
        <w:left w:val="none" w:sz="0" w:space="0" w:color="auto"/>
        <w:bottom w:val="none" w:sz="0" w:space="0" w:color="auto"/>
        <w:right w:val="none" w:sz="0" w:space="0" w:color="auto"/>
      </w:divBdr>
      <w:divsChild>
        <w:div w:id="1906601">
          <w:marLeft w:val="0"/>
          <w:marRight w:val="0"/>
          <w:marTop w:val="0"/>
          <w:marBottom w:val="0"/>
          <w:divBdr>
            <w:top w:val="none" w:sz="0" w:space="0" w:color="auto"/>
            <w:left w:val="none" w:sz="0" w:space="0" w:color="auto"/>
            <w:bottom w:val="none" w:sz="0" w:space="0" w:color="auto"/>
            <w:right w:val="none" w:sz="0" w:space="0" w:color="auto"/>
          </w:divBdr>
          <w:divsChild>
            <w:div w:id="916397411">
              <w:marLeft w:val="0"/>
              <w:marRight w:val="0"/>
              <w:marTop w:val="0"/>
              <w:marBottom w:val="0"/>
              <w:divBdr>
                <w:top w:val="none" w:sz="0" w:space="0" w:color="auto"/>
                <w:left w:val="none" w:sz="0" w:space="0" w:color="auto"/>
                <w:bottom w:val="none" w:sz="0" w:space="0" w:color="auto"/>
                <w:right w:val="none" w:sz="0" w:space="0" w:color="auto"/>
              </w:divBdr>
              <w:divsChild>
                <w:div w:id="69498713">
                  <w:marLeft w:val="0"/>
                  <w:marRight w:val="0"/>
                  <w:marTop w:val="0"/>
                  <w:marBottom w:val="0"/>
                  <w:divBdr>
                    <w:top w:val="none" w:sz="0" w:space="0" w:color="auto"/>
                    <w:left w:val="none" w:sz="0" w:space="0" w:color="auto"/>
                    <w:bottom w:val="none" w:sz="0" w:space="0" w:color="auto"/>
                    <w:right w:val="none" w:sz="0" w:space="0" w:color="auto"/>
                  </w:divBdr>
                  <w:divsChild>
                    <w:div w:id="13062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0425425">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999578087">
      <w:bodyDiv w:val="1"/>
      <w:marLeft w:val="0"/>
      <w:marRight w:val="0"/>
      <w:marTop w:val="0"/>
      <w:marBottom w:val="0"/>
      <w:divBdr>
        <w:top w:val="none" w:sz="0" w:space="0" w:color="auto"/>
        <w:left w:val="none" w:sz="0" w:space="0" w:color="auto"/>
        <w:bottom w:val="none" w:sz="0" w:space="0" w:color="auto"/>
        <w:right w:val="none" w:sz="0" w:space="0" w:color="auto"/>
      </w:divBdr>
      <w:divsChild>
        <w:div w:id="898394024">
          <w:marLeft w:val="0"/>
          <w:marRight w:val="0"/>
          <w:marTop w:val="0"/>
          <w:marBottom w:val="0"/>
          <w:divBdr>
            <w:top w:val="none" w:sz="0" w:space="0" w:color="auto"/>
            <w:left w:val="none" w:sz="0" w:space="0" w:color="auto"/>
            <w:bottom w:val="none" w:sz="0" w:space="0" w:color="auto"/>
            <w:right w:val="none" w:sz="0" w:space="0" w:color="auto"/>
          </w:divBdr>
          <w:divsChild>
            <w:div w:id="1578325890">
              <w:marLeft w:val="0"/>
              <w:marRight w:val="0"/>
              <w:marTop w:val="0"/>
              <w:marBottom w:val="0"/>
              <w:divBdr>
                <w:top w:val="none" w:sz="0" w:space="0" w:color="auto"/>
                <w:left w:val="none" w:sz="0" w:space="0" w:color="auto"/>
                <w:bottom w:val="none" w:sz="0" w:space="0" w:color="auto"/>
                <w:right w:val="none" w:sz="0" w:space="0" w:color="auto"/>
              </w:divBdr>
              <w:divsChild>
                <w:div w:id="16285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22780711">
      <w:bodyDiv w:val="1"/>
      <w:marLeft w:val="0"/>
      <w:marRight w:val="0"/>
      <w:marTop w:val="0"/>
      <w:marBottom w:val="0"/>
      <w:divBdr>
        <w:top w:val="none" w:sz="0" w:space="0" w:color="auto"/>
        <w:left w:val="none" w:sz="0" w:space="0" w:color="auto"/>
        <w:bottom w:val="none" w:sz="0" w:space="0" w:color="auto"/>
        <w:right w:val="none" w:sz="0" w:space="0" w:color="auto"/>
      </w:divBdr>
      <w:divsChild>
        <w:div w:id="2090468757">
          <w:marLeft w:val="0"/>
          <w:marRight w:val="0"/>
          <w:marTop w:val="0"/>
          <w:marBottom w:val="0"/>
          <w:divBdr>
            <w:top w:val="none" w:sz="0" w:space="0" w:color="auto"/>
            <w:left w:val="none" w:sz="0" w:space="0" w:color="auto"/>
            <w:bottom w:val="none" w:sz="0" w:space="0" w:color="auto"/>
            <w:right w:val="none" w:sz="0" w:space="0" w:color="auto"/>
          </w:divBdr>
          <w:divsChild>
            <w:div w:id="947547113">
              <w:marLeft w:val="0"/>
              <w:marRight w:val="0"/>
              <w:marTop w:val="0"/>
              <w:marBottom w:val="0"/>
              <w:divBdr>
                <w:top w:val="none" w:sz="0" w:space="0" w:color="auto"/>
                <w:left w:val="none" w:sz="0" w:space="0" w:color="auto"/>
                <w:bottom w:val="none" w:sz="0" w:space="0" w:color="auto"/>
                <w:right w:val="none" w:sz="0" w:space="0" w:color="auto"/>
              </w:divBdr>
              <w:divsChild>
                <w:div w:id="21163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5621">
      <w:bodyDiv w:val="1"/>
      <w:marLeft w:val="0"/>
      <w:marRight w:val="0"/>
      <w:marTop w:val="0"/>
      <w:marBottom w:val="0"/>
      <w:divBdr>
        <w:top w:val="none" w:sz="0" w:space="0" w:color="auto"/>
        <w:left w:val="none" w:sz="0" w:space="0" w:color="auto"/>
        <w:bottom w:val="none" w:sz="0" w:space="0" w:color="auto"/>
        <w:right w:val="none" w:sz="0" w:space="0" w:color="auto"/>
      </w:divBdr>
    </w:div>
    <w:div w:id="1047995389">
      <w:bodyDiv w:val="1"/>
      <w:marLeft w:val="0"/>
      <w:marRight w:val="0"/>
      <w:marTop w:val="0"/>
      <w:marBottom w:val="0"/>
      <w:divBdr>
        <w:top w:val="none" w:sz="0" w:space="0" w:color="auto"/>
        <w:left w:val="none" w:sz="0" w:space="0" w:color="auto"/>
        <w:bottom w:val="none" w:sz="0" w:space="0" w:color="auto"/>
        <w:right w:val="none" w:sz="0" w:space="0" w:color="auto"/>
      </w:divBdr>
      <w:divsChild>
        <w:div w:id="870731186">
          <w:marLeft w:val="0"/>
          <w:marRight w:val="0"/>
          <w:marTop w:val="0"/>
          <w:marBottom w:val="0"/>
          <w:divBdr>
            <w:top w:val="none" w:sz="0" w:space="0" w:color="auto"/>
            <w:left w:val="none" w:sz="0" w:space="0" w:color="auto"/>
            <w:bottom w:val="none" w:sz="0" w:space="0" w:color="auto"/>
            <w:right w:val="none" w:sz="0" w:space="0" w:color="auto"/>
          </w:divBdr>
          <w:divsChild>
            <w:div w:id="1799297194">
              <w:marLeft w:val="0"/>
              <w:marRight w:val="0"/>
              <w:marTop w:val="0"/>
              <w:marBottom w:val="0"/>
              <w:divBdr>
                <w:top w:val="none" w:sz="0" w:space="0" w:color="auto"/>
                <w:left w:val="none" w:sz="0" w:space="0" w:color="auto"/>
                <w:bottom w:val="none" w:sz="0" w:space="0" w:color="auto"/>
                <w:right w:val="none" w:sz="0" w:space="0" w:color="auto"/>
              </w:divBdr>
              <w:divsChild>
                <w:div w:id="9081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062479971">
      <w:bodyDiv w:val="1"/>
      <w:marLeft w:val="0"/>
      <w:marRight w:val="0"/>
      <w:marTop w:val="0"/>
      <w:marBottom w:val="0"/>
      <w:divBdr>
        <w:top w:val="none" w:sz="0" w:space="0" w:color="auto"/>
        <w:left w:val="none" w:sz="0" w:space="0" w:color="auto"/>
        <w:bottom w:val="none" w:sz="0" w:space="0" w:color="auto"/>
        <w:right w:val="none" w:sz="0" w:space="0" w:color="auto"/>
      </w:divBdr>
      <w:divsChild>
        <w:div w:id="135999263">
          <w:marLeft w:val="0"/>
          <w:marRight w:val="0"/>
          <w:marTop w:val="0"/>
          <w:marBottom w:val="0"/>
          <w:divBdr>
            <w:top w:val="none" w:sz="0" w:space="0" w:color="auto"/>
            <w:left w:val="none" w:sz="0" w:space="0" w:color="auto"/>
            <w:bottom w:val="none" w:sz="0" w:space="0" w:color="auto"/>
            <w:right w:val="none" w:sz="0" w:space="0" w:color="auto"/>
          </w:divBdr>
          <w:divsChild>
            <w:div w:id="1080518373">
              <w:marLeft w:val="0"/>
              <w:marRight w:val="0"/>
              <w:marTop w:val="0"/>
              <w:marBottom w:val="0"/>
              <w:divBdr>
                <w:top w:val="none" w:sz="0" w:space="0" w:color="auto"/>
                <w:left w:val="none" w:sz="0" w:space="0" w:color="auto"/>
                <w:bottom w:val="none" w:sz="0" w:space="0" w:color="auto"/>
                <w:right w:val="none" w:sz="0" w:space="0" w:color="auto"/>
              </w:divBdr>
              <w:divsChild>
                <w:div w:id="12396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3636">
      <w:bodyDiv w:val="1"/>
      <w:marLeft w:val="0"/>
      <w:marRight w:val="0"/>
      <w:marTop w:val="0"/>
      <w:marBottom w:val="0"/>
      <w:divBdr>
        <w:top w:val="none" w:sz="0" w:space="0" w:color="auto"/>
        <w:left w:val="none" w:sz="0" w:space="0" w:color="auto"/>
        <w:bottom w:val="none" w:sz="0" w:space="0" w:color="auto"/>
        <w:right w:val="none" w:sz="0" w:space="0" w:color="auto"/>
      </w:divBdr>
      <w:divsChild>
        <w:div w:id="126045878">
          <w:marLeft w:val="0"/>
          <w:marRight w:val="0"/>
          <w:marTop w:val="0"/>
          <w:marBottom w:val="0"/>
          <w:divBdr>
            <w:top w:val="none" w:sz="0" w:space="0" w:color="auto"/>
            <w:left w:val="none" w:sz="0" w:space="0" w:color="auto"/>
            <w:bottom w:val="none" w:sz="0" w:space="0" w:color="auto"/>
            <w:right w:val="none" w:sz="0" w:space="0" w:color="auto"/>
          </w:divBdr>
          <w:divsChild>
            <w:div w:id="489561043">
              <w:marLeft w:val="0"/>
              <w:marRight w:val="0"/>
              <w:marTop w:val="0"/>
              <w:marBottom w:val="0"/>
              <w:divBdr>
                <w:top w:val="none" w:sz="0" w:space="0" w:color="auto"/>
                <w:left w:val="none" w:sz="0" w:space="0" w:color="auto"/>
                <w:bottom w:val="none" w:sz="0" w:space="0" w:color="auto"/>
                <w:right w:val="none" w:sz="0" w:space="0" w:color="auto"/>
              </w:divBdr>
              <w:divsChild>
                <w:div w:id="11499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21393">
      <w:bodyDiv w:val="1"/>
      <w:marLeft w:val="0"/>
      <w:marRight w:val="0"/>
      <w:marTop w:val="0"/>
      <w:marBottom w:val="0"/>
      <w:divBdr>
        <w:top w:val="none" w:sz="0" w:space="0" w:color="auto"/>
        <w:left w:val="none" w:sz="0" w:space="0" w:color="auto"/>
        <w:bottom w:val="none" w:sz="0" w:space="0" w:color="auto"/>
        <w:right w:val="none" w:sz="0" w:space="0" w:color="auto"/>
      </w:divBdr>
      <w:divsChild>
        <w:div w:id="391008457">
          <w:marLeft w:val="0"/>
          <w:marRight w:val="0"/>
          <w:marTop w:val="0"/>
          <w:marBottom w:val="0"/>
          <w:divBdr>
            <w:top w:val="none" w:sz="0" w:space="0" w:color="auto"/>
            <w:left w:val="none" w:sz="0" w:space="0" w:color="auto"/>
            <w:bottom w:val="none" w:sz="0" w:space="0" w:color="auto"/>
            <w:right w:val="none" w:sz="0" w:space="0" w:color="auto"/>
          </w:divBdr>
          <w:divsChild>
            <w:div w:id="2101440824">
              <w:marLeft w:val="0"/>
              <w:marRight w:val="0"/>
              <w:marTop w:val="0"/>
              <w:marBottom w:val="0"/>
              <w:divBdr>
                <w:top w:val="none" w:sz="0" w:space="0" w:color="auto"/>
                <w:left w:val="none" w:sz="0" w:space="0" w:color="auto"/>
                <w:bottom w:val="none" w:sz="0" w:space="0" w:color="auto"/>
                <w:right w:val="none" w:sz="0" w:space="0" w:color="auto"/>
              </w:divBdr>
              <w:divsChild>
                <w:div w:id="10119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2252">
      <w:bodyDiv w:val="1"/>
      <w:marLeft w:val="0"/>
      <w:marRight w:val="0"/>
      <w:marTop w:val="0"/>
      <w:marBottom w:val="0"/>
      <w:divBdr>
        <w:top w:val="none" w:sz="0" w:space="0" w:color="auto"/>
        <w:left w:val="none" w:sz="0" w:space="0" w:color="auto"/>
        <w:bottom w:val="none" w:sz="0" w:space="0" w:color="auto"/>
        <w:right w:val="none" w:sz="0" w:space="0" w:color="auto"/>
      </w:divBdr>
      <w:divsChild>
        <w:div w:id="427845711">
          <w:marLeft w:val="0"/>
          <w:marRight w:val="0"/>
          <w:marTop w:val="0"/>
          <w:marBottom w:val="0"/>
          <w:divBdr>
            <w:top w:val="none" w:sz="0" w:space="0" w:color="auto"/>
            <w:left w:val="none" w:sz="0" w:space="0" w:color="auto"/>
            <w:bottom w:val="none" w:sz="0" w:space="0" w:color="auto"/>
            <w:right w:val="none" w:sz="0" w:space="0" w:color="auto"/>
          </w:divBdr>
        </w:div>
        <w:div w:id="940603055">
          <w:marLeft w:val="0"/>
          <w:marRight w:val="0"/>
          <w:marTop w:val="0"/>
          <w:marBottom w:val="0"/>
          <w:divBdr>
            <w:top w:val="none" w:sz="0" w:space="0" w:color="auto"/>
            <w:left w:val="none" w:sz="0" w:space="0" w:color="auto"/>
            <w:bottom w:val="none" w:sz="0" w:space="0" w:color="auto"/>
            <w:right w:val="none" w:sz="0" w:space="0" w:color="auto"/>
          </w:divBdr>
        </w:div>
        <w:div w:id="1268385183">
          <w:marLeft w:val="0"/>
          <w:marRight w:val="0"/>
          <w:marTop w:val="0"/>
          <w:marBottom w:val="0"/>
          <w:divBdr>
            <w:top w:val="none" w:sz="0" w:space="0" w:color="auto"/>
            <w:left w:val="none" w:sz="0" w:space="0" w:color="auto"/>
            <w:bottom w:val="none" w:sz="0" w:space="0" w:color="auto"/>
            <w:right w:val="none" w:sz="0" w:space="0" w:color="auto"/>
          </w:divBdr>
        </w:div>
      </w:divsChild>
    </w:div>
    <w:div w:id="1099327233">
      <w:bodyDiv w:val="1"/>
      <w:marLeft w:val="0"/>
      <w:marRight w:val="0"/>
      <w:marTop w:val="0"/>
      <w:marBottom w:val="0"/>
      <w:divBdr>
        <w:top w:val="none" w:sz="0" w:space="0" w:color="auto"/>
        <w:left w:val="none" w:sz="0" w:space="0" w:color="auto"/>
        <w:bottom w:val="none" w:sz="0" w:space="0" w:color="auto"/>
        <w:right w:val="none" w:sz="0" w:space="0" w:color="auto"/>
      </w:divBdr>
      <w:divsChild>
        <w:div w:id="20785627">
          <w:marLeft w:val="0"/>
          <w:marRight w:val="0"/>
          <w:marTop w:val="0"/>
          <w:marBottom w:val="0"/>
          <w:divBdr>
            <w:top w:val="none" w:sz="0" w:space="0" w:color="auto"/>
            <w:left w:val="none" w:sz="0" w:space="0" w:color="auto"/>
            <w:bottom w:val="none" w:sz="0" w:space="0" w:color="auto"/>
            <w:right w:val="none" w:sz="0" w:space="0" w:color="auto"/>
          </w:divBdr>
          <w:divsChild>
            <w:div w:id="848447052">
              <w:marLeft w:val="0"/>
              <w:marRight w:val="0"/>
              <w:marTop w:val="0"/>
              <w:marBottom w:val="0"/>
              <w:divBdr>
                <w:top w:val="none" w:sz="0" w:space="0" w:color="auto"/>
                <w:left w:val="none" w:sz="0" w:space="0" w:color="auto"/>
                <w:bottom w:val="none" w:sz="0" w:space="0" w:color="auto"/>
                <w:right w:val="none" w:sz="0" w:space="0" w:color="auto"/>
              </w:divBdr>
              <w:divsChild>
                <w:div w:id="1049576731">
                  <w:marLeft w:val="0"/>
                  <w:marRight w:val="0"/>
                  <w:marTop w:val="0"/>
                  <w:marBottom w:val="0"/>
                  <w:divBdr>
                    <w:top w:val="none" w:sz="0" w:space="0" w:color="auto"/>
                    <w:left w:val="none" w:sz="0" w:space="0" w:color="auto"/>
                    <w:bottom w:val="none" w:sz="0" w:space="0" w:color="auto"/>
                    <w:right w:val="none" w:sz="0" w:space="0" w:color="auto"/>
                  </w:divBdr>
                  <w:divsChild>
                    <w:div w:id="1333803344">
                      <w:marLeft w:val="0"/>
                      <w:marRight w:val="0"/>
                      <w:marTop w:val="0"/>
                      <w:marBottom w:val="0"/>
                      <w:divBdr>
                        <w:top w:val="none" w:sz="0" w:space="0" w:color="auto"/>
                        <w:left w:val="none" w:sz="0" w:space="0" w:color="auto"/>
                        <w:bottom w:val="none" w:sz="0" w:space="0" w:color="auto"/>
                        <w:right w:val="none" w:sz="0" w:space="0" w:color="auto"/>
                      </w:divBdr>
                      <w:divsChild>
                        <w:div w:id="19431084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2958">
      <w:bodyDiv w:val="1"/>
      <w:marLeft w:val="0"/>
      <w:marRight w:val="0"/>
      <w:marTop w:val="0"/>
      <w:marBottom w:val="0"/>
      <w:divBdr>
        <w:top w:val="none" w:sz="0" w:space="0" w:color="auto"/>
        <w:left w:val="none" w:sz="0" w:space="0" w:color="auto"/>
        <w:bottom w:val="none" w:sz="0" w:space="0" w:color="auto"/>
        <w:right w:val="none" w:sz="0" w:space="0" w:color="auto"/>
      </w:divBdr>
      <w:divsChild>
        <w:div w:id="1807619332">
          <w:marLeft w:val="0"/>
          <w:marRight w:val="0"/>
          <w:marTop w:val="0"/>
          <w:marBottom w:val="0"/>
          <w:divBdr>
            <w:top w:val="none" w:sz="0" w:space="0" w:color="auto"/>
            <w:left w:val="none" w:sz="0" w:space="0" w:color="auto"/>
            <w:bottom w:val="none" w:sz="0" w:space="0" w:color="auto"/>
            <w:right w:val="none" w:sz="0" w:space="0" w:color="auto"/>
          </w:divBdr>
          <w:divsChild>
            <w:div w:id="571547816">
              <w:marLeft w:val="0"/>
              <w:marRight w:val="0"/>
              <w:marTop w:val="0"/>
              <w:marBottom w:val="0"/>
              <w:divBdr>
                <w:top w:val="none" w:sz="0" w:space="0" w:color="auto"/>
                <w:left w:val="none" w:sz="0" w:space="0" w:color="auto"/>
                <w:bottom w:val="none" w:sz="0" w:space="0" w:color="auto"/>
                <w:right w:val="none" w:sz="0" w:space="0" w:color="auto"/>
              </w:divBdr>
              <w:divsChild>
                <w:div w:id="1018626426">
                  <w:marLeft w:val="0"/>
                  <w:marRight w:val="0"/>
                  <w:marTop w:val="0"/>
                  <w:marBottom w:val="0"/>
                  <w:divBdr>
                    <w:top w:val="none" w:sz="0" w:space="0" w:color="auto"/>
                    <w:left w:val="none" w:sz="0" w:space="0" w:color="auto"/>
                    <w:bottom w:val="none" w:sz="0" w:space="0" w:color="auto"/>
                    <w:right w:val="none" w:sz="0" w:space="0" w:color="auto"/>
                  </w:divBdr>
                  <w:divsChild>
                    <w:div w:id="14879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32796398">
      <w:bodyDiv w:val="1"/>
      <w:marLeft w:val="0"/>
      <w:marRight w:val="0"/>
      <w:marTop w:val="0"/>
      <w:marBottom w:val="0"/>
      <w:divBdr>
        <w:top w:val="none" w:sz="0" w:space="0" w:color="auto"/>
        <w:left w:val="none" w:sz="0" w:space="0" w:color="auto"/>
        <w:bottom w:val="none" w:sz="0" w:space="0" w:color="auto"/>
        <w:right w:val="none" w:sz="0" w:space="0" w:color="auto"/>
      </w:divBdr>
      <w:divsChild>
        <w:div w:id="266037991">
          <w:marLeft w:val="0"/>
          <w:marRight w:val="0"/>
          <w:marTop w:val="0"/>
          <w:marBottom w:val="0"/>
          <w:divBdr>
            <w:top w:val="none" w:sz="0" w:space="0" w:color="auto"/>
            <w:left w:val="none" w:sz="0" w:space="0" w:color="auto"/>
            <w:bottom w:val="none" w:sz="0" w:space="0" w:color="auto"/>
            <w:right w:val="none" w:sz="0" w:space="0" w:color="auto"/>
          </w:divBdr>
          <w:divsChild>
            <w:div w:id="274600501">
              <w:marLeft w:val="0"/>
              <w:marRight w:val="0"/>
              <w:marTop w:val="0"/>
              <w:marBottom w:val="0"/>
              <w:divBdr>
                <w:top w:val="none" w:sz="0" w:space="0" w:color="auto"/>
                <w:left w:val="none" w:sz="0" w:space="0" w:color="auto"/>
                <w:bottom w:val="none" w:sz="0" w:space="0" w:color="auto"/>
                <w:right w:val="none" w:sz="0" w:space="0" w:color="auto"/>
              </w:divBdr>
              <w:divsChild>
                <w:div w:id="13491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20630699">
      <w:bodyDiv w:val="1"/>
      <w:marLeft w:val="0"/>
      <w:marRight w:val="0"/>
      <w:marTop w:val="0"/>
      <w:marBottom w:val="0"/>
      <w:divBdr>
        <w:top w:val="none" w:sz="0" w:space="0" w:color="auto"/>
        <w:left w:val="none" w:sz="0" w:space="0" w:color="auto"/>
        <w:bottom w:val="none" w:sz="0" w:space="0" w:color="auto"/>
        <w:right w:val="none" w:sz="0" w:space="0" w:color="auto"/>
      </w:divBdr>
    </w:div>
    <w:div w:id="1229730842">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98075">
      <w:bodyDiv w:val="1"/>
      <w:marLeft w:val="0"/>
      <w:marRight w:val="0"/>
      <w:marTop w:val="0"/>
      <w:marBottom w:val="0"/>
      <w:divBdr>
        <w:top w:val="none" w:sz="0" w:space="0" w:color="auto"/>
        <w:left w:val="none" w:sz="0" w:space="0" w:color="auto"/>
        <w:bottom w:val="none" w:sz="0" w:space="0" w:color="auto"/>
        <w:right w:val="none" w:sz="0" w:space="0" w:color="auto"/>
      </w:divBdr>
      <w:divsChild>
        <w:div w:id="1441102495">
          <w:marLeft w:val="0"/>
          <w:marRight w:val="0"/>
          <w:marTop w:val="0"/>
          <w:marBottom w:val="0"/>
          <w:divBdr>
            <w:top w:val="none" w:sz="0" w:space="0" w:color="auto"/>
            <w:left w:val="none" w:sz="0" w:space="0" w:color="auto"/>
            <w:bottom w:val="none" w:sz="0" w:space="0" w:color="auto"/>
            <w:right w:val="none" w:sz="0" w:space="0" w:color="auto"/>
          </w:divBdr>
          <w:divsChild>
            <w:div w:id="202715011">
              <w:marLeft w:val="0"/>
              <w:marRight w:val="0"/>
              <w:marTop w:val="0"/>
              <w:marBottom w:val="0"/>
              <w:divBdr>
                <w:top w:val="none" w:sz="0" w:space="0" w:color="auto"/>
                <w:left w:val="none" w:sz="0" w:space="0" w:color="auto"/>
                <w:bottom w:val="none" w:sz="0" w:space="0" w:color="auto"/>
                <w:right w:val="none" w:sz="0" w:space="0" w:color="auto"/>
              </w:divBdr>
              <w:divsChild>
                <w:div w:id="18268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6101">
      <w:bodyDiv w:val="1"/>
      <w:marLeft w:val="0"/>
      <w:marRight w:val="0"/>
      <w:marTop w:val="0"/>
      <w:marBottom w:val="0"/>
      <w:divBdr>
        <w:top w:val="none" w:sz="0" w:space="0" w:color="auto"/>
        <w:left w:val="none" w:sz="0" w:space="0" w:color="auto"/>
        <w:bottom w:val="none" w:sz="0" w:space="0" w:color="auto"/>
        <w:right w:val="none" w:sz="0" w:space="0" w:color="auto"/>
      </w:divBdr>
      <w:divsChild>
        <w:div w:id="990789702">
          <w:marLeft w:val="0"/>
          <w:marRight w:val="0"/>
          <w:marTop w:val="0"/>
          <w:marBottom w:val="0"/>
          <w:divBdr>
            <w:top w:val="none" w:sz="0" w:space="0" w:color="auto"/>
            <w:left w:val="none" w:sz="0" w:space="0" w:color="auto"/>
            <w:bottom w:val="none" w:sz="0" w:space="0" w:color="auto"/>
            <w:right w:val="none" w:sz="0" w:space="0" w:color="auto"/>
          </w:divBdr>
          <w:divsChild>
            <w:div w:id="1059355475">
              <w:marLeft w:val="0"/>
              <w:marRight w:val="0"/>
              <w:marTop w:val="0"/>
              <w:marBottom w:val="0"/>
              <w:divBdr>
                <w:top w:val="none" w:sz="0" w:space="0" w:color="auto"/>
                <w:left w:val="none" w:sz="0" w:space="0" w:color="auto"/>
                <w:bottom w:val="none" w:sz="0" w:space="0" w:color="auto"/>
                <w:right w:val="none" w:sz="0" w:space="0" w:color="auto"/>
              </w:divBdr>
              <w:divsChild>
                <w:div w:id="7632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6877">
      <w:bodyDiv w:val="1"/>
      <w:marLeft w:val="0"/>
      <w:marRight w:val="0"/>
      <w:marTop w:val="0"/>
      <w:marBottom w:val="0"/>
      <w:divBdr>
        <w:top w:val="none" w:sz="0" w:space="0" w:color="auto"/>
        <w:left w:val="none" w:sz="0" w:space="0" w:color="auto"/>
        <w:bottom w:val="none" w:sz="0" w:space="0" w:color="auto"/>
        <w:right w:val="none" w:sz="0" w:space="0" w:color="auto"/>
      </w:divBdr>
      <w:divsChild>
        <w:div w:id="1414549825">
          <w:marLeft w:val="0"/>
          <w:marRight w:val="0"/>
          <w:marTop w:val="0"/>
          <w:marBottom w:val="0"/>
          <w:divBdr>
            <w:top w:val="none" w:sz="0" w:space="0" w:color="auto"/>
            <w:left w:val="none" w:sz="0" w:space="0" w:color="auto"/>
            <w:bottom w:val="none" w:sz="0" w:space="0" w:color="auto"/>
            <w:right w:val="none" w:sz="0" w:space="0" w:color="auto"/>
          </w:divBdr>
          <w:divsChild>
            <w:div w:id="381295727">
              <w:marLeft w:val="0"/>
              <w:marRight w:val="0"/>
              <w:marTop w:val="0"/>
              <w:marBottom w:val="0"/>
              <w:divBdr>
                <w:top w:val="none" w:sz="0" w:space="0" w:color="auto"/>
                <w:left w:val="none" w:sz="0" w:space="0" w:color="auto"/>
                <w:bottom w:val="none" w:sz="0" w:space="0" w:color="auto"/>
                <w:right w:val="none" w:sz="0" w:space="0" w:color="auto"/>
              </w:divBdr>
              <w:divsChild>
                <w:div w:id="1083642782">
                  <w:marLeft w:val="0"/>
                  <w:marRight w:val="0"/>
                  <w:marTop w:val="0"/>
                  <w:marBottom w:val="0"/>
                  <w:divBdr>
                    <w:top w:val="none" w:sz="0" w:space="0" w:color="auto"/>
                    <w:left w:val="none" w:sz="0" w:space="0" w:color="auto"/>
                    <w:bottom w:val="none" w:sz="0" w:space="0" w:color="auto"/>
                    <w:right w:val="none" w:sz="0" w:space="0" w:color="auto"/>
                  </w:divBdr>
                  <w:divsChild>
                    <w:div w:id="10377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38386776">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373192945">
      <w:bodyDiv w:val="1"/>
      <w:marLeft w:val="0"/>
      <w:marRight w:val="0"/>
      <w:marTop w:val="0"/>
      <w:marBottom w:val="0"/>
      <w:divBdr>
        <w:top w:val="none" w:sz="0" w:space="0" w:color="auto"/>
        <w:left w:val="none" w:sz="0" w:space="0" w:color="auto"/>
        <w:bottom w:val="none" w:sz="0" w:space="0" w:color="auto"/>
        <w:right w:val="none" w:sz="0" w:space="0" w:color="auto"/>
      </w:divBdr>
    </w:div>
    <w:div w:id="1383098725">
      <w:bodyDiv w:val="1"/>
      <w:marLeft w:val="0"/>
      <w:marRight w:val="0"/>
      <w:marTop w:val="0"/>
      <w:marBottom w:val="0"/>
      <w:divBdr>
        <w:top w:val="none" w:sz="0" w:space="0" w:color="auto"/>
        <w:left w:val="none" w:sz="0" w:space="0" w:color="auto"/>
        <w:bottom w:val="none" w:sz="0" w:space="0" w:color="auto"/>
        <w:right w:val="none" w:sz="0" w:space="0" w:color="auto"/>
      </w:divBdr>
    </w:div>
    <w:div w:id="1404136879">
      <w:bodyDiv w:val="1"/>
      <w:marLeft w:val="0"/>
      <w:marRight w:val="0"/>
      <w:marTop w:val="0"/>
      <w:marBottom w:val="0"/>
      <w:divBdr>
        <w:top w:val="none" w:sz="0" w:space="0" w:color="auto"/>
        <w:left w:val="none" w:sz="0" w:space="0" w:color="auto"/>
        <w:bottom w:val="none" w:sz="0" w:space="0" w:color="auto"/>
        <w:right w:val="none" w:sz="0" w:space="0" w:color="auto"/>
      </w:divBdr>
      <w:divsChild>
        <w:div w:id="461969969">
          <w:marLeft w:val="0"/>
          <w:marRight w:val="0"/>
          <w:marTop w:val="0"/>
          <w:marBottom w:val="0"/>
          <w:divBdr>
            <w:top w:val="none" w:sz="0" w:space="0" w:color="auto"/>
            <w:left w:val="none" w:sz="0" w:space="0" w:color="auto"/>
            <w:bottom w:val="none" w:sz="0" w:space="0" w:color="auto"/>
            <w:right w:val="none" w:sz="0" w:space="0" w:color="auto"/>
          </w:divBdr>
          <w:divsChild>
            <w:div w:id="442697345">
              <w:marLeft w:val="0"/>
              <w:marRight w:val="0"/>
              <w:marTop w:val="0"/>
              <w:marBottom w:val="0"/>
              <w:divBdr>
                <w:top w:val="none" w:sz="0" w:space="0" w:color="auto"/>
                <w:left w:val="none" w:sz="0" w:space="0" w:color="auto"/>
                <w:bottom w:val="none" w:sz="0" w:space="0" w:color="auto"/>
                <w:right w:val="none" w:sz="0" w:space="0" w:color="auto"/>
              </w:divBdr>
              <w:divsChild>
                <w:div w:id="428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7521">
      <w:bodyDiv w:val="1"/>
      <w:marLeft w:val="0"/>
      <w:marRight w:val="0"/>
      <w:marTop w:val="0"/>
      <w:marBottom w:val="0"/>
      <w:divBdr>
        <w:top w:val="none" w:sz="0" w:space="0" w:color="auto"/>
        <w:left w:val="none" w:sz="0" w:space="0" w:color="auto"/>
        <w:bottom w:val="none" w:sz="0" w:space="0" w:color="auto"/>
        <w:right w:val="none" w:sz="0" w:space="0" w:color="auto"/>
      </w:divBdr>
      <w:divsChild>
        <w:div w:id="755520567">
          <w:marLeft w:val="0"/>
          <w:marRight w:val="0"/>
          <w:marTop w:val="0"/>
          <w:marBottom w:val="0"/>
          <w:divBdr>
            <w:top w:val="none" w:sz="0" w:space="0" w:color="auto"/>
            <w:left w:val="none" w:sz="0" w:space="0" w:color="auto"/>
            <w:bottom w:val="none" w:sz="0" w:space="0" w:color="auto"/>
            <w:right w:val="none" w:sz="0" w:space="0" w:color="auto"/>
          </w:divBdr>
          <w:divsChild>
            <w:div w:id="1760364989">
              <w:marLeft w:val="0"/>
              <w:marRight w:val="0"/>
              <w:marTop w:val="0"/>
              <w:marBottom w:val="0"/>
              <w:divBdr>
                <w:top w:val="none" w:sz="0" w:space="0" w:color="auto"/>
                <w:left w:val="none" w:sz="0" w:space="0" w:color="auto"/>
                <w:bottom w:val="none" w:sz="0" w:space="0" w:color="auto"/>
                <w:right w:val="none" w:sz="0" w:space="0" w:color="auto"/>
              </w:divBdr>
              <w:divsChild>
                <w:div w:id="1827435207">
                  <w:marLeft w:val="0"/>
                  <w:marRight w:val="0"/>
                  <w:marTop w:val="0"/>
                  <w:marBottom w:val="0"/>
                  <w:divBdr>
                    <w:top w:val="none" w:sz="0" w:space="0" w:color="auto"/>
                    <w:left w:val="none" w:sz="0" w:space="0" w:color="auto"/>
                    <w:bottom w:val="none" w:sz="0" w:space="0" w:color="auto"/>
                    <w:right w:val="none" w:sz="0" w:space="0" w:color="auto"/>
                  </w:divBdr>
                  <w:divsChild>
                    <w:div w:id="21178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33387">
      <w:bodyDiv w:val="1"/>
      <w:marLeft w:val="0"/>
      <w:marRight w:val="0"/>
      <w:marTop w:val="0"/>
      <w:marBottom w:val="0"/>
      <w:divBdr>
        <w:top w:val="none" w:sz="0" w:space="0" w:color="auto"/>
        <w:left w:val="none" w:sz="0" w:space="0" w:color="auto"/>
        <w:bottom w:val="none" w:sz="0" w:space="0" w:color="auto"/>
        <w:right w:val="none" w:sz="0" w:space="0" w:color="auto"/>
      </w:divBdr>
      <w:divsChild>
        <w:div w:id="1700543815">
          <w:marLeft w:val="0"/>
          <w:marRight w:val="0"/>
          <w:marTop w:val="0"/>
          <w:marBottom w:val="0"/>
          <w:divBdr>
            <w:top w:val="none" w:sz="0" w:space="0" w:color="auto"/>
            <w:left w:val="none" w:sz="0" w:space="0" w:color="auto"/>
            <w:bottom w:val="none" w:sz="0" w:space="0" w:color="auto"/>
            <w:right w:val="none" w:sz="0" w:space="0" w:color="auto"/>
          </w:divBdr>
          <w:divsChild>
            <w:div w:id="1469473451">
              <w:marLeft w:val="0"/>
              <w:marRight w:val="0"/>
              <w:marTop w:val="0"/>
              <w:marBottom w:val="0"/>
              <w:divBdr>
                <w:top w:val="none" w:sz="0" w:space="0" w:color="auto"/>
                <w:left w:val="none" w:sz="0" w:space="0" w:color="auto"/>
                <w:bottom w:val="none" w:sz="0" w:space="0" w:color="auto"/>
                <w:right w:val="none" w:sz="0" w:space="0" w:color="auto"/>
              </w:divBdr>
              <w:divsChild>
                <w:div w:id="20480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5047">
      <w:bodyDiv w:val="1"/>
      <w:marLeft w:val="0"/>
      <w:marRight w:val="0"/>
      <w:marTop w:val="0"/>
      <w:marBottom w:val="0"/>
      <w:divBdr>
        <w:top w:val="none" w:sz="0" w:space="0" w:color="auto"/>
        <w:left w:val="none" w:sz="0" w:space="0" w:color="auto"/>
        <w:bottom w:val="none" w:sz="0" w:space="0" w:color="auto"/>
        <w:right w:val="none" w:sz="0" w:space="0" w:color="auto"/>
      </w:divBdr>
      <w:divsChild>
        <w:div w:id="3216561">
          <w:marLeft w:val="0"/>
          <w:marRight w:val="0"/>
          <w:marTop w:val="0"/>
          <w:marBottom w:val="0"/>
          <w:divBdr>
            <w:top w:val="none" w:sz="0" w:space="0" w:color="auto"/>
            <w:left w:val="none" w:sz="0" w:space="0" w:color="auto"/>
            <w:bottom w:val="none" w:sz="0" w:space="0" w:color="auto"/>
            <w:right w:val="none" w:sz="0" w:space="0" w:color="auto"/>
          </w:divBdr>
          <w:divsChild>
            <w:div w:id="549657466">
              <w:marLeft w:val="0"/>
              <w:marRight w:val="0"/>
              <w:marTop w:val="0"/>
              <w:marBottom w:val="0"/>
              <w:divBdr>
                <w:top w:val="none" w:sz="0" w:space="0" w:color="auto"/>
                <w:left w:val="none" w:sz="0" w:space="0" w:color="auto"/>
                <w:bottom w:val="none" w:sz="0" w:space="0" w:color="auto"/>
                <w:right w:val="none" w:sz="0" w:space="0" w:color="auto"/>
              </w:divBdr>
              <w:divsChild>
                <w:div w:id="1642886196">
                  <w:marLeft w:val="0"/>
                  <w:marRight w:val="0"/>
                  <w:marTop w:val="0"/>
                  <w:marBottom w:val="0"/>
                  <w:divBdr>
                    <w:top w:val="none" w:sz="0" w:space="0" w:color="auto"/>
                    <w:left w:val="none" w:sz="0" w:space="0" w:color="auto"/>
                    <w:bottom w:val="none" w:sz="0" w:space="0" w:color="auto"/>
                    <w:right w:val="none" w:sz="0" w:space="0" w:color="auto"/>
                  </w:divBdr>
                </w:div>
              </w:divsChild>
            </w:div>
            <w:div w:id="1770195071">
              <w:marLeft w:val="0"/>
              <w:marRight w:val="0"/>
              <w:marTop w:val="0"/>
              <w:marBottom w:val="0"/>
              <w:divBdr>
                <w:top w:val="none" w:sz="0" w:space="0" w:color="auto"/>
                <w:left w:val="none" w:sz="0" w:space="0" w:color="auto"/>
                <w:bottom w:val="none" w:sz="0" w:space="0" w:color="auto"/>
                <w:right w:val="none" w:sz="0" w:space="0" w:color="auto"/>
              </w:divBdr>
              <w:divsChild>
                <w:div w:id="7276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77607">
      <w:bodyDiv w:val="1"/>
      <w:marLeft w:val="0"/>
      <w:marRight w:val="0"/>
      <w:marTop w:val="0"/>
      <w:marBottom w:val="0"/>
      <w:divBdr>
        <w:top w:val="none" w:sz="0" w:space="0" w:color="auto"/>
        <w:left w:val="none" w:sz="0" w:space="0" w:color="auto"/>
        <w:bottom w:val="none" w:sz="0" w:space="0" w:color="auto"/>
        <w:right w:val="none" w:sz="0" w:space="0" w:color="auto"/>
      </w:divBdr>
      <w:divsChild>
        <w:div w:id="1589925443">
          <w:marLeft w:val="0"/>
          <w:marRight w:val="0"/>
          <w:marTop w:val="0"/>
          <w:marBottom w:val="0"/>
          <w:divBdr>
            <w:top w:val="none" w:sz="0" w:space="0" w:color="auto"/>
            <w:left w:val="none" w:sz="0" w:space="0" w:color="auto"/>
            <w:bottom w:val="none" w:sz="0" w:space="0" w:color="auto"/>
            <w:right w:val="none" w:sz="0" w:space="0" w:color="auto"/>
          </w:divBdr>
          <w:divsChild>
            <w:div w:id="993527217">
              <w:marLeft w:val="0"/>
              <w:marRight w:val="0"/>
              <w:marTop w:val="0"/>
              <w:marBottom w:val="0"/>
              <w:divBdr>
                <w:top w:val="none" w:sz="0" w:space="0" w:color="auto"/>
                <w:left w:val="none" w:sz="0" w:space="0" w:color="auto"/>
                <w:bottom w:val="none" w:sz="0" w:space="0" w:color="auto"/>
                <w:right w:val="none" w:sz="0" w:space="0" w:color="auto"/>
              </w:divBdr>
              <w:divsChild>
                <w:div w:id="507714316">
                  <w:marLeft w:val="0"/>
                  <w:marRight w:val="0"/>
                  <w:marTop w:val="0"/>
                  <w:marBottom w:val="0"/>
                  <w:divBdr>
                    <w:top w:val="none" w:sz="0" w:space="0" w:color="auto"/>
                    <w:left w:val="none" w:sz="0" w:space="0" w:color="auto"/>
                    <w:bottom w:val="none" w:sz="0" w:space="0" w:color="auto"/>
                    <w:right w:val="none" w:sz="0" w:space="0" w:color="auto"/>
                  </w:divBdr>
                  <w:divsChild>
                    <w:div w:id="5028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568850">
      <w:bodyDiv w:val="1"/>
      <w:marLeft w:val="0"/>
      <w:marRight w:val="0"/>
      <w:marTop w:val="0"/>
      <w:marBottom w:val="0"/>
      <w:divBdr>
        <w:top w:val="none" w:sz="0" w:space="0" w:color="auto"/>
        <w:left w:val="none" w:sz="0" w:space="0" w:color="auto"/>
        <w:bottom w:val="none" w:sz="0" w:space="0" w:color="auto"/>
        <w:right w:val="none" w:sz="0" w:space="0" w:color="auto"/>
      </w:divBdr>
      <w:divsChild>
        <w:div w:id="1168210541">
          <w:marLeft w:val="0"/>
          <w:marRight w:val="0"/>
          <w:marTop w:val="0"/>
          <w:marBottom w:val="0"/>
          <w:divBdr>
            <w:top w:val="none" w:sz="0" w:space="0" w:color="auto"/>
            <w:left w:val="none" w:sz="0" w:space="0" w:color="auto"/>
            <w:bottom w:val="none" w:sz="0" w:space="0" w:color="auto"/>
            <w:right w:val="none" w:sz="0" w:space="0" w:color="auto"/>
          </w:divBdr>
          <w:divsChild>
            <w:div w:id="1893998085">
              <w:marLeft w:val="0"/>
              <w:marRight w:val="0"/>
              <w:marTop w:val="0"/>
              <w:marBottom w:val="0"/>
              <w:divBdr>
                <w:top w:val="none" w:sz="0" w:space="0" w:color="auto"/>
                <w:left w:val="none" w:sz="0" w:space="0" w:color="auto"/>
                <w:bottom w:val="none" w:sz="0" w:space="0" w:color="auto"/>
                <w:right w:val="none" w:sz="0" w:space="0" w:color="auto"/>
              </w:divBdr>
              <w:divsChild>
                <w:div w:id="268321583">
                  <w:marLeft w:val="0"/>
                  <w:marRight w:val="0"/>
                  <w:marTop w:val="0"/>
                  <w:marBottom w:val="0"/>
                  <w:divBdr>
                    <w:top w:val="none" w:sz="0" w:space="0" w:color="auto"/>
                    <w:left w:val="none" w:sz="0" w:space="0" w:color="auto"/>
                    <w:bottom w:val="none" w:sz="0" w:space="0" w:color="auto"/>
                    <w:right w:val="none" w:sz="0" w:space="0" w:color="auto"/>
                  </w:divBdr>
                  <w:divsChild>
                    <w:div w:id="6456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68569">
      <w:bodyDiv w:val="1"/>
      <w:marLeft w:val="0"/>
      <w:marRight w:val="0"/>
      <w:marTop w:val="0"/>
      <w:marBottom w:val="0"/>
      <w:divBdr>
        <w:top w:val="none" w:sz="0" w:space="0" w:color="auto"/>
        <w:left w:val="none" w:sz="0" w:space="0" w:color="auto"/>
        <w:bottom w:val="none" w:sz="0" w:space="0" w:color="auto"/>
        <w:right w:val="none" w:sz="0" w:space="0" w:color="auto"/>
      </w:divBdr>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654216773">
      <w:bodyDiv w:val="1"/>
      <w:marLeft w:val="0"/>
      <w:marRight w:val="0"/>
      <w:marTop w:val="0"/>
      <w:marBottom w:val="0"/>
      <w:divBdr>
        <w:top w:val="none" w:sz="0" w:space="0" w:color="auto"/>
        <w:left w:val="none" w:sz="0" w:space="0" w:color="auto"/>
        <w:bottom w:val="none" w:sz="0" w:space="0" w:color="auto"/>
        <w:right w:val="none" w:sz="0" w:space="0" w:color="auto"/>
      </w:divBdr>
      <w:divsChild>
        <w:div w:id="960646125">
          <w:marLeft w:val="0"/>
          <w:marRight w:val="0"/>
          <w:marTop w:val="0"/>
          <w:marBottom w:val="0"/>
          <w:divBdr>
            <w:top w:val="none" w:sz="0" w:space="0" w:color="auto"/>
            <w:left w:val="none" w:sz="0" w:space="0" w:color="auto"/>
            <w:bottom w:val="none" w:sz="0" w:space="0" w:color="auto"/>
            <w:right w:val="none" w:sz="0" w:space="0" w:color="auto"/>
          </w:divBdr>
          <w:divsChild>
            <w:div w:id="2103185380">
              <w:marLeft w:val="0"/>
              <w:marRight w:val="0"/>
              <w:marTop w:val="0"/>
              <w:marBottom w:val="0"/>
              <w:divBdr>
                <w:top w:val="none" w:sz="0" w:space="0" w:color="auto"/>
                <w:left w:val="none" w:sz="0" w:space="0" w:color="auto"/>
                <w:bottom w:val="none" w:sz="0" w:space="0" w:color="auto"/>
                <w:right w:val="none" w:sz="0" w:space="0" w:color="auto"/>
              </w:divBdr>
              <w:divsChild>
                <w:div w:id="13841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09584">
      <w:bodyDiv w:val="1"/>
      <w:marLeft w:val="0"/>
      <w:marRight w:val="0"/>
      <w:marTop w:val="0"/>
      <w:marBottom w:val="0"/>
      <w:divBdr>
        <w:top w:val="none" w:sz="0" w:space="0" w:color="auto"/>
        <w:left w:val="none" w:sz="0" w:space="0" w:color="auto"/>
        <w:bottom w:val="none" w:sz="0" w:space="0" w:color="auto"/>
        <w:right w:val="none" w:sz="0" w:space="0" w:color="auto"/>
      </w:divBdr>
      <w:divsChild>
        <w:div w:id="321860214">
          <w:marLeft w:val="0"/>
          <w:marRight w:val="0"/>
          <w:marTop w:val="0"/>
          <w:marBottom w:val="0"/>
          <w:divBdr>
            <w:top w:val="none" w:sz="0" w:space="0" w:color="auto"/>
            <w:left w:val="none" w:sz="0" w:space="0" w:color="auto"/>
            <w:bottom w:val="none" w:sz="0" w:space="0" w:color="auto"/>
            <w:right w:val="none" w:sz="0" w:space="0" w:color="auto"/>
          </w:divBdr>
          <w:divsChild>
            <w:div w:id="865562202">
              <w:marLeft w:val="0"/>
              <w:marRight w:val="0"/>
              <w:marTop w:val="0"/>
              <w:marBottom w:val="0"/>
              <w:divBdr>
                <w:top w:val="none" w:sz="0" w:space="0" w:color="auto"/>
                <w:left w:val="none" w:sz="0" w:space="0" w:color="auto"/>
                <w:bottom w:val="none" w:sz="0" w:space="0" w:color="auto"/>
                <w:right w:val="none" w:sz="0" w:space="0" w:color="auto"/>
              </w:divBdr>
              <w:divsChild>
                <w:div w:id="7709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67115561">
      <w:bodyDiv w:val="1"/>
      <w:marLeft w:val="0"/>
      <w:marRight w:val="0"/>
      <w:marTop w:val="0"/>
      <w:marBottom w:val="0"/>
      <w:divBdr>
        <w:top w:val="none" w:sz="0" w:space="0" w:color="auto"/>
        <w:left w:val="none" w:sz="0" w:space="0" w:color="auto"/>
        <w:bottom w:val="none" w:sz="0" w:space="0" w:color="auto"/>
        <w:right w:val="none" w:sz="0" w:space="0" w:color="auto"/>
      </w:divBdr>
      <w:divsChild>
        <w:div w:id="800224010">
          <w:marLeft w:val="0"/>
          <w:marRight w:val="0"/>
          <w:marTop w:val="0"/>
          <w:marBottom w:val="0"/>
          <w:divBdr>
            <w:top w:val="none" w:sz="0" w:space="0" w:color="auto"/>
            <w:left w:val="none" w:sz="0" w:space="0" w:color="auto"/>
            <w:bottom w:val="none" w:sz="0" w:space="0" w:color="auto"/>
            <w:right w:val="none" w:sz="0" w:space="0" w:color="auto"/>
          </w:divBdr>
          <w:divsChild>
            <w:div w:id="853302913">
              <w:marLeft w:val="0"/>
              <w:marRight w:val="0"/>
              <w:marTop w:val="0"/>
              <w:marBottom w:val="0"/>
              <w:divBdr>
                <w:top w:val="none" w:sz="0" w:space="0" w:color="auto"/>
                <w:left w:val="none" w:sz="0" w:space="0" w:color="auto"/>
                <w:bottom w:val="none" w:sz="0" w:space="0" w:color="auto"/>
                <w:right w:val="none" w:sz="0" w:space="0" w:color="auto"/>
              </w:divBdr>
              <w:divsChild>
                <w:div w:id="2116435530">
                  <w:marLeft w:val="0"/>
                  <w:marRight w:val="0"/>
                  <w:marTop w:val="0"/>
                  <w:marBottom w:val="0"/>
                  <w:divBdr>
                    <w:top w:val="none" w:sz="0" w:space="0" w:color="auto"/>
                    <w:left w:val="none" w:sz="0" w:space="0" w:color="auto"/>
                    <w:bottom w:val="none" w:sz="0" w:space="0" w:color="auto"/>
                    <w:right w:val="none" w:sz="0" w:space="0" w:color="auto"/>
                  </w:divBdr>
                  <w:divsChild>
                    <w:div w:id="18521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836145564">
      <w:bodyDiv w:val="1"/>
      <w:marLeft w:val="0"/>
      <w:marRight w:val="0"/>
      <w:marTop w:val="0"/>
      <w:marBottom w:val="0"/>
      <w:divBdr>
        <w:top w:val="none" w:sz="0" w:space="0" w:color="auto"/>
        <w:left w:val="none" w:sz="0" w:space="0" w:color="auto"/>
        <w:bottom w:val="none" w:sz="0" w:space="0" w:color="auto"/>
        <w:right w:val="none" w:sz="0" w:space="0" w:color="auto"/>
      </w:divBdr>
    </w:div>
    <w:div w:id="1840461630">
      <w:bodyDiv w:val="1"/>
      <w:marLeft w:val="0"/>
      <w:marRight w:val="0"/>
      <w:marTop w:val="0"/>
      <w:marBottom w:val="0"/>
      <w:divBdr>
        <w:top w:val="none" w:sz="0" w:space="0" w:color="auto"/>
        <w:left w:val="none" w:sz="0" w:space="0" w:color="auto"/>
        <w:bottom w:val="none" w:sz="0" w:space="0" w:color="auto"/>
        <w:right w:val="none" w:sz="0" w:space="0" w:color="auto"/>
      </w:divBdr>
      <w:divsChild>
        <w:div w:id="687751939">
          <w:marLeft w:val="0"/>
          <w:marRight w:val="0"/>
          <w:marTop w:val="0"/>
          <w:marBottom w:val="0"/>
          <w:divBdr>
            <w:top w:val="none" w:sz="0" w:space="0" w:color="auto"/>
            <w:left w:val="none" w:sz="0" w:space="0" w:color="auto"/>
            <w:bottom w:val="none" w:sz="0" w:space="0" w:color="auto"/>
            <w:right w:val="none" w:sz="0" w:space="0" w:color="auto"/>
          </w:divBdr>
          <w:divsChild>
            <w:div w:id="11878165">
              <w:marLeft w:val="0"/>
              <w:marRight w:val="0"/>
              <w:marTop w:val="0"/>
              <w:marBottom w:val="0"/>
              <w:divBdr>
                <w:top w:val="none" w:sz="0" w:space="0" w:color="auto"/>
                <w:left w:val="none" w:sz="0" w:space="0" w:color="auto"/>
                <w:bottom w:val="none" w:sz="0" w:space="0" w:color="auto"/>
                <w:right w:val="none" w:sz="0" w:space="0" w:color="auto"/>
              </w:divBdr>
              <w:divsChild>
                <w:div w:id="214241428">
                  <w:marLeft w:val="0"/>
                  <w:marRight w:val="0"/>
                  <w:marTop w:val="0"/>
                  <w:marBottom w:val="0"/>
                  <w:divBdr>
                    <w:top w:val="none" w:sz="0" w:space="0" w:color="auto"/>
                    <w:left w:val="none" w:sz="0" w:space="0" w:color="auto"/>
                    <w:bottom w:val="none" w:sz="0" w:space="0" w:color="auto"/>
                    <w:right w:val="none" w:sz="0" w:space="0" w:color="auto"/>
                  </w:divBdr>
                  <w:divsChild>
                    <w:div w:id="17445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17021">
      <w:bodyDiv w:val="1"/>
      <w:marLeft w:val="0"/>
      <w:marRight w:val="0"/>
      <w:marTop w:val="0"/>
      <w:marBottom w:val="0"/>
      <w:divBdr>
        <w:top w:val="none" w:sz="0" w:space="0" w:color="auto"/>
        <w:left w:val="none" w:sz="0" w:space="0" w:color="auto"/>
        <w:bottom w:val="none" w:sz="0" w:space="0" w:color="auto"/>
        <w:right w:val="none" w:sz="0" w:space="0" w:color="auto"/>
      </w:divBdr>
      <w:divsChild>
        <w:div w:id="845945857">
          <w:marLeft w:val="0"/>
          <w:marRight w:val="0"/>
          <w:marTop w:val="0"/>
          <w:marBottom w:val="0"/>
          <w:divBdr>
            <w:top w:val="none" w:sz="0" w:space="0" w:color="auto"/>
            <w:left w:val="none" w:sz="0" w:space="0" w:color="auto"/>
            <w:bottom w:val="none" w:sz="0" w:space="0" w:color="auto"/>
            <w:right w:val="none" w:sz="0" w:space="0" w:color="auto"/>
          </w:divBdr>
          <w:divsChild>
            <w:div w:id="1229459028">
              <w:marLeft w:val="0"/>
              <w:marRight w:val="0"/>
              <w:marTop w:val="0"/>
              <w:marBottom w:val="0"/>
              <w:divBdr>
                <w:top w:val="none" w:sz="0" w:space="0" w:color="auto"/>
                <w:left w:val="none" w:sz="0" w:space="0" w:color="auto"/>
                <w:bottom w:val="none" w:sz="0" w:space="0" w:color="auto"/>
                <w:right w:val="none" w:sz="0" w:space="0" w:color="auto"/>
              </w:divBdr>
              <w:divsChild>
                <w:div w:id="222181015">
                  <w:marLeft w:val="0"/>
                  <w:marRight w:val="0"/>
                  <w:marTop w:val="0"/>
                  <w:marBottom w:val="0"/>
                  <w:divBdr>
                    <w:top w:val="none" w:sz="0" w:space="0" w:color="auto"/>
                    <w:left w:val="none" w:sz="0" w:space="0" w:color="auto"/>
                    <w:bottom w:val="none" w:sz="0" w:space="0" w:color="auto"/>
                    <w:right w:val="none" w:sz="0" w:space="0" w:color="auto"/>
                  </w:divBdr>
                  <w:divsChild>
                    <w:div w:id="14599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635541">
      <w:bodyDiv w:val="1"/>
      <w:marLeft w:val="0"/>
      <w:marRight w:val="0"/>
      <w:marTop w:val="0"/>
      <w:marBottom w:val="0"/>
      <w:divBdr>
        <w:top w:val="none" w:sz="0" w:space="0" w:color="auto"/>
        <w:left w:val="none" w:sz="0" w:space="0" w:color="auto"/>
        <w:bottom w:val="none" w:sz="0" w:space="0" w:color="auto"/>
        <w:right w:val="none" w:sz="0" w:space="0" w:color="auto"/>
      </w:divBdr>
      <w:divsChild>
        <w:div w:id="656811691">
          <w:marLeft w:val="0"/>
          <w:marRight w:val="0"/>
          <w:marTop w:val="0"/>
          <w:marBottom w:val="0"/>
          <w:divBdr>
            <w:top w:val="none" w:sz="0" w:space="0" w:color="auto"/>
            <w:left w:val="none" w:sz="0" w:space="0" w:color="auto"/>
            <w:bottom w:val="none" w:sz="0" w:space="0" w:color="auto"/>
            <w:right w:val="none" w:sz="0" w:space="0" w:color="auto"/>
          </w:divBdr>
          <w:divsChild>
            <w:div w:id="627511008">
              <w:marLeft w:val="0"/>
              <w:marRight w:val="0"/>
              <w:marTop w:val="0"/>
              <w:marBottom w:val="0"/>
              <w:divBdr>
                <w:top w:val="none" w:sz="0" w:space="0" w:color="auto"/>
                <w:left w:val="none" w:sz="0" w:space="0" w:color="auto"/>
                <w:bottom w:val="none" w:sz="0" w:space="0" w:color="auto"/>
                <w:right w:val="none" w:sz="0" w:space="0" w:color="auto"/>
              </w:divBdr>
              <w:divsChild>
                <w:div w:id="18989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1917">
      <w:bodyDiv w:val="1"/>
      <w:marLeft w:val="0"/>
      <w:marRight w:val="0"/>
      <w:marTop w:val="0"/>
      <w:marBottom w:val="0"/>
      <w:divBdr>
        <w:top w:val="none" w:sz="0" w:space="0" w:color="auto"/>
        <w:left w:val="none" w:sz="0" w:space="0" w:color="auto"/>
        <w:bottom w:val="none" w:sz="0" w:space="0" w:color="auto"/>
        <w:right w:val="none" w:sz="0" w:space="0" w:color="auto"/>
      </w:divBdr>
      <w:divsChild>
        <w:div w:id="190460614">
          <w:marLeft w:val="0"/>
          <w:marRight w:val="0"/>
          <w:marTop w:val="0"/>
          <w:marBottom w:val="0"/>
          <w:divBdr>
            <w:top w:val="none" w:sz="0" w:space="0" w:color="auto"/>
            <w:left w:val="none" w:sz="0" w:space="0" w:color="auto"/>
            <w:bottom w:val="none" w:sz="0" w:space="0" w:color="auto"/>
            <w:right w:val="none" w:sz="0" w:space="0" w:color="auto"/>
          </w:divBdr>
          <w:divsChild>
            <w:div w:id="1879464162">
              <w:marLeft w:val="0"/>
              <w:marRight w:val="0"/>
              <w:marTop w:val="0"/>
              <w:marBottom w:val="0"/>
              <w:divBdr>
                <w:top w:val="none" w:sz="0" w:space="0" w:color="auto"/>
                <w:left w:val="none" w:sz="0" w:space="0" w:color="auto"/>
                <w:bottom w:val="none" w:sz="0" w:space="0" w:color="auto"/>
                <w:right w:val="none" w:sz="0" w:space="0" w:color="auto"/>
              </w:divBdr>
              <w:divsChild>
                <w:div w:id="14371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1995717951">
      <w:bodyDiv w:val="1"/>
      <w:marLeft w:val="0"/>
      <w:marRight w:val="0"/>
      <w:marTop w:val="0"/>
      <w:marBottom w:val="0"/>
      <w:divBdr>
        <w:top w:val="none" w:sz="0" w:space="0" w:color="auto"/>
        <w:left w:val="none" w:sz="0" w:space="0" w:color="auto"/>
        <w:bottom w:val="none" w:sz="0" w:space="0" w:color="auto"/>
        <w:right w:val="none" w:sz="0" w:space="0" w:color="auto"/>
      </w:divBdr>
    </w:div>
    <w:div w:id="2016690686">
      <w:bodyDiv w:val="1"/>
      <w:marLeft w:val="0"/>
      <w:marRight w:val="0"/>
      <w:marTop w:val="0"/>
      <w:marBottom w:val="0"/>
      <w:divBdr>
        <w:top w:val="none" w:sz="0" w:space="0" w:color="auto"/>
        <w:left w:val="none" w:sz="0" w:space="0" w:color="auto"/>
        <w:bottom w:val="none" w:sz="0" w:space="0" w:color="auto"/>
        <w:right w:val="none" w:sz="0" w:space="0" w:color="auto"/>
      </w:divBdr>
      <w:divsChild>
        <w:div w:id="131100830">
          <w:marLeft w:val="0"/>
          <w:marRight w:val="0"/>
          <w:marTop w:val="0"/>
          <w:marBottom w:val="0"/>
          <w:divBdr>
            <w:top w:val="none" w:sz="0" w:space="0" w:color="auto"/>
            <w:left w:val="none" w:sz="0" w:space="0" w:color="auto"/>
            <w:bottom w:val="none" w:sz="0" w:space="0" w:color="auto"/>
            <w:right w:val="none" w:sz="0" w:space="0" w:color="auto"/>
          </w:divBdr>
          <w:divsChild>
            <w:div w:id="860051332">
              <w:marLeft w:val="0"/>
              <w:marRight w:val="0"/>
              <w:marTop w:val="0"/>
              <w:marBottom w:val="0"/>
              <w:divBdr>
                <w:top w:val="none" w:sz="0" w:space="0" w:color="auto"/>
                <w:left w:val="none" w:sz="0" w:space="0" w:color="auto"/>
                <w:bottom w:val="none" w:sz="0" w:space="0" w:color="auto"/>
                <w:right w:val="none" w:sz="0" w:space="0" w:color="auto"/>
              </w:divBdr>
              <w:divsChild>
                <w:div w:id="20345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30406">
      <w:bodyDiv w:val="1"/>
      <w:marLeft w:val="0"/>
      <w:marRight w:val="0"/>
      <w:marTop w:val="0"/>
      <w:marBottom w:val="0"/>
      <w:divBdr>
        <w:top w:val="none" w:sz="0" w:space="0" w:color="auto"/>
        <w:left w:val="none" w:sz="0" w:space="0" w:color="auto"/>
        <w:bottom w:val="none" w:sz="0" w:space="0" w:color="auto"/>
        <w:right w:val="none" w:sz="0" w:space="0" w:color="auto"/>
      </w:divBdr>
      <w:divsChild>
        <w:div w:id="402800147">
          <w:marLeft w:val="0"/>
          <w:marRight w:val="0"/>
          <w:marTop w:val="0"/>
          <w:marBottom w:val="0"/>
          <w:divBdr>
            <w:top w:val="none" w:sz="0" w:space="0" w:color="auto"/>
            <w:left w:val="none" w:sz="0" w:space="0" w:color="auto"/>
            <w:bottom w:val="none" w:sz="0" w:space="0" w:color="auto"/>
            <w:right w:val="none" w:sz="0" w:space="0" w:color="auto"/>
          </w:divBdr>
          <w:divsChild>
            <w:div w:id="2136630176">
              <w:marLeft w:val="0"/>
              <w:marRight w:val="0"/>
              <w:marTop w:val="0"/>
              <w:marBottom w:val="0"/>
              <w:divBdr>
                <w:top w:val="none" w:sz="0" w:space="0" w:color="auto"/>
                <w:left w:val="none" w:sz="0" w:space="0" w:color="auto"/>
                <w:bottom w:val="none" w:sz="0" w:space="0" w:color="auto"/>
                <w:right w:val="none" w:sz="0" w:space="0" w:color="auto"/>
              </w:divBdr>
              <w:divsChild>
                <w:div w:id="15237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97">
      <w:bodyDiv w:val="1"/>
      <w:marLeft w:val="0"/>
      <w:marRight w:val="0"/>
      <w:marTop w:val="0"/>
      <w:marBottom w:val="0"/>
      <w:divBdr>
        <w:top w:val="none" w:sz="0" w:space="0" w:color="auto"/>
        <w:left w:val="none" w:sz="0" w:space="0" w:color="auto"/>
        <w:bottom w:val="none" w:sz="0" w:space="0" w:color="auto"/>
        <w:right w:val="none" w:sz="0" w:space="0" w:color="auto"/>
      </w:divBdr>
    </w:div>
    <w:div w:id="2032221718">
      <w:bodyDiv w:val="1"/>
      <w:marLeft w:val="0"/>
      <w:marRight w:val="0"/>
      <w:marTop w:val="0"/>
      <w:marBottom w:val="0"/>
      <w:divBdr>
        <w:top w:val="none" w:sz="0" w:space="0" w:color="auto"/>
        <w:left w:val="none" w:sz="0" w:space="0" w:color="auto"/>
        <w:bottom w:val="none" w:sz="0" w:space="0" w:color="auto"/>
        <w:right w:val="none" w:sz="0" w:space="0" w:color="auto"/>
      </w:divBdr>
    </w:div>
    <w:div w:id="2036035279">
      <w:bodyDiv w:val="1"/>
      <w:marLeft w:val="0"/>
      <w:marRight w:val="0"/>
      <w:marTop w:val="0"/>
      <w:marBottom w:val="0"/>
      <w:divBdr>
        <w:top w:val="none" w:sz="0" w:space="0" w:color="auto"/>
        <w:left w:val="none" w:sz="0" w:space="0" w:color="auto"/>
        <w:bottom w:val="none" w:sz="0" w:space="0" w:color="auto"/>
        <w:right w:val="none" w:sz="0" w:space="0" w:color="auto"/>
      </w:divBdr>
    </w:div>
    <w:div w:id="2071801762">
      <w:bodyDiv w:val="1"/>
      <w:marLeft w:val="0"/>
      <w:marRight w:val="0"/>
      <w:marTop w:val="0"/>
      <w:marBottom w:val="0"/>
      <w:divBdr>
        <w:top w:val="none" w:sz="0" w:space="0" w:color="auto"/>
        <w:left w:val="none" w:sz="0" w:space="0" w:color="auto"/>
        <w:bottom w:val="none" w:sz="0" w:space="0" w:color="auto"/>
        <w:right w:val="none" w:sz="0" w:space="0" w:color="auto"/>
      </w:divBdr>
      <w:divsChild>
        <w:div w:id="90784913">
          <w:marLeft w:val="0"/>
          <w:marRight w:val="0"/>
          <w:marTop w:val="0"/>
          <w:marBottom w:val="0"/>
          <w:divBdr>
            <w:top w:val="none" w:sz="0" w:space="0" w:color="auto"/>
            <w:left w:val="none" w:sz="0" w:space="0" w:color="auto"/>
            <w:bottom w:val="none" w:sz="0" w:space="0" w:color="auto"/>
            <w:right w:val="none" w:sz="0" w:space="0" w:color="auto"/>
          </w:divBdr>
          <w:divsChild>
            <w:div w:id="1639142116">
              <w:marLeft w:val="0"/>
              <w:marRight w:val="0"/>
              <w:marTop w:val="0"/>
              <w:marBottom w:val="0"/>
              <w:divBdr>
                <w:top w:val="none" w:sz="0" w:space="0" w:color="auto"/>
                <w:left w:val="none" w:sz="0" w:space="0" w:color="auto"/>
                <w:bottom w:val="none" w:sz="0" w:space="0" w:color="auto"/>
                <w:right w:val="none" w:sz="0" w:space="0" w:color="auto"/>
              </w:divBdr>
              <w:divsChild>
                <w:div w:id="12193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8621">
      <w:bodyDiv w:val="1"/>
      <w:marLeft w:val="0"/>
      <w:marRight w:val="0"/>
      <w:marTop w:val="0"/>
      <w:marBottom w:val="0"/>
      <w:divBdr>
        <w:top w:val="none" w:sz="0" w:space="0" w:color="auto"/>
        <w:left w:val="none" w:sz="0" w:space="0" w:color="auto"/>
        <w:bottom w:val="none" w:sz="0" w:space="0" w:color="auto"/>
        <w:right w:val="none" w:sz="0" w:space="0" w:color="auto"/>
      </w:divBdr>
      <w:divsChild>
        <w:div w:id="46345105">
          <w:marLeft w:val="0"/>
          <w:marRight w:val="0"/>
          <w:marTop w:val="0"/>
          <w:marBottom w:val="0"/>
          <w:divBdr>
            <w:top w:val="none" w:sz="0" w:space="0" w:color="auto"/>
            <w:left w:val="none" w:sz="0" w:space="0" w:color="auto"/>
            <w:bottom w:val="none" w:sz="0" w:space="0" w:color="auto"/>
            <w:right w:val="none" w:sz="0" w:space="0" w:color="auto"/>
          </w:divBdr>
          <w:divsChild>
            <w:div w:id="437719795">
              <w:marLeft w:val="0"/>
              <w:marRight w:val="0"/>
              <w:marTop w:val="0"/>
              <w:marBottom w:val="0"/>
              <w:divBdr>
                <w:top w:val="none" w:sz="0" w:space="0" w:color="auto"/>
                <w:left w:val="none" w:sz="0" w:space="0" w:color="auto"/>
                <w:bottom w:val="none" w:sz="0" w:space="0" w:color="auto"/>
                <w:right w:val="none" w:sz="0" w:space="0" w:color="auto"/>
              </w:divBdr>
              <w:divsChild>
                <w:div w:id="659429271">
                  <w:marLeft w:val="0"/>
                  <w:marRight w:val="0"/>
                  <w:marTop w:val="0"/>
                  <w:marBottom w:val="0"/>
                  <w:divBdr>
                    <w:top w:val="none" w:sz="0" w:space="0" w:color="auto"/>
                    <w:left w:val="none" w:sz="0" w:space="0" w:color="auto"/>
                    <w:bottom w:val="none" w:sz="0" w:space="0" w:color="auto"/>
                    <w:right w:val="none" w:sz="0" w:space="0" w:color="auto"/>
                  </w:divBdr>
                  <w:divsChild>
                    <w:div w:id="8686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078087724">
      <w:bodyDiv w:val="1"/>
      <w:marLeft w:val="0"/>
      <w:marRight w:val="0"/>
      <w:marTop w:val="0"/>
      <w:marBottom w:val="0"/>
      <w:divBdr>
        <w:top w:val="none" w:sz="0" w:space="0" w:color="auto"/>
        <w:left w:val="none" w:sz="0" w:space="0" w:color="auto"/>
        <w:bottom w:val="none" w:sz="0" w:space="0" w:color="auto"/>
        <w:right w:val="none" w:sz="0" w:space="0" w:color="auto"/>
      </w:divBdr>
      <w:divsChild>
        <w:div w:id="1175077155">
          <w:marLeft w:val="0"/>
          <w:marRight w:val="0"/>
          <w:marTop w:val="0"/>
          <w:marBottom w:val="0"/>
          <w:divBdr>
            <w:top w:val="none" w:sz="0" w:space="0" w:color="auto"/>
            <w:left w:val="none" w:sz="0" w:space="0" w:color="auto"/>
            <w:bottom w:val="none" w:sz="0" w:space="0" w:color="auto"/>
            <w:right w:val="none" w:sz="0" w:space="0" w:color="auto"/>
          </w:divBdr>
          <w:divsChild>
            <w:div w:id="604462252">
              <w:marLeft w:val="0"/>
              <w:marRight w:val="0"/>
              <w:marTop w:val="0"/>
              <w:marBottom w:val="0"/>
              <w:divBdr>
                <w:top w:val="none" w:sz="0" w:space="0" w:color="auto"/>
                <w:left w:val="none" w:sz="0" w:space="0" w:color="auto"/>
                <w:bottom w:val="none" w:sz="0" w:space="0" w:color="auto"/>
                <w:right w:val="none" w:sz="0" w:space="0" w:color="auto"/>
              </w:divBdr>
              <w:divsChild>
                <w:div w:id="10242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4749">
      <w:bodyDiv w:val="1"/>
      <w:marLeft w:val="0"/>
      <w:marRight w:val="0"/>
      <w:marTop w:val="0"/>
      <w:marBottom w:val="0"/>
      <w:divBdr>
        <w:top w:val="none" w:sz="0" w:space="0" w:color="auto"/>
        <w:left w:val="none" w:sz="0" w:space="0" w:color="auto"/>
        <w:bottom w:val="none" w:sz="0" w:space="0" w:color="auto"/>
        <w:right w:val="none" w:sz="0" w:space="0" w:color="auto"/>
      </w:divBdr>
      <w:divsChild>
        <w:div w:id="834608156">
          <w:marLeft w:val="0"/>
          <w:marRight w:val="0"/>
          <w:marTop w:val="0"/>
          <w:marBottom w:val="0"/>
          <w:divBdr>
            <w:top w:val="none" w:sz="0" w:space="0" w:color="auto"/>
            <w:left w:val="none" w:sz="0" w:space="0" w:color="auto"/>
            <w:bottom w:val="none" w:sz="0" w:space="0" w:color="auto"/>
            <w:right w:val="none" w:sz="0" w:space="0" w:color="auto"/>
          </w:divBdr>
          <w:divsChild>
            <w:div w:id="1165393610">
              <w:marLeft w:val="0"/>
              <w:marRight w:val="0"/>
              <w:marTop w:val="0"/>
              <w:marBottom w:val="0"/>
              <w:divBdr>
                <w:top w:val="none" w:sz="0" w:space="0" w:color="auto"/>
                <w:left w:val="none" w:sz="0" w:space="0" w:color="auto"/>
                <w:bottom w:val="none" w:sz="0" w:space="0" w:color="auto"/>
                <w:right w:val="none" w:sz="0" w:space="0" w:color="auto"/>
              </w:divBdr>
              <w:divsChild>
                <w:div w:id="464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13">
      <w:bodyDiv w:val="1"/>
      <w:marLeft w:val="0"/>
      <w:marRight w:val="0"/>
      <w:marTop w:val="0"/>
      <w:marBottom w:val="0"/>
      <w:divBdr>
        <w:top w:val="none" w:sz="0" w:space="0" w:color="auto"/>
        <w:left w:val="none" w:sz="0" w:space="0" w:color="auto"/>
        <w:bottom w:val="none" w:sz="0" w:space="0" w:color="auto"/>
        <w:right w:val="none" w:sz="0" w:space="0" w:color="auto"/>
      </w:divBdr>
      <w:divsChild>
        <w:div w:id="1123844061">
          <w:marLeft w:val="0"/>
          <w:marRight w:val="0"/>
          <w:marTop w:val="0"/>
          <w:marBottom w:val="0"/>
          <w:divBdr>
            <w:top w:val="none" w:sz="0" w:space="0" w:color="auto"/>
            <w:left w:val="none" w:sz="0" w:space="0" w:color="auto"/>
            <w:bottom w:val="none" w:sz="0" w:space="0" w:color="auto"/>
            <w:right w:val="none" w:sz="0" w:space="0" w:color="auto"/>
          </w:divBdr>
          <w:divsChild>
            <w:div w:id="380638621">
              <w:marLeft w:val="0"/>
              <w:marRight w:val="0"/>
              <w:marTop w:val="0"/>
              <w:marBottom w:val="0"/>
              <w:divBdr>
                <w:top w:val="none" w:sz="0" w:space="0" w:color="auto"/>
                <w:left w:val="none" w:sz="0" w:space="0" w:color="auto"/>
                <w:bottom w:val="none" w:sz="0" w:space="0" w:color="auto"/>
                <w:right w:val="none" w:sz="0" w:space="0" w:color="auto"/>
              </w:divBdr>
              <w:divsChild>
                <w:div w:id="4520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9261">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 w:id="2138259004">
      <w:bodyDiv w:val="1"/>
      <w:marLeft w:val="0"/>
      <w:marRight w:val="0"/>
      <w:marTop w:val="0"/>
      <w:marBottom w:val="0"/>
      <w:divBdr>
        <w:top w:val="none" w:sz="0" w:space="0" w:color="auto"/>
        <w:left w:val="none" w:sz="0" w:space="0" w:color="auto"/>
        <w:bottom w:val="none" w:sz="0" w:space="0" w:color="auto"/>
        <w:right w:val="none" w:sz="0" w:space="0" w:color="auto"/>
      </w:divBdr>
      <w:divsChild>
        <w:div w:id="1180506621">
          <w:marLeft w:val="0"/>
          <w:marRight w:val="0"/>
          <w:marTop w:val="0"/>
          <w:marBottom w:val="0"/>
          <w:divBdr>
            <w:top w:val="none" w:sz="0" w:space="0" w:color="auto"/>
            <w:left w:val="none" w:sz="0" w:space="0" w:color="auto"/>
            <w:bottom w:val="none" w:sz="0" w:space="0" w:color="auto"/>
            <w:right w:val="none" w:sz="0" w:space="0" w:color="auto"/>
          </w:divBdr>
          <w:divsChild>
            <w:div w:id="1203177988">
              <w:marLeft w:val="0"/>
              <w:marRight w:val="0"/>
              <w:marTop w:val="0"/>
              <w:marBottom w:val="0"/>
              <w:divBdr>
                <w:top w:val="none" w:sz="0" w:space="0" w:color="auto"/>
                <w:left w:val="none" w:sz="0" w:space="0" w:color="auto"/>
                <w:bottom w:val="none" w:sz="0" w:space="0" w:color="auto"/>
                <w:right w:val="none" w:sz="0" w:space="0" w:color="auto"/>
              </w:divBdr>
              <w:divsChild>
                <w:div w:id="202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4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D149-EACF-5D45-9B4E-917E4133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9842</Words>
  <Characters>51971</Characters>
  <Application>Microsoft Office Word</Application>
  <DocSecurity>0</DocSecurity>
  <Lines>911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453/21</dc:title>
  <dc:creator/>
  <cp:lastModifiedBy/>
  <cp:revision>1</cp:revision>
  <dcterms:created xsi:type="dcterms:W3CDTF">2022-04-04T17:00:00Z</dcterms:created>
  <dcterms:modified xsi:type="dcterms:W3CDTF">2022-04-04T17:00:00Z</dcterms:modified>
</cp:coreProperties>
</file>