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0FA4"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C527CED" wp14:editId="038F96E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82FA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9CA057" wp14:editId="31BFF89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58F77" w14:textId="77777777" w:rsidR="009206FF" w:rsidRDefault="009206FF" w:rsidP="00AE5488">
                            <w:r>
                              <w:rPr>
                                <w:noProof/>
                              </w:rPr>
                              <w:drawing>
                                <wp:inline distT="0" distB="0" distL="0" distR="0" wp14:anchorId="130F8FB2" wp14:editId="570861E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CA05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3E58F77" w14:textId="77777777" w:rsidR="009206FF" w:rsidRDefault="009206FF" w:rsidP="00AE5488">
                      <w:r>
                        <w:rPr>
                          <w:noProof/>
                        </w:rPr>
                        <w:drawing>
                          <wp:inline distT="0" distB="0" distL="0" distR="0" wp14:anchorId="130F8FB2" wp14:editId="570861E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53EE89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96D8C7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AB1D5F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36A5BC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50464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CA4C8D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8BAB38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D863BC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1B107A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F8080B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FD7CD6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EF636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C51361"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CB030D7" wp14:editId="7E4E713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191F1" w14:textId="606306B9" w:rsidR="009206FF" w:rsidRPr="004E2649" w:rsidRDefault="009206F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017E15" w:rsidRPr="00017E15">
                              <w:rPr>
                                <w:rFonts w:asciiTheme="majorHAnsi" w:hAnsiTheme="majorHAnsi" w:cs="Arial"/>
                                <w:b/>
                                <w:bCs/>
                                <w:color w:val="0D0D0D" w:themeColor="text1" w:themeTint="F2"/>
                                <w:sz w:val="36"/>
                                <w:szCs w:val="22"/>
                                <w:lang w:val="es-ES_tradnl"/>
                              </w:rPr>
                              <w:t>461</w:t>
                            </w:r>
                            <w:r w:rsidRPr="00017E15">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21</w:t>
                            </w:r>
                          </w:p>
                          <w:p w14:paraId="3AC8A2BE" w14:textId="77777777" w:rsidR="009206FF" w:rsidRPr="004E2649" w:rsidRDefault="009206F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13.394</w:t>
                            </w:r>
                          </w:p>
                          <w:p w14:paraId="3E1824D8" w14:textId="4408C80F" w:rsidR="009206FF" w:rsidRPr="0010736F" w:rsidRDefault="009206FF"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 Y FONDO (</w:t>
                            </w:r>
                            <w:r w:rsidRPr="00017E15">
                              <w:rPr>
                                <w:rFonts w:asciiTheme="majorHAnsi" w:hAnsiTheme="majorHAnsi" w:cs="Arial"/>
                                <w:color w:val="0D0D0D" w:themeColor="text1" w:themeTint="F2"/>
                                <w:szCs w:val="22"/>
                                <w:lang w:val="es-ES_tradnl"/>
                              </w:rPr>
                              <w:t>PUBLICACIÓN</w:t>
                            </w:r>
                            <w:r>
                              <w:rPr>
                                <w:rFonts w:asciiTheme="majorHAnsi" w:hAnsiTheme="majorHAnsi" w:cs="Arial"/>
                                <w:color w:val="0D0D0D" w:themeColor="text1" w:themeTint="F2"/>
                                <w:szCs w:val="22"/>
                                <w:lang w:val="es-ES_tradnl"/>
                              </w:rPr>
                              <w:t>)</w:t>
                            </w:r>
                          </w:p>
                          <w:p w14:paraId="3F4A59CC" w14:textId="77777777" w:rsidR="009206FF" w:rsidRPr="0010736F" w:rsidRDefault="009206FF"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263AD18" w14:textId="77777777" w:rsidR="009206FF" w:rsidRDefault="009206F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PETE CARL ROGOVICH</w:t>
                            </w:r>
                          </w:p>
                          <w:p w14:paraId="64F43E38" w14:textId="77777777" w:rsidR="009206FF" w:rsidRPr="00D30952" w:rsidRDefault="009206F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w:t>
                            </w:r>
                            <w:r>
                              <w:rPr>
                                <w:rFonts w:asciiTheme="majorHAnsi" w:hAnsiTheme="majorHAnsi" w:cs="Arial"/>
                                <w:color w:val="0D0D0D" w:themeColor="text1" w:themeTint="F2"/>
                                <w:szCs w:val="22"/>
                                <w:lang w:val="es-ES"/>
                              </w:rPr>
                              <w:t>ÉRICA</w:t>
                            </w:r>
                          </w:p>
                          <w:p w14:paraId="0903D5A5" w14:textId="77777777" w:rsidR="009206FF" w:rsidRPr="00AE5488" w:rsidRDefault="009206F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030D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98191F1" w14:textId="606306B9" w:rsidR="009206FF" w:rsidRPr="004E2649" w:rsidRDefault="009206F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017E15" w:rsidRPr="00017E15">
                        <w:rPr>
                          <w:rFonts w:asciiTheme="majorHAnsi" w:hAnsiTheme="majorHAnsi" w:cs="Arial"/>
                          <w:b/>
                          <w:bCs/>
                          <w:color w:val="0D0D0D" w:themeColor="text1" w:themeTint="F2"/>
                          <w:sz w:val="36"/>
                          <w:szCs w:val="22"/>
                          <w:lang w:val="es-ES_tradnl"/>
                        </w:rPr>
                        <w:t>461</w:t>
                      </w:r>
                      <w:r w:rsidRPr="00017E15">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21</w:t>
                      </w:r>
                    </w:p>
                    <w:p w14:paraId="3AC8A2BE" w14:textId="77777777" w:rsidR="009206FF" w:rsidRPr="004E2649" w:rsidRDefault="009206F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13.394</w:t>
                      </w:r>
                    </w:p>
                    <w:p w14:paraId="3E1824D8" w14:textId="4408C80F" w:rsidR="009206FF" w:rsidRPr="0010736F" w:rsidRDefault="009206FF"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 Y FONDO (</w:t>
                      </w:r>
                      <w:r w:rsidRPr="00017E15">
                        <w:rPr>
                          <w:rFonts w:asciiTheme="majorHAnsi" w:hAnsiTheme="majorHAnsi" w:cs="Arial"/>
                          <w:color w:val="0D0D0D" w:themeColor="text1" w:themeTint="F2"/>
                          <w:szCs w:val="22"/>
                          <w:lang w:val="es-ES_tradnl"/>
                        </w:rPr>
                        <w:t>PUBLICACIÓN</w:t>
                      </w:r>
                      <w:r>
                        <w:rPr>
                          <w:rFonts w:asciiTheme="majorHAnsi" w:hAnsiTheme="majorHAnsi" w:cs="Arial"/>
                          <w:color w:val="0D0D0D" w:themeColor="text1" w:themeTint="F2"/>
                          <w:szCs w:val="22"/>
                          <w:lang w:val="es-ES_tradnl"/>
                        </w:rPr>
                        <w:t>)</w:t>
                      </w:r>
                    </w:p>
                    <w:p w14:paraId="3F4A59CC" w14:textId="77777777" w:rsidR="009206FF" w:rsidRPr="0010736F" w:rsidRDefault="009206F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263AD18" w14:textId="77777777" w:rsidR="009206FF" w:rsidRDefault="009206F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PETE CARL ROGOVICH</w:t>
                      </w:r>
                    </w:p>
                    <w:p w14:paraId="64F43E38" w14:textId="77777777" w:rsidR="009206FF" w:rsidRPr="00D30952" w:rsidRDefault="009206F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w:t>
                      </w:r>
                      <w:r>
                        <w:rPr>
                          <w:rFonts w:asciiTheme="majorHAnsi" w:hAnsiTheme="majorHAnsi" w:cs="Arial"/>
                          <w:color w:val="0D0D0D" w:themeColor="text1" w:themeTint="F2"/>
                          <w:szCs w:val="22"/>
                          <w:lang w:val="es-ES"/>
                        </w:rPr>
                        <w:t>ÉRICA</w:t>
                      </w:r>
                    </w:p>
                    <w:p w14:paraId="0903D5A5" w14:textId="77777777" w:rsidR="009206FF" w:rsidRPr="00AE5488" w:rsidRDefault="009206FF"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25AEF6D" wp14:editId="15A0005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7A94D" w14:textId="77777777" w:rsidR="009206FF" w:rsidRPr="004E2649" w:rsidRDefault="009206F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5BB6C7E9" w14:textId="6298DA54" w:rsidR="009206FF" w:rsidRPr="004E2649" w:rsidRDefault="009206F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17E15">
                              <w:rPr>
                                <w:rFonts w:asciiTheme="minorHAnsi" w:hAnsiTheme="minorHAnsi"/>
                                <w:color w:val="FFFFFF" w:themeColor="background1"/>
                                <w:sz w:val="22"/>
                                <w:lang w:val="pt-BR"/>
                              </w:rPr>
                              <w:t>475</w:t>
                            </w:r>
                          </w:p>
                          <w:p w14:paraId="0E2026CA" w14:textId="7D62143F" w:rsidR="009206FF" w:rsidRPr="004E2649" w:rsidRDefault="00017E1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w:t>
                            </w:r>
                            <w:r w:rsidR="009206FF">
                              <w:rPr>
                                <w:rFonts w:asciiTheme="minorHAnsi" w:hAnsiTheme="minorHAnsi"/>
                                <w:color w:val="FFFFFF" w:themeColor="background1"/>
                                <w:sz w:val="22"/>
                              </w:rPr>
                              <w:t xml:space="preserve"> </w:t>
                            </w:r>
                            <w:proofErr w:type="spellStart"/>
                            <w:r w:rsidR="009206FF">
                              <w:rPr>
                                <w:rFonts w:asciiTheme="minorHAnsi" w:hAnsiTheme="minorHAnsi"/>
                                <w:color w:val="FFFFFF" w:themeColor="background1"/>
                                <w:sz w:val="22"/>
                              </w:rPr>
                              <w:t>diciembre</w:t>
                            </w:r>
                            <w:proofErr w:type="spellEnd"/>
                            <w:r w:rsidR="009206FF" w:rsidRPr="004E2649">
                              <w:rPr>
                                <w:rFonts w:asciiTheme="minorHAnsi" w:hAnsiTheme="minorHAnsi"/>
                                <w:color w:val="FFFFFF" w:themeColor="background1"/>
                                <w:sz w:val="22"/>
                              </w:rPr>
                              <w:t xml:space="preserve"> 20</w:t>
                            </w:r>
                            <w:r w:rsidR="009206FF">
                              <w:rPr>
                                <w:rFonts w:asciiTheme="minorHAnsi" w:hAnsiTheme="minorHAnsi"/>
                                <w:color w:val="FFFFFF" w:themeColor="background1"/>
                                <w:sz w:val="22"/>
                              </w:rPr>
                              <w:t>21</w:t>
                            </w:r>
                          </w:p>
                          <w:p w14:paraId="027CD181" w14:textId="77777777" w:rsidR="009206FF" w:rsidRPr="004E2649" w:rsidRDefault="009206FF"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Pr>
                                <w:rFonts w:asciiTheme="minorHAnsi" w:hAnsiTheme="minorHAnsi"/>
                                <w:color w:val="FFFFFF" w:themeColor="background1"/>
                                <w:sz w:val="22"/>
                              </w:rPr>
                              <w:t>inglés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AEF6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59C7A94D" w14:textId="77777777" w:rsidR="009206FF" w:rsidRPr="004E2649" w:rsidRDefault="009206F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5BB6C7E9" w14:textId="6298DA54" w:rsidR="009206FF" w:rsidRPr="004E2649" w:rsidRDefault="009206F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17E15">
                        <w:rPr>
                          <w:rFonts w:asciiTheme="minorHAnsi" w:hAnsiTheme="minorHAnsi"/>
                          <w:color w:val="FFFFFF" w:themeColor="background1"/>
                          <w:sz w:val="22"/>
                          <w:lang w:val="pt-BR"/>
                        </w:rPr>
                        <w:t>475</w:t>
                      </w:r>
                    </w:p>
                    <w:p w14:paraId="0E2026CA" w14:textId="7D62143F" w:rsidR="009206FF" w:rsidRPr="004E2649" w:rsidRDefault="00017E1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w:t>
                      </w:r>
                      <w:r w:rsidR="009206FF">
                        <w:rPr>
                          <w:rFonts w:asciiTheme="minorHAnsi" w:hAnsiTheme="minorHAnsi"/>
                          <w:color w:val="FFFFFF" w:themeColor="background1"/>
                          <w:sz w:val="22"/>
                        </w:rPr>
                        <w:t xml:space="preserve"> </w:t>
                      </w:r>
                      <w:proofErr w:type="spellStart"/>
                      <w:r w:rsidR="009206FF">
                        <w:rPr>
                          <w:rFonts w:asciiTheme="minorHAnsi" w:hAnsiTheme="minorHAnsi"/>
                          <w:color w:val="FFFFFF" w:themeColor="background1"/>
                          <w:sz w:val="22"/>
                        </w:rPr>
                        <w:t>diciembre</w:t>
                      </w:r>
                      <w:proofErr w:type="spellEnd"/>
                      <w:r w:rsidR="009206FF" w:rsidRPr="004E2649">
                        <w:rPr>
                          <w:rFonts w:asciiTheme="minorHAnsi" w:hAnsiTheme="minorHAnsi"/>
                          <w:color w:val="FFFFFF" w:themeColor="background1"/>
                          <w:sz w:val="22"/>
                        </w:rPr>
                        <w:t xml:space="preserve"> 20</w:t>
                      </w:r>
                      <w:r w:rsidR="009206FF">
                        <w:rPr>
                          <w:rFonts w:asciiTheme="minorHAnsi" w:hAnsiTheme="minorHAnsi"/>
                          <w:color w:val="FFFFFF" w:themeColor="background1"/>
                          <w:sz w:val="22"/>
                        </w:rPr>
                        <w:t>21</w:t>
                      </w:r>
                    </w:p>
                    <w:p w14:paraId="027CD181" w14:textId="77777777" w:rsidR="009206FF" w:rsidRPr="004E2649" w:rsidRDefault="009206FF"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Pr>
                          <w:rFonts w:asciiTheme="minorHAnsi" w:hAnsiTheme="minorHAnsi"/>
                          <w:color w:val="FFFFFF" w:themeColor="background1"/>
                          <w:sz w:val="22"/>
                        </w:rPr>
                        <w:t>inglés</w:t>
                      </w:r>
                      <w:proofErr w:type="spellEnd"/>
                    </w:p>
                  </w:txbxContent>
                </v:textbox>
              </v:shape>
            </w:pict>
          </mc:Fallback>
        </mc:AlternateContent>
      </w:r>
    </w:p>
    <w:p w14:paraId="0985231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3A0F63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11636E"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32064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BE5D2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08523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4813C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2A971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4F2841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C1B48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03780E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C58D9F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AD929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DEADB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BAF1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D6CD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8BC6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581CB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5286E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0F01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C8993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A9AEF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A9FC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39E23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6A73C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D19D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A6B46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637D7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D0A13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639D7FB" wp14:editId="641F91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FD816" w14:textId="44572EE6" w:rsidR="009206FF" w:rsidRPr="00890650" w:rsidRDefault="009206F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Pr>
                                <w:rFonts w:asciiTheme="majorHAnsi" w:hAnsiTheme="majorHAnsi"/>
                                <w:color w:val="0D0D0D" w:themeColor="text1" w:themeTint="F2"/>
                                <w:sz w:val="18"/>
                                <w:szCs w:val="20"/>
                                <w:lang w:val="es-ES"/>
                              </w:rPr>
                              <w:t xml:space="preserve">electrónicamente el </w:t>
                            </w:r>
                            <w:r w:rsidR="00E92C2B">
                              <w:rPr>
                                <w:rFonts w:asciiTheme="majorHAnsi" w:hAnsiTheme="majorHAnsi"/>
                                <w:color w:val="0D0D0D" w:themeColor="text1" w:themeTint="F2"/>
                                <w:sz w:val="18"/>
                                <w:szCs w:val="20"/>
                                <w:lang w:val="es-ES"/>
                              </w:rPr>
                              <w:t>31</w:t>
                            </w:r>
                            <w:r>
                              <w:rPr>
                                <w:rFonts w:asciiTheme="majorHAnsi" w:hAnsiTheme="majorHAnsi"/>
                                <w:color w:val="0D0D0D" w:themeColor="text1" w:themeTint="F2"/>
                                <w:sz w:val="18"/>
                                <w:szCs w:val="20"/>
                                <w:lang w:val="es-ES"/>
                              </w:rPr>
                              <w:t xml:space="preserve"> de diciembre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21</w:t>
                            </w:r>
                            <w:r w:rsidR="00EF72C2">
                              <w:rPr>
                                <w:rFonts w:asciiTheme="majorHAnsi" w:hAnsiTheme="majorHAnsi"/>
                                <w:color w:val="0D0D0D" w:themeColor="text1" w:themeTint="F2"/>
                                <w:sz w:val="18"/>
                                <w:szCs w:val="20"/>
                                <w:lang w:val="es-ES"/>
                              </w:rPr>
                              <w:t>.</w:t>
                            </w:r>
                          </w:p>
                          <w:p w14:paraId="69A191AE" w14:textId="77777777" w:rsidR="009206FF" w:rsidRPr="007A5817" w:rsidRDefault="009206FF" w:rsidP="00247403">
                            <w:pPr>
                              <w:tabs>
                                <w:tab w:val="center" w:pos="5400"/>
                              </w:tabs>
                              <w:suppressAutoHyphens/>
                              <w:spacing w:before="60"/>
                              <w:rPr>
                                <w:rFonts w:asciiTheme="minorHAnsi" w:hAnsiTheme="minorHAnsi" w:cs="Univers"/>
                                <w:color w:val="0D0D0D" w:themeColor="text1" w:themeTint="F2"/>
                                <w:sz w:val="20"/>
                                <w:szCs w:val="20"/>
                                <w:lang w:val="es-ES"/>
                              </w:rPr>
                            </w:pPr>
                          </w:p>
                          <w:p w14:paraId="765EBEFD" w14:textId="77777777" w:rsidR="009206FF" w:rsidRPr="00167A34" w:rsidRDefault="009206F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9D7FB"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DCFD816" w14:textId="44572EE6" w:rsidR="009206FF" w:rsidRPr="00890650" w:rsidRDefault="009206F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Pr>
                          <w:rFonts w:asciiTheme="majorHAnsi" w:hAnsiTheme="majorHAnsi"/>
                          <w:color w:val="0D0D0D" w:themeColor="text1" w:themeTint="F2"/>
                          <w:sz w:val="18"/>
                          <w:szCs w:val="20"/>
                          <w:lang w:val="es-ES"/>
                        </w:rPr>
                        <w:t xml:space="preserve">electrónicamente el </w:t>
                      </w:r>
                      <w:r w:rsidR="00E92C2B">
                        <w:rPr>
                          <w:rFonts w:asciiTheme="majorHAnsi" w:hAnsiTheme="majorHAnsi"/>
                          <w:color w:val="0D0D0D" w:themeColor="text1" w:themeTint="F2"/>
                          <w:sz w:val="18"/>
                          <w:szCs w:val="20"/>
                          <w:lang w:val="es-ES"/>
                        </w:rPr>
                        <w:t>31</w:t>
                      </w:r>
                      <w:r>
                        <w:rPr>
                          <w:rFonts w:asciiTheme="majorHAnsi" w:hAnsiTheme="majorHAnsi"/>
                          <w:color w:val="0D0D0D" w:themeColor="text1" w:themeTint="F2"/>
                          <w:sz w:val="18"/>
                          <w:szCs w:val="20"/>
                          <w:lang w:val="es-ES"/>
                        </w:rPr>
                        <w:t xml:space="preserve"> de diciembre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21</w:t>
                      </w:r>
                      <w:r w:rsidR="00EF72C2">
                        <w:rPr>
                          <w:rFonts w:asciiTheme="majorHAnsi" w:hAnsiTheme="majorHAnsi"/>
                          <w:color w:val="0D0D0D" w:themeColor="text1" w:themeTint="F2"/>
                          <w:sz w:val="18"/>
                          <w:szCs w:val="20"/>
                          <w:lang w:val="es-ES"/>
                        </w:rPr>
                        <w:t>.</w:t>
                      </w:r>
                    </w:p>
                    <w:p w14:paraId="69A191AE" w14:textId="77777777" w:rsidR="009206FF" w:rsidRPr="007A5817" w:rsidRDefault="009206FF" w:rsidP="00247403">
                      <w:pPr>
                        <w:tabs>
                          <w:tab w:val="center" w:pos="5400"/>
                        </w:tabs>
                        <w:suppressAutoHyphens/>
                        <w:spacing w:before="60"/>
                        <w:rPr>
                          <w:rFonts w:asciiTheme="minorHAnsi" w:hAnsiTheme="minorHAnsi" w:cs="Univers"/>
                          <w:color w:val="0D0D0D" w:themeColor="text1" w:themeTint="F2"/>
                          <w:sz w:val="20"/>
                          <w:szCs w:val="20"/>
                          <w:lang w:val="es-ES"/>
                        </w:rPr>
                      </w:pPr>
                    </w:p>
                    <w:p w14:paraId="765EBEFD" w14:textId="77777777" w:rsidR="009206FF" w:rsidRPr="00167A34" w:rsidRDefault="009206F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7C649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F7B66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1DE2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81EC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53B3C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A2C021D" wp14:editId="7559CDC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40641" w14:textId="24864441" w:rsidR="009206FF" w:rsidRPr="007E78B1" w:rsidRDefault="009206FF"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2C2B">
                              <w:rPr>
                                <w:rFonts w:asciiTheme="majorHAnsi" w:hAnsiTheme="majorHAnsi"/>
                                <w:color w:val="595959" w:themeColor="text1" w:themeTint="A6"/>
                                <w:sz w:val="18"/>
                                <w:szCs w:val="18"/>
                                <w:lang w:val="es-ES_tradnl"/>
                              </w:rPr>
                              <w:t>461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21. </w:t>
                            </w:r>
                            <w:r w:rsidRPr="00890650">
                              <w:rPr>
                                <w:rFonts w:asciiTheme="majorHAnsi" w:hAnsiTheme="majorHAnsi"/>
                                <w:color w:val="595959" w:themeColor="text1" w:themeTint="A6"/>
                                <w:sz w:val="18"/>
                                <w:szCs w:val="18"/>
                                <w:lang w:val="es-ES_tradnl"/>
                              </w:rPr>
                              <w:t xml:space="preserve">Caso </w:t>
                            </w:r>
                            <w:r>
                              <w:rPr>
                                <w:rFonts w:asciiTheme="majorHAnsi" w:hAnsiTheme="majorHAnsi"/>
                                <w:color w:val="595959" w:themeColor="text1" w:themeTint="A6"/>
                                <w:sz w:val="18"/>
                                <w:szCs w:val="18"/>
                                <w:lang w:val="es-ES_tradnl"/>
                              </w:rPr>
                              <w:t>13.394</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Admisibilidad y Fondo (Publicación)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Pete Carl </w:t>
                            </w:r>
                            <w:proofErr w:type="spellStart"/>
                            <w:r>
                              <w:rPr>
                                <w:rFonts w:asciiTheme="majorHAnsi" w:hAnsiTheme="majorHAnsi"/>
                                <w:color w:val="595959" w:themeColor="text1" w:themeTint="A6"/>
                                <w:sz w:val="18"/>
                                <w:szCs w:val="18"/>
                                <w:lang w:val="es-ES_tradnl"/>
                              </w:rPr>
                              <w:t>Rogovich</w:t>
                            </w:r>
                            <w:proofErr w:type="spellEnd"/>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Estados Unidos de América</w:t>
                            </w:r>
                            <w:r w:rsidRPr="00890650">
                              <w:rPr>
                                <w:rFonts w:asciiTheme="majorHAnsi" w:hAnsiTheme="majorHAnsi"/>
                                <w:color w:val="595959" w:themeColor="text1" w:themeTint="A6"/>
                                <w:sz w:val="18"/>
                                <w:szCs w:val="18"/>
                                <w:lang w:val="es-ES_tradnl"/>
                              </w:rPr>
                              <w:t xml:space="preserve">. </w:t>
                            </w:r>
                            <w:r w:rsidR="00E92C2B">
                              <w:rPr>
                                <w:rFonts w:asciiTheme="majorHAnsi" w:hAnsiTheme="majorHAnsi"/>
                                <w:color w:val="595959" w:themeColor="text1" w:themeTint="A6"/>
                                <w:sz w:val="18"/>
                                <w:szCs w:val="18"/>
                                <w:lang w:val="es-ES"/>
                              </w:rPr>
                              <w:t>31</w:t>
                            </w:r>
                            <w:r>
                              <w:rPr>
                                <w:rFonts w:asciiTheme="majorHAnsi" w:hAnsiTheme="majorHAnsi"/>
                                <w:color w:val="595959" w:themeColor="text1" w:themeTint="A6"/>
                                <w:sz w:val="18"/>
                                <w:szCs w:val="18"/>
                                <w:lang w:val="es-ES"/>
                              </w:rPr>
                              <w:t xml:space="preserve"> de diciembre de 2021</w:t>
                            </w:r>
                            <w:r w:rsidRPr="00AD0C9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C021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C240641" w14:textId="24864441" w:rsidR="009206FF" w:rsidRPr="007E78B1" w:rsidRDefault="009206FF"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2C2B">
                        <w:rPr>
                          <w:rFonts w:asciiTheme="majorHAnsi" w:hAnsiTheme="majorHAnsi"/>
                          <w:color w:val="595959" w:themeColor="text1" w:themeTint="A6"/>
                          <w:sz w:val="18"/>
                          <w:szCs w:val="18"/>
                          <w:lang w:val="es-ES_tradnl"/>
                        </w:rPr>
                        <w:t>461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21. </w:t>
                      </w:r>
                      <w:r w:rsidRPr="00890650">
                        <w:rPr>
                          <w:rFonts w:asciiTheme="majorHAnsi" w:hAnsiTheme="majorHAnsi"/>
                          <w:color w:val="595959" w:themeColor="text1" w:themeTint="A6"/>
                          <w:sz w:val="18"/>
                          <w:szCs w:val="18"/>
                          <w:lang w:val="es-ES_tradnl"/>
                        </w:rPr>
                        <w:t xml:space="preserve">Caso </w:t>
                      </w:r>
                      <w:r>
                        <w:rPr>
                          <w:rFonts w:asciiTheme="majorHAnsi" w:hAnsiTheme="majorHAnsi"/>
                          <w:color w:val="595959" w:themeColor="text1" w:themeTint="A6"/>
                          <w:sz w:val="18"/>
                          <w:szCs w:val="18"/>
                          <w:lang w:val="es-ES_tradnl"/>
                        </w:rPr>
                        <w:t>13.394</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Admisibilidad y Fondo (Publicación)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Pete Carl </w:t>
                      </w:r>
                      <w:proofErr w:type="spellStart"/>
                      <w:r>
                        <w:rPr>
                          <w:rFonts w:asciiTheme="majorHAnsi" w:hAnsiTheme="majorHAnsi"/>
                          <w:color w:val="595959" w:themeColor="text1" w:themeTint="A6"/>
                          <w:sz w:val="18"/>
                          <w:szCs w:val="18"/>
                          <w:lang w:val="es-ES_tradnl"/>
                        </w:rPr>
                        <w:t>Rogovich</w:t>
                      </w:r>
                      <w:proofErr w:type="spellEnd"/>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Estados Unidos de América</w:t>
                      </w:r>
                      <w:r w:rsidRPr="00890650">
                        <w:rPr>
                          <w:rFonts w:asciiTheme="majorHAnsi" w:hAnsiTheme="majorHAnsi"/>
                          <w:color w:val="595959" w:themeColor="text1" w:themeTint="A6"/>
                          <w:sz w:val="18"/>
                          <w:szCs w:val="18"/>
                          <w:lang w:val="es-ES_tradnl"/>
                        </w:rPr>
                        <w:t xml:space="preserve">. </w:t>
                      </w:r>
                      <w:r w:rsidR="00E92C2B">
                        <w:rPr>
                          <w:rFonts w:asciiTheme="majorHAnsi" w:hAnsiTheme="majorHAnsi"/>
                          <w:color w:val="595959" w:themeColor="text1" w:themeTint="A6"/>
                          <w:sz w:val="18"/>
                          <w:szCs w:val="18"/>
                          <w:lang w:val="es-ES"/>
                        </w:rPr>
                        <w:t>31</w:t>
                      </w:r>
                      <w:r>
                        <w:rPr>
                          <w:rFonts w:asciiTheme="majorHAnsi" w:hAnsiTheme="majorHAnsi"/>
                          <w:color w:val="595959" w:themeColor="text1" w:themeTint="A6"/>
                          <w:sz w:val="18"/>
                          <w:szCs w:val="18"/>
                          <w:lang w:val="es-ES"/>
                        </w:rPr>
                        <w:t xml:space="preserve"> de diciembre de 2021</w:t>
                      </w:r>
                      <w:r w:rsidRPr="00AD0C98">
                        <w:rPr>
                          <w:rFonts w:asciiTheme="majorHAnsi" w:hAnsiTheme="majorHAnsi"/>
                          <w:color w:val="595959" w:themeColor="text1" w:themeTint="A6"/>
                          <w:sz w:val="18"/>
                          <w:szCs w:val="18"/>
                          <w:lang w:val="es-ES"/>
                        </w:rPr>
                        <w:t>.</w:t>
                      </w:r>
                    </w:p>
                  </w:txbxContent>
                </v:textbox>
              </v:shape>
            </w:pict>
          </mc:Fallback>
        </mc:AlternateContent>
      </w:r>
    </w:p>
    <w:p w14:paraId="682560D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00053E"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1392551" wp14:editId="5859410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0791F" w14:textId="77777777" w:rsidR="009206FF" w:rsidRPr="00D72DC6" w:rsidRDefault="009206FF" w:rsidP="00F02AD1">
                            <w:pPr>
                              <w:rPr>
                                <w:color w:val="FFFFFF" w:themeColor="background1"/>
                                <w14:textFill>
                                  <w14:noFill/>
                                </w14:textFill>
                              </w:rPr>
                            </w:pPr>
                            <w:r>
                              <w:rPr>
                                <w:noProof/>
                                <w:color w:val="FFFFFF" w:themeColor="background1"/>
                              </w:rPr>
                              <w:drawing>
                                <wp:inline distT="0" distB="0" distL="0" distR="0" wp14:anchorId="77A0A445" wp14:editId="68CAE49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255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05B0791F" w14:textId="77777777" w:rsidR="009206FF" w:rsidRPr="00D72DC6" w:rsidRDefault="009206FF" w:rsidP="00F02AD1">
                      <w:pPr>
                        <w:rPr>
                          <w:color w:val="FFFFFF" w:themeColor="background1"/>
                          <w14:textFill>
                            <w14:noFill/>
                          </w14:textFill>
                        </w:rPr>
                      </w:pPr>
                      <w:r>
                        <w:rPr>
                          <w:noProof/>
                          <w:color w:val="FFFFFF" w:themeColor="background1"/>
                        </w:rPr>
                        <w:drawing>
                          <wp:inline distT="0" distB="0" distL="0" distR="0" wp14:anchorId="77A0A445" wp14:editId="68CAE49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31FC67C" wp14:editId="250E7E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566E8" w14:textId="77777777" w:rsidR="009206FF" w:rsidRPr="004B7EB6" w:rsidRDefault="009206F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FC67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A9566E8" w14:textId="77777777" w:rsidR="009206FF" w:rsidRPr="004B7EB6" w:rsidRDefault="009206F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4D61B21"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4DB815B" w14:textId="77777777" w:rsidR="00722C9F" w:rsidRPr="00953481" w:rsidRDefault="00722C9F" w:rsidP="00722C9F">
      <w:pPr>
        <w:tabs>
          <w:tab w:val="center" w:pos="5400"/>
        </w:tabs>
        <w:suppressAutoHyphens/>
        <w:spacing w:line="276" w:lineRule="auto"/>
        <w:jc w:val="center"/>
        <w:rPr>
          <w:rFonts w:asciiTheme="majorHAnsi" w:hAnsiTheme="majorHAnsi"/>
          <w:b/>
          <w:sz w:val="20"/>
          <w:szCs w:val="20"/>
          <w:lang w:val="es-ES_tradnl"/>
        </w:rPr>
      </w:pPr>
      <w:r w:rsidRPr="00953481">
        <w:rPr>
          <w:rFonts w:asciiTheme="majorHAnsi" w:hAnsiTheme="majorHAnsi"/>
          <w:b/>
          <w:sz w:val="20"/>
          <w:szCs w:val="20"/>
          <w:lang w:val="es-ES_tradnl"/>
        </w:rPr>
        <w:lastRenderedPageBreak/>
        <w:t>ÍNDICE</w:t>
      </w:r>
    </w:p>
    <w:p w14:paraId="13FE34A9" w14:textId="77777777" w:rsidR="00953481" w:rsidRPr="006D19DD" w:rsidRDefault="00953481" w:rsidP="00953481">
      <w:pPr>
        <w:tabs>
          <w:tab w:val="center" w:pos="5400"/>
        </w:tabs>
        <w:suppressAutoHyphens/>
        <w:spacing w:line="276" w:lineRule="auto"/>
        <w:rPr>
          <w:rFonts w:asciiTheme="majorHAnsi" w:hAnsiTheme="majorHAnsi"/>
          <w:sz w:val="20"/>
          <w:szCs w:val="20"/>
          <w:lang w:val="es-ES"/>
        </w:rPr>
      </w:pPr>
    </w:p>
    <w:p w14:paraId="0A9157C6" w14:textId="47D14BC3" w:rsidR="006D19DD" w:rsidRPr="006D19DD" w:rsidRDefault="00953481">
      <w:pPr>
        <w:pStyle w:val="TOC1"/>
        <w:rPr>
          <w:rFonts w:eastAsiaTheme="minorEastAsia" w:cstheme="minorBidi"/>
          <w:b w:val="0"/>
          <w:bdr w:val="none" w:sz="0" w:space="0" w:color="auto"/>
          <w:lang w:val="es-US" w:eastAsia="zh-CN"/>
        </w:rPr>
      </w:pPr>
      <w:r w:rsidRPr="006D19DD">
        <w:rPr>
          <w:noProof w:val="0"/>
        </w:rPr>
        <w:fldChar w:fldCharType="begin"/>
      </w:r>
      <w:r w:rsidRPr="006D19DD">
        <w:rPr>
          <w:noProof w:val="0"/>
        </w:rPr>
        <w:instrText xml:space="preserve"> TOC \o "1-3" \h \z \u </w:instrText>
      </w:r>
      <w:r w:rsidRPr="006D19DD">
        <w:rPr>
          <w:noProof w:val="0"/>
        </w:rPr>
        <w:fldChar w:fldCharType="separate"/>
      </w:r>
      <w:hyperlink w:anchor="_Toc90283129" w:history="1">
        <w:r w:rsidR="006D19DD" w:rsidRPr="006D19DD">
          <w:rPr>
            <w:rStyle w:val="Hyperlink"/>
          </w:rPr>
          <w:t>I.</w:t>
        </w:r>
        <w:r w:rsidR="006D19DD" w:rsidRPr="006D19DD">
          <w:rPr>
            <w:rFonts w:eastAsiaTheme="minorEastAsia" w:cstheme="minorBidi"/>
            <w:b w:val="0"/>
            <w:bdr w:val="none" w:sz="0" w:space="0" w:color="auto"/>
            <w:lang w:val="es-US" w:eastAsia="zh-CN"/>
          </w:rPr>
          <w:tab/>
        </w:r>
        <w:r w:rsidR="006D19DD" w:rsidRPr="006D19DD">
          <w:rPr>
            <w:rStyle w:val="Hyperlink"/>
          </w:rPr>
          <w:t>INTRODUCCIÓN</w:t>
        </w:r>
        <w:r w:rsidR="006D19DD" w:rsidRPr="006D19DD">
          <w:rPr>
            <w:webHidden/>
          </w:rPr>
          <w:tab/>
        </w:r>
        <w:r w:rsidR="006D19DD" w:rsidRPr="006D19DD">
          <w:rPr>
            <w:webHidden/>
          </w:rPr>
          <w:fldChar w:fldCharType="begin"/>
        </w:r>
        <w:r w:rsidR="006D19DD" w:rsidRPr="006D19DD">
          <w:rPr>
            <w:webHidden/>
          </w:rPr>
          <w:instrText xml:space="preserve"> PAGEREF _Toc90283129 \h </w:instrText>
        </w:r>
        <w:r w:rsidR="006D19DD" w:rsidRPr="006D19DD">
          <w:rPr>
            <w:webHidden/>
          </w:rPr>
        </w:r>
        <w:r w:rsidR="006D19DD" w:rsidRPr="006D19DD">
          <w:rPr>
            <w:webHidden/>
          </w:rPr>
          <w:fldChar w:fldCharType="separate"/>
        </w:r>
        <w:r w:rsidR="006D19DD" w:rsidRPr="006D19DD">
          <w:rPr>
            <w:webHidden/>
          </w:rPr>
          <w:t>3</w:t>
        </w:r>
        <w:r w:rsidR="006D19DD" w:rsidRPr="006D19DD">
          <w:rPr>
            <w:webHidden/>
          </w:rPr>
          <w:fldChar w:fldCharType="end"/>
        </w:r>
      </w:hyperlink>
    </w:p>
    <w:p w14:paraId="04E0F05E" w14:textId="08CF6A30" w:rsidR="006D19DD" w:rsidRPr="006D19DD" w:rsidRDefault="005D64AE">
      <w:pPr>
        <w:pStyle w:val="TOC1"/>
        <w:rPr>
          <w:rFonts w:eastAsiaTheme="minorEastAsia" w:cstheme="minorBidi"/>
          <w:b w:val="0"/>
          <w:bdr w:val="none" w:sz="0" w:space="0" w:color="auto"/>
          <w:lang w:val="es-US" w:eastAsia="zh-CN"/>
        </w:rPr>
      </w:pPr>
      <w:hyperlink w:anchor="_Toc90283130" w:history="1">
        <w:r w:rsidR="006D19DD" w:rsidRPr="006D19DD">
          <w:rPr>
            <w:rStyle w:val="Hyperlink"/>
          </w:rPr>
          <w:t>II.</w:t>
        </w:r>
        <w:r w:rsidR="006D19DD" w:rsidRPr="006D19DD">
          <w:rPr>
            <w:rFonts w:eastAsiaTheme="minorEastAsia" w:cstheme="minorBidi"/>
            <w:b w:val="0"/>
            <w:bdr w:val="none" w:sz="0" w:space="0" w:color="auto"/>
            <w:lang w:val="es-US" w:eastAsia="zh-CN"/>
          </w:rPr>
          <w:tab/>
        </w:r>
        <w:r w:rsidR="006D19DD" w:rsidRPr="006D19DD">
          <w:rPr>
            <w:rStyle w:val="Hyperlink"/>
          </w:rPr>
          <w:t>POSICIÓN DE LAS PARTES</w:t>
        </w:r>
        <w:r w:rsidR="006D19DD" w:rsidRPr="006D19DD">
          <w:rPr>
            <w:webHidden/>
          </w:rPr>
          <w:tab/>
        </w:r>
        <w:r w:rsidR="006D19DD" w:rsidRPr="006D19DD">
          <w:rPr>
            <w:webHidden/>
          </w:rPr>
          <w:fldChar w:fldCharType="begin"/>
        </w:r>
        <w:r w:rsidR="006D19DD" w:rsidRPr="006D19DD">
          <w:rPr>
            <w:webHidden/>
          </w:rPr>
          <w:instrText xml:space="preserve"> PAGEREF _Toc90283130 \h </w:instrText>
        </w:r>
        <w:r w:rsidR="006D19DD" w:rsidRPr="006D19DD">
          <w:rPr>
            <w:webHidden/>
          </w:rPr>
        </w:r>
        <w:r w:rsidR="006D19DD" w:rsidRPr="006D19DD">
          <w:rPr>
            <w:webHidden/>
          </w:rPr>
          <w:fldChar w:fldCharType="separate"/>
        </w:r>
        <w:r w:rsidR="006D19DD" w:rsidRPr="006D19DD">
          <w:rPr>
            <w:webHidden/>
          </w:rPr>
          <w:t>3</w:t>
        </w:r>
        <w:r w:rsidR="006D19DD" w:rsidRPr="006D19DD">
          <w:rPr>
            <w:webHidden/>
          </w:rPr>
          <w:fldChar w:fldCharType="end"/>
        </w:r>
      </w:hyperlink>
    </w:p>
    <w:p w14:paraId="44720AC8" w14:textId="7481BF86" w:rsidR="006D19DD" w:rsidRPr="006D19DD" w:rsidRDefault="005D64AE" w:rsidP="009206FF">
      <w:pPr>
        <w:pStyle w:val="TOC2"/>
        <w:rPr>
          <w:rFonts w:eastAsiaTheme="minorEastAsia" w:cstheme="minorBidi"/>
          <w:bdr w:val="none" w:sz="0" w:space="0" w:color="auto"/>
          <w:lang w:val="es-US" w:eastAsia="zh-CN"/>
        </w:rPr>
      </w:pPr>
      <w:hyperlink w:anchor="_Toc90283131" w:history="1">
        <w:r w:rsidR="006D19DD" w:rsidRPr="006D19DD">
          <w:rPr>
            <w:rStyle w:val="Hyperlink"/>
          </w:rPr>
          <w:t>A.</w:t>
        </w:r>
        <w:r w:rsidR="006D19DD" w:rsidRPr="006D19DD">
          <w:rPr>
            <w:rFonts w:eastAsiaTheme="minorEastAsia" w:cstheme="minorBidi"/>
            <w:bdr w:val="none" w:sz="0" w:space="0" w:color="auto"/>
            <w:lang w:val="es-US" w:eastAsia="zh-CN"/>
          </w:rPr>
          <w:tab/>
        </w:r>
        <w:r w:rsidR="006D19DD" w:rsidRPr="006D19DD">
          <w:rPr>
            <w:rStyle w:val="Hyperlink"/>
          </w:rPr>
          <w:t>Posición de la parte peticionaria</w:t>
        </w:r>
        <w:r w:rsidR="006D19DD" w:rsidRPr="006D19DD">
          <w:rPr>
            <w:webHidden/>
          </w:rPr>
          <w:tab/>
        </w:r>
        <w:r w:rsidR="006D19DD" w:rsidRPr="006D19DD">
          <w:rPr>
            <w:webHidden/>
          </w:rPr>
          <w:fldChar w:fldCharType="begin"/>
        </w:r>
        <w:r w:rsidR="006D19DD" w:rsidRPr="006D19DD">
          <w:rPr>
            <w:webHidden/>
          </w:rPr>
          <w:instrText xml:space="preserve"> PAGEREF _Toc90283131 \h </w:instrText>
        </w:r>
        <w:r w:rsidR="006D19DD" w:rsidRPr="006D19DD">
          <w:rPr>
            <w:webHidden/>
          </w:rPr>
        </w:r>
        <w:r w:rsidR="006D19DD" w:rsidRPr="006D19DD">
          <w:rPr>
            <w:webHidden/>
          </w:rPr>
          <w:fldChar w:fldCharType="separate"/>
        </w:r>
        <w:r w:rsidR="006D19DD" w:rsidRPr="006D19DD">
          <w:rPr>
            <w:webHidden/>
          </w:rPr>
          <w:t>3</w:t>
        </w:r>
        <w:r w:rsidR="006D19DD" w:rsidRPr="006D19DD">
          <w:rPr>
            <w:webHidden/>
          </w:rPr>
          <w:fldChar w:fldCharType="end"/>
        </w:r>
      </w:hyperlink>
    </w:p>
    <w:p w14:paraId="6614832E" w14:textId="22B26730" w:rsidR="006D19DD" w:rsidRPr="006D19DD" w:rsidRDefault="005D64AE" w:rsidP="009206FF">
      <w:pPr>
        <w:pStyle w:val="TOC2"/>
        <w:rPr>
          <w:rFonts w:eastAsiaTheme="minorEastAsia" w:cstheme="minorBidi"/>
          <w:bdr w:val="none" w:sz="0" w:space="0" w:color="auto"/>
          <w:lang w:val="es-US" w:eastAsia="zh-CN"/>
        </w:rPr>
      </w:pPr>
      <w:hyperlink w:anchor="_Toc90283132" w:history="1">
        <w:r w:rsidR="006D19DD" w:rsidRPr="006D19DD">
          <w:rPr>
            <w:rStyle w:val="Hyperlink"/>
          </w:rPr>
          <w:t>B.</w:t>
        </w:r>
        <w:r w:rsidR="006D19DD" w:rsidRPr="006D19DD">
          <w:rPr>
            <w:rFonts w:eastAsiaTheme="minorEastAsia" w:cstheme="minorBidi"/>
            <w:bdr w:val="none" w:sz="0" w:space="0" w:color="auto"/>
            <w:lang w:val="es-US" w:eastAsia="zh-CN"/>
          </w:rPr>
          <w:tab/>
        </w:r>
        <w:r w:rsidR="006D19DD" w:rsidRPr="006D19DD">
          <w:rPr>
            <w:rStyle w:val="Hyperlink"/>
          </w:rPr>
          <w:t>Posición del Estado</w:t>
        </w:r>
        <w:r w:rsidR="006D19DD" w:rsidRPr="006D19DD">
          <w:rPr>
            <w:webHidden/>
          </w:rPr>
          <w:tab/>
        </w:r>
        <w:r w:rsidR="006D19DD" w:rsidRPr="006D19DD">
          <w:rPr>
            <w:webHidden/>
          </w:rPr>
          <w:fldChar w:fldCharType="begin"/>
        </w:r>
        <w:r w:rsidR="006D19DD" w:rsidRPr="006D19DD">
          <w:rPr>
            <w:webHidden/>
          </w:rPr>
          <w:instrText xml:space="preserve"> PAGEREF _Toc90283132 \h </w:instrText>
        </w:r>
        <w:r w:rsidR="006D19DD" w:rsidRPr="006D19DD">
          <w:rPr>
            <w:webHidden/>
          </w:rPr>
        </w:r>
        <w:r w:rsidR="006D19DD" w:rsidRPr="006D19DD">
          <w:rPr>
            <w:webHidden/>
          </w:rPr>
          <w:fldChar w:fldCharType="separate"/>
        </w:r>
        <w:r w:rsidR="006D19DD" w:rsidRPr="006D19DD">
          <w:rPr>
            <w:webHidden/>
          </w:rPr>
          <w:t>4</w:t>
        </w:r>
        <w:r w:rsidR="006D19DD" w:rsidRPr="006D19DD">
          <w:rPr>
            <w:webHidden/>
          </w:rPr>
          <w:fldChar w:fldCharType="end"/>
        </w:r>
      </w:hyperlink>
    </w:p>
    <w:p w14:paraId="3BF96476" w14:textId="6E9E871A" w:rsidR="006D19DD" w:rsidRPr="006D19DD" w:rsidRDefault="005D64AE">
      <w:pPr>
        <w:pStyle w:val="TOC1"/>
        <w:rPr>
          <w:rFonts w:eastAsiaTheme="minorEastAsia" w:cstheme="minorBidi"/>
          <w:b w:val="0"/>
          <w:bdr w:val="none" w:sz="0" w:space="0" w:color="auto"/>
          <w:lang w:val="es-US" w:eastAsia="zh-CN"/>
        </w:rPr>
      </w:pPr>
      <w:hyperlink w:anchor="_Toc90283133" w:history="1">
        <w:r w:rsidR="006D19DD" w:rsidRPr="006D19DD">
          <w:rPr>
            <w:rStyle w:val="Hyperlink"/>
          </w:rPr>
          <w:t>III.</w:t>
        </w:r>
        <w:r w:rsidR="006D19DD" w:rsidRPr="006D19DD">
          <w:rPr>
            <w:rFonts w:eastAsiaTheme="minorEastAsia" w:cstheme="minorBidi"/>
            <w:b w:val="0"/>
            <w:bdr w:val="none" w:sz="0" w:space="0" w:color="auto"/>
            <w:lang w:val="es-US" w:eastAsia="zh-CN"/>
          </w:rPr>
          <w:tab/>
        </w:r>
        <w:r w:rsidR="006D19DD" w:rsidRPr="006D19DD">
          <w:rPr>
            <w:rStyle w:val="Hyperlink"/>
          </w:rPr>
          <w:t>ADMISIBILIDAD</w:t>
        </w:r>
        <w:r w:rsidR="006D19DD" w:rsidRPr="006D19DD">
          <w:rPr>
            <w:webHidden/>
          </w:rPr>
          <w:tab/>
        </w:r>
        <w:r w:rsidR="006D19DD" w:rsidRPr="006D19DD">
          <w:rPr>
            <w:webHidden/>
          </w:rPr>
          <w:fldChar w:fldCharType="begin"/>
        </w:r>
        <w:r w:rsidR="006D19DD" w:rsidRPr="006D19DD">
          <w:rPr>
            <w:webHidden/>
          </w:rPr>
          <w:instrText xml:space="preserve"> PAGEREF _Toc90283133 \h </w:instrText>
        </w:r>
        <w:r w:rsidR="006D19DD" w:rsidRPr="006D19DD">
          <w:rPr>
            <w:webHidden/>
          </w:rPr>
        </w:r>
        <w:r w:rsidR="006D19DD" w:rsidRPr="006D19DD">
          <w:rPr>
            <w:webHidden/>
          </w:rPr>
          <w:fldChar w:fldCharType="separate"/>
        </w:r>
        <w:r w:rsidR="006D19DD" w:rsidRPr="006D19DD">
          <w:rPr>
            <w:webHidden/>
          </w:rPr>
          <w:t>5</w:t>
        </w:r>
        <w:r w:rsidR="006D19DD" w:rsidRPr="006D19DD">
          <w:rPr>
            <w:webHidden/>
          </w:rPr>
          <w:fldChar w:fldCharType="end"/>
        </w:r>
      </w:hyperlink>
    </w:p>
    <w:p w14:paraId="698FDA28" w14:textId="31612BA7" w:rsidR="006D19DD" w:rsidRPr="006D19DD" w:rsidRDefault="005D64AE" w:rsidP="009206FF">
      <w:pPr>
        <w:pStyle w:val="TOC2"/>
        <w:rPr>
          <w:rFonts w:eastAsiaTheme="minorEastAsia" w:cstheme="minorBidi"/>
          <w:bdr w:val="none" w:sz="0" w:space="0" w:color="auto"/>
          <w:lang w:val="es-US" w:eastAsia="zh-CN"/>
        </w:rPr>
      </w:pPr>
      <w:hyperlink w:anchor="_Toc90283134" w:history="1">
        <w:r w:rsidR="006D19DD" w:rsidRPr="006D19DD">
          <w:rPr>
            <w:rStyle w:val="Hyperlink"/>
          </w:rPr>
          <w:t>A.</w:t>
        </w:r>
        <w:r w:rsidR="006D19DD" w:rsidRPr="006D19DD">
          <w:rPr>
            <w:rFonts w:eastAsiaTheme="minorEastAsia" w:cstheme="minorBidi"/>
            <w:bdr w:val="none" w:sz="0" w:space="0" w:color="auto"/>
            <w:lang w:val="es-US" w:eastAsia="zh-CN"/>
          </w:rPr>
          <w:tab/>
        </w:r>
        <w:r w:rsidR="006D19DD" w:rsidRPr="006D19DD">
          <w:rPr>
            <w:rStyle w:val="Hyperlink"/>
          </w:rPr>
          <w:t>Competencia, duplicación de procedimientos y cosa juzgada internacional</w:t>
        </w:r>
        <w:r w:rsidR="006D19DD" w:rsidRPr="006D19DD">
          <w:rPr>
            <w:webHidden/>
          </w:rPr>
          <w:tab/>
        </w:r>
        <w:r w:rsidR="006D19DD" w:rsidRPr="006D19DD">
          <w:rPr>
            <w:webHidden/>
          </w:rPr>
          <w:fldChar w:fldCharType="begin"/>
        </w:r>
        <w:r w:rsidR="006D19DD" w:rsidRPr="006D19DD">
          <w:rPr>
            <w:webHidden/>
          </w:rPr>
          <w:instrText xml:space="preserve"> PAGEREF _Toc90283134 \h </w:instrText>
        </w:r>
        <w:r w:rsidR="006D19DD" w:rsidRPr="006D19DD">
          <w:rPr>
            <w:webHidden/>
          </w:rPr>
        </w:r>
        <w:r w:rsidR="006D19DD" w:rsidRPr="006D19DD">
          <w:rPr>
            <w:webHidden/>
          </w:rPr>
          <w:fldChar w:fldCharType="separate"/>
        </w:r>
        <w:r w:rsidR="006D19DD" w:rsidRPr="006D19DD">
          <w:rPr>
            <w:webHidden/>
          </w:rPr>
          <w:t>6</w:t>
        </w:r>
        <w:r w:rsidR="006D19DD" w:rsidRPr="006D19DD">
          <w:rPr>
            <w:webHidden/>
          </w:rPr>
          <w:fldChar w:fldCharType="end"/>
        </w:r>
      </w:hyperlink>
    </w:p>
    <w:p w14:paraId="4EB121D2" w14:textId="69BEEA56" w:rsidR="006D19DD" w:rsidRPr="006D19DD" w:rsidRDefault="005D64AE" w:rsidP="009206FF">
      <w:pPr>
        <w:pStyle w:val="TOC2"/>
        <w:rPr>
          <w:rFonts w:eastAsiaTheme="minorEastAsia" w:cstheme="minorBidi"/>
          <w:bdr w:val="none" w:sz="0" w:space="0" w:color="auto"/>
          <w:lang w:val="es-US" w:eastAsia="zh-CN"/>
        </w:rPr>
      </w:pPr>
      <w:hyperlink w:anchor="_Toc90283135" w:history="1">
        <w:r w:rsidR="006D19DD" w:rsidRPr="006D19DD">
          <w:rPr>
            <w:rStyle w:val="Hyperlink"/>
            <w:rFonts w:cs="Tahoma"/>
          </w:rPr>
          <w:t>B.</w:t>
        </w:r>
        <w:r w:rsidR="006D19DD" w:rsidRPr="006D19DD">
          <w:rPr>
            <w:rFonts w:eastAsiaTheme="minorEastAsia" w:cstheme="minorBidi"/>
            <w:bdr w:val="none" w:sz="0" w:space="0" w:color="auto"/>
            <w:lang w:val="es-US" w:eastAsia="zh-CN"/>
          </w:rPr>
          <w:tab/>
        </w:r>
        <w:r w:rsidR="006D19DD" w:rsidRPr="006D19DD">
          <w:rPr>
            <w:rStyle w:val="Hyperlink"/>
            <w:rFonts w:cs="Tahoma"/>
            <w:shd w:val="clear" w:color="auto" w:fill="FFFFFF"/>
          </w:rPr>
          <w:t>Agotamiento de los recursos internos y plazo de presentación</w:t>
        </w:r>
        <w:r w:rsidR="006D19DD" w:rsidRPr="006D19DD">
          <w:rPr>
            <w:webHidden/>
          </w:rPr>
          <w:tab/>
        </w:r>
        <w:r w:rsidR="006D19DD" w:rsidRPr="006D19DD">
          <w:rPr>
            <w:webHidden/>
          </w:rPr>
          <w:fldChar w:fldCharType="begin"/>
        </w:r>
        <w:r w:rsidR="006D19DD" w:rsidRPr="006D19DD">
          <w:rPr>
            <w:webHidden/>
          </w:rPr>
          <w:instrText xml:space="preserve"> PAGEREF _Toc90283135 \h </w:instrText>
        </w:r>
        <w:r w:rsidR="006D19DD" w:rsidRPr="006D19DD">
          <w:rPr>
            <w:webHidden/>
          </w:rPr>
        </w:r>
        <w:r w:rsidR="006D19DD" w:rsidRPr="006D19DD">
          <w:rPr>
            <w:webHidden/>
          </w:rPr>
          <w:fldChar w:fldCharType="separate"/>
        </w:r>
        <w:r w:rsidR="006D19DD" w:rsidRPr="006D19DD">
          <w:rPr>
            <w:webHidden/>
          </w:rPr>
          <w:t>6</w:t>
        </w:r>
        <w:r w:rsidR="006D19DD" w:rsidRPr="006D19DD">
          <w:rPr>
            <w:webHidden/>
          </w:rPr>
          <w:fldChar w:fldCharType="end"/>
        </w:r>
      </w:hyperlink>
    </w:p>
    <w:p w14:paraId="7C6B67B4" w14:textId="6DA43003" w:rsidR="006D19DD" w:rsidRPr="006D19DD" w:rsidRDefault="005D64AE" w:rsidP="009206FF">
      <w:pPr>
        <w:pStyle w:val="TOC2"/>
        <w:rPr>
          <w:rFonts w:eastAsiaTheme="minorEastAsia" w:cstheme="minorBidi"/>
          <w:bdr w:val="none" w:sz="0" w:space="0" w:color="auto"/>
          <w:lang w:val="es-US" w:eastAsia="zh-CN"/>
        </w:rPr>
      </w:pPr>
      <w:hyperlink w:anchor="_Toc90283136" w:history="1">
        <w:r w:rsidR="006D19DD" w:rsidRPr="006D19DD">
          <w:rPr>
            <w:rStyle w:val="Hyperlink"/>
          </w:rPr>
          <w:t>C.</w:t>
        </w:r>
        <w:r w:rsidR="006D19DD" w:rsidRPr="006D19DD">
          <w:rPr>
            <w:rFonts w:eastAsiaTheme="minorEastAsia" w:cstheme="minorBidi"/>
            <w:bdr w:val="none" w:sz="0" w:space="0" w:color="auto"/>
            <w:lang w:val="es-US" w:eastAsia="zh-CN"/>
          </w:rPr>
          <w:tab/>
        </w:r>
        <w:r w:rsidR="006D19DD" w:rsidRPr="006D19DD">
          <w:rPr>
            <w:rStyle w:val="Hyperlink"/>
          </w:rPr>
          <w:t>Caracterización de los hechos alegados</w:t>
        </w:r>
        <w:r w:rsidR="006D19DD" w:rsidRPr="006D19DD">
          <w:rPr>
            <w:webHidden/>
          </w:rPr>
          <w:tab/>
        </w:r>
        <w:r w:rsidR="006D19DD" w:rsidRPr="006D19DD">
          <w:rPr>
            <w:webHidden/>
          </w:rPr>
          <w:fldChar w:fldCharType="begin"/>
        </w:r>
        <w:r w:rsidR="006D19DD" w:rsidRPr="006D19DD">
          <w:rPr>
            <w:webHidden/>
          </w:rPr>
          <w:instrText xml:space="preserve"> PAGEREF _Toc90283136 \h </w:instrText>
        </w:r>
        <w:r w:rsidR="006D19DD" w:rsidRPr="006D19DD">
          <w:rPr>
            <w:webHidden/>
          </w:rPr>
        </w:r>
        <w:r w:rsidR="006D19DD" w:rsidRPr="006D19DD">
          <w:rPr>
            <w:webHidden/>
          </w:rPr>
          <w:fldChar w:fldCharType="separate"/>
        </w:r>
        <w:r w:rsidR="006D19DD" w:rsidRPr="006D19DD">
          <w:rPr>
            <w:webHidden/>
          </w:rPr>
          <w:t>7</w:t>
        </w:r>
        <w:r w:rsidR="006D19DD" w:rsidRPr="006D19DD">
          <w:rPr>
            <w:webHidden/>
          </w:rPr>
          <w:fldChar w:fldCharType="end"/>
        </w:r>
      </w:hyperlink>
    </w:p>
    <w:p w14:paraId="3F764C3E" w14:textId="3CC7DDC2" w:rsidR="006D19DD" w:rsidRPr="006D19DD" w:rsidRDefault="005D64AE">
      <w:pPr>
        <w:pStyle w:val="TOC1"/>
        <w:rPr>
          <w:rFonts w:eastAsiaTheme="minorEastAsia" w:cstheme="minorBidi"/>
          <w:b w:val="0"/>
          <w:bdr w:val="none" w:sz="0" w:space="0" w:color="auto"/>
          <w:lang w:val="es-US" w:eastAsia="zh-CN"/>
        </w:rPr>
      </w:pPr>
      <w:hyperlink w:anchor="_Toc90283137" w:history="1">
        <w:r w:rsidR="006D19DD" w:rsidRPr="006D19DD">
          <w:rPr>
            <w:rStyle w:val="Hyperlink"/>
          </w:rPr>
          <w:t>IV.</w:t>
        </w:r>
        <w:r w:rsidR="006D19DD" w:rsidRPr="006D19DD">
          <w:rPr>
            <w:rFonts w:eastAsiaTheme="minorEastAsia" w:cstheme="minorBidi"/>
            <w:b w:val="0"/>
            <w:bdr w:val="none" w:sz="0" w:space="0" w:color="auto"/>
            <w:lang w:val="es-US" w:eastAsia="zh-CN"/>
          </w:rPr>
          <w:tab/>
        </w:r>
        <w:r w:rsidR="006D19DD" w:rsidRPr="006D19DD">
          <w:rPr>
            <w:rStyle w:val="Hyperlink"/>
          </w:rPr>
          <w:t>DETERMINACIONES DE HECHO</w:t>
        </w:r>
        <w:r w:rsidR="006D19DD" w:rsidRPr="006D19DD">
          <w:rPr>
            <w:webHidden/>
          </w:rPr>
          <w:tab/>
        </w:r>
        <w:r w:rsidR="006D19DD" w:rsidRPr="006D19DD">
          <w:rPr>
            <w:webHidden/>
          </w:rPr>
          <w:fldChar w:fldCharType="begin"/>
        </w:r>
        <w:r w:rsidR="006D19DD" w:rsidRPr="006D19DD">
          <w:rPr>
            <w:webHidden/>
          </w:rPr>
          <w:instrText xml:space="preserve"> PAGEREF _Toc90283137 \h </w:instrText>
        </w:r>
        <w:r w:rsidR="006D19DD" w:rsidRPr="006D19DD">
          <w:rPr>
            <w:webHidden/>
          </w:rPr>
        </w:r>
        <w:r w:rsidR="006D19DD" w:rsidRPr="006D19DD">
          <w:rPr>
            <w:webHidden/>
          </w:rPr>
          <w:fldChar w:fldCharType="separate"/>
        </w:r>
        <w:r w:rsidR="006D19DD" w:rsidRPr="006D19DD">
          <w:rPr>
            <w:webHidden/>
          </w:rPr>
          <w:t>7</w:t>
        </w:r>
        <w:r w:rsidR="006D19DD" w:rsidRPr="006D19DD">
          <w:rPr>
            <w:webHidden/>
          </w:rPr>
          <w:fldChar w:fldCharType="end"/>
        </w:r>
      </w:hyperlink>
    </w:p>
    <w:p w14:paraId="3857B712" w14:textId="5896ACA7" w:rsidR="006D19DD" w:rsidRPr="006D19DD" w:rsidRDefault="005D64AE" w:rsidP="009206FF">
      <w:pPr>
        <w:pStyle w:val="TOC2"/>
        <w:rPr>
          <w:rFonts w:eastAsiaTheme="minorEastAsia" w:cstheme="minorBidi"/>
          <w:bdr w:val="none" w:sz="0" w:space="0" w:color="auto"/>
          <w:lang w:val="es-US" w:eastAsia="zh-CN"/>
        </w:rPr>
      </w:pPr>
      <w:hyperlink w:anchor="_Toc90283138" w:history="1">
        <w:r w:rsidR="006D19DD" w:rsidRPr="006D19DD">
          <w:rPr>
            <w:rStyle w:val="Hyperlink"/>
          </w:rPr>
          <w:t>A.</w:t>
        </w:r>
        <w:r w:rsidR="006D19DD" w:rsidRPr="006D19DD">
          <w:rPr>
            <w:rFonts w:eastAsiaTheme="minorEastAsia" w:cstheme="minorBidi"/>
            <w:bdr w:val="none" w:sz="0" w:space="0" w:color="auto"/>
            <w:lang w:val="es-US" w:eastAsia="zh-CN"/>
          </w:rPr>
          <w:tab/>
        </w:r>
        <w:r w:rsidR="006D19DD" w:rsidRPr="006D19DD">
          <w:rPr>
            <w:rStyle w:val="Hyperlink"/>
          </w:rPr>
          <w:t>Marco legal pertinente</w:t>
        </w:r>
        <w:r w:rsidR="006D19DD" w:rsidRPr="006D19DD">
          <w:rPr>
            <w:webHidden/>
          </w:rPr>
          <w:tab/>
        </w:r>
        <w:r w:rsidR="006D19DD" w:rsidRPr="006D19DD">
          <w:rPr>
            <w:webHidden/>
          </w:rPr>
          <w:fldChar w:fldCharType="begin"/>
        </w:r>
        <w:r w:rsidR="006D19DD" w:rsidRPr="006D19DD">
          <w:rPr>
            <w:webHidden/>
          </w:rPr>
          <w:instrText xml:space="preserve"> PAGEREF _Toc90283138 \h </w:instrText>
        </w:r>
        <w:r w:rsidR="006D19DD" w:rsidRPr="006D19DD">
          <w:rPr>
            <w:webHidden/>
          </w:rPr>
        </w:r>
        <w:r w:rsidR="006D19DD" w:rsidRPr="006D19DD">
          <w:rPr>
            <w:webHidden/>
          </w:rPr>
          <w:fldChar w:fldCharType="separate"/>
        </w:r>
        <w:r w:rsidR="006D19DD" w:rsidRPr="006D19DD">
          <w:rPr>
            <w:webHidden/>
          </w:rPr>
          <w:t>7</w:t>
        </w:r>
        <w:r w:rsidR="006D19DD" w:rsidRPr="006D19DD">
          <w:rPr>
            <w:webHidden/>
          </w:rPr>
          <w:fldChar w:fldCharType="end"/>
        </w:r>
      </w:hyperlink>
    </w:p>
    <w:p w14:paraId="1817117F" w14:textId="11807C13" w:rsidR="006D19DD" w:rsidRPr="006D19DD" w:rsidRDefault="005D64AE" w:rsidP="009206FF">
      <w:pPr>
        <w:pStyle w:val="TOC2"/>
        <w:rPr>
          <w:rFonts w:eastAsiaTheme="minorEastAsia" w:cstheme="minorBidi"/>
          <w:bdr w:val="none" w:sz="0" w:space="0" w:color="auto"/>
          <w:lang w:val="es-US" w:eastAsia="zh-CN"/>
        </w:rPr>
      </w:pPr>
      <w:hyperlink w:anchor="_Toc90283139" w:history="1">
        <w:r w:rsidR="006D19DD" w:rsidRPr="006D19DD">
          <w:rPr>
            <w:rStyle w:val="Hyperlink"/>
          </w:rPr>
          <w:t>B.</w:t>
        </w:r>
        <w:r w:rsidR="006D19DD" w:rsidRPr="006D19DD">
          <w:rPr>
            <w:rFonts w:eastAsiaTheme="minorEastAsia" w:cstheme="minorBidi"/>
            <w:bdr w:val="none" w:sz="0" w:space="0" w:color="auto"/>
            <w:lang w:val="es-US" w:eastAsia="zh-CN"/>
          </w:rPr>
          <w:tab/>
        </w:r>
        <w:r w:rsidR="006D19DD" w:rsidRPr="006D19DD">
          <w:rPr>
            <w:rStyle w:val="Hyperlink"/>
          </w:rPr>
          <w:t>Hechos del caso</w:t>
        </w:r>
        <w:r w:rsidR="006D19DD" w:rsidRPr="006D19DD">
          <w:rPr>
            <w:webHidden/>
          </w:rPr>
          <w:tab/>
        </w:r>
        <w:r w:rsidR="006D19DD" w:rsidRPr="006D19DD">
          <w:rPr>
            <w:webHidden/>
          </w:rPr>
          <w:fldChar w:fldCharType="begin"/>
        </w:r>
        <w:r w:rsidR="006D19DD" w:rsidRPr="006D19DD">
          <w:rPr>
            <w:webHidden/>
          </w:rPr>
          <w:instrText xml:space="preserve"> PAGEREF _Toc90283139 \h </w:instrText>
        </w:r>
        <w:r w:rsidR="006D19DD" w:rsidRPr="006D19DD">
          <w:rPr>
            <w:webHidden/>
          </w:rPr>
        </w:r>
        <w:r w:rsidR="006D19DD" w:rsidRPr="006D19DD">
          <w:rPr>
            <w:webHidden/>
          </w:rPr>
          <w:fldChar w:fldCharType="separate"/>
        </w:r>
        <w:r w:rsidR="006D19DD" w:rsidRPr="006D19DD">
          <w:rPr>
            <w:webHidden/>
          </w:rPr>
          <w:t>8</w:t>
        </w:r>
        <w:r w:rsidR="006D19DD" w:rsidRPr="006D19DD">
          <w:rPr>
            <w:webHidden/>
          </w:rPr>
          <w:fldChar w:fldCharType="end"/>
        </w:r>
      </w:hyperlink>
    </w:p>
    <w:p w14:paraId="4806F473" w14:textId="46B8BD23" w:rsidR="006D19DD" w:rsidRPr="006D19DD" w:rsidRDefault="005D64AE" w:rsidP="009206FF">
      <w:pPr>
        <w:pStyle w:val="TOC2"/>
        <w:rPr>
          <w:rFonts w:eastAsiaTheme="minorEastAsia" w:cstheme="minorBidi"/>
          <w:bdr w:val="none" w:sz="0" w:space="0" w:color="auto"/>
          <w:lang w:val="es-US" w:eastAsia="zh-CN"/>
        </w:rPr>
      </w:pPr>
      <w:hyperlink w:anchor="_Toc90283140" w:history="1">
        <w:r w:rsidR="006D19DD" w:rsidRPr="006D19DD">
          <w:rPr>
            <w:rStyle w:val="Hyperlink"/>
          </w:rPr>
          <w:t>C.</w:t>
        </w:r>
        <w:r w:rsidR="006D19DD" w:rsidRPr="006D19DD">
          <w:rPr>
            <w:rFonts w:eastAsiaTheme="minorEastAsia" w:cstheme="minorBidi"/>
            <w:bdr w:val="none" w:sz="0" w:space="0" w:color="auto"/>
            <w:lang w:val="es-US" w:eastAsia="zh-CN"/>
          </w:rPr>
          <w:tab/>
        </w:r>
        <w:r w:rsidR="006D19DD" w:rsidRPr="006D19DD">
          <w:rPr>
            <w:rStyle w:val="Hyperlink"/>
          </w:rPr>
          <w:t>La detención, el juicio y la condena del señor Rogovich</w:t>
        </w:r>
        <w:r w:rsidR="006D19DD" w:rsidRPr="006D19DD">
          <w:rPr>
            <w:webHidden/>
          </w:rPr>
          <w:tab/>
        </w:r>
        <w:r w:rsidR="006D19DD" w:rsidRPr="006D19DD">
          <w:rPr>
            <w:webHidden/>
          </w:rPr>
          <w:fldChar w:fldCharType="begin"/>
        </w:r>
        <w:r w:rsidR="006D19DD" w:rsidRPr="006D19DD">
          <w:rPr>
            <w:webHidden/>
          </w:rPr>
          <w:instrText xml:space="preserve"> PAGEREF _Toc90283140 \h </w:instrText>
        </w:r>
        <w:r w:rsidR="006D19DD" w:rsidRPr="006D19DD">
          <w:rPr>
            <w:webHidden/>
          </w:rPr>
        </w:r>
        <w:r w:rsidR="006D19DD" w:rsidRPr="006D19DD">
          <w:rPr>
            <w:webHidden/>
          </w:rPr>
          <w:fldChar w:fldCharType="separate"/>
        </w:r>
        <w:r w:rsidR="006D19DD" w:rsidRPr="006D19DD">
          <w:rPr>
            <w:webHidden/>
          </w:rPr>
          <w:t>9</w:t>
        </w:r>
        <w:r w:rsidR="006D19DD" w:rsidRPr="006D19DD">
          <w:rPr>
            <w:webHidden/>
          </w:rPr>
          <w:fldChar w:fldCharType="end"/>
        </w:r>
      </w:hyperlink>
    </w:p>
    <w:p w14:paraId="4DDCCC46" w14:textId="2078A5FE" w:rsidR="006D19DD" w:rsidRPr="006D19DD" w:rsidRDefault="005D64AE" w:rsidP="009206FF">
      <w:pPr>
        <w:pStyle w:val="TOC2"/>
        <w:rPr>
          <w:rFonts w:eastAsiaTheme="minorEastAsia" w:cstheme="minorBidi"/>
          <w:bdr w:val="none" w:sz="0" w:space="0" w:color="auto"/>
          <w:lang w:val="es-US" w:eastAsia="zh-CN"/>
        </w:rPr>
      </w:pPr>
      <w:hyperlink w:anchor="_Toc90283141" w:history="1">
        <w:r w:rsidR="006D19DD" w:rsidRPr="006D19DD">
          <w:rPr>
            <w:rStyle w:val="Hyperlink"/>
          </w:rPr>
          <w:t>D.</w:t>
        </w:r>
        <w:r w:rsidR="006D19DD" w:rsidRPr="006D19DD">
          <w:rPr>
            <w:rFonts w:eastAsiaTheme="minorEastAsia" w:cstheme="minorBidi"/>
            <w:bdr w:val="none" w:sz="0" w:space="0" w:color="auto"/>
            <w:lang w:val="es-US" w:eastAsia="zh-CN"/>
          </w:rPr>
          <w:tab/>
        </w:r>
        <w:r w:rsidR="006D19DD" w:rsidRPr="006D19DD">
          <w:rPr>
            <w:rStyle w:val="Hyperlink"/>
          </w:rPr>
          <w:t>Actuaciones poscondenatorias</w:t>
        </w:r>
        <w:r w:rsidR="006D19DD" w:rsidRPr="006D19DD">
          <w:rPr>
            <w:webHidden/>
          </w:rPr>
          <w:tab/>
        </w:r>
        <w:r w:rsidR="006D19DD" w:rsidRPr="006D19DD">
          <w:rPr>
            <w:webHidden/>
          </w:rPr>
          <w:fldChar w:fldCharType="begin"/>
        </w:r>
        <w:r w:rsidR="006D19DD" w:rsidRPr="006D19DD">
          <w:rPr>
            <w:webHidden/>
          </w:rPr>
          <w:instrText xml:space="preserve"> PAGEREF _Toc90283141 \h </w:instrText>
        </w:r>
        <w:r w:rsidR="006D19DD" w:rsidRPr="006D19DD">
          <w:rPr>
            <w:webHidden/>
          </w:rPr>
        </w:r>
        <w:r w:rsidR="006D19DD" w:rsidRPr="006D19DD">
          <w:rPr>
            <w:webHidden/>
          </w:rPr>
          <w:fldChar w:fldCharType="separate"/>
        </w:r>
        <w:r w:rsidR="006D19DD" w:rsidRPr="006D19DD">
          <w:rPr>
            <w:webHidden/>
          </w:rPr>
          <w:t>10</w:t>
        </w:r>
        <w:r w:rsidR="006D19DD" w:rsidRPr="006D19DD">
          <w:rPr>
            <w:webHidden/>
          </w:rPr>
          <w:fldChar w:fldCharType="end"/>
        </w:r>
      </w:hyperlink>
    </w:p>
    <w:p w14:paraId="2A9573DF" w14:textId="06BBAE86" w:rsidR="006D19DD" w:rsidRPr="006D19DD" w:rsidRDefault="005D64AE" w:rsidP="009206FF">
      <w:pPr>
        <w:pStyle w:val="TOC2"/>
        <w:rPr>
          <w:rFonts w:eastAsiaTheme="minorEastAsia" w:cstheme="minorBidi"/>
          <w:bdr w:val="none" w:sz="0" w:space="0" w:color="auto"/>
          <w:lang w:val="es-US" w:eastAsia="zh-CN"/>
        </w:rPr>
      </w:pPr>
      <w:hyperlink w:anchor="_Toc90283142" w:history="1">
        <w:r w:rsidR="006D19DD" w:rsidRPr="006D19DD">
          <w:rPr>
            <w:rStyle w:val="Hyperlink"/>
          </w:rPr>
          <w:t>E.</w:t>
        </w:r>
        <w:r w:rsidR="006D19DD" w:rsidRPr="006D19DD">
          <w:rPr>
            <w:rFonts w:eastAsiaTheme="minorEastAsia" w:cstheme="minorBidi"/>
            <w:bdr w:val="none" w:sz="0" w:space="0" w:color="auto"/>
            <w:lang w:val="es-US" w:eastAsia="zh-CN"/>
          </w:rPr>
          <w:tab/>
        </w:r>
        <w:r w:rsidR="006D19DD" w:rsidRPr="006D19DD">
          <w:rPr>
            <w:rStyle w:val="Hyperlink"/>
          </w:rPr>
          <w:t>Condiciones de detención</w:t>
        </w:r>
        <w:r w:rsidR="006D19DD" w:rsidRPr="006D19DD">
          <w:rPr>
            <w:webHidden/>
          </w:rPr>
          <w:tab/>
        </w:r>
        <w:r w:rsidR="006D19DD" w:rsidRPr="006D19DD">
          <w:rPr>
            <w:webHidden/>
          </w:rPr>
          <w:fldChar w:fldCharType="begin"/>
        </w:r>
        <w:r w:rsidR="006D19DD" w:rsidRPr="006D19DD">
          <w:rPr>
            <w:webHidden/>
          </w:rPr>
          <w:instrText xml:space="preserve"> PAGEREF _Toc90283142 \h </w:instrText>
        </w:r>
        <w:r w:rsidR="006D19DD" w:rsidRPr="006D19DD">
          <w:rPr>
            <w:webHidden/>
          </w:rPr>
        </w:r>
        <w:r w:rsidR="006D19DD" w:rsidRPr="006D19DD">
          <w:rPr>
            <w:webHidden/>
          </w:rPr>
          <w:fldChar w:fldCharType="separate"/>
        </w:r>
        <w:r w:rsidR="006D19DD" w:rsidRPr="006D19DD">
          <w:rPr>
            <w:webHidden/>
          </w:rPr>
          <w:t>11</w:t>
        </w:r>
        <w:r w:rsidR="006D19DD" w:rsidRPr="006D19DD">
          <w:rPr>
            <w:webHidden/>
          </w:rPr>
          <w:fldChar w:fldCharType="end"/>
        </w:r>
      </w:hyperlink>
    </w:p>
    <w:p w14:paraId="428AEEB4" w14:textId="46CFC976" w:rsidR="006D19DD" w:rsidRPr="006D19DD" w:rsidRDefault="005D64AE" w:rsidP="009206FF">
      <w:pPr>
        <w:pStyle w:val="TOC2"/>
        <w:rPr>
          <w:rFonts w:eastAsiaTheme="minorEastAsia" w:cstheme="minorBidi"/>
          <w:bdr w:val="none" w:sz="0" w:space="0" w:color="auto"/>
          <w:lang w:val="es-US" w:eastAsia="zh-CN"/>
        </w:rPr>
      </w:pPr>
      <w:hyperlink w:anchor="_Toc90283143" w:history="1">
        <w:r w:rsidR="006D19DD" w:rsidRPr="006D19DD">
          <w:rPr>
            <w:rStyle w:val="Hyperlink"/>
          </w:rPr>
          <w:t>F.</w:t>
        </w:r>
        <w:r w:rsidR="006D19DD" w:rsidRPr="006D19DD">
          <w:rPr>
            <w:rFonts w:eastAsiaTheme="minorEastAsia" w:cstheme="minorBidi"/>
            <w:bdr w:val="none" w:sz="0" w:space="0" w:color="auto"/>
            <w:lang w:val="es-US" w:eastAsia="zh-CN"/>
          </w:rPr>
          <w:tab/>
        </w:r>
        <w:r w:rsidR="006D19DD" w:rsidRPr="006D19DD">
          <w:rPr>
            <w:rStyle w:val="Hyperlink"/>
          </w:rPr>
          <w:t>Método de ejecución</w:t>
        </w:r>
        <w:r w:rsidR="006D19DD" w:rsidRPr="006D19DD">
          <w:rPr>
            <w:webHidden/>
          </w:rPr>
          <w:tab/>
        </w:r>
        <w:r w:rsidR="006D19DD" w:rsidRPr="006D19DD">
          <w:rPr>
            <w:webHidden/>
          </w:rPr>
          <w:fldChar w:fldCharType="begin"/>
        </w:r>
        <w:r w:rsidR="006D19DD" w:rsidRPr="006D19DD">
          <w:rPr>
            <w:webHidden/>
          </w:rPr>
          <w:instrText xml:space="preserve"> PAGEREF _Toc90283143 \h </w:instrText>
        </w:r>
        <w:r w:rsidR="006D19DD" w:rsidRPr="006D19DD">
          <w:rPr>
            <w:webHidden/>
          </w:rPr>
        </w:r>
        <w:r w:rsidR="006D19DD" w:rsidRPr="006D19DD">
          <w:rPr>
            <w:webHidden/>
          </w:rPr>
          <w:fldChar w:fldCharType="separate"/>
        </w:r>
        <w:r w:rsidR="006D19DD" w:rsidRPr="006D19DD">
          <w:rPr>
            <w:webHidden/>
          </w:rPr>
          <w:t>12</w:t>
        </w:r>
        <w:r w:rsidR="006D19DD" w:rsidRPr="006D19DD">
          <w:rPr>
            <w:webHidden/>
          </w:rPr>
          <w:fldChar w:fldCharType="end"/>
        </w:r>
      </w:hyperlink>
    </w:p>
    <w:p w14:paraId="66F44E2C" w14:textId="61B2F326" w:rsidR="006D19DD" w:rsidRPr="006D19DD" w:rsidRDefault="005D64AE">
      <w:pPr>
        <w:pStyle w:val="TOC1"/>
        <w:rPr>
          <w:rFonts w:eastAsiaTheme="minorEastAsia" w:cstheme="minorBidi"/>
          <w:b w:val="0"/>
          <w:bdr w:val="none" w:sz="0" w:space="0" w:color="auto"/>
          <w:lang w:val="es-US" w:eastAsia="zh-CN"/>
        </w:rPr>
      </w:pPr>
      <w:hyperlink w:anchor="_Toc90283144" w:history="1">
        <w:r w:rsidR="006D19DD" w:rsidRPr="006D19DD">
          <w:rPr>
            <w:rStyle w:val="Hyperlink"/>
          </w:rPr>
          <w:t>V.</w:t>
        </w:r>
        <w:r w:rsidR="006D19DD" w:rsidRPr="006D19DD">
          <w:rPr>
            <w:rFonts w:eastAsiaTheme="minorEastAsia" w:cstheme="minorBidi"/>
            <w:b w:val="0"/>
            <w:bdr w:val="none" w:sz="0" w:space="0" w:color="auto"/>
            <w:lang w:val="es-US" w:eastAsia="zh-CN"/>
          </w:rPr>
          <w:tab/>
        </w:r>
        <w:r w:rsidR="006D19DD" w:rsidRPr="006D19DD">
          <w:rPr>
            <w:rStyle w:val="Hyperlink"/>
          </w:rPr>
          <w:t>ANÁLISIS DE DERECHO</w:t>
        </w:r>
        <w:r w:rsidR="006D19DD" w:rsidRPr="006D19DD">
          <w:rPr>
            <w:webHidden/>
          </w:rPr>
          <w:tab/>
        </w:r>
        <w:r w:rsidR="006D19DD" w:rsidRPr="006D19DD">
          <w:rPr>
            <w:webHidden/>
          </w:rPr>
          <w:fldChar w:fldCharType="begin"/>
        </w:r>
        <w:r w:rsidR="006D19DD" w:rsidRPr="006D19DD">
          <w:rPr>
            <w:webHidden/>
          </w:rPr>
          <w:instrText xml:space="preserve"> PAGEREF _Toc90283144 \h </w:instrText>
        </w:r>
        <w:r w:rsidR="006D19DD" w:rsidRPr="006D19DD">
          <w:rPr>
            <w:webHidden/>
          </w:rPr>
        </w:r>
        <w:r w:rsidR="006D19DD" w:rsidRPr="006D19DD">
          <w:rPr>
            <w:webHidden/>
          </w:rPr>
          <w:fldChar w:fldCharType="separate"/>
        </w:r>
        <w:r w:rsidR="006D19DD" w:rsidRPr="006D19DD">
          <w:rPr>
            <w:webHidden/>
          </w:rPr>
          <w:t>12</w:t>
        </w:r>
        <w:r w:rsidR="006D19DD" w:rsidRPr="006D19DD">
          <w:rPr>
            <w:webHidden/>
          </w:rPr>
          <w:fldChar w:fldCharType="end"/>
        </w:r>
      </w:hyperlink>
    </w:p>
    <w:p w14:paraId="4567E592" w14:textId="132D357E" w:rsidR="006D19DD" w:rsidRPr="006D19DD" w:rsidRDefault="005D64AE" w:rsidP="009206FF">
      <w:pPr>
        <w:pStyle w:val="TOC2"/>
        <w:rPr>
          <w:rFonts w:eastAsiaTheme="minorEastAsia" w:cstheme="minorBidi"/>
          <w:bdr w:val="none" w:sz="0" w:space="0" w:color="auto"/>
          <w:lang w:val="es-US" w:eastAsia="zh-CN"/>
        </w:rPr>
      </w:pPr>
      <w:hyperlink w:anchor="_Toc90283145" w:history="1">
        <w:r w:rsidR="006D19DD" w:rsidRPr="006D19DD">
          <w:rPr>
            <w:rStyle w:val="Hyperlink"/>
          </w:rPr>
          <w:t>A.</w:t>
        </w:r>
        <w:r w:rsidR="006D19DD" w:rsidRPr="006D19DD">
          <w:rPr>
            <w:rFonts w:eastAsiaTheme="minorEastAsia" w:cstheme="minorBidi"/>
            <w:bdr w:val="none" w:sz="0" w:space="0" w:color="auto"/>
            <w:lang w:val="es-US" w:eastAsia="zh-CN"/>
          </w:rPr>
          <w:tab/>
        </w:r>
        <w:r w:rsidR="006D19DD" w:rsidRPr="006D19DD">
          <w:rPr>
            <w:rStyle w:val="Hyperlink"/>
          </w:rPr>
          <w:t>Consideraciones preliminares</w:t>
        </w:r>
        <w:r w:rsidR="006D19DD" w:rsidRPr="006D19DD">
          <w:rPr>
            <w:webHidden/>
          </w:rPr>
          <w:tab/>
        </w:r>
        <w:r w:rsidR="006D19DD" w:rsidRPr="006D19DD">
          <w:rPr>
            <w:webHidden/>
          </w:rPr>
          <w:fldChar w:fldCharType="begin"/>
        </w:r>
        <w:r w:rsidR="006D19DD" w:rsidRPr="006D19DD">
          <w:rPr>
            <w:webHidden/>
          </w:rPr>
          <w:instrText xml:space="preserve"> PAGEREF _Toc90283145 \h </w:instrText>
        </w:r>
        <w:r w:rsidR="006D19DD" w:rsidRPr="006D19DD">
          <w:rPr>
            <w:webHidden/>
          </w:rPr>
        </w:r>
        <w:r w:rsidR="006D19DD" w:rsidRPr="006D19DD">
          <w:rPr>
            <w:webHidden/>
          </w:rPr>
          <w:fldChar w:fldCharType="separate"/>
        </w:r>
        <w:r w:rsidR="006D19DD" w:rsidRPr="006D19DD">
          <w:rPr>
            <w:webHidden/>
          </w:rPr>
          <w:t>12</w:t>
        </w:r>
        <w:r w:rsidR="006D19DD" w:rsidRPr="006D19DD">
          <w:rPr>
            <w:webHidden/>
          </w:rPr>
          <w:fldChar w:fldCharType="end"/>
        </w:r>
      </w:hyperlink>
    </w:p>
    <w:p w14:paraId="3DDEE7FB" w14:textId="279CA771" w:rsidR="006D19DD" w:rsidRPr="006D19DD" w:rsidRDefault="005D64AE" w:rsidP="009206FF">
      <w:pPr>
        <w:pStyle w:val="TOC2"/>
        <w:rPr>
          <w:rFonts w:eastAsiaTheme="minorEastAsia" w:cstheme="minorBidi"/>
          <w:bdr w:val="none" w:sz="0" w:space="0" w:color="auto"/>
          <w:lang w:val="es-US" w:eastAsia="zh-CN"/>
        </w:rPr>
      </w:pPr>
      <w:hyperlink w:anchor="_Toc90283146" w:history="1">
        <w:r w:rsidR="006D19DD" w:rsidRPr="006D19DD">
          <w:rPr>
            <w:rStyle w:val="Hyperlink"/>
          </w:rPr>
          <w:t>B.</w:t>
        </w:r>
        <w:r w:rsidR="006D19DD" w:rsidRPr="006D19DD">
          <w:rPr>
            <w:rFonts w:eastAsiaTheme="minorEastAsia" w:cstheme="minorBidi"/>
            <w:bdr w:val="none" w:sz="0" w:space="0" w:color="auto"/>
            <w:lang w:val="es-US" w:eastAsia="zh-CN"/>
          </w:rPr>
          <w:tab/>
        </w:r>
        <w:r w:rsidR="006D19DD" w:rsidRPr="006D19DD">
          <w:rPr>
            <w:rStyle w:val="Hyperlink"/>
          </w:rPr>
          <w:t>Derecho de justicia, derecho de petición y derecho a proceso regular</w:t>
        </w:r>
        <w:r w:rsidR="006D19DD" w:rsidRPr="006D19DD">
          <w:rPr>
            <w:webHidden/>
          </w:rPr>
          <w:tab/>
        </w:r>
        <w:r w:rsidR="006D19DD" w:rsidRPr="006D19DD">
          <w:rPr>
            <w:webHidden/>
          </w:rPr>
          <w:fldChar w:fldCharType="begin"/>
        </w:r>
        <w:r w:rsidR="006D19DD" w:rsidRPr="006D19DD">
          <w:rPr>
            <w:webHidden/>
          </w:rPr>
          <w:instrText xml:space="preserve"> PAGEREF _Toc90283146 \h </w:instrText>
        </w:r>
        <w:r w:rsidR="006D19DD" w:rsidRPr="006D19DD">
          <w:rPr>
            <w:webHidden/>
          </w:rPr>
        </w:r>
        <w:r w:rsidR="006D19DD" w:rsidRPr="006D19DD">
          <w:rPr>
            <w:webHidden/>
          </w:rPr>
          <w:fldChar w:fldCharType="separate"/>
        </w:r>
        <w:r w:rsidR="006D19DD" w:rsidRPr="006D19DD">
          <w:rPr>
            <w:webHidden/>
          </w:rPr>
          <w:t>13</w:t>
        </w:r>
        <w:r w:rsidR="006D19DD" w:rsidRPr="006D19DD">
          <w:rPr>
            <w:webHidden/>
          </w:rPr>
          <w:fldChar w:fldCharType="end"/>
        </w:r>
      </w:hyperlink>
    </w:p>
    <w:p w14:paraId="2B766F23" w14:textId="7A623913" w:rsidR="006D19DD" w:rsidRPr="006D19DD" w:rsidRDefault="005D64AE">
      <w:pPr>
        <w:pStyle w:val="TOC3"/>
        <w:tabs>
          <w:tab w:val="left" w:pos="2160"/>
        </w:tabs>
        <w:rPr>
          <w:rFonts w:asciiTheme="majorHAnsi" w:eastAsiaTheme="minorEastAsia" w:hAnsiTheme="majorHAnsi" w:cstheme="minorBidi"/>
          <w:noProof/>
          <w:sz w:val="20"/>
          <w:szCs w:val="20"/>
          <w:bdr w:val="none" w:sz="0" w:space="0" w:color="auto"/>
          <w:lang w:val="es-US" w:eastAsia="zh-CN"/>
        </w:rPr>
      </w:pPr>
      <w:hyperlink w:anchor="_Toc90283147" w:history="1">
        <w:r w:rsidR="006D19DD" w:rsidRPr="006D19DD">
          <w:rPr>
            <w:rStyle w:val="Hyperlink"/>
            <w:rFonts w:asciiTheme="majorHAnsi" w:hAnsiTheme="majorHAnsi"/>
            <w:noProof/>
            <w:sz w:val="20"/>
            <w:szCs w:val="20"/>
            <w:lang w:val="es-ES"/>
          </w:rPr>
          <w:t>1.</w:t>
        </w:r>
        <w:r w:rsidR="006D19DD" w:rsidRPr="006D19DD">
          <w:rPr>
            <w:rFonts w:asciiTheme="majorHAnsi" w:eastAsiaTheme="minorEastAsia" w:hAnsiTheme="majorHAnsi" w:cstheme="minorBidi"/>
            <w:noProof/>
            <w:sz w:val="20"/>
            <w:szCs w:val="20"/>
            <w:bdr w:val="none" w:sz="0" w:space="0" w:color="auto"/>
            <w:lang w:val="es-US" w:eastAsia="zh-CN"/>
          </w:rPr>
          <w:tab/>
        </w:r>
        <w:r w:rsidR="006D19DD" w:rsidRPr="006D19DD">
          <w:rPr>
            <w:rStyle w:val="Hyperlink"/>
            <w:rFonts w:asciiTheme="majorHAnsi" w:hAnsiTheme="majorHAnsi"/>
            <w:noProof/>
            <w:sz w:val="20"/>
            <w:szCs w:val="20"/>
            <w:lang w:val="es-ES"/>
          </w:rPr>
          <w:t>Asistencia letrada de oficio ineficaz</w:t>
        </w:r>
        <w:r w:rsidR="006D19DD" w:rsidRPr="006D19DD">
          <w:rPr>
            <w:rFonts w:asciiTheme="majorHAnsi" w:hAnsiTheme="majorHAnsi"/>
            <w:noProof/>
            <w:webHidden/>
            <w:sz w:val="20"/>
            <w:szCs w:val="20"/>
          </w:rPr>
          <w:tab/>
        </w:r>
        <w:r w:rsidR="006D19DD" w:rsidRPr="006D19DD">
          <w:rPr>
            <w:rFonts w:asciiTheme="majorHAnsi" w:hAnsiTheme="majorHAnsi"/>
            <w:noProof/>
            <w:webHidden/>
            <w:sz w:val="20"/>
            <w:szCs w:val="20"/>
          </w:rPr>
          <w:fldChar w:fldCharType="begin"/>
        </w:r>
        <w:r w:rsidR="006D19DD" w:rsidRPr="006D19DD">
          <w:rPr>
            <w:rFonts w:asciiTheme="majorHAnsi" w:hAnsiTheme="majorHAnsi"/>
            <w:noProof/>
            <w:webHidden/>
            <w:sz w:val="20"/>
            <w:szCs w:val="20"/>
          </w:rPr>
          <w:instrText xml:space="preserve"> PAGEREF _Toc90283147 \h </w:instrText>
        </w:r>
        <w:r w:rsidR="006D19DD" w:rsidRPr="006D19DD">
          <w:rPr>
            <w:rFonts w:asciiTheme="majorHAnsi" w:hAnsiTheme="majorHAnsi"/>
            <w:noProof/>
            <w:webHidden/>
            <w:sz w:val="20"/>
            <w:szCs w:val="20"/>
          </w:rPr>
        </w:r>
        <w:r w:rsidR="006D19DD" w:rsidRPr="006D19DD">
          <w:rPr>
            <w:rFonts w:asciiTheme="majorHAnsi" w:hAnsiTheme="majorHAnsi"/>
            <w:noProof/>
            <w:webHidden/>
            <w:sz w:val="20"/>
            <w:szCs w:val="20"/>
          </w:rPr>
          <w:fldChar w:fldCharType="separate"/>
        </w:r>
        <w:r w:rsidR="006D19DD" w:rsidRPr="006D19DD">
          <w:rPr>
            <w:rFonts w:asciiTheme="majorHAnsi" w:hAnsiTheme="majorHAnsi"/>
            <w:noProof/>
            <w:webHidden/>
            <w:sz w:val="20"/>
            <w:szCs w:val="20"/>
          </w:rPr>
          <w:t>13</w:t>
        </w:r>
        <w:r w:rsidR="006D19DD" w:rsidRPr="006D19DD">
          <w:rPr>
            <w:rFonts w:asciiTheme="majorHAnsi" w:hAnsiTheme="majorHAnsi"/>
            <w:noProof/>
            <w:webHidden/>
            <w:sz w:val="20"/>
            <w:szCs w:val="20"/>
          </w:rPr>
          <w:fldChar w:fldCharType="end"/>
        </w:r>
      </w:hyperlink>
    </w:p>
    <w:p w14:paraId="79925B37" w14:textId="002D07C0" w:rsidR="006D19DD" w:rsidRPr="006D19DD" w:rsidRDefault="005D64AE">
      <w:pPr>
        <w:pStyle w:val="TOC3"/>
        <w:tabs>
          <w:tab w:val="left" w:pos="2160"/>
        </w:tabs>
        <w:rPr>
          <w:rFonts w:asciiTheme="majorHAnsi" w:eastAsiaTheme="minorEastAsia" w:hAnsiTheme="majorHAnsi" w:cstheme="minorBidi"/>
          <w:noProof/>
          <w:sz w:val="20"/>
          <w:szCs w:val="20"/>
          <w:bdr w:val="none" w:sz="0" w:space="0" w:color="auto"/>
          <w:lang w:val="es-US" w:eastAsia="zh-CN"/>
        </w:rPr>
      </w:pPr>
      <w:hyperlink w:anchor="_Toc90283148" w:history="1">
        <w:r w:rsidR="006D19DD" w:rsidRPr="006D19DD">
          <w:rPr>
            <w:rStyle w:val="Hyperlink"/>
            <w:rFonts w:asciiTheme="majorHAnsi" w:hAnsiTheme="majorHAnsi"/>
            <w:noProof/>
            <w:sz w:val="20"/>
            <w:szCs w:val="20"/>
            <w:lang w:val="es-ES"/>
          </w:rPr>
          <w:t>2.</w:t>
        </w:r>
        <w:r w:rsidR="006D19DD" w:rsidRPr="006D19DD">
          <w:rPr>
            <w:rFonts w:asciiTheme="majorHAnsi" w:eastAsiaTheme="minorEastAsia" w:hAnsiTheme="majorHAnsi" w:cstheme="minorBidi"/>
            <w:noProof/>
            <w:sz w:val="20"/>
            <w:szCs w:val="20"/>
            <w:bdr w:val="none" w:sz="0" w:space="0" w:color="auto"/>
            <w:lang w:val="es-US" w:eastAsia="zh-CN"/>
          </w:rPr>
          <w:tab/>
        </w:r>
        <w:r w:rsidR="006D19DD" w:rsidRPr="006D19DD">
          <w:rPr>
            <w:rStyle w:val="Hyperlink"/>
            <w:rFonts w:asciiTheme="majorHAnsi" w:hAnsiTheme="majorHAnsi"/>
            <w:noProof/>
            <w:sz w:val="20"/>
            <w:szCs w:val="20"/>
            <w:lang w:val="es-ES"/>
          </w:rPr>
          <w:t>Derecho de recurrir el fallo e impedimentos procesales</w:t>
        </w:r>
        <w:r w:rsidR="006D19DD" w:rsidRPr="006D19DD">
          <w:rPr>
            <w:rFonts w:asciiTheme="majorHAnsi" w:hAnsiTheme="majorHAnsi"/>
            <w:noProof/>
            <w:webHidden/>
            <w:sz w:val="20"/>
            <w:szCs w:val="20"/>
          </w:rPr>
          <w:tab/>
        </w:r>
        <w:r w:rsidR="006D19DD" w:rsidRPr="006D19DD">
          <w:rPr>
            <w:rFonts w:asciiTheme="majorHAnsi" w:hAnsiTheme="majorHAnsi"/>
            <w:noProof/>
            <w:webHidden/>
            <w:sz w:val="20"/>
            <w:szCs w:val="20"/>
          </w:rPr>
          <w:fldChar w:fldCharType="begin"/>
        </w:r>
        <w:r w:rsidR="006D19DD" w:rsidRPr="006D19DD">
          <w:rPr>
            <w:rFonts w:asciiTheme="majorHAnsi" w:hAnsiTheme="majorHAnsi"/>
            <w:noProof/>
            <w:webHidden/>
            <w:sz w:val="20"/>
            <w:szCs w:val="20"/>
          </w:rPr>
          <w:instrText xml:space="preserve"> PAGEREF _Toc90283148 \h </w:instrText>
        </w:r>
        <w:r w:rsidR="006D19DD" w:rsidRPr="006D19DD">
          <w:rPr>
            <w:rFonts w:asciiTheme="majorHAnsi" w:hAnsiTheme="majorHAnsi"/>
            <w:noProof/>
            <w:webHidden/>
            <w:sz w:val="20"/>
            <w:szCs w:val="20"/>
          </w:rPr>
        </w:r>
        <w:r w:rsidR="006D19DD" w:rsidRPr="006D19DD">
          <w:rPr>
            <w:rFonts w:asciiTheme="majorHAnsi" w:hAnsiTheme="majorHAnsi"/>
            <w:noProof/>
            <w:webHidden/>
            <w:sz w:val="20"/>
            <w:szCs w:val="20"/>
          </w:rPr>
          <w:fldChar w:fldCharType="separate"/>
        </w:r>
        <w:r w:rsidR="006D19DD" w:rsidRPr="006D19DD">
          <w:rPr>
            <w:rFonts w:asciiTheme="majorHAnsi" w:hAnsiTheme="majorHAnsi"/>
            <w:noProof/>
            <w:webHidden/>
            <w:sz w:val="20"/>
            <w:szCs w:val="20"/>
          </w:rPr>
          <w:t>15</w:t>
        </w:r>
        <w:r w:rsidR="006D19DD" w:rsidRPr="006D19DD">
          <w:rPr>
            <w:rFonts w:asciiTheme="majorHAnsi" w:hAnsiTheme="majorHAnsi"/>
            <w:noProof/>
            <w:webHidden/>
            <w:sz w:val="20"/>
            <w:szCs w:val="20"/>
          </w:rPr>
          <w:fldChar w:fldCharType="end"/>
        </w:r>
      </w:hyperlink>
    </w:p>
    <w:p w14:paraId="7EC25473" w14:textId="0FA02E0E" w:rsidR="006D19DD" w:rsidRPr="006D19DD" w:rsidRDefault="005D64AE">
      <w:pPr>
        <w:pStyle w:val="TOC3"/>
        <w:tabs>
          <w:tab w:val="left" w:pos="2160"/>
        </w:tabs>
        <w:rPr>
          <w:rFonts w:asciiTheme="majorHAnsi" w:eastAsiaTheme="minorEastAsia" w:hAnsiTheme="majorHAnsi" w:cstheme="minorBidi"/>
          <w:noProof/>
          <w:sz w:val="20"/>
          <w:szCs w:val="20"/>
          <w:bdr w:val="none" w:sz="0" w:space="0" w:color="auto"/>
          <w:lang w:val="es-US" w:eastAsia="zh-CN"/>
        </w:rPr>
      </w:pPr>
      <w:hyperlink w:anchor="_Toc90283149" w:history="1">
        <w:r w:rsidR="006D19DD" w:rsidRPr="006D19DD">
          <w:rPr>
            <w:rStyle w:val="Hyperlink"/>
            <w:rFonts w:asciiTheme="majorHAnsi" w:hAnsiTheme="majorHAnsi"/>
            <w:noProof/>
            <w:sz w:val="20"/>
            <w:szCs w:val="20"/>
            <w:lang w:val="es-ES"/>
          </w:rPr>
          <w:t>3.</w:t>
        </w:r>
        <w:r w:rsidR="006D19DD" w:rsidRPr="006D19DD">
          <w:rPr>
            <w:rFonts w:asciiTheme="majorHAnsi" w:eastAsiaTheme="minorEastAsia" w:hAnsiTheme="majorHAnsi" w:cstheme="minorBidi"/>
            <w:noProof/>
            <w:sz w:val="20"/>
            <w:szCs w:val="20"/>
            <w:bdr w:val="none" w:sz="0" w:space="0" w:color="auto"/>
            <w:lang w:val="es-US" w:eastAsia="zh-CN"/>
          </w:rPr>
          <w:tab/>
        </w:r>
        <w:r w:rsidR="006D19DD" w:rsidRPr="006D19DD">
          <w:rPr>
            <w:rStyle w:val="Hyperlink"/>
            <w:rFonts w:asciiTheme="majorHAnsi" w:hAnsiTheme="majorHAnsi"/>
            <w:noProof/>
            <w:sz w:val="20"/>
            <w:szCs w:val="20"/>
            <w:lang w:val="es-ES"/>
          </w:rPr>
          <w:t>Derecho a un juicio sin dilaciones indebidas</w:t>
        </w:r>
        <w:r w:rsidR="006D19DD" w:rsidRPr="006D19DD">
          <w:rPr>
            <w:rFonts w:asciiTheme="majorHAnsi" w:hAnsiTheme="majorHAnsi"/>
            <w:noProof/>
            <w:webHidden/>
            <w:sz w:val="20"/>
            <w:szCs w:val="20"/>
          </w:rPr>
          <w:tab/>
        </w:r>
        <w:r w:rsidR="006D19DD" w:rsidRPr="006D19DD">
          <w:rPr>
            <w:rFonts w:asciiTheme="majorHAnsi" w:hAnsiTheme="majorHAnsi"/>
            <w:noProof/>
            <w:webHidden/>
            <w:sz w:val="20"/>
            <w:szCs w:val="20"/>
          </w:rPr>
          <w:fldChar w:fldCharType="begin"/>
        </w:r>
        <w:r w:rsidR="006D19DD" w:rsidRPr="006D19DD">
          <w:rPr>
            <w:rFonts w:asciiTheme="majorHAnsi" w:hAnsiTheme="majorHAnsi"/>
            <w:noProof/>
            <w:webHidden/>
            <w:sz w:val="20"/>
            <w:szCs w:val="20"/>
          </w:rPr>
          <w:instrText xml:space="preserve"> PAGEREF _Toc90283149 \h </w:instrText>
        </w:r>
        <w:r w:rsidR="006D19DD" w:rsidRPr="006D19DD">
          <w:rPr>
            <w:rFonts w:asciiTheme="majorHAnsi" w:hAnsiTheme="majorHAnsi"/>
            <w:noProof/>
            <w:webHidden/>
            <w:sz w:val="20"/>
            <w:szCs w:val="20"/>
          </w:rPr>
        </w:r>
        <w:r w:rsidR="006D19DD" w:rsidRPr="006D19DD">
          <w:rPr>
            <w:rFonts w:asciiTheme="majorHAnsi" w:hAnsiTheme="majorHAnsi"/>
            <w:noProof/>
            <w:webHidden/>
            <w:sz w:val="20"/>
            <w:szCs w:val="20"/>
          </w:rPr>
          <w:fldChar w:fldCharType="separate"/>
        </w:r>
        <w:r w:rsidR="006D19DD" w:rsidRPr="006D19DD">
          <w:rPr>
            <w:rFonts w:asciiTheme="majorHAnsi" w:hAnsiTheme="majorHAnsi"/>
            <w:noProof/>
            <w:webHidden/>
            <w:sz w:val="20"/>
            <w:szCs w:val="20"/>
          </w:rPr>
          <w:t>16</w:t>
        </w:r>
        <w:r w:rsidR="006D19DD" w:rsidRPr="006D19DD">
          <w:rPr>
            <w:rFonts w:asciiTheme="majorHAnsi" w:hAnsiTheme="majorHAnsi"/>
            <w:noProof/>
            <w:webHidden/>
            <w:sz w:val="20"/>
            <w:szCs w:val="20"/>
          </w:rPr>
          <w:fldChar w:fldCharType="end"/>
        </w:r>
      </w:hyperlink>
    </w:p>
    <w:p w14:paraId="002EA935" w14:textId="24549E2B" w:rsidR="006D19DD" w:rsidRPr="006D19DD" w:rsidRDefault="005D64AE">
      <w:pPr>
        <w:pStyle w:val="TOC3"/>
        <w:tabs>
          <w:tab w:val="left" w:pos="2160"/>
        </w:tabs>
        <w:rPr>
          <w:rFonts w:asciiTheme="majorHAnsi" w:eastAsiaTheme="minorEastAsia" w:hAnsiTheme="majorHAnsi" w:cstheme="minorBidi"/>
          <w:noProof/>
          <w:sz w:val="20"/>
          <w:szCs w:val="20"/>
          <w:bdr w:val="none" w:sz="0" w:space="0" w:color="auto"/>
          <w:lang w:val="es-US" w:eastAsia="zh-CN"/>
        </w:rPr>
      </w:pPr>
      <w:hyperlink w:anchor="_Toc90283150" w:history="1">
        <w:r w:rsidR="006D19DD" w:rsidRPr="006D19DD">
          <w:rPr>
            <w:rStyle w:val="Hyperlink"/>
            <w:rFonts w:asciiTheme="majorHAnsi" w:hAnsiTheme="majorHAnsi"/>
            <w:noProof/>
            <w:sz w:val="20"/>
            <w:szCs w:val="20"/>
            <w:lang w:val="es-ES"/>
          </w:rPr>
          <w:t>4.</w:t>
        </w:r>
        <w:r w:rsidR="006D19DD" w:rsidRPr="006D19DD">
          <w:rPr>
            <w:rFonts w:asciiTheme="majorHAnsi" w:eastAsiaTheme="minorEastAsia" w:hAnsiTheme="majorHAnsi" w:cstheme="minorBidi"/>
            <w:noProof/>
            <w:sz w:val="20"/>
            <w:szCs w:val="20"/>
            <w:bdr w:val="none" w:sz="0" w:space="0" w:color="auto"/>
            <w:lang w:val="es-US" w:eastAsia="zh-CN"/>
          </w:rPr>
          <w:tab/>
        </w:r>
        <w:r w:rsidR="006D19DD" w:rsidRPr="006D19DD">
          <w:rPr>
            <w:rStyle w:val="Hyperlink"/>
            <w:rFonts w:asciiTheme="majorHAnsi" w:hAnsiTheme="majorHAnsi"/>
            <w:noProof/>
            <w:sz w:val="20"/>
            <w:szCs w:val="20"/>
            <w:lang w:val="es-ES"/>
          </w:rPr>
          <w:t>Procedimiento de clemencia</w:t>
        </w:r>
        <w:r w:rsidR="006D19DD" w:rsidRPr="006D19DD">
          <w:rPr>
            <w:rFonts w:asciiTheme="majorHAnsi" w:hAnsiTheme="majorHAnsi"/>
            <w:noProof/>
            <w:webHidden/>
            <w:sz w:val="20"/>
            <w:szCs w:val="20"/>
          </w:rPr>
          <w:tab/>
        </w:r>
        <w:r w:rsidR="006D19DD" w:rsidRPr="006D19DD">
          <w:rPr>
            <w:rFonts w:asciiTheme="majorHAnsi" w:hAnsiTheme="majorHAnsi"/>
            <w:noProof/>
            <w:webHidden/>
            <w:sz w:val="20"/>
            <w:szCs w:val="20"/>
          </w:rPr>
          <w:fldChar w:fldCharType="begin"/>
        </w:r>
        <w:r w:rsidR="006D19DD" w:rsidRPr="006D19DD">
          <w:rPr>
            <w:rFonts w:asciiTheme="majorHAnsi" w:hAnsiTheme="majorHAnsi"/>
            <w:noProof/>
            <w:webHidden/>
            <w:sz w:val="20"/>
            <w:szCs w:val="20"/>
          </w:rPr>
          <w:instrText xml:space="preserve"> PAGEREF _Toc90283150 \h </w:instrText>
        </w:r>
        <w:r w:rsidR="006D19DD" w:rsidRPr="006D19DD">
          <w:rPr>
            <w:rFonts w:asciiTheme="majorHAnsi" w:hAnsiTheme="majorHAnsi"/>
            <w:noProof/>
            <w:webHidden/>
            <w:sz w:val="20"/>
            <w:szCs w:val="20"/>
          </w:rPr>
        </w:r>
        <w:r w:rsidR="006D19DD" w:rsidRPr="006D19DD">
          <w:rPr>
            <w:rFonts w:asciiTheme="majorHAnsi" w:hAnsiTheme="majorHAnsi"/>
            <w:noProof/>
            <w:webHidden/>
            <w:sz w:val="20"/>
            <w:szCs w:val="20"/>
          </w:rPr>
          <w:fldChar w:fldCharType="separate"/>
        </w:r>
        <w:r w:rsidR="006D19DD" w:rsidRPr="006D19DD">
          <w:rPr>
            <w:rFonts w:asciiTheme="majorHAnsi" w:hAnsiTheme="majorHAnsi"/>
            <w:noProof/>
            <w:webHidden/>
            <w:sz w:val="20"/>
            <w:szCs w:val="20"/>
          </w:rPr>
          <w:t>17</w:t>
        </w:r>
        <w:r w:rsidR="006D19DD" w:rsidRPr="006D19DD">
          <w:rPr>
            <w:rFonts w:asciiTheme="majorHAnsi" w:hAnsiTheme="majorHAnsi"/>
            <w:noProof/>
            <w:webHidden/>
            <w:sz w:val="20"/>
            <w:szCs w:val="20"/>
          </w:rPr>
          <w:fldChar w:fldCharType="end"/>
        </w:r>
      </w:hyperlink>
    </w:p>
    <w:p w14:paraId="191DF940" w14:textId="27A5B9A6" w:rsidR="006D19DD" w:rsidRPr="006D19DD" w:rsidRDefault="005D64AE" w:rsidP="009206FF">
      <w:pPr>
        <w:pStyle w:val="TOC2"/>
        <w:rPr>
          <w:rFonts w:eastAsiaTheme="minorEastAsia" w:cstheme="minorBidi"/>
          <w:bdr w:val="none" w:sz="0" w:space="0" w:color="auto"/>
          <w:lang w:val="es-US" w:eastAsia="zh-CN"/>
        </w:rPr>
      </w:pPr>
      <w:hyperlink w:anchor="_Toc90283151" w:history="1">
        <w:r w:rsidR="006D19DD" w:rsidRPr="006D19DD">
          <w:rPr>
            <w:rStyle w:val="Hyperlink"/>
          </w:rPr>
          <w:t>C.</w:t>
        </w:r>
        <w:r w:rsidR="006D19DD" w:rsidRPr="006D19DD">
          <w:rPr>
            <w:rFonts w:eastAsiaTheme="minorEastAsia" w:cstheme="minorBidi"/>
            <w:bdr w:val="none" w:sz="0" w:space="0" w:color="auto"/>
            <w:lang w:val="es-US" w:eastAsia="zh-CN"/>
          </w:rPr>
          <w:tab/>
        </w:r>
        <w:r w:rsidR="006D19DD" w:rsidRPr="006D19DD">
          <w:rPr>
            <w:rStyle w:val="Hyperlink"/>
          </w:rPr>
          <w:t>Derecho al trato humano durante la privación de la libertad, a la salud y a no recibir un castigo cruel, infamante o inusitado</w:t>
        </w:r>
        <w:r w:rsidR="006D19DD" w:rsidRPr="006D19DD">
          <w:rPr>
            <w:webHidden/>
          </w:rPr>
          <w:tab/>
        </w:r>
        <w:r w:rsidR="006D19DD" w:rsidRPr="006D19DD">
          <w:rPr>
            <w:webHidden/>
          </w:rPr>
          <w:fldChar w:fldCharType="begin"/>
        </w:r>
        <w:r w:rsidR="006D19DD" w:rsidRPr="006D19DD">
          <w:rPr>
            <w:webHidden/>
          </w:rPr>
          <w:instrText xml:space="preserve"> PAGEREF _Toc90283151 \h </w:instrText>
        </w:r>
        <w:r w:rsidR="006D19DD" w:rsidRPr="006D19DD">
          <w:rPr>
            <w:webHidden/>
          </w:rPr>
        </w:r>
        <w:r w:rsidR="006D19DD" w:rsidRPr="006D19DD">
          <w:rPr>
            <w:webHidden/>
          </w:rPr>
          <w:fldChar w:fldCharType="separate"/>
        </w:r>
        <w:r w:rsidR="006D19DD" w:rsidRPr="006D19DD">
          <w:rPr>
            <w:webHidden/>
          </w:rPr>
          <w:t>18</w:t>
        </w:r>
        <w:r w:rsidR="006D19DD" w:rsidRPr="006D19DD">
          <w:rPr>
            <w:webHidden/>
          </w:rPr>
          <w:fldChar w:fldCharType="end"/>
        </w:r>
      </w:hyperlink>
    </w:p>
    <w:p w14:paraId="2DEFB90F" w14:textId="45F63913" w:rsidR="006D19DD" w:rsidRPr="006D19DD" w:rsidRDefault="005D64AE">
      <w:pPr>
        <w:pStyle w:val="TOC3"/>
        <w:tabs>
          <w:tab w:val="left" w:pos="2160"/>
        </w:tabs>
        <w:rPr>
          <w:rFonts w:asciiTheme="majorHAnsi" w:eastAsiaTheme="minorEastAsia" w:hAnsiTheme="majorHAnsi" w:cstheme="minorBidi"/>
          <w:noProof/>
          <w:sz w:val="20"/>
          <w:szCs w:val="20"/>
          <w:bdr w:val="none" w:sz="0" w:space="0" w:color="auto"/>
          <w:lang w:val="es-US" w:eastAsia="zh-CN"/>
        </w:rPr>
      </w:pPr>
      <w:hyperlink w:anchor="_Toc90283152" w:history="1">
        <w:r w:rsidR="006D19DD" w:rsidRPr="006D19DD">
          <w:rPr>
            <w:rStyle w:val="Hyperlink"/>
            <w:rFonts w:asciiTheme="majorHAnsi" w:hAnsiTheme="majorHAnsi"/>
            <w:noProof/>
            <w:sz w:val="20"/>
            <w:szCs w:val="20"/>
            <w:lang w:val="es-ES"/>
          </w:rPr>
          <w:t>1.</w:t>
        </w:r>
        <w:r w:rsidR="006D19DD" w:rsidRPr="006D19DD">
          <w:rPr>
            <w:rFonts w:asciiTheme="majorHAnsi" w:eastAsiaTheme="minorEastAsia" w:hAnsiTheme="majorHAnsi" w:cstheme="minorBidi"/>
            <w:noProof/>
            <w:sz w:val="20"/>
            <w:szCs w:val="20"/>
            <w:bdr w:val="none" w:sz="0" w:space="0" w:color="auto"/>
            <w:lang w:val="es-US" w:eastAsia="zh-CN"/>
          </w:rPr>
          <w:tab/>
        </w:r>
        <w:r w:rsidR="006D19DD" w:rsidRPr="006D19DD">
          <w:rPr>
            <w:rStyle w:val="Hyperlink"/>
            <w:rFonts w:asciiTheme="majorHAnsi" w:hAnsiTheme="majorHAnsi"/>
            <w:noProof/>
            <w:sz w:val="20"/>
            <w:szCs w:val="20"/>
            <w:lang w:val="es-ES"/>
          </w:rPr>
          <w:t>Derecho de toda persona con discapacidad mental a que no se le imponga la pena de muerte</w:t>
        </w:r>
        <w:r w:rsidR="006D19DD" w:rsidRPr="006D19DD">
          <w:rPr>
            <w:rFonts w:asciiTheme="majorHAnsi" w:hAnsiTheme="majorHAnsi"/>
            <w:noProof/>
            <w:webHidden/>
            <w:sz w:val="20"/>
            <w:szCs w:val="20"/>
          </w:rPr>
          <w:tab/>
        </w:r>
        <w:r w:rsidR="006D19DD" w:rsidRPr="006D19DD">
          <w:rPr>
            <w:rFonts w:asciiTheme="majorHAnsi" w:hAnsiTheme="majorHAnsi"/>
            <w:noProof/>
            <w:webHidden/>
            <w:sz w:val="20"/>
            <w:szCs w:val="20"/>
          </w:rPr>
          <w:fldChar w:fldCharType="begin"/>
        </w:r>
        <w:r w:rsidR="006D19DD" w:rsidRPr="006D19DD">
          <w:rPr>
            <w:rFonts w:asciiTheme="majorHAnsi" w:hAnsiTheme="majorHAnsi"/>
            <w:noProof/>
            <w:webHidden/>
            <w:sz w:val="20"/>
            <w:szCs w:val="20"/>
          </w:rPr>
          <w:instrText xml:space="preserve"> PAGEREF _Toc90283152 \h </w:instrText>
        </w:r>
        <w:r w:rsidR="006D19DD" w:rsidRPr="006D19DD">
          <w:rPr>
            <w:rFonts w:asciiTheme="majorHAnsi" w:hAnsiTheme="majorHAnsi"/>
            <w:noProof/>
            <w:webHidden/>
            <w:sz w:val="20"/>
            <w:szCs w:val="20"/>
          </w:rPr>
        </w:r>
        <w:r w:rsidR="006D19DD" w:rsidRPr="006D19DD">
          <w:rPr>
            <w:rFonts w:asciiTheme="majorHAnsi" w:hAnsiTheme="majorHAnsi"/>
            <w:noProof/>
            <w:webHidden/>
            <w:sz w:val="20"/>
            <w:szCs w:val="20"/>
          </w:rPr>
          <w:fldChar w:fldCharType="separate"/>
        </w:r>
        <w:r w:rsidR="006D19DD" w:rsidRPr="006D19DD">
          <w:rPr>
            <w:rFonts w:asciiTheme="majorHAnsi" w:hAnsiTheme="majorHAnsi"/>
            <w:noProof/>
            <w:webHidden/>
            <w:sz w:val="20"/>
            <w:szCs w:val="20"/>
          </w:rPr>
          <w:t>18</w:t>
        </w:r>
        <w:r w:rsidR="006D19DD" w:rsidRPr="006D19DD">
          <w:rPr>
            <w:rFonts w:asciiTheme="majorHAnsi" w:hAnsiTheme="majorHAnsi"/>
            <w:noProof/>
            <w:webHidden/>
            <w:sz w:val="20"/>
            <w:szCs w:val="20"/>
          </w:rPr>
          <w:fldChar w:fldCharType="end"/>
        </w:r>
      </w:hyperlink>
    </w:p>
    <w:p w14:paraId="609B4E1E" w14:textId="1855AB83" w:rsidR="006D19DD" w:rsidRPr="006D19DD" w:rsidRDefault="005D64AE">
      <w:pPr>
        <w:pStyle w:val="TOC3"/>
        <w:tabs>
          <w:tab w:val="left" w:pos="2160"/>
        </w:tabs>
        <w:rPr>
          <w:rFonts w:asciiTheme="majorHAnsi" w:eastAsiaTheme="minorEastAsia" w:hAnsiTheme="majorHAnsi" w:cstheme="minorBidi"/>
          <w:noProof/>
          <w:sz w:val="20"/>
          <w:szCs w:val="20"/>
          <w:bdr w:val="none" w:sz="0" w:space="0" w:color="auto"/>
          <w:lang w:val="es-US" w:eastAsia="zh-CN"/>
        </w:rPr>
      </w:pPr>
      <w:hyperlink w:anchor="_Toc90283153" w:history="1">
        <w:r w:rsidR="006D19DD" w:rsidRPr="006D19DD">
          <w:rPr>
            <w:rStyle w:val="Hyperlink"/>
            <w:rFonts w:asciiTheme="majorHAnsi" w:hAnsiTheme="majorHAnsi"/>
            <w:noProof/>
            <w:sz w:val="20"/>
            <w:szCs w:val="20"/>
            <w:lang w:val="es-ES"/>
          </w:rPr>
          <w:t>2.</w:t>
        </w:r>
        <w:r w:rsidR="006D19DD" w:rsidRPr="006D19DD">
          <w:rPr>
            <w:rFonts w:asciiTheme="majorHAnsi" w:eastAsiaTheme="minorEastAsia" w:hAnsiTheme="majorHAnsi" w:cstheme="minorBidi"/>
            <w:noProof/>
            <w:sz w:val="20"/>
            <w:szCs w:val="20"/>
            <w:bdr w:val="none" w:sz="0" w:space="0" w:color="auto"/>
            <w:lang w:val="es-US" w:eastAsia="zh-CN"/>
          </w:rPr>
          <w:tab/>
        </w:r>
        <w:r w:rsidR="006D19DD" w:rsidRPr="006D19DD">
          <w:rPr>
            <w:rStyle w:val="Hyperlink"/>
            <w:rFonts w:asciiTheme="majorHAnsi" w:hAnsiTheme="majorHAnsi"/>
            <w:noProof/>
            <w:sz w:val="20"/>
            <w:szCs w:val="20"/>
            <w:lang w:val="es-ES"/>
          </w:rPr>
          <w:t>Condiciones de detención en el corredor de la muerte</w:t>
        </w:r>
        <w:r w:rsidR="006D19DD" w:rsidRPr="006D19DD">
          <w:rPr>
            <w:rFonts w:asciiTheme="majorHAnsi" w:hAnsiTheme="majorHAnsi"/>
            <w:noProof/>
            <w:webHidden/>
            <w:sz w:val="20"/>
            <w:szCs w:val="20"/>
          </w:rPr>
          <w:tab/>
        </w:r>
        <w:r w:rsidR="006D19DD" w:rsidRPr="006D19DD">
          <w:rPr>
            <w:rFonts w:asciiTheme="majorHAnsi" w:hAnsiTheme="majorHAnsi"/>
            <w:noProof/>
            <w:webHidden/>
            <w:sz w:val="20"/>
            <w:szCs w:val="20"/>
          </w:rPr>
          <w:fldChar w:fldCharType="begin"/>
        </w:r>
        <w:r w:rsidR="006D19DD" w:rsidRPr="006D19DD">
          <w:rPr>
            <w:rFonts w:asciiTheme="majorHAnsi" w:hAnsiTheme="majorHAnsi"/>
            <w:noProof/>
            <w:webHidden/>
            <w:sz w:val="20"/>
            <w:szCs w:val="20"/>
          </w:rPr>
          <w:instrText xml:space="preserve"> PAGEREF _Toc90283153 \h </w:instrText>
        </w:r>
        <w:r w:rsidR="006D19DD" w:rsidRPr="006D19DD">
          <w:rPr>
            <w:rFonts w:asciiTheme="majorHAnsi" w:hAnsiTheme="majorHAnsi"/>
            <w:noProof/>
            <w:webHidden/>
            <w:sz w:val="20"/>
            <w:szCs w:val="20"/>
          </w:rPr>
        </w:r>
        <w:r w:rsidR="006D19DD" w:rsidRPr="006D19DD">
          <w:rPr>
            <w:rFonts w:asciiTheme="majorHAnsi" w:hAnsiTheme="majorHAnsi"/>
            <w:noProof/>
            <w:webHidden/>
            <w:sz w:val="20"/>
            <w:szCs w:val="20"/>
          </w:rPr>
          <w:fldChar w:fldCharType="separate"/>
        </w:r>
        <w:r w:rsidR="006D19DD" w:rsidRPr="006D19DD">
          <w:rPr>
            <w:rFonts w:asciiTheme="majorHAnsi" w:hAnsiTheme="majorHAnsi"/>
            <w:noProof/>
            <w:webHidden/>
            <w:sz w:val="20"/>
            <w:szCs w:val="20"/>
          </w:rPr>
          <w:t>19</w:t>
        </w:r>
        <w:r w:rsidR="006D19DD" w:rsidRPr="006D19DD">
          <w:rPr>
            <w:rFonts w:asciiTheme="majorHAnsi" w:hAnsiTheme="majorHAnsi"/>
            <w:noProof/>
            <w:webHidden/>
            <w:sz w:val="20"/>
            <w:szCs w:val="20"/>
          </w:rPr>
          <w:fldChar w:fldCharType="end"/>
        </w:r>
      </w:hyperlink>
    </w:p>
    <w:p w14:paraId="4110C6DD" w14:textId="06A03899" w:rsidR="006D19DD" w:rsidRPr="006D19DD" w:rsidRDefault="005D64AE">
      <w:pPr>
        <w:pStyle w:val="TOC3"/>
        <w:tabs>
          <w:tab w:val="left" w:pos="2160"/>
        </w:tabs>
        <w:rPr>
          <w:rFonts w:asciiTheme="majorHAnsi" w:eastAsiaTheme="minorEastAsia" w:hAnsiTheme="majorHAnsi" w:cstheme="minorBidi"/>
          <w:noProof/>
          <w:sz w:val="20"/>
          <w:szCs w:val="20"/>
          <w:bdr w:val="none" w:sz="0" w:space="0" w:color="auto"/>
          <w:lang w:val="es-US" w:eastAsia="zh-CN"/>
        </w:rPr>
      </w:pPr>
      <w:hyperlink w:anchor="_Toc90283154" w:history="1">
        <w:r w:rsidR="006D19DD" w:rsidRPr="006D19DD">
          <w:rPr>
            <w:rStyle w:val="Hyperlink"/>
            <w:rFonts w:asciiTheme="majorHAnsi" w:hAnsiTheme="majorHAnsi"/>
            <w:noProof/>
            <w:sz w:val="20"/>
            <w:szCs w:val="20"/>
            <w:lang w:val="es-ES"/>
          </w:rPr>
          <w:t>3.</w:t>
        </w:r>
        <w:r w:rsidR="006D19DD" w:rsidRPr="006D19DD">
          <w:rPr>
            <w:rFonts w:asciiTheme="majorHAnsi" w:eastAsiaTheme="minorEastAsia" w:hAnsiTheme="majorHAnsi" w:cstheme="minorBidi"/>
            <w:noProof/>
            <w:sz w:val="20"/>
            <w:szCs w:val="20"/>
            <w:bdr w:val="none" w:sz="0" w:space="0" w:color="auto"/>
            <w:lang w:val="es-US" w:eastAsia="zh-CN"/>
          </w:rPr>
          <w:tab/>
        </w:r>
        <w:r w:rsidR="006D19DD" w:rsidRPr="006D19DD">
          <w:rPr>
            <w:rStyle w:val="Hyperlink"/>
            <w:rFonts w:asciiTheme="majorHAnsi" w:hAnsiTheme="majorHAnsi"/>
            <w:noProof/>
            <w:sz w:val="20"/>
            <w:szCs w:val="20"/>
            <w:lang w:val="es-ES"/>
          </w:rPr>
          <w:t>Método de ejecución</w:t>
        </w:r>
        <w:r w:rsidR="006D19DD" w:rsidRPr="006D19DD">
          <w:rPr>
            <w:rFonts w:asciiTheme="majorHAnsi" w:hAnsiTheme="majorHAnsi"/>
            <w:noProof/>
            <w:webHidden/>
            <w:sz w:val="20"/>
            <w:szCs w:val="20"/>
          </w:rPr>
          <w:tab/>
        </w:r>
        <w:r w:rsidR="006D19DD" w:rsidRPr="006D19DD">
          <w:rPr>
            <w:rFonts w:asciiTheme="majorHAnsi" w:hAnsiTheme="majorHAnsi"/>
            <w:noProof/>
            <w:webHidden/>
            <w:sz w:val="20"/>
            <w:szCs w:val="20"/>
          </w:rPr>
          <w:fldChar w:fldCharType="begin"/>
        </w:r>
        <w:r w:rsidR="006D19DD" w:rsidRPr="006D19DD">
          <w:rPr>
            <w:rFonts w:asciiTheme="majorHAnsi" w:hAnsiTheme="majorHAnsi"/>
            <w:noProof/>
            <w:webHidden/>
            <w:sz w:val="20"/>
            <w:szCs w:val="20"/>
          </w:rPr>
          <w:instrText xml:space="preserve"> PAGEREF _Toc90283154 \h </w:instrText>
        </w:r>
        <w:r w:rsidR="006D19DD" w:rsidRPr="006D19DD">
          <w:rPr>
            <w:rFonts w:asciiTheme="majorHAnsi" w:hAnsiTheme="majorHAnsi"/>
            <w:noProof/>
            <w:webHidden/>
            <w:sz w:val="20"/>
            <w:szCs w:val="20"/>
          </w:rPr>
        </w:r>
        <w:r w:rsidR="006D19DD" w:rsidRPr="006D19DD">
          <w:rPr>
            <w:rFonts w:asciiTheme="majorHAnsi" w:hAnsiTheme="majorHAnsi"/>
            <w:noProof/>
            <w:webHidden/>
            <w:sz w:val="20"/>
            <w:szCs w:val="20"/>
          </w:rPr>
          <w:fldChar w:fldCharType="separate"/>
        </w:r>
        <w:r w:rsidR="006D19DD" w:rsidRPr="006D19DD">
          <w:rPr>
            <w:rFonts w:asciiTheme="majorHAnsi" w:hAnsiTheme="majorHAnsi"/>
            <w:noProof/>
            <w:webHidden/>
            <w:sz w:val="20"/>
            <w:szCs w:val="20"/>
          </w:rPr>
          <w:t>21</w:t>
        </w:r>
        <w:r w:rsidR="006D19DD" w:rsidRPr="006D19DD">
          <w:rPr>
            <w:rFonts w:asciiTheme="majorHAnsi" w:hAnsiTheme="majorHAnsi"/>
            <w:noProof/>
            <w:webHidden/>
            <w:sz w:val="20"/>
            <w:szCs w:val="20"/>
          </w:rPr>
          <w:fldChar w:fldCharType="end"/>
        </w:r>
      </w:hyperlink>
    </w:p>
    <w:p w14:paraId="3BA9F0B1" w14:textId="168A2E14" w:rsidR="006D19DD" w:rsidRPr="006D19DD" w:rsidRDefault="005D64AE">
      <w:pPr>
        <w:pStyle w:val="TOC3"/>
        <w:tabs>
          <w:tab w:val="left" w:pos="2160"/>
        </w:tabs>
        <w:rPr>
          <w:rFonts w:asciiTheme="majorHAnsi" w:eastAsiaTheme="minorEastAsia" w:hAnsiTheme="majorHAnsi" w:cstheme="minorBidi"/>
          <w:noProof/>
          <w:sz w:val="20"/>
          <w:szCs w:val="20"/>
          <w:bdr w:val="none" w:sz="0" w:space="0" w:color="auto"/>
          <w:lang w:val="es-US" w:eastAsia="zh-CN"/>
        </w:rPr>
      </w:pPr>
      <w:hyperlink w:anchor="_Toc90283155" w:history="1">
        <w:r w:rsidR="006D19DD" w:rsidRPr="006D19DD">
          <w:rPr>
            <w:rStyle w:val="Hyperlink"/>
            <w:rFonts w:asciiTheme="majorHAnsi" w:hAnsiTheme="majorHAnsi"/>
            <w:noProof/>
            <w:sz w:val="20"/>
            <w:szCs w:val="20"/>
            <w:lang w:val="es-ES"/>
          </w:rPr>
          <w:t>4.</w:t>
        </w:r>
        <w:r w:rsidR="006D19DD" w:rsidRPr="006D19DD">
          <w:rPr>
            <w:rFonts w:asciiTheme="majorHAnsi" w:eastAsiaTheme="minorEastAsia" w:hAnsiTheme="majorHAnsi" w:cstheme="minorBidi"/>
            <w:noProof/>
            <w:sz w:val="20"/>
            <w:szCs w:val="20"/>
            <w:bdr w:val="none" w:sz="0" w:space="0" w:color="auto"/>
            <w:lang w:val="es-US" w:eastAsia="zh-CN"/>
          </w:rPr>
          <w:tab/>
        </w:r>
        <w:r w:rsidR="006D19DD" w:rsidRPr="006D19DD">
          <w:rPr>
            <w:rStyle w:val="Hyperlink"/>
            <w:rFonts w:asciiTheme="majorHAnsi" w:hAnsiTheme="majorHAnsi"/>
            <w:noProof/>
            <w:sz w:val="20"/>
            <w:szCs w:val="20"/>
            <w:lang w:val="es-ES"/>
          </w:rPr>
          <w:t>La privación de la libertad en el corredor de la muerte y el derecho de protección contra un castigo cruel, infamante o inusitado</w:t>
        </w:r>
        <w:r w:rsidR="006D19DD" w:rsidRPr="006D19DD">
          <w:rPr>
            <w:rFonts w:asciiTheme="majorHAnsi" w:hAnsiTheme="majorHAnsi"/>
            <w:noProof/>
            <w:webHidden/>
            <w:sz w:val="20"/>
            <w:szCs w:val="20"/>
          </w:rPr>
          <w:tab/>
        </w:r>
        <w:r w:rsidR="006D19DD" w:rsidRPr="006D19DD">
          <w:rPr>
            <w:rFonts w:asciiTheme="majorHAnsi" w:hAnsiTheme="majorHAnsi"/>
            <w:noProof/>
            <w:webHidden/>
            <w:sz w:val="20"/>
            <w:szCs w:val="20"/>
          </w:rPr>
          <w:fldChar w:fldCharType="begin"/>
        </w:r>
        <w:r w:rsidR="006D19DD" w:rsidRPr="006D19DD">
          <w:rPr>
            <w:rFonts w:asciiTheme="majorHAnsi" w:hAnsiTheme="majorHAnsi"/>
            <w:noProof/>
            <w:webHidden/>
            <w:sz w:val="20"/>
            <w:szCs w:val="20"/>
          </w:rPr>
          <w:instrText xml:space="preserve"> PAGEREF _Toc90283155 \h </w:instrText>
        </w:r>
        <w:r w:rsidR="006D19DD" w:rsidRPr="006D19DD">
          <w:rPr>
            <w:rFonts w:asciiTheme="majorHAnsi" w:hAnsiTheme="majorHAnsi"/>
            <w:noProof/>
            <w:webHidden/>
            <w:sz w:val="20"/>
            <w:szCs w:val="20"/>
          </w:rPr>
        </w:r>
        <w:r w:rsidR="006D19DD" w:rsidRPr="006D19DD">
          <w:rPr>
            <w:rFonts w:asciiTheme="majorHAnsi" w:hAnsiTheme="majorHAnsi"/>
            <w:noProof/>
            <w:webHidden/>
            <w:sz w:val="20"/>
            <w:szCs w:val="20"/>
          </w:rPr>
          <w:fldChar w:fldCharType="separate"/>
        </w:r>
        <w:r w:rsidR="006D19DD" w:rsidRPr="006D19DD">
          <w:rPr>
            <w:rFonts w:asciiTheme="majorHAnsi" w:hAnsiTheme="majorHAnsi"/>
            <w:noProof/>
            <w:webHidden/>
            <w:sz w:val="20"/>
            <w:szCs w:val="20"/>
          </w:rPr>
          <w:t>22</w:t>
        </w:r>
        <w:r w:rsidR="006D19DD" w:rsidRPr="006D19DD">
          <w:rPr>
            <w:rFonts w:asciiTheme="majorHAnsi" w:hAnsiTheme="majorHAnsi"/>
            <w:noProof/>
            <w:webHidden/>
            <w:sz w:val="20"/>
            <w:szCs w:val="20"/>
          </w:rPr>
          <w:fldChar w:fldCharType="end"/>
        </w:r>
      </w:hyperlink>
    </w:p>
    <w:p w14:paraId="01837911" w14:textId="796F23A7" w:rsidR="006D19DD" w:rsidRPr="00E92C2B" w:rsidRDefault="005D64AE" w:rsidP="009206FF">
      <w:pPr>
        <w:pStyle w:val="TOC2"/>
        <w:rPr>
          <w:rFonts w:eastAsiaTheme="minorEastAsia" w:cstheme="minorBidi"/>
          <w:bdr w:val="none" w:sz="0" w:space="0" w:color="auto"/>
          <w:lang w:val="es-US" w:eastAsia="zh-CN"/>
        </w:rPr>
      </w:pPr>
      <w:hyperlink w:anchor="_Toc90283156" w:history="1">
        <w:r w:rsidR="006D19DD" w:rsidRPr="00E92C2B">
          <w:rPr>
            <w:rStyle w:val="Hyperlink"/>
          </w:rPr>
          <w:t>D.</w:t>
        </w:r>
        <w:r w:rsidR="006D19DD" w:rsidRPr="00E92C2B">
          <w:rPr>
            <w:rFonts w:eastAsiaTheme="minorEastAsia" w:cstheme="minorBidi"/>
            <w:bdr w:val="none" w:sz="0" w:space="0" w:color="auto"/>
            <w:lang w:val="es-US" w:eastAsia="zh-CN"/>
          </w:rPr>
          <w:tab/>
        </w:r>
        <w:r w:rsidR="006D19DD" w:rsidRPr="00E92C2B">
          <w:rPr>
            <w:rStyle w:val="Hyperlink"/>
          </w:rPr>
          <w:t>El derecho a la vida y a la protección contra un castigo cruel, infamante o inusitado con respecto a la eventual ejecución de Pete Carl Rogovich</w:t>
        </w:r>
        <w:r w:rsidR="006D19DD" w:rsidRPr="00E92C2B">
          <w:rPr>
            <w:webHidden/>
          </w:rPr>
          <w:tab/>
        </w:r>
        <w:r w:rsidR="006D19DD" w:rsidRPr="00E92C2B">
          <w:rPr>
            <w:webHidden/>
          </w:rPr>
          <w:fldChar w:fldCharType="begin"/>
        </w:r>
        <w:r w:rsidR="006D19DD" w:rsidRPr="00E92C2B">
          <w:rPr>
            <w:webHidden/>
          </w:rPr>
          <w:instrText xml:space="preserve"> PAGEREF _Toc90283156 \h </w:instrText>
        </w:r>
        <w:r w:rsidR="006D19DD" w:rsidRPr="00E92C2B">
          <w:rPr>
            <w:webHidden/>
          </w:rPr>
        </w:r>
        <w:r w:rsidR="006D19DD" w:rsidRPr="00E92C2B">
          <w:rPr>
            <w:webHidden/>
          </w:rPr>
          <w:fldChar w:fldCharType="separate"/>
        </w:r>
        <w:r w:rsidR="006D19DD" w:rsidRPr="00E92C2B">
          <w:rPr>
            <w:webHidden/>
          </w:rPr>
          <w:t>23</w:t>
        </w:r>
        <w:r w:rsidR="006D19DD" w:rsidRPr="00E92C2B">
          <w:rPr>
            <w:webHidden/>
          </w:rPr>
          <w:fldChar w:fldCharType="end"/>
        </w:r>
      </w:hyperlink>
    </w:p>
    <w:p w14:paraId="2BC82E95" w14:textId="74A0AFF6" w:rsidR="006D19DD" w:rsidRPr="00E92C2B" w:rsidRDefault="005D64AE">
      <w:pPr>
        <w:pStyle w:val="TOC1"/>
        <w:rPr>
          <w:rFonts w:eastAsiaTheme="minorEastAsia" w:cstheme="minorBidi"/>
          <w:b w:val="0"/>
          <w:bdr w:val="none" w:sz="0" w:space="0" w:color="auto"/>
          <w:lang w:val="es-US" w:eastAsia="zh-CN"/>
        </w:rPr>
      </w:pPr>
      <w:hyperlink w:anchor="_Toc90283157" w:history="1">
        <w:r w:rsidR="006D19DD" w:rsidRPr="00E92C2B">
          <w:rPr>
            <w:rStyle w:val="Hyperlink"/>
            <w:lang w:val="es-ES_tradnl"/>
          </w:rPr>
          <w:t>VI.</w:t>
        </w:r>
        <w:r w:rsidR="006D19DD" w:rsidRPr="00E92C2B">
          <w:rPr>
            <w:rFonts w:eastAsiaTheme="minorEastAsia" w:cstheme="minorBidi"/>
            <w:b w:val="0"/>
            <w:bdr w:val="none" w:sz="0" w:space="0" w:color="auto"/>
            <w:lang w:val="es-US" w:eastAsia="zh-CN"/>
          </w:rPr>
          <w:tab/>
        </w:r>
        <w:r w:rsidR="006D19DD" w:rsidRPr="00E92C2B">
          <w:rPr>
            <w:rStyle w:val="Hyperlink"/>
            <w:lang w:val="es-ES_tradnl"/>
          </w:rPr>
          <w:t>INFORME Nº 154/19 E INFORMACIÓN SOBRE EL CUMPLIMIENTO</w:t>
        </w:r>
        <w:r w:rsidR="006D19DD" w:rsidRPr="00E92C2B">
          <w:rPr>
            <w:webHidden/>
          </w:rPr>
          <w:tab/>
        </w:r>
        <w:r w:rsidR="006D19DD" w:rsidRPr="00E92C2B">
          <w:rPr>
            <w:webHidden/>
          </w:rPr>
          <w:fldChar w:fldCharType="begin"/>
        </w:r>
        <w:r w:rsidR="006D19DD" w:rsidRPr="00E92C2B">
          <w:rPr>
            <w:webHidden/>
          </w:rPr>
          <w:instrText xml:space="preserve"> PAGEREF _Toc90283157 \h </w:instrText>
        </w:r>
        <w:r w:rsidR="006D19DD" w:rsidRPr="00E92C2B">
          <w:rPr>
            <w:webHidden/>
          </w:rPr>
        </w:r>
        <w:r w:rsidR="006D19DD" w:rsidRPr="00E92C2B">
          <w:rPr>
            <w:webHidden/>
          </w:rPr>
          <w:fldChar w:fldCharType="separate"/>
        </w:r>
        <w:r w:rsidR="006D19DD" w:rsidRPr="00E92C2B">
          <w:rPr>
            <w:webHidden/>
          </w:rPr>
          <w:t>23</w:t>
        </w:r>
        <w:r w:rsidR="006D19DD" w:rsidRPr="00E92C2B">
          <w:rPr>
            <w:webHidden/>
          </w:rPr>
          <w:fldChar w:fldCharType="end"/>
        </w:r>
      </w:hyperlink>
    </w:p>
    <w:p w14:paraId="39AFE6D1" w14:textId="09F190A2" w:rsidR="006D19DD" w:rsidRPr="00E92C2B" w:rsidRDefault="005D64AE">
      <w:pPr>
        <w:pStyle w:val="TOC1"/>
        <w:rPr>
          <w:rFonts w:eastAsiaTheme="minorEastAsia" w:cstheme="minorBidi"/>
          <w:b w:val="0"/>
          <w:bdr w:val="none" w:sz="0" w:space="0" w:color="auto"/>
          <w:lang w:val="es-US" w:eastAsia="zh-CN"/>
        </w:rPr>
      </w:pPr>
      <w:hyperlink w:anchor="_Toc90283158" w:history="1">
        <w:r w:rsidR="006D19DD" w:rsidRPr="00E92C2B">
          <w:rPr>
            <w:rStyle w:val="Hyperlink"/>
          </w:rPr>
          <w:t>VII.</w:t>
        </w:r>
        <w:r w:rsidR="006D19DD" w:rsidRPr="00E92C2B">
          <w:rPr>
            <w:rFonts w:eastAsiaTheme="minorEastAsia" w:cstheme="minorBidi"/>
            <w:b w:val="0"/>
            <w:bdr w:val="none" w:sz="0" w:space="0" w:color="auto"/>
            <w:lang w:val="es-US" w:eastAsia="zh-CN"/>
          </w:rPr>
          <w:tab/>
        </w:r>
        <w:r w:rsidR="006D19DD" w:rsidRPr="00E92C2B">
          <w:rPr>
            <w:rStyle w:val="Hyperlink"/>
          </w:rPr>
          <w:t>ACCIONES POSTERIORES AL INFORME No. 329/21</w:t>
        </w:r>
        <w:r w:rsidR="006D19DD" w:rsidRPr="00E92C2B">
          <w:rPr>
            <w:webHidden/>
          </w:rPr>
          <w:tab/>
        </w:r>
        <w:r w:rsidR="006D19DD" w:rsidRPr="00E92C2B">
          <w:rPr>
            <w:webHidden/>
          </w:rPr>
          <w:fldChar w:fldCharType="begin"/>
        </w:r>
        <w:r w:rsidR="006D19DD" w:rsidRPr="00E92C2B">
          <w:rPr>
            <w:webHidden/>
          </w:rPr>
          <w:instrText xml:space="preserve"> PAGEREF _Toc90283158 \h </w:instrText>
        </w:r>
        <w:r w:rsidR="006D19DD" w:rsidRPr="00E92C2B">
          <w:rPr>
            <w:webHidden/>
          </w:rPr>
        </w:r>
        <w:r w:rsidR="006D19DD" w:rsidRPr="00E92C2B">
          <w:rPr>
            <w:webHidden/>
          </w:rPr>
          <w:fldChar w:fldCharType="separate"/>
        </w:r>
        <w:r w:rsidR="006D19DD" w:rsidRPr="00E92C2B">
          <w:rPr>
            <w:webHidden/>
          </w:rPr>
          <w:t>24</w:t>
        </w:r>
        <w:r w:rsidR="006D19DD" w:rsidRPr="00E92C2B">
          <w:rPr>
            <w:webHidden/>
          </w:rPr>
          <w:fldChar w:fldCharType="end"/>
        </w:r>
      </w:hyperlink>
    </w:p>
    <w:p w14:paraId="2C36B95B" w14:textId="0A807FFF" w:rsidR="006D19DD" w:rsidRPr="00E92C2B" w:rsidRDefault="005D64AE">
      <w:pPr>
        <w:pStyle w:val="TOC1"/>
        <w:rPr>
          <w:rFonts w:eastAsiaTheme="minorEastAsia" w:cstheme="minorBidi"/>
          <w:b w:val="0"/>
          <w:bdr w:val="none" w:sz="0" w:space="0" w:color="auto"/>
          <w:lang w:val="es-US" w:eastAsia="zh-CN"/>
        </w:rPr>
      </w:pPr>
      <w:hyperlink w:anchor="_Toc90283159" w:history="1">
        <w:r w:rsidR="006D19DD" w:rsidRPr="00E92C2B">
          <w:rPr>
            <w:rStyle w:val="Hyperlink"/>
          </w:rPr>
          <w:t>VIII.</w:t>
        </w:r>
        <w:r w:rsidR="006D19DD" w:rsidRPr="00E92C2B">
          <w:rPr>
            <w:rFonts w:eastAsiaTheme="minorEastAsia" w:cstheme="minorBidi"/>
            <w:b w:val="0"/>
            <w:bdr w:val="none" w:sz="0" w:space="0" w:color="auto"/>
            <w:lang w:val="es-US" w:eastAsia="zh-CN"/>
          </w:rPr>
          <w:tab/>
        </w:r>
        <w:r w:rsidR="006D19DD" w:rsidRPr="00E92C2B">
          <w:rPr>
            <w:rStyle w:val="Hyperlink"/>
          </w:rPr>
          <w:t>CONCLUSIONES Y RECOMENDACIONES FINALES</w:t>
        </w:r>
        <w:r w:rsidR="006D19DD" w:rsidRPr="00E92C2B">
          <w:rPr>
            <w:webHidden/>
          </w:rPr>
          <w:tab/>
        </w:r>
        <w:r w:rsidR="006D19DD" w:rsidRPr="00E92C2B">
          <w:rPr>
            <w:webHidden/>
          </w:rPr>
          <w:fldChar w:fldCharType="begin"/>
        </w:r>
        <w:r w:rsidR="006D19DD" w:rsidRPr="00E92C2B">
          <w:rPr>
            <w:webHidden/>
          </w:rPr>
          <w:instrText xml:space="preserve"> PAGEREF _Toc90283159 \h </w:instrText>
        </w:r>
        <w:r w:rsidR="006D19DD" w:rsidRPr="00E92C2B">
          <w:rPr>
            <w:webHidden/>
          </w:rPr>
        </w:r>
        <w:r w:rsidR="006D19DD" w:rsidRPr="00E92C2B">
          <w:rPr>
            <w:webHidden/>
          </w:rPr>
          <w:fldChar w:fldCharType="separate"/>
        </w:r>
        <w:r w:rsidR="006D19DD" w:rsidRPr="00E92C2B">
          <w:rPr>
            <w:webHidden/>
          </w:rPr>
          <w:t>24</w:t>
        </w:r>
        <w:r w:rsidR="006D19DD" w:rsidRPr="00E92C2B">
          <w:rPr>
            <w:webHidden/>
          </w:rPr>
          <w:fldChar w:fldCharType="end"/>
        </w:r>
      </w:hyperlink>
    </w:p>
    <w:p w14:paraId="4A71968C" w14:textId="5B8C2877" w:rsidR="006D19DD" w:rsidRPr="006D19DD" w:rsidRDefault="005D64AE">
      <w:pPr>
        <w:pStyle w:val="TOC1"/>
        <w:rPr>
          <w:rFonts w:eastAsiaTheme="minorEastAsia" w:cstheme="minorBidi"/>
          <w:b w:val="0"/>
          <w:bdr w:val="none" w:sz="0" w:space="0" w:color="auto"/>
          <w:lang w:val="es-US" w:eastAsia="zh-CN"/>
        </w:rPr>
      </w:pPr>
      <w:hyperlink w:anchor="_Toc90283160" w:history="1">
        <w:r w:rsidR="006D19DD" w:rsidRPr="00E92C2B">
          <w:rPr>
            <w:rStyle w:val="Hyperlink"/>
          </w:rPr>
          <w:t>IX.</w:t>
        </w:r>
        <w:r w:rsidR="006D19DD" w:rsidRPr="00E92C2B">
          <w:rPr>
            <w:rFonts w:eastAsiaTheme="minorEastAsia" w:cstheme="minorBidi"/>
            <w:b w:val="0"/>
            <w:bdr w:val="none" w:sz="0" w:space="0" w:color="auto"/>
            <w:lang w:val="es-US" w:eastAsia="zh-CN"/>
          </w:rPr>
          <w:tab/>
        </w:r>
        <w:r w:rsidR="006D19DD" w:rsidRPr="00E92C2B">
          <w:rPr>
            <w:rStyle w:val="Hyperlink"/>
          </w:rPr>
          <w:t>PUBLICACIÓN</w:t>
        </w:r>
        <w:r w:rsidR="006D19DD" w:rsidRPr="00E92C2B">
          <w:rPr>
            <w:webHidden/>
          </w:rPr>
          <w:tab/>
        </w:r>
        <w:r w:rsidR="006D19DD" w:rsidRPr="00E92C2B">
          <w:rPr>
            <w:webHidden/>
          </w:rPr>
          <w:fldChar w:fldCharType="begin"/>
        </w:r>
        <w:r w:rsidR="006D19DD" w:rsidRPr="00E92C2B">
          <w:rPr>
            <w:webHidden/>
          </w:rPr>
          <w:instrText xml:space="preserve"> PAGEREF _Toc90283160 \h </w:instrText>
        </w:r>
        <w:r w:rsidR="006D19DD" w:rsidRPr="00E92C2B">
          <w:rPr>
            <w:webHidden/>
          </w:rPr>
        </w:r>
        <w:r w:rsidR="006D19DD" w:rsidRPr="00E92C2B">
          <w:rPr>
            <w:webHidden/>
          </w:rPr>
          <w:fldChar w:fldCharType="separate"/>
        </w:r>
        <w:r w:rsidR="006D19DD" w:rsidRPr="00E92C2B">
          <w:rPr>
            <w:webHidden/>
          </w:rPr>
          <w:t>25</w:t>
        </w:r>
        <w:r w:rsidR="006D19DD" w:rsidRPr="00E92C2B">
          <w:rPr>
            <w:webHidden/>
          </w:rPr>
          <w:fldChar w:fldCharType="end"/>
        </w:r>
      </w:hyperlink>
    </w:p>
    <w:p w14:paraId="27FB1546" w14:textId="02A9656F" w:rsidR="00953481" w:rsidRPr="008536ED" w:rsidRDefault="00953481" w:rsidP="00953481">
      <w:pPr>
        <w:tabs>
          <w:tab w:val="center" w:pos="5400"/>
        </w:tabs>
        <w:suppressAutoHyphens/>
        <w:spacing w:line="276" w:lineRule="auto"/>
        <w:rPr>
          <w:rFonts w:asciiTheme="majorHAnsi" w:hAnsiTheme="majorHAnsi"/>
          <w:sz w:val="20"/>
          <w:szCs w:val="20"/>
          <w:lang w:val="es-ES"/>
        </w:rPr>
      </w:pPr>
      <w:r w:rsidRPr="006D19DD">
        <w:rPr>
          <w:rFonts w:asciiTheme="majorHAnsi" w:hAnsiTheme="majorHAnsi"/>
          <w:sz w:val="20"/>
          <w:szCs w:val="20"/>
          <w:lang w:val="es-ES"/>
        </w:rPr>
        <w:fldChar w:fldCharType="end"/>
      </w:r>
    </w:p>
    <w:p w14:paraId="666BE815" w14:textId="77777777" w:rsidR="00953481" w:rsidRPr="008536ED" w:rsidRDefault="00953481" w:rsidP="00953481">
      <w:pPr>
        <w:rPr>
          <w:rFonts w:asciiTheme="majorHAnsi" w:hAnsiTheme="majorHAnsi"/>
          <w:b/>
          <w:sz w:val="20"/>
          <w:szCs w:val="20"/>
          <w:lang w:val="es-ES"/>
        </w:rPr>
      </w:pPr>
      <w:r w:rsidRPr="008536ED">
        <w:rPr>
          <w:rFonts w:asciiTheme="majorHAnsi" w:hAnsiTheme="majorHAnsi"/>
          <w:b/>
          <w:sz w:val="20"/>
          <w:szCs w:val="20"/>
          <w:lang w:val="es-ES"/>
        </w:rPr>
        <w:br w:type="page"/>
      </w:r>
    </w:p>
    <w:p w14:paraId="54B35CAC" w14:textId="77777777" w:rsidR="00953481" w:rsidRPr="008536ED" w:rsidRDefault="00953481" w:rsidP="00953481">
      <w:pPr>
        <w:pStyle w:val="Heading1"/>
        <w:tabs>
          <w:tab w:val="left" w:pos="360"/>
        </w:tabs>
        <w:spacing w:before="0"/>
        <w:ind w:hanging="720"/>
        <w:rPr>
          <w:color w:val="auto"/>
          <w:sz w:val="20"/>
          <w:szCs w:val="20"/>
          <w:lang w:val="es-ES"/>
        </w:rPr>
      </w:pPr>
      <w:bookmarkStart w:id="2" w:name="_Toc90283129"/>
      <w:r w:rsidRPr="008536ED">
        <w:rPr>
          <w:color w:val="auto"/>
          <w:sz w:val="20"/>
          <w:szCs w:val="20"/>
          <w:lang w:val="es-ES"/>
        </w:rPr>
        <w:lastRenderedPageBreak/>
        <w:t>INTRODUCCIÓN</w:t>
      </w:r>
      <w:bookmarkEnd w:id="2"/>
      <w:r w:rsidRPr="008536ED">
        <w:rPr>
          <w:color w:val="auto"/>
          <w:sz w:val="20"/>
          <w:szCs w:val="20"/>
          <w:lang w:val="es-ES"/>
        </w:rPr>
        <w:t xml:space="preserve"> </w:t>
      </w:r>
    </w:p>
    <w:p w14:paraId="7FF713AA" w14:textId="77777777" w:rsidR="00953481" w:rsidRPr="008536ED" w:rsidRDefault="00953481" w:rsidP="00953481">
      <w:pPr>
        <w:suppressAutoHyphens/>
        <w:rPr>
          <w:rFonts w:asciiTheme="majorHAnsi" w:hAnsiTheme="majorHAnsi"/>
          <w:b/>
          <w:sz w:val="20"/>
          <w:szCs w:val="20"/>
          <w:lang w:val="es-ES"/>
        </w:rPr>
      </w:pPr>
    </w:p>
    <w:p w14:paraId="44BA5126" w14:textId="77777777" w:rsidR="00953481" w:rsidRPr="00953481"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536ED">
        <w:rPr>
          <w:rFonts w:asciiTheme="majorHAnsi" w:hAnsiTheme="majorHAnsi"/>
          <w:sz w:val="20"/>
          <w:szCs w:val="20"/>
          <w:lang w:val="es-ES"/>
        </w:rPr>
        <w:t>El 19 de febrero de 2014, la Comisión Interamericana de Derechos Humanos (“la Comisión Interamericana”, “la Comisión” o “la CIDH”) recibió una petición y solicitud de medidas cautelares</w:t>
      </w:r>
      <w:r w:rsidRPr="008536ED">
        <w:rPr>
          <w:rStyle w:val="FootnoteReference"/>
          <w:rFonts w:asciiTheme="majorHAnsi" w:hAnsiTheme="majorHAnsi"/>
          <w:sz w:val="20"/>
          <w:szCs w:val="20"/>
          <w:lang w:val="es-ES"/>
        </w:rPr>
        <w:footnoteReference w:id="2"/>
      </w:r>
      <w:r w:rsidRPr="008536ED">
        <w:rPr>
          <w:rFonts w:asciiTheme="majorHAnsi" w:hAnsiTheme="majorHAnsi"/>
          <w:sz w:val="20"/>
          <w:szCs w:val="20"/>
          <w:lang w:val="es-ES"/>
        </w:rPr>
        <w:t xml:space="preserve"> presentada por Sarah Stone, de la Defensoría Pública Federal de Arizona (“</w:t>
      </w:r>
      <w:r>
        <w:rPr>
          <w:rFonts w:asciiTheme="majorHAnsi" w:hAnsiTheme="majorHAnsi"/>
          <w:sz w:val="20"/>
          <w:szCs w:val="20"/>
          <w:lang w:val="es-ES"/>
        </w:rPr>
        <w:t>la peticionaria</w:t>
      </w:r>
      <w:r w:rsidRPr="008536ED">
        <w:rPr>
          <w:rFonts w:asciiTheme="majorHAnsi" w:hAnsiTheme="majorHAnsi"/>
          <w:sz w:val="20"/>
          <w:szCs w:val="20"/>
          <w:lang w:val="es-ES"/>
        </w:rPr>
        <w:t>”)</w:t>
      </w:r>
      <w:r w:rsidRPr="008536ED">
        <w:rPr>
          <w:rStyle w:val="FootnoteReference"/>
          <w:rFonts w:asciiTheme="majorHAnsi" w:hAnsiTheme="majorHAnsi"/>
          <w:sz w:val="20"/>
          <w:szCs w:val="20"/>
          <w:lang w:val="es-ES"/>
        </w:rPr>
        <w:footnoteReference w:id="3"/>
      </w:r>
      <w:r w:rsidRPr="008536ED">
        <w:rPr>
          <w:rFonts w:asciiTheme="majorHAnsi" w:hAnsiTheme="majorHAnsi"/>
          <w:sz w:val="20"/>
          <w:szCs w:val="20"/>
          <w:lang w:val="es-ES"/>
        </w:rPr>
        <w:t xml:space="preserve">, en la cual se alega la responsabilidad internacional de Estados Unidos de América (“el Estado” o “Estados Unidos”) por la violación de los derechos de Pete Carl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ciudadano estadounidense que se encuentra en </w:t>
      </w:r>
      <w:r w:rsidRPr="00953481">
        <w:rPr>
          <w:rFonts w:asciiTheme="majorHAnsi" w:hAnsiTheme="majorHAnsi"/>
          <w:sz w:val="20"/>
          <w:szCs w:val="20"/>
          <w:lang w:val="es-ES"/>
        </w:rPr>
        <w:t xml:space="preserve">el corredor de la muerte en el estado de Arizona. </w:t>
      </w:r>
    </w:p>
    <w:p w14:paraId="3AC80A54" w14:textId="77777777" w:rsidR="00953481" w:rsidRPr="00953481"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Theme="majorHAnsi" w:hAnsiTheme="majorHAnsi"/>
          <w:sz w:val="20"/>
          <w:szCs w:val="20"/>
          <w:lang w:val="es-ES"/>
        </w:rPr>
      </w:pPr>
    </w:p>
    <w:p w14:paraId="27410518" w14:textId="77777777" w:rsidR="00953481" w:rsidRPr="00953481"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953481">
        <w:rPr>
          <w:rFonts w:asciiTheme="majorHAnsi" w:hAnsiTheme="majorHAnsi"/>
          <w:sz w:val="20"/>
          <w:szCs w:val="20"/>
          <w:lang w:val="es-ES"/>
        </w:rPr>
        <w:t>El 10 de enero de 2018, la Comisión notificó a las partes la aplicación del artículo 36.3 de su Reglamento, ya que la petición se encuadra en los criterios establecidos en su Resolución 1/16, y se puso a disposición de las partes para llegar a una solución amistosa. Las partes contaron con los plazos dispuestos en el Reglamento de la CIDH para presentar observaciones adicionales sobre el fondo. Toda la información recibida por la Comisión fue transmitida debidamente a las partes.</w:t>
      </w:r>
    </w:p>
    <w:p w14:paraId="046D35A0" w14:textId="77777777" w:rsidR="00953481" w:rsidRPr="00953481"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lang w:val="es-ES"/>
        </w:rPr>
      </w:pPr>
    </w:p>
    <w:p w14:paraId="6CAEEEAC" w14:textId="77777777" w:rsidR="00953481" w:rsidRPr="00953481" w:rsidRDefault="00953481" w:rsidP="00953481">
      <w:pPr>
        <w:pStyle w:val="Heading1"/>
        <w:tabs>
          <w:tab w:val="left" w:pos="360"/>
        </w:tabs>
        <w:spacing w:before="0"/>
        <w:ind w:hanging="720"/>
        <w:rPr>
          <w:color w:val="auto"/>
          <w:sz w:val="20"/>
          <w:szCs w:val="20"/>
          <w:lang w:val="es-ES"/>
        </w:rPr>
      </w:pPr>
      <w:bookmarkStart w:id="3" w:name="_Toc90283130"/>
      <w:r w:rsidRPr="00953481">
        <w:rPr>
          <w:color w:val="auto"/>
          <w:sz w:val="20"/>
          <w:szCs w:val="20"/>
          <w:lang w:val="es-ES"/>
        </w:rPr>
        <w:t>POSICIÓN DE LAS PARTES</w:t>
      </w:r>
      <w:bookmarkEnd w:id="3"/>
    </w:p>
    <w:p w14:paraId="0E073B7E" w14:textId="77777777" w:rsidR="00953481" w:rsidRPr="00953481" w:rsidRDefault="00953481" w:rsidP="00953481">
      <w:pPr>
        <w:suppressAutoHyphens/>
        <w:rPr>
          <w:rFonts w:asciiTheme="majorHAnsi" w:hAnsiTheme="majorHAnsi"/>
          <w:sz w:val="20"/>
          <w:szCs w:val="20"/>
          <w:lang w:val="es-ES"/>
        </w:rPr>
      </w:pPr>
    </w:p>
    <w:p w14:paraId="4681FFC1" w14:textId="77777777" w:rsidR="00953481" w:rsidRPr="00953481" w:rsidRDefault="00953481" w:rsidP="00C341DD">
      <w:pPr>
        <w:pStyle w:val="Heading2"/>
        <w:keepLines/>
        <w:numPr>
          <w:ilvl w:val="0"/>
          <w:numId w:val="57"/>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4" w:name="_Toc90283131"/>
      <w:r w:rsidRPr="00953481">
        <w:rPr>
          <w:rFonts w:asciiTheme="majorHAnsi" w:hAnsiTheme="majorHAnsi"/>
          <w:i w:val="0"/>
          <w:sz w:val="20"/>
          <w:szCs w:val="20"/>
          <w:lang w:val="es-ES"/>
        </w:rPr>
        <w:t>Posición de la parte peticionaria</w:t>
      </w:r>
      <w:bookmarkEnd w:id="4"/>
    </w:p>
    <w:p w14:paraId="043D64AF" w14:textId="77777777" w:rsidR="00953481" w:rsidRPr="00953481" w:rsidRDefault="00953481" w:rsidP="00953481">
      <w:pPr>
        <w:suppressAutoHyphens/>
        <w:rPr>
          <w:rFonts w:asciiTheme="majorHAnsi" w:hAnsiTheme="majorHAnsi"/>
          <w:sz w:val="20"/>
          <w:szCs w:val="20"/>
          <w:lang w:val="es-ES"/>
        </w:rPr>
      </w:pPr>
    </w:p>
    <w:p w14:paraId="424C51AF"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953481">
        <w:rPr>
          <w:rFonts w:asciiTheme="majorHAnsi" w:hAnsiTheme="majorHAnsi"/>
          <w:sz w:val="20"/>
          <w:szCs w:val="20"/>
          <w:lang w:val="es-ES"/>
        </w:rPr>
        <w:t xml:space="preserve">Según la parte peticionaria, el 15 de marzo de 1992, el señor </w:t>
      </w:r>
      <w:proofErr w:type="spellStart"/>
      <w:r w:rsidRPr="00953481">
        <w:rPr>
          <w:rFonts w:asciiTheme="majorHAnsi" w:hAnsiTheme="majorHAnsi"/>
          <w:sz w:val="20"/>
          <w:szCs w:val="20"/>
          <w:lang w:val="es-ES"/>
        </w:rPr>
        <w:t>Rogovich</w:t>
      </w:r>
      <w:proofErr w:type="spellEnd"/>
      <w:r w:rsidRPr="00953481">
        <w:rPr>
          <w:rFonts w:asciiTheme="majorHAnsi" w:hAnsiTheme="majorHAnsi"/>
          <w:sz w:val="20"/>
          <w:szCs w:val="20"/>
          <w:lang w:val="es-ES"/>
        </w:rPr>
        <w:t xml:space="preserve"> asesinó a balazos a cuatro personas en el estado de Arizona. En consecuencia, el 1 de junio de 1994 fue declarado culpable de cuatro cargos de homicidio y el 9 de junio de 1995 fue condenado a muerte por tres de ellos. La parte peticionaria afirma que el señor </w:t>
      </w:r>
      <w:proofErr w:type="spellStart"/>
      <w:r w:rsidRPr="00953481">
        <w:rPr>
          <w:rFonts w:asciiTheme="majorHAnsi" w:hAnsiTheme="majorHAnsi"/>
          <w:sz w:val="20"/>
          <w:szCs w:val="20"/>
          <w:lang w:val="es-ES"/>
        </w:rPr>
        <w:t>Rogovich</w:t>
      </w:r>
      <w:proofErr w:type="spellEnd"/>
      <w:r w:rsidRPr="00953481">
        <w:rPr>
          <w:rFonts w:asciiTheme="majorHAnsi" w:hAnsiTheme="majorHAnsi"/>
          <w:sz w:val="20"/>
          <w:szCs w:val="20"/>
          <w:lang w:val="es-ES"/>
        </w:rPr>
        <w:t xml:space="preserve"> padece una enfermedad mental grave, de modo que su condena a pena de muerte y su ejecución son contrarias</w:t>
      </w:r>
      <w:r w:rsidRPr="008536ED">
        <w:rPr>
          <w:rFonts w:asciiTheme="majorHAnsi" w:hAnsiTheme="majorHAnsi"/>
          <w:sz w:val="20"/>
          <w:szCs w:val="20"/>
          <w:lang w:val="es-ES"/>
        </w:rPr>
        <w:t xml:space="preserve"> al derecho internacional; que recibió patrocinio letrado ineficaz en el juicio y en </w:t>
      </w:r>
      <w:r>
        <w:rPr>
          <w:rFonts w:asciiTheme="majorHAnsi" w:hAnsiTheme="majorHAnsi"/>
          <w:sz w:val="20"/>
          <w:szCs w:val="20"/>
          <w:lang w:val="es-ES"/>
        </w:rPr>
        <w:t xml:space="preserve">la </w:t>
      </w:r>
      <w:r w:rsidRPr="008536ED">
        <w:rPr>
          <w:rFonts w:asciiTheme="majorHAnsi" w:hAnsiTheme="majorHAnsi"/>
          <w:sz w:val="20"/>
          <w:szCs w:val="20"/>
          <w:lang w:val="es-ES"/>
        </w:rPr>
        <w:t>apelación; que, en la práctica, la Ley Antiterrorista y de Efectiva Aplicación de la Pena de Muerte (“AEDPA”</w:t>
      </w:r>
      <w:r>
        <w:rPr>
          <w:rFonts w:asciiTheme="majorHAnsi" w:hAnsiTheme="majorHAnsi"/>
          <w:sz w:val="20"/>
          <w:szCs w:val="20"/>
          <w:lang w:val="es-ES"/>
        </w:rPr>
        <w:t xml:space="preserve"> por sus siglas en inglés</w:t>
      </w:r>
      <w:r w:rsidRPr="008536ED">
        <w:rPr>
          <w:rFonts w:asciiTheme="majorHAnsi" w:hAnsiTheme="majorHAnsi"/>
          <w:sz w:val="20"/>
          <w:szCs w:val="20"/>
          <w:lang w:val="es-ES"/>
        </w:rPr>
        <w:t xml:space="preserve">) impide una revisión de las decisiones de los tribunales estatales; que el método de ejecución que se utiliza en Arizona viola su derecho a que no se le aplique un castigo cruel, infamante o inusitado; que las condiciones en las cuales ha estado </w:t>
      </w:r>
      <w:r>
        <w:rPr>
          <w:rFonts w:asciiTheme="majorHAnsi" w:hAnsiTheme="majorHAnsi"/>
          <w:sz w:val="20"/>
          <w:szCs w:val="20"/>
          <w:lang w:val="es-ES"/>
        </w:rPr>
        <w:t>privado de la libertad</w:t>
      </w:r>
      <w:r w:rsidRPr="008536ED">
        <w:rPr>
          <w:rFonts w:asciiTheme="majorHAnsi" w:hAnsiTheme="majorHAnsi"/>
          <w:sz w:val="20"/>
          <w:szCs w:val="20"/>
          <w:lang w:val="es-ES"/>
        </w:rPr>
        <w:t xml:space="preserve"> son crueles e inhumanas, y que el procedimiento de clemencia de Arizona no se ciñe a las normas mínimas del debido proceso.</w:t>
      </w:r>
      <w:r>
        <w:rPr>
          <w:rFonts w:asciiTheme="majorHAnsi" w:hAnsiTheme="majorHAnsi"/>
          <w:sz w:val="20"/>
          <w:szCs w:val="20"/>
          <w:lang w:val="es-ES"/>
        </w:rPr>
        <w:t xml:space="preserve"> </w:t>
      </w:r>
    </w:p>
    <w:p w14:paraId="04E684B0"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6789"/>
        </w:tabs>
        <w:jc w:val="both"/>
        <w:rPr>
          <w:rFonts w:asciiTheme="majorHAnsi" w:hAnsiTheme="majorHAnsi"/>
          <w:sz w:val="20"/>
          <w:szCs w:val="20"/>
          <w:lang w:val="es-ES"/>
        </w:rPr>
      </w:pPr>
    </w:p>
    <w:p w14:paraId="1A7D0CD0"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La parte peticionaria</w:t>
      </w:r>
      <w:r w:rsidRPr="008536ED">
        <w:rPr>
          <w:rFonts w:asciiTheme="majorHAnsi" w:hAnsiTheme="majorHAnsi"/>
          <w:sz w:val="20"/>
          <w:szCs w:val="20"/>
          <w:lang w:val="es-ES"/>
        </w:rPr>
        <w:t xml:space="preserve"> afirma que la presunta víctima padece una enfermedad mental grave desde una temprana edad, pero comenzó a recibir tratamiento solo después que lo arrestaron. Agrega que la presunta víctima estaba fuertemente medicada y, por lo tanto, no </w:t>
      </w:r>
      <w:r>
        <w:rPr>
          <w:rFonts w:asciiTheme="majorHAnsi" w:hAnsiTheme="majorHAnsi"/>
          <w:sz w:val="20"/>
          <w:szCs w:val="20"/>
          <w:lang w:val="es-ES"/>
        </w:rPr>
        <w:t xml:space="preserve">entendía lo que ocurría durante el </w:t>
      </w:r>
      <w:r w:rsidRPr="008536ED">
        <w:rPr>
          <w:rFonts w:asciiTheme="majorHAnsi" w:hAnsiTheme="majorHAnsi"/>
          <w:sz w:val="20"/>
          <w:szCs w:val="20"/>
          <w:lang w:val="es-ES"/>
        </w:rPr>
        <w:t xml:space="preserve">juicio. </w:t>
      </w:r>
      <w:r>
        <w:rPr>
          <w:rFonts w:asciiTheme="majorHAnsi" w:hAnsiTheme="majorHAnsi"/>
          <w:sz w:val="20"/>
          <w:szCs w:val="20"/>
          <w:lang w:val="es-ES"/>
        </w:rPr>
        <w:t xml:space="preserve">El señor </w:t>
      </w:r>
      <w:proofErr w:type="spellStart"/>
      <w:r>
        <w:rPr>
          <w:rFonts w:asciiTheme="majorHAnsi" w:hAnsiTheme="majorHAnsi"/>
          <w:sz w:val="20"/>
          <w:szCs w:val="20"/>
          <w:lang w:val="es-ES"/>
        </w:rPr>
        <w:t>Rogovich</w:t>
      </w:r>
      <w:proofErr w:type="spellEnd"/>
      <w:r>
        <w:rPr>
          <w:rFonts w:asciiTheme="majorHAnsi" w:hAnsiTheme="majorHAnsi"/>
          <w:sz w:val="20"/>
          <w:szCs w:val="20"/>
          <w:lang w:val="es-ES"/>
        </w:rPr>
        <w:t xml:space="preserve"> habría sido </w:t>
      </w:r>
      <w:r w:rsidRPr="008536ED">
        <w:rPr>
          <w:rFonts w:asciiTheme="majorHAnsi" w:hAnsiTheme="majorHAnsi"/>
          <w:sz w:val="20"/>
          <w:szCs w:val="20"/>
          <w:lang w:val="es-ES"/>
        </w:rPr>
        <w:t>diagnostica</w:t>
      </w:r>
      <w:r>
        <w:rPr>
          <w:rFonts w:asciiTheme="majorHAnsi" w:hAnsiTheme="majorHAnsi"/>
          <w:sz w:val="20"/>
          <w:szCs w:val="20"/>
          <w:lang w:val="es-ES"/>
        </w:rPr>
        <w:t>d</w:t>
      </w:r>
      <w:r w:rsidRPr="008536ED">
        <w:rPr>
          <w:rFonts w:asciiTheme="majorHAnsi" w:hAnsiTheme="majorHAnsi"/>
          <w:sz w:val="20"/>
          <w:szCs w:val="20"/>
          <w:lang w:val="es-ES"/>
        </w:rPr>
        <w:t>o</w:t>
      </w:r>
      <w:r>
        <w:rPr>
          <w:rFonts w:asciiTheme="majorHAnsi" w:hAnsiTheme="majorHAnsi"/>
          <w:sz w:val="20"/>
          <w:szCs w:val="20"/>
          <w:lang w:val="es-ES"/>
        </w:rPr>
        <w:t xml:space="preserve"> con</w:t>
      </w:r>
      <w:r w:rsidRPr="008536ED">
        <w:rPr>
          <w:rFonts w:asciiTheme="majorHAnsi" w:hAnsiTheme="majorHAnsi"/>
          <w:sz w:val="20"/>
          <w:szCs w:val="20"/>
          <w:lang w:val="es-ES"/>
        </w:rPr>
        <w:t xml:space="preserve"> esquizofrenia, esquizofrenia paranoide, trastorno delirante orgánico, trastorno esquizoafectivo, trastorno psicótico y trastorno bipolar grave con psicosis</w:t>
      </w:r>
      <w:r>
        <w:rPr>
          <w:rFonts w:asciiTheme="majorHAnsi" w:hAnsiTheme="majorHAnsi"/>
          <w:sz w:val="20"/>
          <w:szCs w:val="20"/>
          <w:lang w:val="es-ES"/>
        </w:rPr>
        <w:t>. Por consiguiente</w:t>
      </w:r>
      <w:r w:rsidRPr="008536ED">
        <w:rPr>
          <w:rFonts w:asciiTheme="majorHAnsi" w:hAnsiTheme="majorHAnsi"/>
          <w:sz w:val="20"/>
          <w:szCs w:val="20"/>
          <w:lang w:val="es-ES"/>
        </w:rPr>
        <w:t>,</w:t>
      </w:r>
      <w:r w:rsidRPr="00F717C0">
        <w:rPr>
          <w:rFonts w:asciiTheme="majorHAnsi" w:hAnsiTheme="majorHAnsi"/>
          <w:sz w:val="20"/>
          <w:szCs w:val="20"/>
          <w:lang w:val="es-ES"/>
        </w:rPr>
        <w:t xml:space="preserve"> el Departamento Correccional de Arizona</w:t>
      </w:r>
      <w:r w:rsidRPr="008536ED">
        <w:rPr>
          <w:rFonts w:asciiTheme="majorHAnsi" w:hAnsiTheme="majorHAnsi"/>
          <w:sz w:val="20"/>
          <w:szCs w:val="20"/>
          <w:lang w:val="es-ES"/>
        </w:rPr>
        <w:t xml:space="preserve"> </w:t>
      </w:r>
      <w:r>
        <w:rPr>
          <w:rFonts w:asciiTheme="majorHAnsi" w:hAnsiTheme="majorHAnsi"/>
          <w:sz w:val="20"/>
          <w:szCs w:val="20"/>
          <w:lang w:val="es-ES"/>
        </w:rPr>
        <w:t xml:space="preserve">lo clasificó </w:t>
      </w:r>
      <w:r w:rsidRPr="008536ED">
        <w:rPr>
          <w:rFonts w:asciiTheme="majorHAnsi" w:hAnsiTheme="majorHAnsi"/>
          <w:sz w:val="20"/>
          <w:szCs w:val="20"/>
          <w:lang w:val="es-ES"/>
        </w:rPr>
        <w:t xml:space="preserve">como “enfermo mental grave”. En 2008 se hizo una revisión de su estado y se le quitó esta clasificación. Según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debido a este cambio, en cualquier momento se podría emitir una orden de ejecución de la pena de muerte.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w:t>
      </w:r>
      <w:r>
        <w:rPr>
          <w:rFonts w:asciiTheme="majorHAnsi" w:hAnsiTheme="majorHAnsi"/>
          <w:sz w:val="20"/>
          <w:szCs w:val="20"/>
          <w:lang w:val="es-ES"/>
        </w:rPr>
        <w:t>concluye</w:t>
      </w:r>
      <w:r w:rsidRPr="008536ED">
        <w:rPr>
          <w:rFonts w:asciiTheme="majorHAnsi" w:hAnsiTheme="majorHAnsi"/>
          <w:sz w:val="20"/>
          <w:szCs w:val="20"/>
          <w:lang w:val="es-ES"/>
        </w:rPr>
        <w:t xml:space="preserve"> que, debido a la discapacidad mental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la pena de muerte constituye una forma de castigo cruel, inhumano o degradante. </w:t>
      </w:r>
    </w:p>
    <w:p w14:paraId="4A6135DE" w14:textId="77777777" w:rsidR="00953481" w:rsidRPr="00400DC5" w:rsidRDefault="00953481" w:rsidP="00953481">
      <w:pPr>
        <w:rPr>
          <w:rFonts w:asciiTheme="majorHAnsi" w:hAnsiTheme="majorHAnsi"/>
          <w:sz w:val="20"/>
          <w:szCs w:val="20"/>
          <w:lang w:val="es-ES"/>
        </w:rPr>
      </w:pPr>
    </w:p>
    <w:p w14:paraId="0E5C693B"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La parte peticionaria</w:t>
      </w:r>
      <w:r w:rsidRPr="008536ED">
        <w:rPr>
          <w:rFonts w:asciiTheme="majorHAnsi" w:hAnsiTheme="majorHAnsi"/>
          <w:sz w:val="20"/>
          <w:szCs w:val="20"/>
          <w:lang w:val="es-ES"/>
        </w:rPr>
        <w:t xml:space="preserve"> afirma que el Estado proporcionó un abogado defensor incompetente</w:t>
      </w:r>
      <w:r>
        <w:rPr>
          <w:rFonts w:asciiTheme="majorHAnsi" w:hAnsiTheme="majorHAnsi"/>
          <w:sz w:val="20"/>
          <w:szCs w:val="20"/>
          <w:lang w:val="es-ES"/>
        </w:rPr>
        <w:t xml:space="preserve">. El abogado de primera instancia </w:t>
      </w:r>
      <w:r w:rsidRPr="008536ED">
        <w:rPr>
          <w:rFonts w:asciiTheme="majorHAnsi" w:hAnsiTheme="majorHAnsi"/>
          <w:sz w:val="20"/>
          <w:szCs w:val="20"/>
          <w:lang w:val="es-ES"/>
        </w:rPr>
        <w:t xml:space="preserve">prescindió de la presencia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durante la etapa de selección del jurado en </w:t>
      </w:r>
      <w:r>
        <w:rPr>
          <w:rFonts w:asciiTheme="majorHAnsi" w:hAnsiTheme="majorHAnsi"/>
          <w:sz w:val="20"/>
          <w:szCs w:val="20"/>
          <w:lang w:val="es-ES"/>
        </w:rPr>
        <w:t>el</w:t>
      </w:r>
      <w:r w:rsidRPr="008536ED">
        <w:rPr>
          <w:rFonts w:asciiTheme="majorHAnsi" w:hAnsiTheme="majorHAnsi"/>
          <w:sz w:val="20"/>
          <w:szCs w:val="20"/>
          <w:lang w:val="es-ES"/>
        </w:rPr>
        <w:t xml:space="preserve"> juicio y presentó una defensa de </w:t>
      </w:r>
      <w:r>
        <w:rPr>
          <w:rFonts w:asciiTheme="majorHAnsi" w:hAnsiTheme="majorHAnsi"/>
          <w:sz w:val="20"/>
          <w:szCs w:val="20"/>
          <w:lang w:val="es-ES"/>
        </w:rPr>
        <w:t>discapacidad mental</w:t>
      </w:r>
      <w:r w:rsidRPr="008536ED">
        <w:rPr>
          <w:rFonts w:asciiTheme="majorHAnsi" w:hAnsiTheme="majorHAnsi"/>
          <w:sz w:val="20"/>
          <w:szCs w:val="20"/>
          <w:lang w:val="es-ES"/>
        </w:rPr>
        <w:t xml:space="preserve"> sin consultar a la presunta víctima. Según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el abogado </w:t>
      </w:r>
      <w:r>
        <w:rPr>
          <w:rFonts w:asciiTheme="majorHAnsi" w:hAnsiTheme="majorHAnsi"/>
          <w:sz w:val="20"/>
          <w:szCs w:val="20"/>
          <w:lang w:val="es-ES"/>
        </w:rPr>
        <w:t>de apelación</w:t>
      </w:r>
      <w:r w:rsidRPr="008536ED">
        <w:rPr>
          <w:rFonts w:asciiTheme="majorHAnsi" w:hAnsiTheme="majorHAnsi"/>
          <w:sz w:val="20"/>
          <w:szCs w:val="20"/>
          <w:lang w:val="es-ES"/>
        </w:rPr>
        <w:t xml:space="preserve"> </w:t>
      </w:r>
      <w:r>
        <w:rPr>
          <w:rFonts w:asciiTheme="majorHAnsi" w:hAnsiTheme="majorHAnsi"/>
          <w:sz w:val="20"/>
          <w:szCs w:val="20"/>
          <w:lang w:val="es-ES"/>
        </w:rPr>
        <w:t>“</w:t>
      </w:r>
      <w:r w:rsidRPr="008536ED">
        <w:rPr>
          <w:rFonts w:asciiTheme="majorHAnsi" w:hAnsiTheme="majorHAnsi"/>
          <w:sz w:val="20"/>
          <w:szCs w:val="20"/>
          <w:lang w:val="es-ES"/>
        </w:rPr>
        <w:t xml:space="preserve">presentó un escrito </w:t>
      </w:r>
      <w:r>
        <w:rPr>
          <w:rFonts w:asciiTheme="majorHAnsi" w:hAnsiTheme="majorHAnsi"/>
          <w:sz w:val="20"/>
          <w:szCs w:val="20"/>
          <w:lang w:val="es-ES"/>
        </w:rPr>
        <w:t>anémico […]</w:t>
      </w:r>
      <w:r w:rsidRPr="008536ED">
        <w:rPr>
          <w:rFonts w:asciiTheme="majorHAnsi" w:hAnsiTheme="majorHAnsi"/>
          <w:sz w:val="20"/>
          <w:szCs w:val="20"/>
          <w:lang w:val="es-ES"/>
        </w:rPr>
        <w:t xml:space="preserve">, sin argumentos en </w:t>
      </w:r>
      <w:r>
        <w:rPr>
          <w:rFonts w:asciiTheme="majorHAnsi" w:hAnsiTheme="majorHAnsi"/>
          <w:sz w:val="20"/>
          <w:szCs w:val="20"/>
          <w:lang w:val="es-ES"/>
        </w:rPr>
        <w:t>nombre</w:t>
      </w:r>
      <w:r w:rsidRPr="008536ED">
        <w:rPr>
          <w:rFonts w:asciiTheme="majorHAnsi" w:hAnsiTheme="majorHAnsi"/>
          <w:sz w:val="20"/>
          <w:szCs w:val="20"/>
          <w:lang w:val="es-ES"/>
        </w:rPr>
        <w:t xml:space="preserve"> del señor </w:t>
      </w:r>
      <w:proofErr w:type="spellStart"/>
      <w:r w:rsidRPr="008536ED">
        <w:rPr>
          <w:rFonts w:asciiTheme="majorHAnsi" w:hAnsiTheme="majorHAnsi"/>
          <w:sz w:val="20"/>
          <w:szCs w:val="20"/>
          <w:lang w:val="es-ES"/>
        </w:rPr>
        <w:t>Rogovich</w:t>
      </w:r>
      <w:proofErr w:type="spellEnd"/>
      <w:r>
        <w:rPr>
          <w:rFonts w:asciiTheme="majorHAnsi" w:hAnsiTheme="majorHAnsi"/>
          <w:sz w:val="20"/>
          <w:szCs w:val="20"/>
          <w:lang w:val="es-ES"/>
        </w:rPr>
        <w:t>”</w:t>
      </w:r>
      <w:r w:rsidRPr="008536ED">
        <w:rPr>
          <w:rFonts w:asciiTheme="majorHAnsi" w:hAnsiTheme="majorHAnsi"/>
          <w:sz w:val="20"/>
          <w:szCs w:val="20"/>
          <w:lang w:val="es-ES"/>
        </w:rPr>
        <w:t xml:space="preserv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alega que el abogado </w:t>
      </w:r>
      <w:r>
        <w:rPr>
          <w:rFonts w:asciiTheme="majorHAnsi" w:hAnsiTheme="majorHAnsi"/>
          <w:sz w:val="20"/>
          <w:szCs w:val="20"/>
          <w:lang w:val="es-ES"/>
        </w:rPr>
        <w:t>de apelación</w:t>
      </w:r>
      <w:r w:rsidRPr="008536ED">
        <w:rPr>
          <w:rFonts w:asciiTheme="majorHAnsi" w:hAnsiTheme="majorHAnsi"/>
          <w:sz w:val="20"/>
          <w:szCs w:val="20"/>
          <w:lang w:val="es-ES"/>
        </w:rPr>
        <w:t xml:space="preserve"> no impugnó la constitucionalidad de la pena de muerte ni las acusaciones formuladas por el fiscal</w:t>
      </w:r>
      <w:r>
        <w:rPr>
          <w:rFonts w:asciiTheme="majorHAnsi" w:hAnsiTheme="majorHAnsi"/>
          <w:sz w:val="20"/>
          <w:szCs w:val="20"/>
          <w:lang w:val="es-ES"/>
        </w:rPr>
        <w:t>; en cambio</w:t>
      </w:r>
      <w:r w:rsidRPr="008536ED">
        <w:rPr>
          <w:rFonts w:asciiTheme="majorHAnsi" w:hAnsiTheme="majorHAnsi"/>
          <w:sz w:val="20"/>
          <w:szCs w:val="20"/>
          <w:lang w:val="es-ES"/>
        </w:rPr>
        <w:t xml:space="preserve">, confirmó </w:t>
      </w:r>
      <w:r>
        <w:rPr>
          <w:rFonts w:asciiTheme="majorHAnsi" w:hAnsiTheme="majorHAnsi"/>
          <w:sz w:val="20"/>
          <w:szCs w:val="20"/>
          <w:lang w:val="es-ES"/>
        </w:rPr>
        <w:t xml:space="preserve">que </w:t>
      </w:r>
      <w:r w:rsidRPr="008536ED">
        <w:rPr>
          <w:rFonts w:asciiTheme="majorHAnsi" w:hAnsiTheme="majorHAnsi"/>
          <w:sz w:val="20"/>
          <w:szCs w:val="20"/>
          <w:lang w:val="es-ES"/>
        </w:rPr>
        <w:t>la presunta víctima</w:t>
      </w:r>
      <w:r>
        <w:rPr>
          <w:rFonts w:asciiTheme="majorHAnsi" w:hAnsiTheme="majorHAnsi"/>
          <w:sz w:val="20"/>
          <w:szCs w:val="20"/>
          <w:lang w:val="es-ES"/>
        </w:rPr>
        <w:t xml:space="preserve"> tenía capacidad procesal</w:t>
      </w:r>
      <w:r w:rsidRPr="008536ED">
        <w:rPr>
          <w:rFonts w:asciiTheme="majorHAnsi" w:hAnsiTheme="majorHAnsi"/>
          <w:sz w:val="20"/>
          <w:szCs w:val="20"/>
          <w:lang w:val="es-ES"/>
        </w:rPr>
        <w:t>, a</w:t>
      </w:r>
      <w:r>
        <w:rPr>
          <w:rFonts w:asciiTheme="majorHAnsi" w:hAnsiTheme="majorHAnsi"/>
          <w:sz w:val="20"/>
          <w:szCs w:val="20"/>
          <w:lang w:val="es-ES"/>
        </w:rPr>
        <w:t xml:space="preserve"> pesar de que</w:t>
      </w:r>
      <w:r w:rsidRPr="008536ED">
        <w:rPr>
          <w:rFonts w:asciiTheme="majorHAnsi" w:hAnsiTheme="majorHAnsi"/>
          <w:sz w:val="20"/>
          <w:szCs w:val="20"/>
          <w:lang w:val="es-ES"/>
        </w:rPr>
        <w:t xml:space="preserve"> la c</w:t>
      </w:r>
      <w:r>
        <w:rPr>
          <w:rFonts w:asciiTheme="majorHAnsi" w:hAnsiTheme="majorHAnsi"/>
          <w:sz w:val="20"/>
          <w:szCs w:val="20"/>
          <w:lang w:val="es-ES"/>
        </w:rPr>
        <w:t>apacidad procesal</w:t>
      </w:r>
      <w:r w:rsidRPr="008536ED">
        <w:rPr>
          <w:rFonts w:asciiTheme="majorHAnsi" w:hAnsiTheme="majorHAnsi"/>
          <w:sz w:val="20"/>
          <w:szCs w:val="20"/>
          <w:lang w:val="es-ES"/>
        </w:rPr>
        <w:t xml:space="preserve">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había sido uno de los </w:t>
      </w:r>
      <w:r>
        <w:rPr>
          <w:rFonts w:asciiTheme="majorHAnsi" w:hAnsiTheme="majorHAnsi"/>
          <w:sz w:val="20"/>
          <w:szCs w:val="20"/>
          <w:lang w:val="es-ES"/>
        </w:rPr>
        <w:t xml:space="preserve">temas </w:t>
      </w:r>
      <w:r w:rsidRPr="008536ED">
        <w:rPr>
          <w:rFonts w:asciiTheme="majorHAnsi" w:hAnsiTheme="majorHAnsi"/>
          <w:sz w:val="20"/>
          <w:szCs w:val="20"/>
          <w:lang w:val="es-ES"/>
        </w:rPr>
        <w:t xml:space="preserve">más controvertidos </w:t>
      </w:r>
      <w:r>
        <w:rPr>
          <w:rFonts w:asciiTheme="majorHAnsi" w:hAnsiTheme="majorHAnsi"/>
          <w:sz w:val="20"/>
          <w:szCs w:val="20"/>
          <w:lang w:val="es-ES"/>
        </w:rPr>
        <w:t xml:space="preserve">en </w:t>
      </w:r>
      <w:r w:rsidRPr="008536ED">
        <w:rPr>
          <w:rFonts w:asciiTheme="majorHAnsi" w:hAnsiTheme="majorHAnsi"/>
          <w:sz w:val="20"/>
          <w:szCs w:val="20"/>
          <w:lang w:val="es-ES"/>
        </w:rPr>
        <w:t>el juicio. Agrega que esta situación se agravó porque no se pud</w:t>
      </w:r>
      <w:r>
        <w:rPr>
          <w:rFonts w:asciiTheme="majorHAnsi" w:hAnsiTheme="majorHAnsi"/>
          <w:sz w:val="20"/>
          <w:szCs w:val="20"/>
          <w:lang w:val="es-ES"/>
        </w:rPr>
        <w:t>ieron</w:t>
      </w:r>
      <w:r w:rsidRPr="008536ED">
        <w:rPr>
          <w:rFonts w:asciiTheme="majorHAnsi" w:hAnsiTheme="majorHAnsi"/>
          <w:sz w:val="20"/>
          <w:szCs w:val="20"/>
          <w:lang w:val="es-ES"/>
        </w:rPr>
        <w:t xml:space="preserve"> examinar </w:t>
      </w:r>
      <w:r w:rsidRPr="008E5D07">
        <w:rPr>
          <w:rFonts w:asciiTheme="majorHAnsi" w:hAnsiTheme="majorHAnsi"/>
          <w:sz w:val="20"/>
          <w:szCs w:val="20"/>
          <w:lang w:val="es-ES"/>
        </w:rPr>
        <w:t xml:space="preserve">los reclamos del señor </w:t>
      </w:r>
      <w:proofErr w:type="spellStart"/>
      <w:r w:rsidRPr="008E5D07">
        <w:rPr>
          <w:rFonts w:asciiTheme="majorHAnsi" w:hAnsiTheme="majorHAnsi"/>
          <w:sz w:val="20"/>
          <w:szCs w:val="20"/>
          <w:lang w:val="es-ES"/>
        </w:rPr>
        <w:t>Rogovich</w:t>
      </w:r>
      <w:proofErr w:type="spellEnd"/>
      <w:r w:rsidRPr="008E5D07">
        <w:rPr>
          <w:rFonts w:asciiTheme="majorHAnsi" w:hAnsiTheme="majorHAnsi"/>
          <w:sz w:val="20"/>
          <w:szCs w:val="20"/>
          <w:lang w:val="es-ES"/>
        </w:rPr>
        <w:t xml:space="preserve"> </w:t>
      </w:r>
      <w:r w:rsidRPr="008536ED">
        <w:rPr>
          <w:rFonts w:asciiTheme="majorHAnsi" w:hAnsiTheme="majorHAnsi"/>
          <w:sz w:val="20"/>
          <w:szCs w:val="20"/>
          <w:lang w:val="es-ES"/>
        </w:rPr>
        <w:t>de manera adecuada en el sistema jurídico interno como consecuencia de la AEDPA.</w:t>
      </w:r>
    </w:p>
    <w:p w14:paraId="0A3DBF46" w14:textId="77777777" w:rsidR="00953481" w:rsidRPr="008536ED" w:rsidRDefault="00953481" w:rsidP="00953481">
      <w:pPr>
        <w:pStyle w:val="ListParagraph"/>
        <w:rPr>
          <w:rFonts w:asciiTheme="majorHAnsi" w:hAnsiTheme="majorHAnsi"/>
          <w:color w:val="auto"/>
          <w:sz w:val="20"/>
          <w:szCs w:val="20"/>
          <w:lang w:val="es-ES"/>
        </w:rPr>
      </w:pPr>
    </w:p>
    <w:p w14:paraId="7DDF94CD"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Según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el protocolo </w:t>
      </w:r>
      <w:r>
        <w:rPr>
          <w:rFonts w:asciiTheme="majorHAnsi" w:hAnsiTheme="majorHAnsi"/>
          <w:sz w:val="20"/>
          <w:szCs w:val="20"/>
          <w:lang w:val="es-ES"/>
        </w:rPr>
        <w:t>de</w:t>
      </w:r>
      <w:r w:rsidRPr="008536ED">
        <w:rPr>
          <w:rFonts w:asciiTheme="majorHAnsi" w:hAnsiTheme="majorHAnsi"/>
          <w:sz w:val="20"/>
          <w:szCs w:val="20"/>
          <w:lang w:val="es-ES"/>
        </w:rPr>
        <w:t xml:space="preserve"> inyección letal </w:t>
      </w:r>
      <w:r>
        <w:rPr>
          <w:rFonts w:asciiTheme="majorHAnsi" w:hAnsiTheme="majorHAnsi"/>
          <w:sz w:val="20"/>
          <w:szCs w:val="20"/>
          <w:lang w:val="es-ES"/>
        </w:rPr>
        <w:t>proporciona</w:t>
      </w:r>
      <w:r w:rsidRPr="008536ED">
        <w:rPr>
          <w:rFonts w:asciiTheme="majorHAnsi" w:hAnsiTheme="majorHAnsi"/>
          <w:sz w:val="20"/>
          <w:szCs w:val="20"/>
          <w:lang w:val="es-ES"/>
        </w:rPr>
        <w:t xml:space="preserve"> dos </w:t>
      </w:r>
      <w:r>
        <w:rPr>
          <w:rFonts w:asciiTheme="majorHAnsi" w:hAnsiTheme="majorHAnsi"/>
          <w:sz w:val="20"/>
          <w:szCs w:val="20"/>
          <w:lang w:val="es-ES"/>
        </w:rPr>
        <w:t xml:space="preserve">drogas </w:t>
      </w:r>
      <w:r w:rsidRPr="008536ED">
        <w:rPr>
          <w:rFonts w:asciiTheme="majorHAnsi" w:hAnsiTheme="majorHAnsi"/>
          <w:sz w:val="20"/>
          <w:szCs w:val="20"/>
          <w:lang w:val="es-ES"/>
        </w:rPr>
        <w:t xml:space="preserve">posibles para las ejecuciones, ninguno de los cuales </w:t>
      </w:r>
      <w:r>
        <w:rPr>
          <w:rFonts w:asciiTheme="majorHAnsi" w:hAnsiTheme="majorHAnsi"/>
          <w:sz w:val="20"/>
          <w:szCs w:val="20"/>
          <w:lang w:val="es-ES"/>
        </w:rPr>
        <w:t>está disponible</w:t>
      </w:r>
      <w:r w:rsidRPr="008536ED">
        <w:rPr>
          <w:rFonts w:asciiTheme="majorHAnsi" w:hAnsiTheme="majorHAnsi"/>
          <w:sz w:val="20"/>
          <w:szCs w:val="20"/>
          <w:lang w:val="es-ES"/>
        </w:rPr>
        <w:t xml:space="preserve"> en Arizona. Señala que no hay una supervisión federal adecuada porque la Administración de Alimentos y Medicamentos de Estados Unidos no reglamenta ni aprueba productos utilizados en inyecciones letales. Por consiguiente, alega que la ejecución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no cumple el criterio de causar el menor sufrimiento físico y mental posible y que equivale a un experimento no consensual con seres humanos. </w:t>
      </w:r>
    </w:p>
    <w:p w14:paraId="055C7B68" w14:textId="77777777" w:rsidR="00953481" w:rsidRPr="00400DC5" w:rsidRDefault="00953481" w:rsidP="00953481">
      <w:pPr>
        <w:rPr>
          <w:rFonts w:asciiTheme="majorHAnsi" w:hAnsiTheme="majorHAnsi"/>
          <w:sz w:val="20"/>
          <w:szCs w:val="20"/>
          <w:lang w:val="es-ES"/>
        </w:rPr>
      </w:pPr>
    </w:p>
    <w:p w14:paraId="47F6ECDE"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Pr>
          <w:rFonts w:asciiTheme="majorHAnsi" w:hAnsiTheme="majorHAnsi"/>
          <w:sz w:val="20"/>
          <w:szCs w:val="20"/>
          <w:lang w:val="es-ES"/>
        </w:rPr>
        <w:t>La parte peticionaria</w:t>
      </w:r>
      <w:r w:rsidRPr="008536ED">
        <w:rPr>
          <w:rFonts w:asciiTheme="majorHAnsi" w:hAnsiTheme="majorHAnsi"/>
          <w:sz w:val="20"/>
          <w:szCs w:val="20"/>
          <w:lang w:val="es-ES"/>
        </w:rPr>
        <w:t xml:space="preserve"> aduce que, durante más de 20 años,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estuvo </w:t>
      </w:r>
      <w:r>
        <w:rPr>
          <w:rFonts w:asciiTheme="majorHAnsi" w:hAnsiTheme="majorHAnsi"/>
          <w:sz w:val="20"/>
          <w:szCs w:val="20"/>
          <w:lang w:val="es-ES"/>
        </w:rPr>
        <w:t xml:space="preserve">en régimen de aislamiento </w:t>
      </w:r>
      <w:r w:rsidRPr="008536ED">
        <w:rPr>
          <w:rFonts w:asciiTheme="majorHAnsi" w:hAnsiTheme="majorHAnsi"/>
          <w:sz w:val="20"/>
          <w:szCs w:val="20"/>
          <w:lang w:val="es-ES"/>
        </w:rPr>
        <w:t xml:space="preserve">en una celda sin ventana y sin luz natural, con la luz encendida incluso </w:t>
      </w:r>
      <w:r>
        <w:rPr>
          <w:rFonts w:asciiTheme="majorHAnsi" w:hAnsiTheme="majorHAnsi"/>
          <w:sz w:val="20"/>
          <w:szCs w:val="20"/>
          <w:lang w:val="es-ES"/>
        </w:rPr>
        <w:t>por la noche</w:t>
      </w:r>
      <w:r w:rsidRPr="008536ED">
        <w:rPr>
          <w:rFonts w:asciiTheme="majorHAnsi" w:hAnsiTheme="majorHAnsi"/>
          <w:sz w:val="20"/>
          <w:szCs w:val="20"/>
          <w:lang w:val="es-ES"/>
        </w:rPr>
        <w:t xml:space="preserve">. Afirma que los </w:t>
      </w:r>
      <w:r>
        <w:rPr>
          <w:rFonts w:asciiTheme="majorHAnsi" w:hAnsiTheme="majorHAnsi"/>
          <w:sz w:val="20"/>
          <w:szCs w:val="20"/>
          <w:lang w:val="es-ES"/>
        </w:rPr>
        <w:t>internos</w:t>
      </w:r>
      <w:r w:rsidRPr="008536ED">
        <w:rPr>
          <w:rFonts w:asciiTheme="majorHAnsi" w:hAnsiTheme="majorHAnsi"/>
          <w:sz w:val="20"/>
          <w:szCs w:val="20"/>
          <w:lang w:val="es-ES"/>
        </w:rPr>
        <w:t xml:space="preserve"> podían salir de la celda solo tres veces por semana durante dos horas como máximo. El 18 de julio de 2017,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w:t>
      </w:r>
      <w:r>
        <w:rPr>
          <w:rFonts w:asciiTheme="majorHAnsi" w:hAnsiTheme="majorHAnsi"/>
          <w:sz w:val="20"/>
          <w:szCs w:val="20"/>
          <w:lang w:val="es-ES"/>
        </w:rPr>
        <w:t>habría sido</w:t>
      </w:r>
      <w:r w:rsidRPr="008536ED">
        <w:rPr>
          <w:rFonts w:asciiTheme="majorHAnsi" w:hAnsiTheme="majorHAnsi"/>
          <w:sz w:val="20"/>
          <w:szCs w:val="20"/>
          <w:lang w:val="es-ES"/>
        </w:rPr>
        <w:t xml:space="preserve"> </w:t>
      </w:r>
      <w:r>
        <w:rPr>
          <w:rFonts w:asciiTheme="majorHAnsi" w:hAnsiTheme="majorHAnsi"/>
          <w:sz w:val="20"/>
          <w:szCs w:val="20"/>
          <w:lang w:val="es-ES"/>
        </w:rPr>
        <w:t>retirado del régimen de aislamiento</w:t>
      </w:r>
      <w:r w:rsidRPr="008536ED">
        <w:rPr>
          <w:rFonts w:asciiTheme="majorHAnsi" w:hAnsiTheme="majorHAnsi"/>
          <w:sz w:val="20"/>
          <w:szCs w:val="20"/>
          <w:lang w:val="es-ES"/>
        </w:rPr>
        <w:t xml:space="preserve"> debido a un cambio en las normas de detención. </w:t>
      </w:r>
      <w:r>
        <w:rPr>
          <w:rFonts w:asciiTheme="majorHAnsi" w:hAnsiTheme="majorHAnsi"/>
          <w:sz w:val="20"/>
          <w:szCs w:val="20"/>
          <w:lang w:val="es-ES"/>
        </w:rPr>
        <w:t>La peticionaria</w:t>
      </w:r>
      <w:r w:rsidRPr="008536ED">
        <w:rPr>
          <w:rFonts w:asciiTheme="majorHAnsi" w:hAnsiTheme="majorHAnsi"/>
          <w:sz w:val="20"/>
          <w:szCs w:val="20"/>
          <w:lang w:val="es-ES"/>
        </w:rPr>
        <w:t xml:space="preserve"> agrega que en la cárcel no hay psiquiatra y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recibe los medicamentos psiquiátricos con retraso. Según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la estadía prolongada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en el corredor de la muerte constituye una violación de sus derechos humanos. </w:t>
      </w:r>
    </w:p>
    <w:p w14:paraId="66E9E14E" w14:textId="77777777" w:rsidR="00953481" w:rsidRPr="00400DC5" w:rsidRDefault="00953481" w:rsidP="00953481">
      <w:pPr>
        <w:rPr>
          <w:rFonts w:asciiTheme="majorHAnsi" w:hAnsiTheme="majorHAnsi"/>
          <w:sz w:val="20"/>
          <w:szCs w:val="20"/>
          <w:lang w:val="es-ES"/>
        </w:rPr>
      </w:pPr>
    </w:p>
    <w:p w14:paraId="35755350"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Por último, </w:t>
      </w:r>
      <w:r>
        <w:rPr>
          <w:rFonts w:asciiTheme="majorHAnsi" w:hAnsiTheme="majorHAnsi"/>
          <w:sz w:val="20"/>
          <w:szCs w:val="20"/>
          <w:lang w:val="es-ES"/>
        </w:rPr>
        <w:t>afirma</w:t>
      </w:r>
      <w:r w:rsidRPr="008536ED">
        <w:rPr>
          <w:rFonts w:asciiTheme="majorHAnsi" w:hAnsiTheme="majorHAnsi"/>
          <w:sz w:val="20"/>
          <w:szCs w:val="20"/>
          <w:lang w:val="es-ES"/>
        </w:rPr>
        <w:t xml:space="preserve"> que el procedimiento de clemencia es </w:t>
      </w:r>
      <w:r>
        <w:rPr>
          <w:rFonts w:asciiTheme="majorHAnsi" w:hAnsiTheme="majorHAnsi"/>
          <w:sz w:val="20"/>
          <w:szCs w:val="20"/>
          <w:lang w:val="es-ES"/>
        </w:rPr>
        <w:t>altamente</w:t>
      </w:r>
      <w:r w:rsidRPr="008536ED">
        <w:rPr>
          <w:rFonts w:asciiTheme="majorHAnsi" w:hAnsiTheme="majorHAnsi"/>
          <w:sz w:val="20"/>
          <w:szCs w:val="20"/>
          <w:lang w:val="es-ES"/>
        </w:rPr>
        <w:t xml:space="preserve"> político y, por lo tanto, ineficaz. Alega que los integrantes de la Junta de Clemencia </w:t>
      </w:r>
      <w:r>
        <w:rPr>
          <w:rFonts w:asciiTheme="majorHAnsi" w:hAnsiTheme="majorHAnsi"/>
          <w:sz w:val="20"/>
          <w:szCs w:val="20"/>
          <w:lang w:val="es-ES"/>
        </w:rPr>
        <w:t xml:space="preserve">son capacitados por </w:t>
      </w:r>
      <w:r w:rsidRPr="008536ED">
        <w:rPr>
          <w:rFonts w:asciiTheme="majorHAnsi" w:hAnsiTheme="majorHAnsi"/>
          <w:sz w:val="20"/>
          <w:szCs w:val="20"/>
          <w:lang w:val="es-ES"/>
        </w:rPr>
        <w:t xml:space="preserve">el </w:t>
      </w:r>
      <w:r>
        <w:rPr>
          <w:rFonts w:asciiTheme="majorHAnsi" w:hAnsiTheme="majorHAnsi"/>
          <w:sz w:val="20"/>
          <w:szCs w:val="20"/>
          <w:lang w:val="es-ES"/>
        </w:rPr>
        <w:t>Fiscal General</w:t>
      </w:r>
      <w:r w:rsidRPr="008536ED">
        <w:rPr>
          <w:rFonts w:asciiTheme="majorHAnsi" w:hAnsiTheme="majorHAnsi"/>
          <w:sz w:val="20"/>
          <w:szCs w:val="20"/>
          <w:lang w:val="es-ES"/>
        </w:rPr>
        <w:t xml:space="preserve">, cuya oficina ayuda a los fiscales a obtener la pena de muerte en los juicios. Agrega que la </w:t>
      </w:r>
      <w:r>
        <w:rPr>
          <w:rFonts w:asciiTheme="majorHAnsi" w:hAnsiTheme="majorHAnsi"/>
          <w:sz w:val="20"/>
          <w:szCs w:val="20"/>
          <w:lang w:val="es-ES"/>
        </w:rPr>
        <w:t>J</w:t>
      </w:r>
      <w:r w:rsidRPr="008536ED">
        <w:rPr>
          <w:rFonts w:asciiTheme="majorHAnsi" w:hAnsiTheme="majorHAnsi"/>
          <w:sz w:val="20"/>
          <w:szCs w:val="20"/>
          <w:lang w:val="es-ES"/>
        </w:rPr>
        <w:t xml:space="preserve">unta debe atenerse a la prueba y los argumentos presentados durante el juicio y considerar si la pena fue excesiva. Según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la </w:t>
      </w:r>
      <w:r>
        <w:rPr>
          <w:rFonts w:asciiTheme="majorHAnsi" w:hAnsiTheme="majorHAnsi"/>
          <w:sz w:val="20"/>
          <w:szCs w:val="20"/>
          <w:lang w:val="es-ES"/>
        </w:rPr>
        <w:t>escasa</w:t>
      </w:r>
      <w:r w:rsidRPr="008536ED">
        <w:rPr>
          <w:rFonts w:asciiTheme="majorHAnsi" w:hAnsiTheme="majorHAnsi"/>
          <w:sz w:val="20"/>
          <w:szCs w:val="20"/>
          <w:lang w:val="es-ES"/>
        </w:rPr>
        <w:t xml:space="preserve"> prueba que puede considerarse es examinada por personas capacitadas únicamente por la fiscalía, que ha </w:t>
      </w:r>
      <w:r>
        <w:rPr>
          <w:rFonts w:asciiTheme="majorHAnsi" w:hAnsiTheme="majorHAnsi"/>
          <w:sz w:val="20"/>
          <w:szCs w:val="20"/>
          <w:lang w:val="es-ES"/>
        </w:rPr>
        <w:t>abogado por</w:t>
      </w:r>
      <w:r w:rsidRPr="008536ED">
        <w:rPr>
          <w:rFonts w:asciiTheme="majorHAnsi" w:hAnsiTheme="majorHAnsi"/>
          <w:sz w:val="20"/>
          <w:szCs w:val="20"/>
          <w:lang w:val="es-ES"/>
        </w:rPr>
        <w:t xml:space="preserve"> la ejecución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desde 1997.</w:t>
      </w:r>
    </w:p>
    <w:p w14:paraId="710A0611" w14:textId="77777777" w:rsidR="00953481" w:rsidRPr="008536ED" w:rsidRDefault="00953481" w:rsidP="00953481">
      <w:pPr>
        <w:rPr>
          <w:rFonts w:asciiTheme="majorHAnsi" w:hAnsiTheme="majorHAnsi"/>
          <w:sz w:val="20"/>
          <w:szCs w:val="20"/>
          <w:lang w:val="es-ES"/>
        </w:rPr>
      </w:pPr>
    </w:p>
    <w:p w14:paraId="2897AA7F"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Con respecto al requisito del agotamiento de los recursos internos,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indica que la condena y la sentencia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fueron ratificadas en apelación. El 8 de octubre de 2009 se denegó un auto de avocación presentado ante la Corte Suprema de Estados Unidos. La peticionaria afirma que los recursos </w:t>
      </w:r>
      <w:proofErr w:type="spellStart"/>
      <w:r w:rsidRPr="008536ED">
        <w:rPr>
          <w:rFonts w:asciiTheme="majorHAnsi" w:hAnsiTheme="majorHAnsi"/>
          <w:sz w:val="20"/>
          <w:szCs w:val="20"/>
          <w:lang w:val="es-ES"/>
        </w:rPr>
        <w:t>poscondenatorios</w:t>
      </w:r>
      <w:proofErr w:type="spellEnd"/>
      <w:r w:rsidRPr="008536ED">
        <w:rPr>
          <w:rFonts w:asciiTheme="majorHAnsi" w:hAnsiTheme="majorHAnsi"/>
          <w:sz w:val="20"/>
          <w:szCs w:val="20"/>
          <w:lang w:val="es-ES"/>
        </w:rPr>
        <w:t xml:space="preserve"> también fueron denegados. El 22 de octubre de 2009,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interpuso un recurso de reparación </w:t>
      </w:r>
      <w:proofErr w:type="spellStart"/>
      <w:r w:rsidRPr="008536ED">
        <w:rPr>
          <w:rFonts w:asciiTheme="majorHAnsi" w:hAnsiTheme="majorHAnsi"/>
          <w:sz w:val="20"/>
          <w:szCs w:val="20"/>
          <w:lang w:val="es-ES"/>
        </w:rPr>
        <w:t>poscondenatoria</w:t>
      </w:r>
      <w:proofErr w:type="spellEnd"/>
      <w:r w:rsidRPr="008536ED">
        <w:rPr>
          <w:rFonts w:asciiTheme="majorHAnsi" w:hAnsiTheme="majorHAnsi"/>
          <w:sz w:val="20"/>
          <w:szCs w:val="20"/>
          <w:lang w:val="es-ES"/>
        </w:rPr>
        <w:t xml:space="preserve"> ante el Tribunal Superior del Condado de </w:t>
      </w:r>
      <w:proofErr w:type="spellStart"/>
      <w:r w:rsidRPr="008536ED">
        <w:rPr>
          <w:rFonts w:asciiTheme="majorHAnsi" w:hAnsiTheme="majorHAnsi"/>
          <w:sz w:val="20"/>
          <w:szCs w:val="20"/>
          <w:lang w:val="es-ES"/>
        </w:rPr>
        <w:t>Maricopa</w:t>
      </w:r>
      <w:proofErr w:type="spellEnd"/>
      <w:r w:rsidRPr="008536ED">
        <w:rPr>
          <w:rFonts w:asciiTheme="majorHAnsi" w:hAnsiTheme="majorHAnsi"/>
          <w:sz w:val="20"/>
          <w:szCs w:val="20"/>
          <w:lang w:val="es-ES"/>
        </w:rPr>
        <w:t xml:space="preserve">, que fue denegado el 6 de enero de 2016. La </w:t>
      </w:r>
      <w:r>
        <w:rPr>
          <w:rFonts w:asciiTheme="majorHAnsi" w:hAnsiTheme="majorHAnsi"/>
          <w:sz w:val="20"/>
          <w:szCs w:val="20"/>
          <w:lang w:val="es-ES"/>
        </w:rPr>
        <w:t xml:space="preserve">parte </w:t>
      </w:r>
      <w:r w:rsidRPr="008536ED">
        <w:rPr>
          <w:rFonts w:asciiTheme="majorHAnsi" w:hAnsiTheme="majorHAnsi"/>
          <w:sz w:val="20"/>
          <w:szCs w:val="20"/>
          <w:lang w:val="es-ES"/>
        </w:rPr>
        <w:t>peticionaria concluye que Estados Unidos ha violado los artículos I, II, XI, XXV, XVII, XVIII, XXIV y XXVI de la Declaración Americana, los artículos 6 y 7 del Pacto Internacional de Derechos Civiles y Políticos, los artículos 1 y 16 de la Convención contra la Tortura y Otros Tratos o Penas Crueles, Inhumanos o Degradantes, y las normas del derecho internacional consuetudinario.</w:t>
      </w:r>
    </w:p>
    <w:p w14:paraId="5D748867"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5AA1AF15" w14:textId="77777777" w:rsidR="00953481" w:rsidRPr="00953481" w:rsidRDefault="00953481" w:rsidP="00C341DD">
      <w:pPr>
        <w:pStyle w:val="Heading2"/>
        <w:keepLines/>
        <w:numPr>
          <w:ilvl w:val="0"/>
          <w:numId w:val="57"/>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5" w:name="_Toc90283132"/>
      <w:r w:rsidRPr="00953481">
        <w:rPr>
          <w:rFonts w:asciiTheme="majorHAnsi" w:hAnsiTheme="majorHAnsi"/>
          <w:i w:val="0"/>
          <w:sz w:val="20"/>
          <w:szCs w:val="20"/>
          <w:lang w:val="es-ES"/>
        </w:rPr>
        <w:t>Posición del Estado</w:t>
      </w:r>
      <w:bookmarkEnd w:id="5"/>
    </w:p>
    <w:p w14:paraId="07C6A667"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6AEA74DD"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Estados Unidos alega que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no ha agotado los recursos internos y que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ha entablado litigios internos, goza del debido proceso, tiene acceso a recursos y no ha experimentado demoras considerablemente injustificadas en el pronunciamiento de una sentencia definitiva. Agrega que, en Estados Unidos, la pena capital es compatible con el derecho a la vida y no constituye un castigo cruel, infamante o inusitado. Por lo tanto, el Estado solicita que la CIDH declare la petición inadmisible por falta de agotamiento de los recursos internos y porque no expone hechos que tiendan a caracterizar una violación de la Declaración Americana. </w:t>
      </w:r>
    </w:p>
    <w:p w14:paraId="3F922C02"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65AF2DF4" w14:textId="77777777" w:rsidR="00953481" w:rsidRPr="00880594"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Estado afirma que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introdujo nuevos reclamos en las observaciones adicionales sobre el fondo que no constaban en la petición original, a saber, los reclamos relativos a la inyección letal, la supuesta falta de atención para la enfermedad mental de la presunta víctima y sus necesidades en materia de salud, y la </w:t>
      </w:r>
      <w:r>
        <w:rPr>
          <w:rFonts w:asciiTheme="majorHAnsi" w:hAnsiTheme="majorHAnsi"/>
          <w:sz w:val="20"/>
          <w:szCs w:val="20"/>
          <w:lang w:val="es-ES"/>
        </w:rPr>
        <w:t>permanencia</w:t>
      </w:r>
      <w:r w:rsidRPr="008536ED">
        <w:rPr>
          <w:rFonts w:asciiTheme="majorHAnsi" w:hAnsiTheme="majorHAnsi"/>
          <w:sz w:val="20"/>
          <w:szCs w:val="20"/>
          <w:lang w:val="es-ES"/>
        </w:rPr>
        <w:t xml:space="preserve"> prolongada en el corredor de la muerte. En ese sentido, alega que </w:t>
      </w:r>
      <w:r>
        <w:rPr>
          <w:rFonts w:asciiTheme="majorHAnsi" w:hAnsiTheme="majorHAnsi"/>
          <w:sz w:val="20"/>
          <w:szCs w:val="20"/>
          <w:lang w:val="es-ES"/>
        </w:rPr>
        <w:t xml:space="preserve">“al </w:t>
      </w:r>
      <w:r w:rsidRPr="008536ED">
        <w:rPr>
          <w:rFonts w:asciiTheme="majorHAnsi" w:hAnsiTheme="majorHAnsi"/>
          <w:sz w:val="20"/>
          <w:szCs w:val="20"/>
          <w:lang w:val="es-ES"/>
        </w:rPr>
        <w:t>permitir a</w:t>
      </w:r>
      <w:r>
        <w:rPr>
          <w:rFonts w:asciiTheme="majorHAnsi" w:hAnsiTheme="majorHAnsi"/>
          <w:sz w:val="20"/>
          <w:szCs w:val="20"/>
          <w:lang w:val="es-ES"/>
        </w:rPr>
        <w:t xml:space="preserve"> </w:t>
      </w:r>
      <w:r w:rsidRPr="008536ED">
        <w:rPr>
          <w:rFonts w:asciiTheme="majorHAnsi" w:hAnsiTheme="majorHAnsi"/>
          <w:sz w:val="20"/>
          <w:szCs w:val="20"/>
          <w:lang w:val="es-ES"/>
        </w:rPr>
        <w:t>l</w:t>
      </w:r>
      <w:r>
        <w:rPr>
          <w:rFonts w:asciiTheme="majorHAnsi" w:hAnsiTheme="majorHAnsi"/>
          <w:sz w:val="20"/>
          <w:szCs w:val="20"/>
          <w:lang w:val="es-ES"/>
        </w:rPr>
        <w:t>a</w:t>
      </w:r>
      <w:r w:rsidRPr="008536ED">
        <w:rPr>
          <w:rFonts w:asciiTheme="majorHAnsi" w:hAnsiTheme="majorHAnsi"/>
          <w:sz w:val="20"/>
          <w:szCs w:val="20"/>
          <w:lang w:val="es-ES"/>
        </w:rPr>
        <w:t xml:space="preserve"> </w:t>
      </w:r>
      <w:r>
        <w:rPr>
          <w:rFonts w:asciiTheme="majorHAnsi" w:hAnsiTheme="majorHAnsi"/>
          <w:sz w:val="20"/>
          <w:szCs w:val="20"/>
          <w:lang w:val="es-ES"/>
        </w:rPr>
        <w:t xml:space="preserve">parte </w:t>
      </w:r>
      <w:r w:rsidRPr="008536ED">
        <w:rPr>
          <w:rFonts w:asciiTheme="majorHAnsi" w:hAnsiTheme="majorHAnsi"/>
          <w:sz w:val="20"/>
          <w:szCs w:val="20"/>
          <w:lang w:val="es-ES"/>
        </w:rPr>
        <w:t>peticionari</w:t>
      </w:r>
      <w:r>
        <w:rPr>
          <w:rFonts w:asciiTheme="majorHAnsi" w:hAnsiTheme="majorHAnsi"/>
          <w:sz w:val="20"/>
          <w:szCs w:val="20"/>
          <w:lang w:val="es-ES"/>
        </w:rPr>
        <w:t>a</w:t>
      </w:r>
      <w:r w:rsidRPr="008536ED">
        <w:rPr>
          <w:rFonts w:asciiTheme="majorHAnsi" w:hAnsiTheme="majorHAnsi"/>
          <w:sz w:val="20"/>
          <w:szCs w:val="20"/>
          <w:lang w:val="es-ES"/>
        </w:rPr>
        <w:t xml:space="preserve"> que amplíe el alcance de la petición con la introducción de reclamos nuevos en esta etapa </w:t>
      </w:r>
      <w:r>
        <w:rPr>
          <w:rFonts w:asciiTheme="majorHAnsi" w:hAnsiTheme="majorHAnsi"/>
          <w:sz w:val="20"/>
          <w:szCs w:val="20"/>
          <w:lang w:val="es-ES"/>
        </w:rPr>
        <w:t xml:space="preserve">menoscabaría </w:t>
      </w:r>
      <w:r w:rsidRPr="008536ED">
        <w:rPr>
          <w:rFonts w:asciiTheme="majorHAnsi" w:hAnsiTheme="majorHAnsi"/>
          <w:sz w:val="20"/>
          <w:szCs w:val="20"/>
          <w:lang w:val="es-ES"/>
        </w:rPr>
        <w:t xml:space="preserve">la integridad de la </w:t>
      </w:r>
      <w:r>
        <w:rPr>
          <w:rFonts w:asciiTheme="majorHAnsi" w:hAnsiTheme="majorHAnsi"/>
          <w:sz w:val="20"/>
          <w:szCs w:val="20"/>
          <w:lang w:val="es-ES"/>
        </w:rPr>
        <w:t>práctica</w:t>
      </w:r>
      <w:r w:rsidRPr="00685AFF">
        <w:rPr>
          <w:rFonts w:asciiTheme="majorHAnsi" w:hAnsiTheme="majorHAnsi"/>
          <w:sz w:val="20"/>
          <w:szCs w:val="20"/>
          <w:lang w:val="es-ES"/>
        </w:rPr>
        <w:t xml:space="preserve"> de la Comisión de acumular </w:t>
      </w:r>
      <w:r>
        <w:rPr>
          <w:rFonts w:asciiTheme="majorHAnsi" w:hAnsiTheme="majorHAnsi"/>
          <w:sz w:val="20"/>
          <w:szCs w:val="20"/>
          <w:lang w:val="es-ES"/>
        </w:rPr>
        <w:t xml:space="preserve">el análisis </w:t>
      </w:r>
      <w:r w:rsidRPr="00685AFF">
        <w:rPr>
          <w:rFonts w:asciiTheme="majorHAnsi" w:hAnsiTheme="majorHAnsi"/>
          <w:sz w:val="20"/>
          <w:szCs w:val="20"/>
          <w:lang w:val="es-ES"/>
        </w:rPr>
        <w:t>de admisibilidad y fondo</w:t>
      </w:r>
      <w:r>
        <w:rPr>
          <w:rFonts w:asciiTheme="majorHAnsi" w:hAnsiTheme="majorHAnsi"/>
          <w:sz w:val="20"/>
          <w:szCs w:val="20"/>
          <w:lang w:val="es-ES"/>
        </w:rPr>
        <w:t xml:space="preserve"> de una petición”</w:t>
      </w:r>
      <w:r w:rsidRPr="00685AFF">
        <w:rPr>
          <w:rFonts w:asciiTheme="majorHAnsi" w:hAnsiTheme="majorHAnsi"/>
          <w:sz w:val="20"/>
          <w:szCs w:val="20"/>
          <w:lang w:val="es-ES"/>
        </w:rPr>
        <w:t xml:space="preserve">. Agrega que </w:t>
      </w:r>
      <w:r>
        <w:rPr>
          <w:rFonts w:asciiTheme="majorHAnsi" w:hAnsiTheme="majorHAnsi"/>
          <w:sz w:val="20"/>
          <w:szCs w:val="20"/>
          <w:lang w:val="es-ES"/>
        </w:rPr>
        <w:t>permitirlo</w:t>
      </w:r>
      <w:r w:rsidRPr="00685AFF">
        <w:rPr>
          <w:rFonts w:asciiTheme="majorHAnsi" w:hAnsiTheme="majorHAnsi"/>
          <w:sz w:val="20"/>
          <w:szCs w:val="20"/>
          <w:lang w:val="es-ES"/>
        </w:rPr>
        <w:t xml:space="preserve"> socavaría el propósito expreso de dicha acumulación porque requeriría que se presentaran escritos</w:t>
      </w:r>
      <w:r>
        <w:rPr>
          <w:rFonts w:asciiTheme="majorHAnsi" w:hAnsiTheme="majorHAnsi"/>
          <w:sz w:val="20"/>
          <w:szCs w:val="20"/>
          <w:lang w:val="es-ES"/>
        </w:rPr>
        <w:t xml:space="preserve"> adicionales</w:t>
      </w:r>
      <w:r w:rsidRPr="00685AFF">
        <w:rPr>
          <w:rFonts w:asciiTheme="majorHAnsi" w:hAnsiTheme="majorHAnsi"/>
          <w:sz w:val="20"/>
          <w:szCs w:val="20"/>
          <w:lang w:val="es-ES"/>
        </w:rPr>
        <w:t xml:space="preserve"> sobre la admisibilidad de los nuevos reclamos. Además, el Estado</w:t>
      </w:r>
      <w:r w:rsidRPr="00880594">
        <w:rPr>
          <w:rFonts w:asciiTheme="majorHAnsi" w:hAnsiTheme="majorHAnsi"/>
          <w:sz w:val="20"/>
          <w:szCs w:val="20"/>
          <w:lang w:val="es-ES"/>
        </w:rPr>
        <w:t xml:space="preserve"> señala que los reclamos basados en doctrina y jurisprudencia ajenas a la Declaración Americana son</w:t>
      </w:r>
      <w:r w:rsidRPr="00BC5524">
        <w:rPr>
          <w:rFonts w:asciiTheme="majorHAnsi" w:hAnsiTheme="majorHAnsi"/>
          <w:sz w:val="20"/>
          <w:szCs w:val="20"/>
          <w:lang w:val="es-ES"/>
        </w:rPr>
        <w:t xml:space="preserve"> inadmisibles de conformidad con el artículo 34.a porque están fuera del ámbito de competencia de </w:t>
      </w:r>
      <w:r w:rsidRPr="00E2785A">
        <w:rPr>
          <w:rFonts w:asciiTheme="majorHAnsi" w:hAnsiTheme="majorHAnsi"/>
          <w:sz w:val="20"/>
          <w:szCs w:val="20"/>
          <w:lang w:val="es-ES"/>
        </w:rPr>
        <w:t>la Comisión</w:t>
      </w:r>
      <w:r w:rsidRPr="00685AFF">
        <w:rPr>
          <w:rFonts w:asciiTheme="majorHAnsi" w:hAnsiTheme="majorHAnsi"/>
          <w:sz w:val="20"/>
          <w:szCs w:val="20"/>
          <w:lang w:val="es-ES"/>
        </w:rPr>
        <w:t>.</w:t>
      </w:r>
      <w:r>
        <w:rPr>
          <w:rFonts w:asciiTheme="majorHAnsi" w:hAnsiTheme="majorHAnsi"/>
          <w:sz w:val="20"/>
          <w:szCs w:val="20"/>
          <w:lang w:val="es-ES"/>
        </w:rPr>
        <w:t xml:space="preserve"> </w:t>
      </w:r>
    </w:p>
    <w:p w14:paraId="0C82D2B2"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11D99D1B"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lastRenderedPageBreak/>
        <w:t xml:space="preserve">El Estado alega que su derecho interno proporciona mecanismos de protección procesal que satisfacen los requisitos del debido proceso. Afirma que las demoras de las actuaciones ante el Tribunal Superior del Condado de </w:t>
      </w:r>
      <w:proofErr w:type="spellStart"/>
      <w:r w:rsidRPr="008536ED">
        <w:rPr>
          <w:rFonts w:asciiTheme="majorHAnsi" w:hAnsiTheme="majorHAnsi"/>
          <w:sz w:val="20"/>
          <w:szCs w:val="20"/>
          <w:lang w:val="es-ES"/>
        </w:rPr>
        <w:t>Maricopa</w:t>
      </w:r>
      <w:proofErr w:type="spellEnd"/>
      <w:r w:rsidRPr="008536ED">
        <w:rPr>
          <w:rFonts w:asciiTheme="majorHAnsi" w:hAnsiTheme="majorHAnsi"/>
          <w:sz w:val="20"/>
          <w:szCs w:val="20"/>
          <w:lang w:val="es-ES"/>
        </w:rPr>
        <w:t xml:space="preserve"> se debieron a cambios de abogado y a diversas mociones </w:t>
      </w:r>
      <w:r>
        <w:rPr>
          <w:rFonts w:asciiTheme="majorHAnsi" w:hAnsiTheme="majorHAnsi"/>
          <w:sz w:val="20"/>
          <w:szCs w:val="20"/>
          <w:lang w:val="es-ES"/>
        </w:rPr>
        <w:t xml:space="preserve">del recurrente </w:t>
      </w:r>
      <w:r w:rsidRPr="008536ED">
        <w:rPr>
          <w:rFonts w:asciiTheme="majorHAnsi" w:hAnsiTheme="majorHAnsi"/>
          <w:sz w:val="20"/>
          <w:szCs w:val="20"/>
          <w:lang w:val="es-ES"/>
        </w:rPr>
        <w:t>para prorrogar el plazo para la presentación de escritos. Alega también que la pena capital no constituye un castigo cruel, infamante o inusitado y que no hay consenso en el plano internacional en el sentido de prohibir la ejecución de personas gravemente enfermas que se determine que no son dementes o que no tienen una deficiencia mental grave.</w:t>
      </w:r>
    </w:p>
    <w:p w14:paraId="646CCF40" w14:textId="77777777" w:rsidR="00953481" w:rsidRPr="00400DC5" w:rsidRDefault="00953481" w:rsidP="00953481">
      <w:pPr>
        <w:rPr>
          <w:rFonts w:asciiTheme="majorHAnsi" w:hAnsiTheme="majorHAnsi"/>
          <w:sz w:val="20"/>
          <w:szCs w:val="20"/>
          <w:lang w:val="es-ES"/>
        </w:rPr>
      </w:pPr>
    </w:p>
    <w:p w14:paraId="3D57BE2A"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 El Estado afirma que la asistencia letrada de la presunta víctima durante el juicio, la apelación y los recursos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os</w:t>
      </w:r>
      <w:proofErr w:type="spellEnd"/>
      <w:r w:rsidRPr="008536ED">
        <w:rPr>
          <w:rFonts w:asciiTheme="majorHAnsi" w:hAnsiTheme="majorHAnsi"/>
          <w:sz w:val="20"/>
          <w:szCs w:val="20"/>
          <w:lang w:val="es-ES"/>
        </w:rPr>
        <w:t xml:space="preserve"> se ciñó a las normas constitucionales en materia de </w:t>
      </w:r>
      <w:r>
        <w:rPr>
          <w:rFonts w:asciiTheme="majorHAnsi" w:hAnsiTheme="majorHAnsi"/>
          <w:sz w:val="20"/>
          <w:szCs w:val="20"/>
          <w:lang w:val="es-ES"/>
        </w:rPr>
        <w:t>competencia</w:t>
      </w:r>
      <w:r w:rsidRPr="008536ED">
        <w:rPr>
          <w:rFonts w:asciiTheme="majorHAnsi" w:hAnsiTheme="majorHAnsi"/>
          <w:sz w:val="20"/>
          <w:szCs w:val="20"/>
          <w:lang w:val="es-ES"/>
        </w:rPr>
        <w:t xml:space="preserve">. Señala que no se requería que el abogado defensor obtuviera el consentimiento expreso del cliente con respecto a decisiones estratégicas tales como recurrir a la defensa de </w:t>
      </w:r>
      <w:r>
        <w:rPr>
          <w:rFonts w:asciiTheme="majorHAnsi" w:hAnsiTheme="majorHAnsi"/>
          <w:sz w:val="20"/>
          <w:szCs w:val="20"/>
          <w:lang w:val="es-ES"/>
        </w:rPr>
        <w:t>discapacidad mental</w:t>
      </w:r>
      <w:r w:rsidRPr="008536ED">
        <w:rPr>
          <w:rFonts w:asciiTheme="majorHAnsi" w:hAnsiTheme="majorHAnsi"/>
          <w:sz w:val="20"/>
          <w:szCs w:val="20"/>
          <w:lang w:val="es-ES"/>
        </w:rPr>
        <w:t xml:space="preserve"> en el juicio y excluirlo de la selección del jurado. En lo que se refiere a los reclamos de que </w:t>
      </w:r>
      <w:r>
        <w:rPr>
          <w:rFonts w:asciiTheme="majorHAnsi" w:hAnsiTheme="majorHAnsi"/>
          <w:sz w:val="20"/>
          <w:szCs w:val="20"/>
          <w:lang w:val="es-ES"/>
        </w:rPr>
        <w:t xml:space="preserve">el </w:t>
      </w:r>
      <w:r w:rsidRPr="008536ED">
        <w:rPr>
          <w:rFonts w:asciiTheme="majorHAnsi" w:hAnsiTheme="majorHAnsi"/>
          <w:sz w:val="20"/>
          <w:szCs w:val="20"/>
          <w:lang w:val="es-ES"/>
        </w:rPr>
        <w:t xml:space="preserve">abogado </w:t>
      </w:r>
      <w:r>
        <w:rPr>
          <w:rFonts w:asciiTheme="majorHAnsi" w:hAnsiTheme="majorHAnsi"/>
          <w:sz w:val="20"/>
          <w:szCs w:val="20"/>
          <w:lang w:val="es-ES"/>
        </w:rPr>
        <w:t>de primera instancia</w:t>
      </w:r>
      <w:r w:rsidRPr="008536ED">
        <w:rPr>
          <w:rFonts w:asciiTheme="majorHAnsi" w:hAnsiTheme="majorHAnsi"/>
          <w:sz w:val="20"/>
          <w:szCs w:val="20"/>
          <w:lang w:val="es-ES"/>
        </w:rPr>
        <w:t xml:space="preserve"> violó los derechos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al recurrir a la defensa de </w:t>
      </w:r>
      <w:r>
        <w:rPr>
          <w:rFonts w:asciiTheme="majorHAnsi" w:hAnsiTheme="majorHAnsi"/>
          <w:sz w:val="20"/>
          <w:szCs w:val="20"/>
          <w:lang w:val="es-ES"/>
        </w:rPr>
        <w:t>discapacidad mental</w:t>
      </w:r>
      <w:r w:rsidRPr="008536ED">
        <w:rPr>
          <w:rFonts w:asciiTheme="majorHAnsi" w:hAnsiTheme="majorHAnsi"/>
          <w:sz w:val="20"/>
          <w:szCs w:val="20"/>
          <w:lang w:val="es-ES"/>
        </w:rPr>
        <w:t xml:space="preserve"> en el juicio sin su consentimiento expreso y al excluirlo de la selección del jurado, el Estado señala que tales alegaciones contradicen el reclamo de enfermedad mental grave. Según el Estado, si la declaración </w:t>
      </w:r>
      <w:r>
        <w:rPr>
          <w:rFonts w:asciiTheme="majorHAnsi" w:hAnsiTheme="majorHAnsi"/>
          <w:sz w:val="20"/>
          <w:szCs w:val="20"/>
          <w:lang w:val="es-ES"/>
        </w:rPr>
        <w:t>de la parte peticionaria</w:t>
      </w:r>
      <w:r w:rsidRPr="008536ED">
        <w:rPr>
          <w:rFonts w:asciiTheme="majorHAnsi" w:hAnsiTheme="majorHAnsi"/>
          <w:sz w:val="20"/>
          <w:szCs w:val="20"/>
          <w:lang w:val="es-ES"/>
        </w:rPr>
        <w:t xml:space="preserve"> sobre el estado mental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fuera cierta, sería difícil de conciliar con las </w:t>
      </w:r>
      <w:r>
        <w:rPr>
          <w:rFonts w:asciiTheme="majorHAnsi" w:hAnsiTheme="majorHAnsi"/>
          <w:sz w:val="20"/>
          <w:szCs w:val="20"/>
          <w:lang w:val="es-ES"/>
        </w:rPr>
        <w:t>afirmaciones</w:t>
      </w:r>
      <w:r w:rsidRPr="008536ED">
        <w:rPr>
          <w:rFonts w:asciiTheme="majorHAnsi" w:hAnsiTheme="majorHAnsi"/>
          <w:sz w:val="20"/>
          <w:szCs w:val="20"/>
          <w:lang w:val="es-ES"/>
        </w:rPr>
        <w:t xml:space="preserve"> relativas a su capacidad para dar su consentimiento a sabiendas y de manera voluntaria e inteligente con respecto a dicha defensa.</w:t>
      </w:r>
    </w:p>
    <w:p w14:paraId="6A272B05" w14:textId="77777777" w:rsidR="00953481" w:rsidRPr="00400DC5" w:rsidRDefault="00953481" w:rsidP="00953481">
      <w:pPr>
        <w:rPr>
          <w:rFonts w:asciiTheme="majorHAnsi" w:hAnsiTheme="majorHAnsi"/>
          <w:sz w:val="20"/>
          <w:szCs w:val="20"/>
          <w:lang w:val="es-ES"/>
        </w:rPr>
      </w:pPr>
    </w:p>
    <w:p w14:paraId="7BAA4FE1"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En cuanto a la c</w:t>
      </w:r>
      <w:r>
        <w:rPr>
          <w:rFonts w:asciiTheme="majorHAnsi" w:hAnsiTheme="majorHAnsi"/>
          <w:sz w:val="20"/>
          <w:szCs w:val="20"/>
          <w:lang w:val="es-ES"/>
        </w:rPr>
        <w:t xml:space="preserve">apacidad </w:t>
      </w:r>
      <w:r w:rsidRPr="008536ED">
        <w:rPr>
          <w:rFonts w:asciiTheme="majorHAnsi" w:hAnsiTheme="majorHAnsi"/>
          <w:sz w:val="20"/>
          <w:szCs w:val="20"/>
          <w:lang w:val="es-ES"/>
        </w:rPr>
        <w:t xml:space="preserve">mental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el Estado señala que, durante el juicio, cuatro expertos en salud mental consideraron su caso. Dos dijeron que podría tener una psicosis, mientras que los otros dos opinaron que su comportamiento se debía a un trastorno de la personalidad y no a una enfermedad mental, o que incluso podía deberse simplemente </w:t>
      </w:r>
      <w:r>
        <w:rPr>
          <w:rFonts w:asciiTheme="majorHAnsi" w:hAnsiTheme="majorHAnsi"/>
          <w:sz w:val="20"/>
          <w:szCs w:val="20"/>
          <w:lang w:val="es-ES"/>
        </w:rPr>
        <w:t xml:space="preserve">a </w:t>
      </w:r>
      <w:r w:rsidRPr="008536ED">
        <w:rPr>
          <w:rFonts w:asciiTheme="majorHAnsi" w:hAnsiTheme="majorHAnsi"/>
          <w:sz w:val="20"/>
          <w:szCs w:val="20"/>
          <w:lang w:val="es-ES"/>
        </w:rPr>
        <w:t xml:space="preserve">una intoxicación por drogas. Según el Estado, en vista de la ineficacia de la intervención de esos expertos, la decisión del abogado de no introducir más pruebas de la presunta enfermedad mental distaba de ser irrazonable. Por lo tanto, el Estado concluye que no se </w:t>
      </w:r>
      <w:r>
        <w:rPr>
          <w:rFonts w:asciiTheme="majorHAnsi" w:hAnsiTheme="majorHAnsi"/>
          <w:sz w:val="20"/>
          <w:szCs w:val="20"/>
          <w:lang w:val="es-ES"/>
        </w:rPr>
        <w:t>puede</w:t>
      </w:r>
      <w:r w:rsidRPr="008536ED">
        <w:rPr>
          <w:rFonts w:asciiTheme="majorHAnsi" w:hAnsiTheme="majorHAnsi"/>
          <w:sz w:val="20"/>
          <w:szCs w:val="20"/>
          <w:lang w:val="es-ES"/>
        </w:rPr>
        <w:t xml:space="preserve"> afirmar que el abogado haya proporcionado asistencia ineficaz por no plante</w:t>
      </w:r>
      <w:r>
        <w:rPr>
          <w:rFonts w:asciiTheme="majorHAnsi" w:hAnsiTheme="majorHAnsi"/>
          <w:sz w:val="20"/>
          <w:szCs w:val="20"/>
          <w:lang w:val="es-ES"/>
        </w:rPr>
        <w:t>ar cuestiones</w:t>
      </w:r>
      <w:r w:rsidRPr="008536ED">
        <w:rPr>
          <w:rFonts w:asciiTheme="majorHAnsi" w:hAnsiTheme="majorHAnsi"/>
          <w:sz w:val="20"/>
          <w:szCs w:val="20"/>
          <w:lang w:val="es-ES"/>
        </w:rPr>
        <w:t xml:space="preserve"> que no </w:t>
      </w:r>
      <w:r>
        <w:rPr>
          <w:rFonts w:asciiTheme="majorHAnsi" w:hAnsiTheme="majorHAnsi"/>
          <w:sz w:val="20"/>
          <w:szCs w:val="20"/>
          <w:lang w:val="es-ES"/>
        </w:rPr>
        <w:t>afectarían</w:t>
      </w:r>
      <w:r w:rsidRPr="008536ED">
        <w:rPr>
          <w:rFonts w:asciiTheme="majorHAnsi" w:hAnsiTheme="majorHAnsi"/>
          <w:sz w:val="20"/>
          <w:szCs w:val="20"/>
          <w:lang w:val="es-ES"/>
        </w:rPr>
        <w:t xml:space="preserve"> razonable</w:t>
      </w:r>
      <w:r>
        <w:rPr>
          <w:rFonts w:asciiTheme="majorHAnsi" w:hAnsiTheme="majorHAnsi"/>
          <w:sz w:val="20"/>
          <w:szCs w:val="20"/>
          <w:lang w:val="es-ES"/>
        </w:rPr>
        <w:t>mente</w:t>
      </w:r>
      <w:r w:rsidRPr="008536ED">
        <w:rPr>
          <w:rFonts w:asciiTheme="majorHAnsi" w:hAnsiTheme="majorHAnsi"/>
          <w:sz w:val="20"/>
          <w:szCs w:val="20"/>
          <w:lang w:val="es-ES"/>
        </w:rPr>
        <w:t xml:space="preserve"> el </w:t>
      </w:r>
      <w:r>
        <w:rPr>
          <w:rFonts w:asciiTheme="majorHAnsi" w:hAnsiTheme="majorHAnsi"/>
          <w:sz w:val="20"/>
          <w:szCs w:val="20"/>
          <w:lang w:val="es-ES"/>
        </w:rPr>
        <w:t>resultado</w:t>
      </w:r>
      <w:r w:rsidRPr="008536ED">
        <w:rPr>
          <w:rFonts w:asciiTheme="majorHAnsi" w:hAnsiTheme="majorHAnsi"/>
          <w:sz w:val="20"/>
          <w:szCs w:val="20"/>
          <w:lang w:val="es-ES"/>
        </w:rPr>
        <w:t xml:space="preserve"> del caso. </w:t>
      </w:r>
    </w:p>
    <w:p w14:paraId="4FC76E9D" w14:textId="77777777" w:rsidR="00953481" w:rsidRPr="00400DC5" w:rsidRDefault="00953481" w:rsidP="00953481">
      <w:pPr>
        <w:rPr>
          <w:rFonts w:asciiTheme="majorHAnsi" w:hAnsiTheme="majorHAnsi"/>
          <w:sz w:val="20"/>
          <w:szCs w:val="20"/>
          <w:lang w:val="es-ES"/>
        </w:rPr>
      </w:pPr>
    </w:p>
    <w:p w14:paraId="30EB4AE3"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Estado afirma que el uso de la inyección letal en este caso no constituye un castigo cruel, infamante o inusitado porque el </w:t>
      </w:r>
      <w:r>
        <w:rPr>
          <w:rFonts w:asciiTheme="majorHAnsi" w:hAnsiTheme="majorHAnsi"/>
          <w:sz w:val="20"/>
          <w:szCs w:val="20"/>
          <w:lang w:val="es-ES"/>
        </w:rPr>
        <w:t>e</w:t>
      </w:r>
      <w:r w:rsidRPr="008536ED">
        <w:rPr>
          <w:rFonts w:asciiTheme="majorHAnsi" w:hAnsiTheme="majorHAnsi"/>
          <w:sz w:val="20"/>
          <w:szCs w:val="20"/>
          <w:lang w:val="es-ES"/>
        </w:rPr>
        <w:t xml:space="preserve">stado </w:t>
      </w:r>
      <w:r>
        <w:rPr>
          <w:rFonts w:asciiTheme="majorHAnsi" w:hAnsiTheme="majorHAnsi"/>
          <w:sz w:val="20"/>
          <w:szCs w:val="20"/>
          <w:lang w:val="es-ES"/>
        </w:rPr>
        <w:t xml:space="preserve">de </w:t>
      </w:r>
      <w:r w:rsidRPr="008536ED">
        <w:rPr>
          <w:rFonts w:asciiTheme="majorHAnsi" w:hAnsiTheme="majorHAnsi"/>
          <w:sz w:val="20"/>
          <w:szCs w:val="20"/>
          <w:lang w:val="es-ES"/>
        </w:rPr>
        <w:t xml:space="preserve">Arizona ha procurado que la inyección letal se administre de la manera más humana posible. Agrega que, cuando se producen demoras prolongadas entre la sentencia inicial y la ejecución debido a que </w:t>
      </w:r>
      <w:r>
        <w:rPr>
          <w:rFonts w:asciiTheme="majorHAnsi" w:hAnsiTheme="majorHAnsi"/>
          <w:sz w:val="20"/>
          <w:szCs w:val="20"/>
          <w:lang w:val="es-ES"/>
        </w:rPr>
        <w:t>la persona</w:t>
      </w:r>
      <w:r w:rsidRPr="008536ED">
        <w:rPr>
          <w:rFonts w:asciiTheme="majorHAnsi" w:hAnsiTheme="majorHAnsi"/>
          <w:sz w:val="20"/>
          <w:szCs w:val="20"/>
          <w:lang w:val="es-ES"/>
        </w:rPr>
        <w:t xml:space="preserve"> condenad</w:t>
      </w:r>
      <w:r>
        <w:rPr>
          <w:rFonts w:asciiTheme="majorHAnsi" w:hAnsiTheme="majorHAnsi"/>
          <w:sz w:val="20"/>
          <w:szCs w:val="20"/>
          <w:lang w:val="es-ES"/>
        </w:rPr>
        <w:t>a</w:t>
      </w:r>
      <w:r w:rsidRPr="008536ED">
        <w:rPr>
          <w:rFonts w:asciiTheme="majorHAnsi" w:hAnsiTheme="majorHAnsi"/>
          <w:sz w:val="20"/>
          <w:szCs w:val="20"/>
          <w:lang w:val="es-ES"/>
        </w:rPr>
        <w:t xml:space="preserve"> a la pena capital hace uso de los numerosos mecanismos con que cuenta para apelar, no puede aducir que la demora en sí constituy</w:t>
      </w:r>
      <w:r>
        <w:rPr>
          <w:rFonts w:asciiTheme="majorHAnsi" w:hAnsiTheme="majorHAnsi"/>
          <w:sz w:val="20"/>
          <w:szCs w:val="20"/>
          <w:lang w:val="es-ES"/>
        </w:rPr>
        <w:t>e</w:t>
      </w:r>
      <w:r w:rsidRPr="008536ED">
        <w:rPr>
          <w:rFonts w:asciiTheme="majorHAnsi" w:hAnsiTheme="majorHAnsi"/>
          <w:sz w:val="20"/>
          <w:szCs w:val="20"/>
          <w:lang w:val="es-ES"/>
        </w:rPr>
        <w:t xml:space="preserve"> </w:t>
      </w:r>
      <w:r>
        <w:rPr>
          <w:rFonts w:asciiTheme="majorHAnsi" w:hAnsiTheme="majorHAnsi"/>
          <w:sz w:val="20"/>
          <w:szCs w:val="20"/>
          <w:lang w:val="es-ES"/>
        </w:rPr>
        <w:t>u</w:t>
      </w:r>
      <w:r w:rsidRPr="008536ED">
        <w:rPr>
          <w:rFonts w:asciiTheme="majorHAnsi" w:hAnsiTheme="majorHAnsi"/>
          <w:sz w:val="20"/>
          <w:szCs w:val="20"/>
          <w:lang w:val="es-ES"/>
        </w:rPr>
        <w:t xml:space="preserve">n castigo cruel, infamante o inusitado. </w:t>
      </w:r>
    </w:p>
    <w:p w14:paraId="4DA4B5BD" w14:textId="77777777" w:rsidR="00953481" w:rsidRPr="00400DC5" w:rsidRDefault="00953481" w:rsidP="00953481">
      <w:pPr>
        <w:rPr>
          <w:rFonts w:asciiTheme="majorHAnsi" w:hAnsiTheme="majorHAnsi"/>
          <w:sz w:val="20"/>
          <w:szCs w:val="20"/>
          <w:lang w:val="es-ES"/>
        </w:rPr>
      </w:pPr>
    </w:p>
    <w:p w14:paraId="42DCF43E"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Además, Estados Unidos afirma que el </w:t>
      </w:r>
      <w:r>
        <w:rPr>
          <w:rFonts w:asciiTheme="majorHAnsi" w:hAnsiTheme="majorHAnsi"/>
          <w:sz w:val="20"/>
          <w:szCs w:val="20"/>
          <w:lang w:val="es-ES"/>
        </w:rPr>
        <w:t>régimen de aislamiento</w:t>
      </w:r>
      <w:r w:rsidRPr="008536ED">
        <w:rPr>
          <w:rFonts w:asciiTheme="majorHAnsi" w:hAnsiTheme="majorHAnsi"/>
          <w:sz w:val="20"/>
          <w:szCs w:val="20"/>
          <w:lang w:val="es-ES"/>
        </w:rPr>
        <w:t xml:space="preserve"> no viola necesariamente los derechos de los reclusos al debido proceso. En ese sentido, cita a la CIDH e indica que las condiciones de la reclusión deben determinarse según el caso, teniendo en cuenta el estado físico y mental del </w:t>
      </w:r>
      <w:r>
        <w:rPr>
          <w:rFonts w:asciiTheme="majorHAnsi" w:hAnsiTheme="majorHAnsi"/>
          <w:sz w:val="20"/>
          <w:szCs w:val="20"/>
          <w:lang w:val="es-ES"/>
        </w:rPr>
        <w:t>interno</w:t>
      </w:r>
      <w:r w:rsidRPr="008536ED">
        <w:rPr>
          <w:rFonts w:asciiTheme="majorHAnsi" w:hAnsiTheme="majorHAnsi"/>
          <w:sz w:val="20"/>
          <w:szCs w:val="20"/>
          <w:lang w:val="es-ES"/>
        </w:rPr>
        <w:t xml:space="preserve"> y otras circunstancias personales. Según el Estado,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no tiene ningún incentivo para respetar la seguridad física de los demás reclusos porque no hay una posibilidad realista de que le reduzcan la pena por buena conducta. Además, señala que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no ha presentado prueba alguna de los supuestos efectos psicológicos o físicos perjudiciales sufridos por la presunta víctima como consecuencia de su encarcelamiento. El Estado concluye que las condiciones de reclusión eran adecuadas para proteger a la presunta víctima, los guardias y otros reclusos. </w:t>
      </w:r>
    </w:p>
    <w:p w14:paraId="3192CD89" w14:textId="77777777" w:rsidR="00953481" w:rsidRPr="00400DC5" w:rsidRDefault="00953481" w:rsidP="00953481">
      <w:pPr>
        <w:rPr>
          <w:rFonts w:asciiTheme="majorHAnsi" w:hAnsiTheme="majorHAnsi"/>
          <w:sz w:val="20"/>
          <w:szCs w:val="20"/>
          <w:lang w:val="es-ES"/>
        </w:rPr>
      </w:pPr>
    </w:p>
    <w:p w14:paraId="67E3C088"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Por último, el Estado alega que el acceso al procedimiento de clemencia no es un derecho vinculado al debido proceso enunciado en la Declaración Americana y que ni </w:t>
      </w:r>
      <w:r>
        <w:rPr>
          <w:rFonts w:asciiTheme="majorHAnsi" w:hAnsiTheme="majorHAnsi"/>
          <w:sz w:val="20"/>
          <w:szCs w:val="20"/>
          <w:lang w:val="es-ES"/>
        </w:rPr>
        <w:t xml:space="preserve">el </w:t>
      </w:r>
      <w:r w:rsidRPr="008536ED">
        <w:rPr>
          <w:rFonts w:asciiTheme="majorHAnsi" w:hAnsiTheme="majorHAnsi"/>
          <w:sz w:val="20"/>
          <w:szCs w:val="20"/>
          <w:lang w:val="es-ES"/>
        </w:rPr>
        <w:t xml:space="preserve">derecho estadounidense ni el derecho internacional otorgan a los </w:t>
      </w:r>
      <w:r>
        <w:rPr>
          <w:rFonts w:asciiTheme="majorHAnsi" w:hAnsiTheme="majorHAnsi"/>
          <w:sz w:val="20"/>
          <w:szCs w:val="20"/>
          <w:lang w:val="es-ES"/>
        </w:rPr>
        <w:t>internos</w:t>
      </w:r>
      <w:r w:rsidRPr="008536ED">
        <w:rPr>
          <w:rFonts w:asciiTheme="majorHAnsi" w:hAnsiTheme="majorHAnsi"/>
          <w:sz w:val="20"/>
          <w:szCs w:val="20"/>
          <w:lang w:val="es-ES"/>
        </w:rPr>
        <w:t xml:space="preserve"> el derecho al procedimiento de clemencia. Según el Estado, no se trata de un procedimiento judicial al cual puedan aplicarse las protecciones del debido proceso, sino que implica un ejercicio de facultades discrecionales del Poder Ejecutivo que no está supeditado a revisión judicial. El Estado señala que, aunque no se requiere ni en el derecho estadounidense ni en el derecho internacional, Arizona ofrece a los reclusos un procedimiento de clemencia robusto</w:t>
      </w:r>
      <w:r>
        <w:rPr>
          <w:rFonts w:asciiTheme="majorHAnsi" w:hAnsiTheme="majorHAnsi"/>
          <w:sz w:val="20"/>
          <w:szCs w:val="20"/>
          <w:lang w:val="es-ES"/>
        </w:rPr>
        <w:t xml:space="preserve">, </w:t>
      </w:r>
      <w:r w:rsidRPr="008536ED">
        <w:rPr>
          <w:rFonts w:asciiTheme="majorHAnsi" w:hAnsiTheme="majorHAnsi"/>
          <w:sz w:val="20"/>
          <w:szCs w:val="20"/>
          <w:lang w:val="es-ES"/>
        </w:rPr>
        <w:t xml:space="preserve">y los integrantes de la </w:t>
      </w:r>
      <w:r>
        <w:rPr>
          <w:rFonts w:asciiTheme="majorHAnsi" w:hAnsiTheme="majorHAnsi"/>
          <w:sz w:val="20"/>
          <w:szCs w:val="20"/>
          <w:lang w:val="es-ES"/>
        </w:rPr>
        <w:t>J</w:t>
      </w:r>
      <w:r w:rsidRPr="008536ED">
        <w:rPr>
          <w:rFonts w:asciiTheme="majorHAnsi" w:hAnsiTheme="majorHAnsi"/>
          <w:sz w:val="20"/>
          <w:szCs w:val="20"/>
          <w:lang w:val="es-ES"/>
        </w:rPr>
        <w:t xml:space="preserve">unta han sido capacitados para examinar debidamente los procedimientos del juicio y la sentencia del </w:t>
      </w:r>
      <w:r>
        <w:rPr>
          <w:rFonts w:asciiTheme="majorHAnsi" w:hAnsiTheme="majorHAnsi"/>
          <w:sz w:val="20"/>
          <w:szCs w:val="20"/>
          <w:lang w:val="es-ES"/>
        </w:rPr>
        <w:t>interno</w:t>
      </w:r>
      <w:r w:rsidRPr="008536ED">
        <w:rPr>
          <w:rFonts w:asciiTheme="majorHAnsi" w:hAnsiTheme="majorHAnsi"/>
          <w:sz w:val="20"/>
          <w:szCs w:val="20"/>
          <w:lang w:val="es-ES"/>
        </w:rPr>
        <w:t>.</w:t>
      </w:r>
    </w:p>
    <w:p w14:paraId="275E115A" w14:textId="77777777" w:rsidR="00953481" w:rsidRPr="00953481"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5ECC6B68" w14:textId="77777777" w:rsidR="00953481" w:rsidRPr="00953481" w:rsidRDefault="00953481" w:rsidP="00953481">
      <w:pPr>
        <w:pStyle w:val="Heading1"/>
        <w:tabs>
          <w:tab w:val="left" w:pos="360"/>
        </w:tabs>
        <w:spacing w:before="0"/>
        <w:ind w:hanging="720"/>
        <w:rPr>
          <w:color w:val="auto"/>
          <w:sz w:val="20"/>
          <w:szCs w:val="20"/>
          <w:lang w:val="es-ES"/>
        </w:rPr>
      </w:pPr>
      <w:bookmarkStart w:id="6" w:name="_Toc90283133"/>
      <w:r w:rsidRPr="00953481">
        <w:rPr>
          <w:color w:val="auto"/>
          <w:sz w:val="20"/>
          <w:szCs w:val="20"/>
          <w:lang w:val="es-ES"/>
        </w:rPr>
        <w:t>ADMISIBILIDAD</w:t>
      </w:r>
      <w:bookmarkEnd w:id="6"/>
      <w:r w:rsidRPr="00953481">
        <w:rPr>
          <w:sz w:val="20"/>
          <w:szCs w:val="20"/>
          <w:lang w:val="es-ES"/>
        </w:rPr>
        <w:tab/>
      </w:r>
    </w:p>
    <w:p w14:paraId="63415A15" w14:textId="77777777" w:rsidR="00953481" w:rsidRPr="00953481" w:rsidRDefault="00953481" w:rsidP="00953481">
      <w:pPr>
        <w:rPr>
          <w:rFonts w:asciiTheme="majorHAnsi" w:hAnsiTheme="majorHAnsi"/>
          <w:sz w:val="20"/>
          <w:szCs w:val="20"/>
          <w:lang w:val="es-ES"/>
        </w:rPr>
      </w:pPr>
    </w:p>
    <w:p w14:paraId="5D29C7A5" w14:textId="77777777" w:rsidR="00953481" w:rsidRPr="00953481" w:rsidRDefault="00953481" w:rsidP="00C341DD">
      <w:pPr>
        <w:pStyle w:val="Heading2"/>
        <w:numPr>
          <w:ilvl w:val="0"/>
          <w:numId w:val="59"/>
        </w:numPr>
        <w:spacing w:before="0" w:after="0"/>
        <w:ind w:left="360"/>
        <w:rPr>
          <w:rFonts w:asciiTheme="majorHAnsi" w:hAnsiTheme="majorHAnsi" w:cs="Times New Roman"/>
          <w:i w:val="0"/>
          <w:sz w:val="20"/>
          <w:szCs w:val="20"/>
          <w:lang w:val="es-ES"/>
        </w:rPr>
      </w:pPr>
      <w:bookmarkStart w:id="7" w:name="_Toc7602623"/>
      <w:bookmarkStart w:id="8" w:name="_Toc6349142"/>
      <w:bookmarkStart w:id="9" w:name="_Toc90283134"/>
      <w:r w:rsidRPr="00953481">
        <w:rPr>
          <w:rFonts w:asciiTheme="majorHAnsi" w:hAnsiTheme="majorHAnsi" w:cs="Times New Roman"/>
          <w:i w:val="0"/>
          <w:sz w:val="20"/>
          <w:szCs w:val="20"/>
          <w:lang w:val="es-ES"/>
        </w:rPr>
        <w:lastRenderedPageBreak/>
        <w:t>Competencia, duplicación de procedimientos y cosa juzgada internaciona</w:t>
      </w:r>
      <w:bookmarkEnd w:id="7"/>
      <w:r w:rsidRPr="00953481">
        <w:rPr>
          <w:rFonts w:asciiTheme="majorHAnsi" w:hAnsiTheme="majorHAnsi" w:cs="Times New Roman"/>
          <w:i w:val="0"/>
          <w:sz w:val="20"/>
          <w:szCs w:val="20"/>
          <w:lang w:val="es-ES"/>
        </w:rPr>
        <w:t>l</w:t>
      </w:r>
      <w:bookmarkEnd w:id="8"/>
      <w:bookmarkEnd w:id="9"/>
    </w:p>
    <w:p w14:paraId="26DCF3FD" w14:textId="77777777" w:rsidR="00953481" w:rsidRPr="008536ED" w:rsidRDefault="00953481" w:rsidP="00953481">
      <w:pPr>
        <w:rPr>
          <w:rFonts w:asciiTheme="majorHAnsi" w:hAnsiTheme="majorHAnsi"/>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953481" w:rsidRPr="008536ED" w14:paraId="4ABE7EE4" w14:textId="77777777" w:rsidTr="00953481">
        <w:trPr>
          <w:cantSplit/>
        </w:trPr>
        <w:tc>
          <w:tcPr>
            <w:tcW w:w="3600" w:type="dxa"/>
            <w:tcBorders>
              <w:top w:val="single" w:sz="4" w:space="0" w:color="auto"/>
              <w:bottom w:val="single" w:sz="6" w:space="0" w:color="auto"/>
            </w:tcBorders>
            <w:shd w:val="clear" w:color="auto" w:fill="386294"/>
            <w:vAlign w:val="center"/>
          </w:tcPr>
          <w:p w14:paraId="0588EBBC" w14:textId="77777777" w:rsidR="00953481" w:rsidRPr="008536ED" w:rsidRDefault="00953481" w:rsidP="00953481">
            <w:pPr>
              <w:jc w:val="center"/>
              <w:rPr>
                <w:rFonts w:asciiTheme="majorHAnsi" w:hAnsiTheme="majorHAnsi"/>
                <w:b/>
                <w:bCs/>
                <w:i/>
                <w:color w:val="FFFFFF" w:themeColor="background1"/>
                <w:sz w:val="20"/>
                <w:szCs w:val="20"/>
                <w:lang w:val="es-ES"/>
              </w:rPr>
            </w:pPr>
            <w:r w:rsidRPr="008536ED">
              <w:rPr>
                <w:rFonts w:asciiTheme="majorHAnsi" w:hAnsiTheme="majorHAnsi"/>
                <w:b/>
                <w:bCs/>
                <w:color w:val="FFFFFF" w:themeColor="background1"/>
                <w:sz w:val="20"/>
                <w:szCs w:val="20"/>
                <w:lang w:val="es-ES"/>
              </w:rPr>
              <w:t>Competencia</w:t>
            </w:r>
            <w:r w:rsidRPr="008536ED">
              <w:rPr>
                <w:rFonts w:asciiTheme="majorHAnsi" w:hAnsiTheme="majorHAnsi"/>
                <w:b/>
                <w:bCs/>
                <w:i/>
                <w:color w:val="FFFFFF" w:themeColor="background1"/>
                <w:sz w:val="20"/>
                <w:szCs w:val="20"/>
                <w:lang w:val="es-ES"/>
              </w:rPr>
              <w:t xml:space="preserve"> </w:t>
            </w:r>
            <w:proofErr w:type="spellStart"/>
            <w:r w:rsidRPr="008536ED">
              <w:rPr>
                <w:rFonts w:asciiTheme="majorHAnsi" w:hAnsiTheme="majorHAnsi"/>
                <w:b/>
                <w:bCs/>
                <w:i/>
                <w:color w:val="FFFFFF" w:themeColor="background1"/>
                <w:sz w:val="20"/>
                <w:szCs w:val="20"/>
                <w:lang w:val="es-ES"/>
              </w:rPr>
              <w:t>ratione</w:t>
            </w:r>
            <w:proofErr w:type="spellEnd"/>
            <w:r w:rsidRPr="008536ED">
              <w:rPr>
                <w:rFonts w:asciiTheme="majorHAnsi" w:hAnsiTheme="majorHAnsi"/>
                <w:b/>
                <w:bCs/>
                <w:i/>
                <w:color w:val="FFFFFF" w:themeColor="background1"/>
                <w:sz w:val="20"/>
                <w:szCs w:val="20"/>
                <w:lang w:val="es-ES"/>
              </w:rPr>
              <w:t xml:space="preserve"> </w:t>
            </w:r>
            <w:proofErr w:type="spellStart"/>
            <w:r w:rsidRPr="008536ED">
              <w:rPr>
                <w:rFonts w:asciiTheme="majorHAnsi" w:hAnsiTheme="majorHAnsi"/>
                <w:b/>
                <w:bCs/>
                <w:i/>
                <w:color w:val="FFFFFF" w:themeColor="background1"/>
                <w:sz w:val="20"/>
                <w:szCs w:val="20"/>
                <w:lang w:val="es-ES"/>
              </w:rPr>
              <w:t>personae</w:t>
            </w:r>
            <w:proofErr w:type="spellEnd"/>
            <w:r w:rsidRPr="008536ED">
              <w:rPr>
                <w:rFonts w:asciiTheme="majorHAnsi" w:hAnsiTheme="majorHAnsi"/>
                <w:b/>
                <w:bCs/>
                <w:i/>
                <w:color w:val="FFFFFF" w:themeColor="background1"/>
                <w:sz w:val="20"/>
                <w:szCs w:val="20"/>
                <w:lang w:val="es-ES"/>
              </w:rPr>
              <w:t>:</w:t>
            </w:r>
          </w:p>
        </w:tc>
        <w:tc>
          <w:tcPr>
            <w:tcW w:w="5760" w:type="dxa"/>
            <w:vAlign w:val="center"/>
          </w:tcPr>
          <w:p w14:paraId="70C82EF6" w14:textId="77777777" w:rsidR="00953481" w:rsidRPr="008536ED" w:rsidRDefault="00953481" w:rsidP="00953481">
            <w:pPr>
              <w:rPr>
                <w:rFonts w:asciiTheme="majorHAnsi" w:hAnsiTheme="majorHAnsi"/>
                <w:bCs/>
                <w:sz w:val="20"/>
                <w:szCs w:val="20"/>
                <w:lang w:val="es-ES"/>
              </w:rPr>
            </w:pPr>
            <w:r w:rsidRPr="008536ED">
              <w:rPr>
                <w:rFonts w:asciiTheme="majorHAnsi" w:hAnsiTheme="majorHAnsi"/>
                <w:bCs/>
                <w:sz w:val="20"/>
                <w:szCs w:val="20"/>
                <w:lang w:val="es-ES"/>
              </w:rPr>
              <w:t>Sí</w:t>
            </w:r>
          </w:p>
        </w:tc>
      </w:tr>
      <w:tr w:rsidR="00953481" w:rsidRPr="008536ED" w14:paraId="08861F62" w14:textId="77777777" w:rsidTr="00953481">
        <w:trPr>
          <w:cantSplit/>
        </w:trPr>
        <w:tc>
          <w:tcPr>
            <w:tcW w:w="3600" w:type="dxa"/>
            <w:tcBorders>
              <w:top w:val="single" w:sz="6" w:space="0" w:color="auto"/>
              <w:bottom w:val="single" w:sz="6" w:space="0" w:color="auto"/>
            </w:tcBorders>
            <w:shd w:val="clear" w:color="auto" w:fill="386294"/>
            <w:vAlign w:val="center"/>
          </w:tcPr>
          <w:p w14:paraId="0916BD7C" w14:textId="77777777" w:rsidR="00953481" w:rsidRPr="008536ED" w:rsidRDefault="00953481" w:rsidP="00953481">
            <w:pPr>
              <w:jc w:val="center"/>
              <w:rPr>
                <w:rFonts w:asciiTheme="majorHAnsi" w:hAnsiTheme="majorHAnsi"/>
                <w:b/>
                <w:bCs/>
                <w:color w:val="FFFFFF" w:themeColor="background1"/>
                <w:sz w:val="20"/>
                <w:szCs w:val="20"/>
                <w:lang w:val="es-ES"/>
              </w:rPr>
            </w:pPr>
            <w:r w:rsidRPr="008536ED">
              <w:rPr>
                <w:rFonts w:asciiTheme="majorHAnsi" w:hAnsiTheme="majorHAnsi"/>
                <w:b/>
                <w:bCs/>
                <w:color w:val="FFFFFF" w:themeColor="background1"/>
                <w:sz w:val="20"/>
                <w:szCs w:val="20"/>
                <w:lang w:val="es-ES"/>
              </w:rPr>
              <w:t>Competencia</w:t>
            </w:r>
            <w:r w:rsidRPr="008536ED">
              <w:rPr>
                <w:rFonts w:asciiTheme="majorHAnsi" w:hAnsiTheme="majorHAnsi"/>
                <w:b/>
                <w:bCs/>
                <w:i/>
                <w:color w:val="FFFFFF" w:themeColor="background1"/>
                <w:sz w:val="20"/>
                <w:szCs w:val="20"/>
                <w:lang w:val="es-ES"/>
              </w:rPr>
              <w:t xml:space="preserve"> </w:t>
            </w:r>
            <w:proofErr w:type="spellStart"/>
            <w:r w:rsidRPr="008536ED">
              <w:rPr>
                <w:rFonts w:asciiTheme="majorHAnsi" w:hAnsiTheme="majorHAnsi"/>
                <w:b/>
                <w:bCs/>
                <w:i/>
                <w:color w:val="FFFFFF" w:themeColor="background1"/>
                <w:sz w:val="20"/>
                <w:szCs w:val="20"/>
                <w:lang w:val="es-ES"/>
              </w:rPr>
              <w:t>ratione</w:t>
            </w:r>
            <w:proofErr w:type="spellEnd"/>
            <w:r w:rsidRPr="008536ED">
              <w:rPr>
                <w:rFonts w:asciiTheme="majorHAnsi" w:hAnsiTheme="majorHAnsi"/>
                <w:b/>
                <w:bCs/>
                <w:i/>
                <w:color w:val="FFFFFF" w:themeColor="background1"/>
                <w:sz w:val="20"/>
                <w:szCs w:val="20"/>
                <w:lang w:val="es-ES"/>
              </w:rPr>
              <w:t xml:space="preserve"> loci</w:t>
            </w:r>
            <w:r w:rsidRPr="008536ED">
              <w:rPr>
                <w:rFonts w:asciiTheme="majorHAnsi" w:hAnsiTheme="majorHAnsi"/>
                <w:b/>
                <w:bCs/>
                <w:color w:val="FFFFFF" w:themeColor="background1"/>
                <w:sz w:val="20"/>
                <w:szCs w:val="20"/>
                <w:lang w:val="es-ES"/>
              </w:rPr>
              <w:t>:</w:t>
            </w:r>
          </w:p>
        </w:tc>
        <w:tc>
          <w:tcPr>
            <w:tcW w:w="5760" w:type="dxa"/>
            <w:vAlign w:val="center"/>
          </w:tcPr>
          <w:p w14:paraId="486FEA8E" w14:textId="77777777" w:rsidR="00953481" w:rsidRPr="008536ED" w:rsidRDefault="00953481" w:rsidP="00953481">
            <w:pPr>
              <w:rPr>
                <w:rFonts w:asciiTheme="majorHAnsi" w:hAnsiTheme="majorHAnsi"/>
                <w:bCs/>
                <w:sz w:val="20"/>
                <w:szCs w:val="20"/>
                <w:lang w:val="es-ES"/>
              </w:rPr>
            </w:pPr>
            <w:r w:rsidRPr="008536ED">
              <w:rPr>
                <w:rFonts w:asciiTheme="majorHAnsi" w:hAnsiTheme="majorHAnsi"/>
                <w:bCs/>
                <w:sz w:val="20"/>
                <w:szCs w:val="20"/>
                <w:lang w:val="es-ES"/>
              </w:rPr>
              <w:t>Sí</w:t>
            </w:r>
          </w:p>
        </w:tc>
      </w:tr>
      <w:tr w:rsidR="00953481" w:rsidRPr="008536ED" w14:paraId="693729C7" w14:textId="77777777" w:rsidTr="00953481">
        <w:trPr>
          <w:cantSplit/>
        </w:trPr>
        <w:tc>
          <w:tcPr>
            <w:tcW w:w="3600" w:type="dxa"/>
            <w:tcBorders>
              <w:top w:val="single" w:sz="6" w:space="0" w:color="auto"/>
              <w:bottom w:val="single" w:sz="6" w:space="0" w:color="auto"/>
            </w:tcBorders>
            <w:shd w:val="clear" w:color="auto" w:fill="386294"/>
            <w:vAlign w:val="center"/>
          </w:tcPr>
          <w:p w14:paraId="1C6EA541" w14:textId="77777777" w:rsidR="00953481" w:rsidRPr="008536ED" w:rsidRDefault="00953481" w:rsidP="00953481">
            <w:pPr>
              <w:jc w:val="center"/>
              <w:rPr>
                <w:rFonts w:asciiTheme="majorHAnsi" w:hAnsiTheme="majorHAnsi"/>
                <w:b/>
                <w:bCs/>
                <w:color w:val="FFFFFF" w:themeColor="background1"/>
                <w:sz w:val="20"/>
                <w:szCs w:val="20"/>
                <w:lang w:val="es-ES"/>
              </w:rPr>
            </w:pPr>
            <w:r w:rsidRPr="008536ED">
              <w:rPr>
                <w:rFonts w:asciiTheme="majorHAnsi" w:hAnsiTheme="majorHAnsi"/>
                <w:b/>
                <w:bCs/>
                <w:color w:val="FFFFFF" w:themeColor="background1"/>
                <w:sz w:val="20"/>
                <w:szCs w:val="20"/>
                <w:lang w:val="es-ES"/>
              </w:rPr>
              <w:t>Competencia</w:t>
            </w:r>
            <w:r w:rsidRPr="008536ED">
              <w:rPr>
                <w:rFonts w:asciiTheme="majorHAnsi" w:hAnsiTheme="majorHAnsi"/>
                <w:b/>
                <w:bCs/>
                <w:i/>
                <w:color w:val="FFFFFF" w:themeColor="background1"/>
                <w:sz w:val="20"/>
                <w:szCs w:val="20"/>
                <w:lang w:val="es-ES"/>
              </w:rPr>
              <w:t xml:space="preserve"> </w:t>
            </w:r>
            <w:proofErr w:type="spellStart"/>
            <w:r w:rsidRPr="008536ED">
              <w:rPr>
                <w:rFonts w:asciiTheme="majorHAnsi" w:hAnsiTheme="majorHAnsi"/>
                <w:b/>
                <w:bCs/>
                <w:i/>
                <w:color w:val="FFFFFF" w:themeColor="background1"/>
                <w:sz w:val="20"/>
                <w:szCs w:val="20"/>
                <w:lang w:val="es-ES"/>
              </w:rPr>
              <w:t>ratione</w:t>
            </w:r>
            <w:proofErr w:type="spellEnd"/>
            <w:r w:rsidRPr="008536ED">
              <w:rPr>
                <w:rFonts w:asciiTheme="majorHAnsi" w:hAnsiTheme="majorHAnsi"/>
                <w:b/>
                <w:bCs/>
                <w:i/>
                <w:color w:val="FFFFFF" w:themeColor="background1"/>
                <w:sz w:val="20"/>
                <w:szCs w:val="20"/>
                <w:lang w:val="es-ES"/>
              </w:rPr>
              <w:t xml:space="preserve"> </w:t>
            </w:r>
            <w:proofErr w:type="spellStart"/>
            <w:r w:rsidRPr="008536ED">
              <w:rPr>
                <w:rFonts w:asciiTheme="majorHAnsi" w:hAnsiTheme="majorHAnsi"/>
                <w:b/>
                <w:bCs/>
                <w:i/>
                <w:color w:val="FFFFFF" w:themeColor="background1"/>
                <w:sz w:val="20"/>
                <w:szCs w:val="20"/>
                <w:lang w:val="es-ES"/>
              </w:rPr>
              <w:t>temporis</w:t>
            </w:r>
            <w:proofErr w:type="spellEnd"/>
            <w:r w:rsidRPr="008536ED">
              <w:rPr>
                <w:rFonts w:asciiTheme="majorHAnsi" w:hAnsiTheme="majorHAnsi"/>
                <w:b/>
                <w:bCs/>
                <w:color w:val="FFFFFF" w:themeColor="background1"/>
                <w:sz w:val="20"/>
                <w:szCs w:val="20"/>
                <w:lang w:val="es-ES"/>
              </w:rPr>
              <w:t>:</w:t>
            </w:r>
          </w:p>
        </w:tc>
        <w:tc>
          <w:tcPr>
            <w:tcW w:w="5760" w:type="dxa"/>
            <w:vAlign w:val="center"/>
          </w:tcPr>
          <w:p w14:paraId="5BC6805C" w14:textId="77777777" w:rsidR="00953481" w:rsidRPr="008536ED" w:rsidRDefault="00953481" w:rsidP="00953481">
            <w:pPr>
              <w:rPr>
                <w:rFonts w:asciiTheme="majorHAnsi" w:hAnsiTheme="majorHAnsi"/>
                <w:bCs/>
                <w:sz w:val="20"/>
                <w:szCs w:val="20"/>
                <w:lang w:val="es-ES"/>
              </w:rPr>
            </w:pPr>
            <w:r w:rsidRPr="008536ED">
              <w:rPr>
                <w:rFonts w:asciiTheme="majorHAnsi" w:hAnsiTheme="majorHAnsi"/>
                <w:bCs/>
                <w:sz w:val="20"/>
                <w:szCs w:val="20"/>
                <w:lang w:val="es-ES"/>
              </w:rPr>
              <w:t>Sí</w:t>
            </w:r>
          </w:p>
        </w:tc>
      </w:tr>
      <w:tr w:rsidR="00953481" w:rsidRPr="00EF72C2" w14:paraId="4AF5858D" w14:textId="77777777" w:rsidTr="00953481">
        <w:trPr>
          <w:cantSplit/>
        </w:trPr>
        <w:tc>
          <w:tcPr>
            <w:tcW w:w="3600" w:type="dxa"/>
            <w:tcBorders>
              <w:top w:val="single" w:sz="6" w:space="0" w:color="auto"/>
              <w:bottom w:val="single" w:sz="6" w:space="0" w:color="auto"/>
            </w:tcBorders>
            <w:shd w:val="clear" w:color="auto" w:fill="386294"/>
            <w:vAlign w:val="center"/>
          </w:tcPr>
          <w:p w14:paraId="044AA7C4" w14:textId="77777777" w:rsidR="00953481" w:rsidRPr="008536ED" w:rsidRDefault="00953481" w:rsidP="00953481">
            <w:pPr>
              <w:jc w:val="center"/>
              <w:rPr>
                <w:rFonts w:asciiTheme="majorHAnsi" w:hAnsiTheme="majorHAnsi"/>
                <w:b/>
                <w:bCs/>
                <w:color w:val="FFFFFF" w:themeColor="background1"/>
                <w:sz w:val="20"/>
                <w:szCs w:val="20"/>
                <w:lang w:val="es-ES"/>
              </w:rPr>
            </w:pPr>
            <w:r w:rsidRPr="008536ED">
              <w:rPr>
                <w:rFonts w:asciiTheme="majorHAnsi" w:hAnsiTheme="majorHAnsi"/>
                <w:b/>
                <w:bCs/>
                <w:color w:val="FFFFFF" w:themeColor="background1"/>
                <w:sz w:val="20"/>
                <w:szCs w:val="20"/>
                <w:lang w:val="es-ES"/>
              </w:rPr>
              <w:t>Competencia</w:t>
            </w:r>
            <w:r w:rsidRPr="008536ED">
              <w:rPr>
                <w:rFonts w:asciiTheme="majorHAnsi" w:hAnsiTheme="majorHAnsi"/>
                <w:b/>
                <w:bCs/>
                <w:i/>
                <w:color w:val="FFFFFF" w:themeColor="background1"/>
                <w:sz w:val="20"/>
                <w:szCs w:val="20"/>
                <w:lang w:val="es-ES"/>
              </w:rPr>
              <w:t xml:space="preserve"> </w:t>
            </w:r>
            <w:proofErr w:type="spellStart"/>
            <w:r w:rsidRPr="008536ED">
              <w:rPr>
                <w:rFonts w:asciiTheme="majorHAnsi" w:hAnsiTheme="majorHAnsi"/>
                <w:b/>
                <w:bCs/>
                <w:i/>
                <w:color w:val="FFFFFF" w:themeColor="background1"/>
                <w:sz w:val="20"/>
                <w:szCs w:val="20"/>
                <w:lang w:val="es-ES"/>
              </w:rPr>
              <w:t>ratione</w:t>
            </w:r>
            <w:proofErr w:type="spellEnd"/>
            <w:r w:rsidRPr="008536ED">
              <w:rPr>
                <w:rFonts w:asciiTheme="majorHAnsi" w:hAnsiTheme="majorHAnsi"/>
                <w:b/>
                <w:bCs/>
                <w:i/>
                <w:color w:val="FFFFFF" w:themeColor="background1"/>
                <w:sz w:val="20"/>
                <w:szCs w:val="20"/>
                <w:lang w:val="es-ES"/>
              </w:rPr>
              <w:t xml:space="preserve"> </w:t>
            </w:r>
            <w:proofErr w:type="spellStart"/>
            <w:r w:rsidRPr="008536ED">
              <w:rPr>
                <w:rFonts w:asciiTheme="majorHAnsi" w:hAnsiTheme="majorHAnsi"/>
                <w:b/>
                <w:bCs/>
                <w:i/>
                <w:color w:val="FFFFFF" w:themeColor="background1"/>
                <w:sz w:val="20"/>
                <w:szCs w:val="20"/>
                <w:lang w:val="es-ES"/>
              </w:rPr>
              <w:t>materiae</w:t>
            </w:r>
            <w:proofErr w:type="spellEnd"/>
            <w:r w:rsidRPr="008536ED">
              <w:rPr>
                <w:rFonts w:asciiTheme="majorHAnsi" w:hAnsiTheme="majorHAnsi"/>
                <w:b/>
                <w:bCs/>
                <w:color w:val="FFFFFF" w:themeColor="background1"/>
                <w:sz w:val="20"/>
                <w:szCs w:val="20"/>
                <w:lang w:val="es-ES"/>
              </w:rPr>
              <w:t>:</w:t>
            </w:r>
          </w:p>
        </w:tc>
        <w:tc>
          <w:tcPr>
            <w:tcW w:w="5760" w:type="dxa"/>
            <w:vAlign w:val="center"/>
          </w:tcPr>
          <w:p w14:paraId="3F12AFF8" w14:textId="77777777" w:rsidR="00953481" w:rsidRPr="008536ED" w:rsidRDefault="00953481" w:rsidP="00953481">
            <w:pPr>
              <w:jc w:val="both"/>
              <w:rPr>
                <w:rFonts w:asciiTheme="majorHAnsi" w:hAnsiTheme="majorHAnsi"/>
                <w:bCs/>
                <w:sz w:val="20"/>
                <w:szCs w:val="20"/>
                <w:lang w:val="es-ES"/>
              </w:rPr>
            </w:pPr>
            <w:r w:rsidRPr="008536ED">
              <w:rPr>
                <w:rFonts w:asciiTheme="majorHAnsi" w:hAnsiTheme="majorHAnsi"/>
                <w:bCs/>
                <w:sz w:val="20"/>
                <w:szCs w:val="20"/>
                <w:lang w:val="es-ES"/>
              </w:rPr>
              <w:t>Sí, Declaración Americana de los Derechos y Deberes del Hombre (ratificación de la Carta de la OEA el 19 de junio de 1951)</w:t>
            </w:r>
          </w:p>
        </w:tc>
      </w:tr>
      <w:tr w:rsidR="00953481" w:rsidRPr="008536ED" w14:paraId="5E2B8336" w14:textId="77777777" w:rsidTr="00953481">
        <w:trPr>
          <w:cantSplit/>
        </w:trPr>
        <w:tc>
          <w:tcPr>
            <w:tcW w:w="3600" w:type="dxa"/>
            <w:tcBorders>
              <w:top w:val="single" w:sz="6" w:space="0" w:color="auto"/>
              <w:bottom w:val="single" w:sz="6" w:space="0" w:color="auto"/>
            </w:tcBorders>
            <w:shd w:val="clear" w:color="auto" w:fill="386294"/>
            <w:vAlign w:val="center"/>
          </w:tcPr>
          <w:p w14:paraId="48113E80" w14:textId="77777777" w:rsidR="00953481" w:rsidRPr="008536ED" w:rsidRDefault="00953481" w:rsidP="00953481">
            <w:pPr>
              <w:jc w:val="center"/>
              <w:rPr>
                <w:rFonts w:asciiTheme="majorHAnsi" w:hAnsiTheme="majorHAnsi"/>
                <w:b/>
                <w:bCs/>
                <w:color w:val="FFFFFF" w:themeColor="background1"/>
                <w:sz w:val="20"/>
                <w:szCs w:val="20"/>
                <w:lang w:val="es-ES"/>
              </w:rPr>
            </w:pPr>
            <w:r w:rsidRPr="008536ED">
              <w:rPr>
                <w:rFonts w:asciiTheme="majorHAnsi" w:hAnsiTheme="majorHAnsi"/>
                <w:b/>
                <w:bCs/>
                <w:color w:val="FFFFFF" w:themeColor="background1"/>
                <w:sz w:val="20"/>
                <w:szCs w:val="20"/>
                <w:lang w:val="es-ES"/>
              </w:rPr>
              <w:t>Duplicación de procedimientos</w:t>
            </w:r>
          </w:p>
          <w:p w14:paraId="58978AE4" w14:textId="77777777" w:rsidR="00953481" w:rsidRPr="008536ED" w:rsidRDefault="00953481" w:rsidP="00953481">
            <w:pPr>
              <w:jc w:val="center"/>
              <w:rPr>
                <w:rFonts w:asciiTheme="majorHAnsi" w:hAnsiTheme="majorHAnsi"/>
                <w:b/>
                <w:bCs/>
                <w:color w:val="FFFFFF" w:themeColor="background1"/>
                <w:sz w:val="20"/>
                <w:szCs w:val="20"/>
                <w:lang w:val="es-ES"/>
              </w:rPr>
            </w:pPr>
            <w:r w:rsidRPr="008536ED">
              <w:rPr>
                <w:rFonts w:asciiTheme="majorHAnsi" w:hAnsiTheme="majorHAnsi"/>
                <w:b/>
                <w:bCs/>
                <w:color w:val="FFFFFF" w:themeColor="background1"/>
                <w:sz w:val="20"/>
                <w:szCs w:val="20"/>
                <w:lang w:val="es-ES"/>
              </w:rPr>
              <w:t>y cosa juzgada internacional:</w:t>
            </w:r>
          </w:p>
        </w:tc>
        <w:tc>
          <w:tcPr>
            <w:tcW w:w="5760" w:type="dxa"/>
            <w:vAlign w:val="center"/>
          </w:tcPr>
          <w:p w14:paraId="48B8373A" w14:textId="77777777" w:rsidR="00953481" w:rsidRPr="008536ED" w:rsidRDefault="00953481" w:rsidP="00953481">
            <w:pPr>
              <w:jc w:val="both"/>
              <w:rPr>
                <w:rFonts w:asciiTheme="majorHAnsi" w:hAnsiTheme="majorHAnsi"/>
                <w:bCs/>
                <w:sz w:val="20"/>
                <w:szCs w:val="20"/>
                <w:lang w:val="es-ES"/>
              </w:rPr>
            </w:pPr>
            <w:r w:rsidRPr="008536ED">
              <w:rPr>
                <w:rFonts w:asciiTheme="majorHAnsi" w:hAnsiTheme="majorHAnsi"/>
                <w:bCs/>
                <w:sz w:val="20"/>
                <w:szCs w:val="20"/>
                <w:lang w:val="es-ES"/>
              </w:rPr>
              <w:t>No</w:t>
            </w:r>
          </w:p>
        </w:tc>
      </w:tr>
    </w:tbl>
    <w:p w14:paraId="465591F9" w14:textId="77777777" w:rsidR="00953481" w:rsidRPr="008536ED" w:rsidRDefault="00953481" w:rsidP="00953481">
      <w:pPr>
        <w:rPr>
          <w:rFonts w:asciiTheme="majorHAnsi" w:hAnsiTheme="majorHAnsi"/>
          <w:sz w:val="20"/>
          <w:szCs w:val="20"/>
          <w:lang w:val="es-ES"/>
        </w:rPr>
      </w:pPr>
    </w:p>
    <w:p w14:paraId="5BCDD1C0"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La CIDH observa que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alega la violación de los artículos 6 y 7 del Pacto Internacional de Derechos Civiles y Políticos y de los artículos 1 y 16 de la</w:t>
      </w:r>
      <w:r>
        <w:rPr>
          <w:rFonts w:asciiTheme="majorHAnsi" w:hAnsiTheme="majorHAnsi"/>
          <w:sz w:val="20"/>
          <w:szCs w:val="20"/>
          <w:lang w:val="es-ES"/>
        </w:rPr>
        <w:t xml:space="preserve"> </w:t>
      </w:r>
      <w:r w:rsidRPr="008536ED">
        <w:rPr>
          <w:rFonts w:asciiTheme="majorHAnsi" w:hAnsiTheme="majorHAnsi"/>
          <w:sz w:val="20"/>
          <w:szCs w:val="20"/>
          <w:lang w:val="es-ES"/>
        </w:rPr>
        <w:t>Convención contra la Tortura y Otros Tratos o Penas Crueles, Inhumanos o Degradantes. La CIDH no tiene jurisdicción para determinar la violación de estas disposiciones, aunque podría usarlas como guía para determinar el alcance de los derechos establecidos en la Declaración Americana.</w:t>
      </w:r>
    </w:p>
    <w:p w14:paraId="01F499DB" w14:textId="77777777" w:rsidR="00953481" w:rsidRPr="008536ED" w:rsidRDefault="00953481" w:rsidP="00953481">
      <w:pPr>
        <w:rPr>
          <w:rFonts w:asciiTheme="majorHAnsi" w:hAnsiTheme="majorHAnsi"/>
          <w:sz w:val="20"/>
          <w:szCs w:val="20"/>
          <w:lang w:val="es-ES"/>
        </w:rPr>
      </w:pPr>
    </w:p>
    <w:p w14:paraId="1FBF17A4" w14:textId="77777777" w:rsidR="00953481" w:rsidRPr="00953481" w:rsidRDefault="00953481" w:rsidP="00C341DD">
      <w:pPr>
        <w:pStyle w:val="Heading2"/>
        <w:numPr>
          <w:ilvl w:val="0"/>
          <w:numId w:val="60"/>
        </w:numPr>
        <w:spacing w:before="0" w:after="0"/>
        <w:ind w:left="360"/>
        <w:rPr>
          <w:rFonts w:asciiTheme="majorHAnsi" w:hAnsiTheme="majorHAnsi" w:cs="Tahoma"/>
          <w:i w:val="0"/>
          <w:sz w:val="20"/>
          <w:szCs w:val="20"/>
          <w:shd w:val="clear" w:color="auto" w:fill="FFFFFF"/>
          <w:lang w:val="es-ES"/>
        </w:rPr>
      </w:pPr>
      <w:bookmarkStart w:id="10" w:name="_Toc90283135"/>
      <w:r w:rsidRPr="00953481">
        <w:rPr>
          <w:rFonts w:asciiTheme="majorHAnsi" w:hAnsiTheme="majorHAnsi" w:cs="Tahoma"/>
          <w:i w:val="0"/>
          <w:sz w:val="20"/>
          <w:szCs w:val="20"/>
          <w:shd w:val="clear" w:color="auto" w:fill="FFFFFF"/>
          <w:lang w:val="es-ES"/>
        </w:rPr>
        <w:t>Agotamiento de los recursos internos y plazo de presentación</w:t>
      </w:r>
      <w:bookmarkEnd w:id="10"/>
    </w:p>
    <w:p w14:paraId="00FAA116" w14:textId="77777777" w:rsidR="00953481" w:rsidRPr="00400DC5" w:rsidRDefault="00953481" w:rsidP="00953481">
      <w:pPr>
        <w:rPr>
          <w:rFonts w:asciiTheme="majorHAnsi" w:hAnsiTheme="majorHAnsi"/>
          <w:sz w:val="20"/>
          <w:szCs w:val="20"/>
          <w:lang w:val="es-ES"/>
        </w:rPr>
      </w:pPr>
    </w:p>
    <w:p w14:paraId="2A027D72"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Según la información disponible, y como se desprende de los hechos que se describen a continuación,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fue condenado a muerte por el Tribunal Superior del Estado de Arizona el 9 de junio de 1995. La apelación interpuesta ante la Corte Suprema de Arizona fue de</w:t>
      </w:r>
      <w:r>
        <w:rPr>
          <w:rFonts w:asciiTheme="majorHAnsi" w:hAnsiTheme="majorHAnsi"/>
          <w:sz w:val="20"/>
          <w:szCs w:val="20"/>
          <w:lang w:val="es-ES"/>
        </w:rPr>
        <w:t>sestimada</w:t>
      </w:r>
      <w:r w:rsidRPr="008536ED">
        <w:rPr>
          <w:rFonts w:asciiTheme="majorHAnsi" w:hAnsiTheme="majorHAnsi"/>
          <w:sz w:val="20"/>
          <w:szCs w:val="20"/>
          <w:lang w:val="es-ES"/>
        </w:rPr>
        <w:t xml:space="preserve"> el 4 de febrero de 1997. Ese mismo año se denegó también la solicitud de auto de avocación presentada a</w:t>
      </w:r>
      <w:r>
        <w:rPr>
          <w:rFonts w:asciiTheme="majorHAnsi" w:hAnsiTheme="majorHAnsi"/>
          <w:sz w:val="20"/>
          <w:szCs w:val="20"/>
          <w:lang w:val="es-ES"/>
        </w:rPr>
        <w:t>nte</w:t>
      </w:r>
      <w:r w:rsidRPr="008536ED">
        <w:rPr>
          <w:rFonts w:asciiTheme="majorHAnsi" w:hAnsiTheme="majorHAnsi"/>
          <w:sz w:val="20"/>
          <w:szCs w:val="20"/>
          <w:lang w:val="es-ES"/>
        </w:rPr>
        <w:t xml:space="preserve"> la Corte Suprema de Estados Unidos. El 4 de febrero de 1999,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interpuso el primer recurso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w:t>
      </w:r>
      <w:proofErr w:type="spellEnd"/>
      <w:r w:rsidRPr="008536ED">
        <w:rPr>
          <w:rFonts w:asciiTheme="majorHAnsi" w:hAnsiTheme="majorHAnsi"/>
          <w:sz w:val="20"/>
          <w:szCs w:val="20"/>
          <w:lang w:val="es-ES"/>
        </w:rPr>
        <w:t xml:space="preserve">, basado en 11 reclamos. El tribunal de primera instancia del estado rechazó los reclamos, decisión que fue confirmada por la Corte Suprema de Arizona el 28 de septiembre de 2001. En 2002, según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interpuso un segundo recurso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w:t>
      </w:r>
      <w:proofErr w:type="spellEnd"/>
      <w:r w:rsidRPr="008536ED">
        <w:rPr>
          <w:rFonts w:asciiTheme="majorHAnsi" w:hAnsiTheme="majorHAnsi"/>
          <w:sz w:val="20"/>
          <w:szCs w:val="20"/>
          <w:lang w:val="es-ES"/>
        </w:rPr>
        <w:t xml:space="preserve">, pero lo retiró cuando la Corte Suprema de Estados Unidos se negó a aplicar un precedente de manera retroactiva. En 2009, la presunta víctima interpuso un tercer recurso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w:t>
      </w:r>
      <w:proofErr w:type="spellEnd"/>
      <w:r w:rsidRPr="008536ED">
        <w:rPr>
          <w:rFonts w:asciiTheme="majorHAnsi" w:hAnsiTheme="majorHAnsi"/>
          <w:sz w:val="20"/>
          <w:szCs w:val="20"/>
          <w:lang w:val="es-ES"/>
        </w:rPr>
        <w:t xml:space="preserve"> ante el Tribunal Superior del Condado de </w:t>
      </w:r>
      <w:proofErr w:type="spellStart"/>
      <w:r w:rsidRPr="008536ED">
        <w:rPr>
          <w:rFonts w:asciiTheme="majorHAnsi" w:hAnsiTheme="majorHAnsi"/>
          <w:sz w:val="20"/>
          <w:szCs w:val="20"/>
          <w:lang w:val="es-ES"/>
        </w:rPr>
        <w:t>Maricopa</w:t>
      </w:r>
      <w:proofErr w:type="spellEnd"/>
      <w:r w:rsidRPr="008536ED">
        <w:rPr>
          <w:rFonts w:asciiTheme="majorHAnsi" w:hAnsiTheme="majorHAnsi"/>
          <w:sz w:val="20"/>
          <w:szCs w:val="20"/>
          <w:lang w:val="es-ES"/>
        </w:rPr>
        <w:t>, en el cual alegó que la pena de muerte violaba sus derechos fundamentales por</w:t>
      </w:r>
      <w:r>
        <w:rPr>
          <w:rFonts w:asciiTheme="majorHAnsi" w:hAnsiTheme="majorHAnsi"/>
          <w:sz w:val="20"/>
          <w:szCs w:val="20"/>
          <w:lang w:val="es-ES"/>
        </w:rPr>
        <w:t xml:space="preserve"> padecer</w:t>
      </w:r>
      <w:r w:rsidRPr="008536ED">
        <w:rPr>
          <w:rFonts w:asciiTheme="majorHAnsi" w:hAnsiTheme="majorHAnsi"/>
          <w:sz w:val="20"/>
          <w:szCs w:val="20"/>
          <w:lang w:val="es-ES"/>
        </w:rPr>
        <w:t xml:space="preserve"> una enfermedad mental grave. Tras el rechazo de esta petición, el 22 de octubre de 2009 interpuso un recurso de re</w:t>
      </w:r>
      <w:r>
        <w:rPr>
          <w:rFonts w:asciiTheme="majorHAnsi" w:hAnsiTheme="majorHAnsi"/>
          <w:sz w:val="20"/>
          <w:szCs w:val="20"/>
          <w:lang w:val="es-ES"/>
        </w:rPr>
        <w:t>visión</w:t>
      </w:r>
      <w:r w:rsidRPr="008536ED">
        <w:rPr>
          <w:rFonts w:asciiTheme="majorHAnsi" w:hAnsiTheme="majorHAnsi"/>
          <w:sz w:val="20"/>
          <w:szCs w:val="20"/>
          <w:lang w:val="es-ES"/>
        </w:rPr>
        <w:t xml:space="preserve">, que fue desestimado el 11 de enero de 2016. Asimismo, el 6 de febrero de 2012, la presunta víctima entabló una demanda ante el Tribunal de Distrito de Estados Unidos para el Distrito de Arizona para impugnar el método y los medios de ejecución utilizados por el Departamento Correccional de Arizona; esta demanda fue desestimada. </w:t>
      </w:r>
    </w:p>
    <w:p w14:paraId="3C933796" w14:textId="77777777" w:rsidR="00953481" w:rsidRPr="00400DC5" w:rsidRDefault="00953481" w:rsidP="00953481">
      <w:pPr>
        <w:rPr>
          <w:rFonts w:asciiTheme="majorHAnsi" w:hAnsiTheme="majorHAnsi"/>
          <w:sz w:val="20"/>
          <w:szCs w:val="20"/>
          <w:lang w:val="es-ES"/>
        </w:rPr>
      </w:pPr>
    </w:p>
    <w:p w14:paraId="76C84B2B" w14:textId="77777777" w:rsidR="00953481" w:rsidRPr="00400DC5"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La CIDH observa que la regla relativa al agotamiento de los recursos internos no significa que las presuntas víctimas tengan que agotar todos los recursos que </w:t>
      </w:r>
      <w:r>
        <w:rPr>
          <w:rFonts w:asciiTheme="majorHAnsi" w:hAnsiTheme="majorHAnsi"/>
          <w:sz w:val="20"/>
          <w:szCs w:val="20"/>
          <w:lang w:val="es-ES"/>
        </w:rPr>
        <w:t xml:space="preserve">estén </w:t>
      </w:r>
      <w:r w:rsidRPr="008536ED">
        <w:rPr>
          <w:rFonts w:asciiTheme="majorHAnsi" w:hAnsiTheme="majorHAnsi"/>
          <w:sz w:val="20"/>
          <w:szCs w:val="20"/>
          <w:lang w:val="es-ES"/>
        </w:rPr>
        <w:t>a su alcance. En ese sentido, la Comisión ha señalado reiteradamente que “la regla que exige el previo agotamiento de los recursos internos está concebida en interés del Estado, pues busca dispensarlo de responder ante un órgano internacional por actos que se le imputen, antes de haber tenido la ocasión de remediarlos con sus propios medios”</w:t>
      </w:r>
      <w:r w:rsidRPr="008536ED">
        <w:rPr>
          <w:rStyle w:val="FootnoteReference"/>
          <w:rFonts w:asciiTheme="majorHAnsi" w:hAnsiTheme="majorHAnsi"/>
          <w:sz w:val="20"/>
          <w:szCs w:val="20"/>
          <w:lang w:val="es-ES"/>
        </w:rPr>
        <w:footnoteReference w:id="4"/>
      </w:r>
      <w:r w:rsidRPr="008536ED">
        <w:rPr>
          <w:rFonts w:asciiTheme="majorHAnsi" w:hAnsiTheme="majorHAnsi"/>
          <w:sz w:val="20"/>
          <w:szCs w:val="20"/>
          <w:lang w:val="es-ES"/>
        </w:rPr>
        <w:t>. Por lo tanto, si la presunta víctima planteó el asunto valiéndose de una alternativa legal y apropiada en el marco del ordenamiento jurídico interno y el Estado tuvo la oportunidad de remediar el asunto dentro de su jurisdicción, se ha cumplido el propósito de la regla internacional</w:t>
      </w:r>
      <w:r w:rsidRPr="008536ED">
        <w:rPr>
          <w:rStyle w:val="FootnoteReference"/>
          <w:rFonts w:asciiTheme="majorHAnsi" w:hAnsiTheme="majorHAnsi"/>
          <w:sz w:val="20"/>
          <w:szCs w:val="20"/>
          <w:lang w:val="es-ES"/>
        </w:rPr>
        <w:footnoteReference w:id="5"/>
      </w:r>
      <w:r w:rsidRPr="008536ED">
        <w:rPr>
          <w:rFonts w:asciiTheme="majorHAnsi" w:hAnsiTheme="majorHAnsi"/>
          <w:sz w:val="20"/>
          <w:szCs w:val="20"/>
          <w:lang w:val="es-ES"/>
        </w:rPr>
        <w:t xml:space="preserve">. </w:t>
      </w:r>
    </w:p>
    <w:p w14:paraId="7CF8B8B0" w14:textId="77777777" w:rsidR="00953481" w:rsidRPr="00400DC5" w:rsidRDefault="00953481" w:rsidP="00953481">
      <w:pPr>
        <w:rPr>
          <w:rFonts w:asciiTheme="majorHAnsi" w:hAnsiTheme="majorHAnsi"/>
          <w:sz w:val="20"/>
          <w:szCs w:val="20"/>
          <w:lang w:val="es-ES"/>
        </w:rPr>
      </w:pPr>
    </w:p>
    <w:p w14:paraId="6CD232BE"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color w:val="FF0000"/>
          <w:sz w:val="20"/>
          <w:szCs w:val="20"/>
          <w:lang w:val="es-ES"/>
        </w:rPr>
      </w:pPr>
      <w:r w:rsidRPr="008536ED">
        <w:rPr>
          <w:rFonts w:asciiTheme="majorHAnsi" w:hAnsiTheme="majorHAnsi"/>
          <w:sz w:val="20"/>
          <w:szCs w:val="20"/>
          <w:lang w:val="es-ES"/>
        </w:rPr>
        <w:t xml:space="preserve">Sobre la base de la información disponible, la CIDH observa que la presunta víctima ha agotado no solo todos los procedimientos de revisión directa, sino también los procedimientos </w:t>
      </w:r>
      <w:proofErr w:type="spellStart"/>
      <w:r w:rsidRPr="008536ED">
        <w:rPr>
          <w:rFonts w:asciiTheme="majorHAnsi" w:hAnsiTheme="majorHAnsi"/>
          <w:sz w:val="20"/>
          <w:szCs w:val="20"/>
          <w:lang w:val="es-ES"/>
        </w:rPr>
        <w:t>poscondenatorios</w:t>
      </w:r>
      <w:proofErr w:type="spellEnd"/>
      <w:r w:rsidRPr="008536ED">
        <w:rPr>
          <w:rFonts w:asciiTheme="majorHAnsi" w:hAnsiTheme="majorHAnsi"/>
          <w:sz w:val="20"/>
          <w:szCs w:val="20"/>
          <w:lang w:val="es-ES"/>
        </w:rPr>
        <w:t xml:space="preserve"> estatales y federales. La CIDH observa asimismo que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presentó el reclamo relativo a la inyección letal ante tribunales de jurisdicción interna. Con respecto al reclamo </w:t>
      </w:r>
      <w:r>
        <w:rPr>
          <w:rFonts w:asciiTheme="majorHAnsi" w:hAnsiTheme="majorHAnsi"/>
          <w:sz w:val="20"/>
          <w:szCs w:val="20"/>
          <w:lang w:val="es-ES"/>
        </w:rPr>
        <w:t>vinculado</w:t>
      </w:r>
      <w:r w:rsidRPr="008536ED">
        <w:rPr>
          <w:rFonts w:asciiTheme="majorHAnsi" w:hAnsiTheme="majorHAnsi"/>
          <w:sz w:val="20"/>
          <w:szCs w:val="20"/>
          <w:lang w:val="es-ES"/>
        </w:rPr>
        <w:t xml:space="preserve"> al procedimiento de clemencia y las condiciones de detención, la Comisión observa que el Estado no indicó los recursos internos disponibles ni demostró que </w:t>
      </w:r>
      <w:r>
        <w:rPr>
          <w:rFonts w:asciiTheme="majorHAnsi" w:hAnsiTheme="majorHAnsi"/>
          <w:sz w:val="20"/>
          <w:szCs w:val="20"/>
          <w:lang w:val="es-ES"/>
        </w:rPr>
        <w:t>fuera</w:t>
      </w:r>
      <w:r w:rsidRPr="008536ED">
        <w:rPr>
          <w:rFonts w:asciiTheme="majorHAnsi" w:hAnsiTheme="majorHAnsi"/>
          <w:sz w:val="20"/>
          <w:szCs w:val="20"/>
          <w:lang w:val="es-ES"/>
        </w:rPr>
        <w:t xml:space="preserve">n adecuados, es decir, apropiados para abordar toda infracción de un derecho, y efectivos, </w:t>
      </w:r>
      <w:r w:rsidRPr="008536ED">
        <w:rPr>
          <w:rFonts w:asciiTheme="majorHAnsi" w:hAnsiTheme="majorHAnsi"/>
          <w:sz w:val="20"/>
          <w:szCs w:val="20"/>
          <w:lang w:val="es-ES"/>
        </w:rPr>
        <w:lastRenderedPageBreak/>
        <w:t>es decir, capaces de producir el resultado para el cual hayan sido creados, de acuerdo con los principios generalmente reconocidos del derecho internacional</w:t>
      </w:r>
      <w:r w:rsidRPr="008536ED">
        <w:rPr>
          <w:rStyle w:val="FootnoteReference"/>
          <w:rFonts w:asciiTheme="majorHAnsi" w:hAnsiTheme="majorHAnsi"/>
          <w:sz w:val="20"/>
          <w:szCs w:val="20"/>
          <w:lang w:val="es-ES"/>
        </w:rPr>
        <w:footnoteReference w:id="6"/>
      </w:r>
      <w:r w:rsidRPr="008536ED">
        <w:rPr>
          <w:rFonts w:asciiTheme="majorHAnsi" w:hAnsiTheme="majorHAnsi"/>
          <w:sz w:val="20"/>
          <w:szCs w:val="20"/>
          <w:lang w:val="es-ES"/>
        </w:rPr>
        <w:t>.</w:t>
      </w:r>
    </w:p>
    <w:p w14:paraId="56F19823" w14:textId="77777777" w:rsidR="00953481" w:rsidRPr="00400DC5" w:rsidRDefault="00953481" w:rsidP="00953481">
      <w:pPr>
        <w:rPr>
          <w:rFonts w:asciiTheme="majorHAnsi" w:hAnsiTheme="majorHAnsi"/>
          <w:sz w:val="20"/>
          <w:szCs w:val="20"/>
          <w:lang w:val="es-ES"/>
        </w:rPr>
      </w:pPr>
    </w:p>
    <w:p w14:paraId="0D664CF6" w14:textId="77777777" w:rsidR="00953481" w:rsidRPr="008536ED" w:rsidRDefault="00953481" w:rsidP="00C341DD">
      <w:pPr>
        <w:pStyle w:val="parrafos"/>
        <w:numPr>
          <w:ilvl w:val="0"/>
          <w:numId w:val="55"/>
        </w:numPr>
        <w:ind w:left="0" w:firstLine="0"/>
        <w:rPr>
          <w:lang w:val="es-ES"/>
        </w:rPr>
      </w:pPr>
      <w:r w:rsidRPr="008536ED">
        <w:rPr>
          <w:lang w:val="es-ES"/>
        </w:rPr>
        <w:t xml:space="preserve">En vista de estos </w:t>
      </w:r>
      <w:r>
        <w:rPr>
          <w:lang w:val="es-ES"/>
        </w:rPr>
        <w:t>elementos</w:t>
      </w:r>
      <w:r w:rsidRPr="008536ED">
        <w:rPr>
          <w:lang w:val="es-ES"/>
        </w:rPr>
        <w:t xml:space="preserve">, la Comisión Interamericana concluye que </w:t>
      </w:r>
      <w:r>
        <w:rPr>
          <w:lang w:val="es-ES"/>
        </w:rPr>
        <w:t>la presunta víctima</w:t>
      </w:r>
      <w:r w:rsidRPr="008536ED">
        <w:rPr>
          <w:lang w:val="es-ES"/>
        </w:rPr>
        <w:t xml:space="preserve"> agotó debidamente los recursos internos que tenía a su alcance en el ordenamiento jurídico interno y, por lo tanto, el requisito del agotamiento de los recursos internos establecido en el artículo 31.1 del Reglamento no </w:t>
      </w:r>
      <w:r>
        <w:rPr>
          <w:lang w:val="es-ES"/>
        </w:rPr>
        <w:t>constituye un impedimento para</w:t>
      </w:r>
      <w:r w:rsidRPr="008536ED">
        <w:rPr>
          <w:lang w:val="es-ES"/>
        </w:rPr>
        <w:t xml:space="preserve"> que la Comisión considere los reclamos de la presunta víctima. La petición fue presentada</w:t>
      </w:r>
      <w:r w:rsidRPr="007D7219">
        <w:rPr>
          <w:lang w:val="es-ES"/>
        </w:rPr>
        <w:t xml:space="preserve"> a la CIDH</w:t>
      </w:r>
      <w:r w:rsidRPr="008536ED">
        <w:rPr>
          <w:lang w:val="es-ES"/>
        </w:rPr>
        <w:t xml:space="preserve"> el 19 de febrero de 2014, y el recurso de </w:t>
      </w:r>
      <w:r>
        <w:rPr>
          <w:lang w:val="es-ES"/>
        </w:rPr>
        <w:t>revisión</w:t>
      </w:r>
      <w:r w:rsidRPr="008536ED">
        <w:rPr>
          <w:lang w:val="es-ES"/>
        </w:rPr>
        <w:t xml:space="preserve"> para impugnar la denegación del tercer recurso </w:t>
      </w:r>
      <w:proofErr w:type="spellStart"/>
      <w:r w:rsidRPr="008536ED">
        <w:rPr>
          <w:lang w:val="es-ES"/>
        </w:rPr>
        <w:t>poscondenatori</w:t>
      </w:r>
      <w:r>
        <w:rPr>
          <w:lang w:val="es-ES"/>
        </w:rPr>
        <w:t>o</w:t>
      </w:r>
      <w:proofErr w:type="spellEnd"/>
      <w:r w:rsidRPr="008536ED">
        <w:rPr>
          <w:lang w:val="es-ES"/>
        </w:rPr>
        <w:t xml:space="preserve"> fue desestimado el 11 de enero de 2016. Por lo tanto, la Comisión concluye también que se ha cumplido el requisito establecido en el artículo 32.1 de su Reglamento.</w:t>
      </w:r>
    </w:p>
    <w:p w14:paraId="28A32F78" w14:textId="77777777" w:rsidR="00953481" w:rsidRPr="008536ED" w:rsidRDefault="00953481" w:rsidP="00953481">
      <w:pPr>
        <w:rPr>
          <w:rFonts w:asciiTheme="majorHAnsi" w:hAnsiTheme="majorHAnsi"/>
          <w:sz w:val="20"/>
          <w:szCs w:val="20"/>
          <w:lang w:val="es-ES"/>
        </w:rPr>
      </w:pPr>
    </w:p>
    <w:p w14:paraId="1760C79E" w14:textId="77777777" w:rsidR="00953481" w:rsidRPr="00953481" w:rsidRDefault="00953481" w:rsidP="00C341DD">
      <w:pPr>
        <w:pStyle w:val="Heading2"/>
        <w:numPr>
          <w:ilvl w:val="0"/>
          <w:numId w:val="60"/>
        </w:numPr>
        <w:spacing w:before="0" w:after="0"/>
        <w:ind w:left="360"/>
        <w:rPr>
          <w:rFonts w:asciiTheme="majorHAnsi" w:hAnsiTheme="majorHAnsi" w:cs="Times New Roman"/>
          <w:i w:val="0"/>
          <w:sz w:val="20"/>
          <w:szCs w:val="20"/>
          <w:lang w:val="es-ES"/>
        </w:rPr>
      </w:pPr>
      <w:bookmarkStart w:id="11" w:name="_Toc7602625"/>
      <w:bookmarkStart w:id="12" w:name="_Toc6349144"/>
      <w:bookmarkStart w:id="13" w:name="_Toc90283136"/>
      <w:r w:rsidRPr="00953481">
        <w:rPr>
          <w:rFonts w:asciiTheme="majorHAnsi" w:hAnsiTheme="majorHAnsi" w:cs="Times New Roman"/>
          <w:i w:val="0"/>
          <w:sz w:val="20"/>
          <w:szCs w:val="20"/>
          <w:lang w:val="es-ES"/>
        </w:rPr>
        <w:t>Caracterización</w:t>
      </w:r>
      <w:bookmarkEnd w:id="11"/>
      <w:r w:rsidRPr="00953481">
        <w:rPr>
          <w:rFonts w:asciiTheme="majorHAnsi" w:hAnsiTheme="majorHAnsi" w:cs="Times New Roman"/>
          <w:i w:val="0"/>
          <w:sz w:val="20"/>
          <w:szCs w:val="20"/>
          <w:lang w:val="es-ES"/>
        </w:rPr>
        <w:t xml:space="preserve"> </w:t>
      </w:r>
      <w:bookmarkEnd w:id="12"/>
      <w:r w:rsidRPr="00953481">
        <w:rPr>
          <w:rFonts w:asciiTheme="majorHAnsi" w:hAnsiTheme="majorHAnsi" w:cs="Times New Roman"/>
          <w:i w:val="0"/>
          <w:sz w:val="20"/>
          <w:szCs w:val="20"/>
          <w:lang w:val="es-ES"/>
        </w:rPr>
        <w:t>de los hechos alegados</w:t>
      </w:r>
      <w:bookmarkEnd w:id="13"/>
    </w:p>
    <w:p w14:paraId="76D6B4A3" w14:textId="77777777" w:rsidR="00953481" w:rsidRPr="008536ED" w:rsidRDefault="00953481" w:rsidP="00953481">
      <w:pPr>
        <w:rPr>
          <w:rFonts w:asciiTheme="majorHAnsi" w:hAnsiTheme="majorHAnsi"/>
          <w:sz w:val="20"/>
          <w:szCs w:val="20"/>
          <w:lang w:val="es-ES"/>
        </w:rPr>
      </w:pPr>
    </w:p>
    <w:p w14:paraId="25DCD2EB"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La Comisión considera que los hechos alegados por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de probarse, podrían constituir una violación de los derechos enunciados en los artículos I, XI, XVIII, XXIV, XXV y XXVI de la Declaración Americana, en perjuicio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w:t>
      </w:r>
    </w:p>
    <w:p w14:paraId="23944509"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0A291E93"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La CIDH considera que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no ha aportado pruebas suficientes que permitan a la Comisión Interamericana determinar que los hechos alegados tienden a constituir una violación del artículo II de la Declaración Americana. </w:t>
      </w:r>
    </w:p>
    <w:p w14:paraId="668698A2" w14:textId="77777777" w:rsidR="00953481" w:rsidRPr="00400DC5" w:rsidRDefault="00953481" w:rsidP="00953481">
      <w:pPr>
        <w:rPr>
          <w:rFonts w:asciiTheme="majorHAnsi" w:hAnsiTheme="majorHAnsi"/>
          <w:sz w:val="20"/>
          <w:szCs w:val="20"/>
          <w:lang w:val="es-ES"/>
        </w:rPr>
      </w:pPr>
    </w:p>
    <w:p w14:paraId="549A77A3"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Estado aduce que, en las observaciones adicionales sobre el fondo,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introdujo reclamos nuevos que no constaban en la petición original. El Estado afirma que eso socava </w:t>
      </w:r>
      <w:r>
        <w:rPr>
          <w:rFonts w:asciiTheme="majorHAnsi" w:hAnsiTheme="majorHAnsi"/>
          <w:sz w:val="20"/>
          <w:szCs w:val="20"/>
          <w:lang w:val="es-ES"/>
        </w:rPr>
        <w:t>la práctica de acumular</w:t>
      </w:r>
      <w:r w:rsidRPr="008536ED">
        <w:rPr>
          <w:rFonts w:asciiTheme="majorHAnsi" w:hAnsiTheme="majorHAnsi"/>
          <w:sz w:val="20"/>
          <w:szCs w:val="20"/>
          <w:lang w:val="es-ES"/>
        </w:rPr>
        <w:t xml:space="preserve"> las etapas de admisibilidad y fondo, ya que </w:t>
      </w:r>
      <w:r>
        <w:rPr>
          <w:rFonts w:asciiTheme="majorHAnsi" w:hAnsiTheme="majorHAnsi"/>
          <w:sz w:val="20"/>
          <w:szCs w:val="20"/>
          <w:lang w:val="es-ES"/>
        </w:rPr>
        <w:t>requeriría</w:t>
      </w:r>
      <w:r w:rsidRPr="008536ED">
        <w:rPr>
          <w:rFonts w:asciiTheme="majorHAnsi" w:hAnsiTheme="majorHAnsi"/>
          <w:sz w:val="20"/>
          <w:szCs w:val="20"/>
          <w:lang w:val="es-ES"/>
        </w:rPr>
        <w:t xml:space="preserve"> que </w:t>
      </w:r>
      <w:r>
        <w:rPr>
          <w:rFonts w:asciiTheme="majorHAnsi" w:hAnsiTheme="majorHAnsi"/>
          <w:sz w:val="20"/>
          <w:szCs w:val="20"/>
          <w:lang w:val="es-ES"/>
        </w:rPr>
        <w:t xml:space="preserve">se </w:t>
      </w:r>
      <w:r w:rsidRPr="008536ED">
        <w:rPr>
          <w:rFonts w:asciiTheme="majorHAnsi" w:hAnsiTheme="majorHAnsi"/>
          <w:sz w:val="20"/>
          <w:szCs w:val="20"/>
          <w:lang w:val="es-ES"/>
        </w:rPr>
        <w:t>presentar</w:t>
      </w:r>
      <w:r>
        <w:rPr>
          <w:rFonts w:asciiTheme="majorHAnsi" w:hAnsiTheme="majorHAnsi"/>
          <w:sz w:val="20"/>
          <w:szCs w:val="20"/>
          <w:lang w:val="es-ES"/>
        </w:rPr>
        <w:t>an</w:t>
      </w:r>
      <w:r w:rsidRPr="008536ED">
        <w:rPr>
          <w:rFonts w:asciiTheme="majorHAnsi" w:hAnsiTheme="majorHAnsi"/>
          <w:sz w:val="20"/>
          <w:szCs w:val="20"/>
          <w:lang w:val="es-ES"/>
        </w:rPr>
        <w:t xml:space="preserve"> escritos </w:t>
      </w:r>
      <w:r>
        <w:rPr>
          <w:rFonts w:asciiTheme="majorHAnsi" w:hAnsiTheme="majorHAnsi"/>
          <w:sz w:val="20"/>
          <w:szCs w:val="20"/>
          <w:lang w:val="es-ES"/>
        </w:rPr>
        <w:t xml:space="preserve">adicionales </w:t>
      </w:r>
      <w:r w:rsidRPr="008536ED">
        <w:rPr>
          <w:rFonts w:asciiTheme="majorHAnsi" w:hAnsiTheme="majorHAnsi"/>
          <w:sz w:val="20"/>
          <w:szCs w:val="20"/>
          <w:lang w:val="es-ES"/>
        </w:rPr>
        <w:t>sobre la admisibilidad de los nuevos</w:t>
      </w:r>
      <w:r w:rsidRPr="00012E3C">
        <w:rPr>
          <w:rFonts w:asciiTheme="majorHAnsi" w:hAnsiTheme="majorHAnsi"/>
          <w:sz w:val="20"/>
          <w:szCs w:val="20"/>
          <w:lang w:val="es-ES"/>
        </w:rPr>
        <w:t xml:space="preserve"> </w:t>
      </w:r>
      <w:r w:rsidRPr="008536ED">
        <w:rPr>
          <w:rFonts w:asciiTheme="majorHAnsi" w:hAnsiTheme="majorHAnsi"/>
          <w:sz w:val="20"/>
          <w:szCs w:val="20"/>
          <w:lang w:val="es-ES"/>
        </w:rPr>
        <w:t xml:space="preserve">reclamos. La Comisión observa en ese sentido que el propósito del artículo 36.3 de su Reglamento es </w:t>
      </w:r>
      <w:r>
        <w:rPr>
          <w:rFonts w:asciiTheme="majorHAnsi" w:hAnsiTheme="majorHAnsi"/>
          <w:sz w:val="20"/>
          <w:szCs w:val="20"/>
          <w:lang w:val="es-ES"/>
        </w:rPr>
        <w:t>diferir</w:t>
      </w:r>
      <w:r w:rsidRPr="008536ED">
        <w:rPr>
          <w:rFonts w:asciiTheme="majorHAnsi" w:hAnsiTheme="majorHAnsi"/>
          <w:sz w:val="20"/>
          <w:szCs w:val="20"/>
          <w:lang w:val="es-ES"/>
        </w:rPr>
        <w:t xml:space="preserve"> el análisis de la admisibilidad hasta la etapa de fondo. En el momento en que se aprueba el informe de admisibilidad y fondo, la CIDH estable</w:t>
      </w:r>
      <w:r>
        <w:rPr>
          <w:rFonts w:asciiTheme="majorHAnsi" w:hAnsiTheme="majorHAnsi"/>
          <w:sz w:val="20"/>
          <w:szCs w:val="20"/>
          <w:lang w:val="es-ES"/>
        </w:rPr>
        <w:t>ce</w:t>
      </w:r>
      <w:r w:rsidRPr="008536ED">
        <w:rPr>
          <w:rFonts w:asciiTheme="majorHAnsi" w:hAnsiTheme="majorHAnsi"/>
          <w:sz w:val="20"/>
          <w:szCs w:val="20"/>
          <w:lang w:val="es-ES"/>
        </w:rPr>
        <w:t xml:space="preserve"> el </w:t>
      </w:r>
      <w:r>
        <w:rPr>
          <w:rFonts w:asciiTheme="majorHAnsi" w:hAnsiTheme="majorHAnsi"/>
          <w:sz w:val="20"/>
          <w:szCs w:val="20"/>
          <w:lang w:val="es-ES"/>
        </w:rPr>
        <w:t>objeto</w:t>
      </w:r>
      <w:r w:rsidRPr="008536ED">
        <w:rPr>
          <w:rFonts w:asciiTheme="majorHAnsi" w:hAnsiTheme="majorHAnsi"/>
          <w:sz w:val="20"/>
          <w:szCs w:val="20"/>
          <w:lang w:val="es-ES"/>
        </w:rPr>
        <w:t xml:space="preserve"> del caso y determina si se cumplen los requisitos relativos a la admisibilidad sobre la base de la información recibida durante la tramitación del caso, que ha sido remitida debidamente a las partes. Por lo tanto, la CIDH concluye que el Estado ha tenido la oportunidad de formular observaciones sobre la admisibilidad de todos los reclamos presentados por </w:t>
      </w:r>
      <w:r>
        <w:rPr>
          <w:rFonts w:asciiTheme="majorHAnsi" w:hAnsiTheme="majorHAnsi"/>
          <w:sz w:val="20"/>
          <w:szCs w:val="20"/>
          <w:lang w:val="es-ES"/>
        </w:rPr>
        <w:t>la parte peticionaria</w:t>
      </w:r>
      <w:r w:rsidRPr="008536ED">
        <w:rPr>
          <w:rFonts w:asciiTheme="majorHAnsi" w:hAnsiTheme="majorHAnsi"/>
          <w:sz w:val="20"/>
          <w:szCs w:val="20"/>
          <w:lang w:val="es-ES"/>
        </w:rPr>
        <w:t>.</w:t>
      </w:r>
      <w:r>
        <w:rPr>
          <w:rFonts w:asciiTheme="majorHAnsi" w:hAnsiTheme="majorHAnsi"/>
          <w:sz w:val="20"/>
          <w:szCs w:val="20"/>
          <w:lang w:val="es-ES"/>
        </w:rPr>
        <w:t xml:space="preserve"> </w:t>
      </w:r>
    </w:p>
    <w:p w14:paraId="44EC7A90"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3F26B1B1" w14:textId="77777777" w:rsidR="00953481" w:rsidRPr="00953481" w:rsidRDefault="00953481" w:rsidP="00953481">
      <w:pPr>
        <w:pStyle w:val="Heading1"/>
        <w:tabs>
          <w:tab w:val="left" w:pos="360"/>
        </w:tabs>
        <w:spacing w:before="0"/>
        <w:ind w:hanging="720"/>
        <w:rPr>
          <w:color w:val="auto"/>
          <w:sz w:val="20"/>
          <w:szCs w:val="20"/>
          <w:lang w:val="es-ES"/>
        </w:rPr>
      </w:pPr>
      <w:bookmarkStart w:id="14" w:name="_Toc90283137"/>
      <w:r w:rsidRPr="00953481">
        <w:rPr>
          <w:color w:val="auto"/>
          <w:sz w:val="20"/>
          <w:szCs w:val="20"/>
          <w:lang w:val="es-ES"/>
        </w:rPr>
        <w:t>DETERMINACIONES DE HECHO</w:t>
      </w:r>
      <w:bookmarkEnd w:id="14"/>
    </w:p>
    <w:p w14:paraId="4A7BA2CD" w14:textId="77777777" w:rsidR="00953481" w:rsidRPr="00953481" w:rsidRDefault="00953481" w:rsidP="00953481">
      <w:pPr>
        <w:rPr>
          <w:rFonts w:asciiTheme="majorHAnsi" w:hAnsiTheme="majorHAnsi"/>
          <w:sz w:val="20"/>
          <w:szCs w:val="20"/>
          <w:lang w:val="es-ES"/>
        </w:rPr>
      </w:pPr>
    </w:p>
    <w:p w14:paraId="0421619A" w14:textId="77777777" w:rsidR="00953481" w:rsidRPr="00953481" w:rsidRDefault="00953481" w:rsidP="00C341DD">
      <w:pPr>
        <w:pStyle w:val="Heading2"/>
        <w:keepLines/>
        <w:numPr>
          <w:ilvl w:val="0"/>
          <w:numId w:val="58"/>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15" w:name="_Toc90283138"/>
      <w:r w:rsidRPr="00953481">
        <w:rPr>
          <w:rFonts w:asciiTheme="majorHAnsi" w:hAnsiTheme="majorHAnsi"/>
          <w:i w:val="0"/>
          <w:sz w:val="20"/>
          <w:szCs w:val="20"/>
          <w:lang w:val="es-ES"/>
        </w:rPr>
        <w:t>Marco legal pertinente</w:t>
      </w:r>
      <w:bookmarkEnd w:id="15"/>
    </w:p>
    <w:p w14:paraId="0FA9FD3B" w14:textId="77777777" w:rsidR="00953481" w:rsidRPr="00953481" w:rsidRDefault="00953481" w:rsidP="00953481">
      <w:pPr>
        <w:pStyle w:val="Heading2"/>
        <w:tabs>
          <w:tab w:val="left" w:pos="360"/>
        </w:tabs>
        <w:spacing w:before="0"/>
        <w:ind w:left="720"/>
        <w:rPr>
          <w:rFonts w:asciiTheme="majorHAnsi" w:hAnsiTheme="majorHAnsi"/>
          <w:i w:val="0"/>
          <w:sz w:val="20"/>
          <w:szCs w:val="20"/>
          <w:lang w:val="es-ES"/>
        </w:rPr>
      </w:pPr>
    </w:p>
    <w:p w14:paraId="07648153"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El artículo 104 de la Ley Antiterrorista y de Efectiva Aplicación de la Pena de Muerte (AEDPA) de 1996 dispone lo siguiente</w:t>
      </w:r>
      <w:r w:rsidRPr="008536ED">
        <w:rPr>
          <w:rStyle w:val="FootnoteReference"/>
          <w:rFonts w:asciiTheme="majorHAnsi" w:hAnsiTheme="majorHAnsi"/>
          <w:b/>
          <w:bCs/>
          <w:sz w:val="20"/>
          <w:szCs w:val="20"/>
          <w:lang w:val="es-ES"/>
        </w:rPr>
        <w:footnoteReference w:id="7"/>
      </w:r>
      <w:r>
        <w:rPr>
          <w:rFonts w:asciiTheme="majorHAnsi" w:hAnsiTheme="majorHAnsi"/>
          <w:sz w:val="20"/>
          <w:szCs w:val="20"/>
          <w:lang w:val="es-ES"/>
        </w:rPr>
        <w:t>:</w:t>
      </w:r>
    </w:p>
    <w:p w14:paraId="35C20C2B" w14:textId="77777777" w:rsidR="00953481" w:rsidRPr="008536ED" w:rsidRDefault="00953481" w:rsidP="00953481">
      <w:pPr>
        <w:autoSpaceDE w:val="0"/>
        <w:autoSpaceDN w:val="0"/>
        <w:adjustRightInd w:val="0"/>
        <w:rPr>
          <w:rFonts w:asciiTheme="majorHAnsi" w:hAnsiTheme="majorHAnsi"/>
          <w:sz w:val="20"/>
          <w:szCs w:val="20"/>
          <w:lang w:val="es-ES"/>
        </w:rPr>
      </w:pPr>
    </w:p>
    <w:p w14:paraId="70599E3E"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Se enmienda el artículo 2254 del título 28 del Código de Estados Unidos:</w:t>
      </w:r>
    </w:p>
    <w:p w14:paraId="39189B72"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p>
    <w:p w14:paraId="0010460D"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w:t>
      </w:r>
    </w:p>
    <w:p w14:paraId="0B5C07D7"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 xml:space="preserve">3) insertando después del inciso </w:t>
      </w:r>
      <w:r w:rsidRPr="008536ED">
        <w:rPr>
          <w:rFonts w:asciiTheme="majorHAnsi" w:hAnsiTheme="majorHAnsi"/>
          <w:i/>
          <w:sz w:val="18"/>
          <w:szCs w:val="20"/>
          <w:lang w:val="es-ES"/>
        </w:rPr>
        <w:t>c</w:t>
      </w:r>
      <w:r w:rsidRPr="008536ED">
        <w:rPr>
          <w:rFonts w:asciiTheme="majorHAnsi" w:hAnsiTheme="majorHAnsi"/>
          <w:sz w:val="18"/>
          <w:szCs w:val="20"/>
          <w:lang w:val="es-ES"/>
        </w:rPr>
        <w:t xml:space="preserve"> el nuevo inciso siguiente:</w:t>
      </w:r>
    </w:p>
    <w:p w14:paraId="64A56F8A"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d) No se aceptará una solicitud de auto de hábeas corpus presentada en nombre de una persona que esté en custodia de conformidad con la sentencia de un tribunal estatal en relación con un reclamo sobre cuyo fondo se haya pronunciado un tribunal estatal, salvo que el fallo en la materia:</w:t>
      </w:r>
    </w:p>
    <w:p w14:paraId="39B4DD9D"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1) haya resultado en una decisión contraria a una ley federal claramente establecida o haya implicado una aplicación irrazonable de la misma, según la Corte Suprema de Estados Unidos; o</w:t>
      </w:r>
    </w:p>
    <w:p w14:paraId="6AA6A78D"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2) haya resultado en una decisión basada en una determinación irrazonable de los hechos a la luz de las pruebas presentadas en las actuaciones ante el tribunal estatal;</w:t>
      </w:r>
    </w:p>
    <w:p w14:paraId="1676AC0F"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p>
    <w:p w14:paraId="61B37B23"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 xml:space="preserve">4) enmendando el inciso </w:t>
      </w:r>
      <w:r w:rsidRPr="008536ED">
        <w:rPr>
          <w:rFonts w:asciiTheme="majorHAnsi" w:hAnsiTheme="majorHAnsi"/>
          <w:i/>
          <w:sz w:val="18"/>
          <w:szCs w:val="20"/>
          <w:lang w:val="es-ES"/>
        </w:rPr>
        <w:t>e</w:t>
      </w:r>
      <w:r w:rsidRPr="008536ED">
        <w:rPr>
          <w:rFonts w:asciiTheme="majorHAnsi" w:hAnsiTheme="majorHAnsi"/>
          <w:sz w:val="18"/>
          <w:szCs w:val="20"/>
          <w:lang w:val="es-ES"/>
        </w:rPr>
        <w:t xml:space="preserve">, tal como quedó </w:t>
      </w:r>
      <w:proofErr w:type="spellStart"/>
      <w:r w:rsidRPr="008536ED">
        <w:rPr>
          <w:rFonts w:asciiTheme="majorHAnsi" w:hAnsiTheme="majorHAnsi"/>
          <w:sz w:val="18"/>
          <w:szCs w:val="20"/>
          <w:lang w:val="es-ES"/>
        </w:rPr>
        <w:t>redesignado</w:t>
      </w:r>
      <w:proofErr w:type="spellEnd"/>
      <w:r w:rsidRPr="008536ED">
        <w:rPr>
          <w:rFonts w:asciiTheme="majorHAnsi" w:hAnsiTheme="majorHAnsi"/>
          <w:sz w:val="18"/>
          <w:szCs w:val="20"/>
          <w:lang w:val="es-ES"/>
        </w:rPr>
        <w:t xml:space="preserve"> por el párrafo 2, para que diga lo siguiente:</w:t>
      </w:r>
    </w:p>
    <w:p w14:paraId="3D87D6B1"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 xml:space="preserve">e)1) En las actuaciones iniciadas por una solicitud de auto de hábeas corpus presentada por una persona que esté en custodia de conformidad con la sentencia de un tribunal estatal, se supondrá que la determinación de un asunto </w:t>
      </w:r>
      <w:r w:rsidRPr="008536ED">
        <w:rPr>
          <w:rFonts w:asciiTheme="majorHAnsi" w:hAnsiTheme="majorHAnsi"/>
          <w:sz w:val="18"/>
          <w:szCs w:val="20"/>
          <w:lang w:val="es-ES"/>
        </w:rPr>
        <w:lastRenderedPageBreak/>
        <w:t>fáctico tomada por un tribunal estatal es correcta. Recaerá en el solicitante la carga de refutar la presunción de corrección por medio de pruebas claras y convincentes.</w:t>
      </w:r>
    </w:p>
    <w:p w14:paraId="1F440A23"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2) Si el solicitante no explica la base fáctica de un reclamo en las actuaciones ante un tribunal estatal, el tribunal no realizará una audiencia probatoria sobre el asunto a menos que el solicitante demuestre que:</w:t>
      </w:r>
    </w:p>
    <w:p w14:paraId="10459F49"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A) el reclamo se basa en:</w:t>
      </w:r>
    </w:p>
    <w:p w14:paraId="59FC5A55"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i) una regla nueva del derecho constitucional que antes no existía y que se aplica de manera retroactiva a casos que estén siendo revisados por la Corte Suprema; o</w:t>
      </w:r>
    </w:p>
    <w:p w14:paraId="41224C2A"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proofErr w:type="spellStart"/>
      <w:r w:rsidRPr="008536ED">
        <w:rPr>
          <w:rFonts w:asciiTheme="majorHAnsi" w:hAnsiTheme="majorHAnsi"/>
          <w:sz w:val="18"/>
          <w:szCs w:val="20"/>
          <w:lang w:val="es-ES"/>
        </w:rPr>
        <w:t>ii</w:t>
      </w:r>
      <w:proofErr w:type="spellEnd"/>
      <w:r w:rsidRPr="008536ED">
        <w:rPr>
          <w:rFonts w:asciiTheme="majorHAnsi" w:hAnsiTheme="majorHAnsi"/>
          <w:sz w:val="18"/>
          <w:szCs w:val="20"/>
          <w:lang w:val="es-ES"/>
        </w:rPr>
        <w:t>) un fundamento fáctico que no se hubiera podido descubrir anteriormente actuando con la debida diligencia; y</w:t>
      </w:r>
    </w:p>
    <w:p w14:paraId="5BD0C691" w14:textId="77777777" w:rsidR="00953481" w:rsidRPr="008536ED" w:rsidRDefault="00953481" w:rsidP="00953481">
      <w:pPr>
        <w:autoSpaceDE w:val="0"/>
        <w:autoSpaceDN w:val="0"/>
        <w:adjustRightInd w:val="0"/>
        <w:ind w:left="360" w:right="360"/>
        <w:jc w:val="both"/>
        <w:rPr>
          <w:rFonts w:asciiTheme="majorHAnsi" w:hAnsiTheme="majorHAnsi"/>
          <w:sz w:val="18"/>
          <w:szCs w:val="20"/>
          <w:lang w:val="es-ES"/>
        </w:rPr>
      </w:pPr>
      <w:r w:rsidRPr="008536ED">
        <w:rPr>
          <w:rFonts w:asciiTheme="majorHAnsi" w:hAnsiTheme="majorHAnsi"/>
          <w:sz w:val="18"/>
          <w:szCs w:val="20"/>
          <w:lang w:val="es-ES"/>
        </w:rPr>
        <w:t>B) los hechos en que se basa el reclamo bastarían para demostrar, con pruebas claras y convincentes, que, si no fuera por un error constitucional, ningún investigador razonable de los hechos habría concluido que el solicitante era culpable del delito determinante […].</w:t>
      </w:r>
    </w:p>
    <w:p w14:paraId="735E844F" w14:textId="77777777" w:rsidR="00953481" w:rsidRPr="008536ED" w:rsidRDefault="00953481" w:rsidP="00953481">
      <w:pPr>
        <w:autoSpaceDE w:val="0"/>
        <w:autoSpaceDN w:val="0"/>
        <w:adjustRightInd w:val="0"/>
        <w:ind w:left="360" w:right="720"/>
        <w:jc w:val="both"/>
        <w:rPr>
          <w:rFonts w:asciiTheme="majorHAnsi" w:hAnsiTheme="majorHAnsi"/>
          <w:sz w:val="20"/>
          <w:szCs w:val="20"/>
          <w:lang w:val="es-ES"/>
        </w:rPr>
      </w:pPr>
    </w:p>
    <w:p w14:paraId="0C06D086"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El artículo 2 (INDULTO.</w:t>
      </w:r>
      <w:r>
        <w:rPr>
          <w:rFonts w:asciiTheme="majorHAnsi" w:hAnsiTheme="majorHAnsi"/>
          <w:sz w:val="20"/>
          <w:szCs w:val="20"/>
          <w:lang w:val="es-ES"/>
        </w:rPr>
        <w:t xml:space="preserve"> </w:t>
      </w:r>
      <w:r w:rsidRPr="008536ED">
        <w:rPr>
          <w:rFonts w:asciiTheme="majorHAnsi" w:hAnsiTheme="majorHAnsi"/>
          <w:sz w:val="20"/>
          <w:szCs w:val="20"/>
          <w:lang w:val="es-ES"/>
        </w:rPr>
        <w:t>R5-4-201. Indulto) del Código Administrativo de Arizona dispone lo siguiente:</w:t>
      </w:r>
    </w:p>
    <w:p w14:paraId="7C7A6809"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360"/>
        <w:jc w:val="both"/>
        <w:rPr>
          <w:rFonts w:asciiTheme="majorHAnsi" w:hAnsiTheme="majorHAnsi"/>
          <w:sz w:val="20"/>
          <w:szCs w:val="20"/>
          <w:lang w:val="es-ES"/>
        </w:rPr>
      </w:pPr>
    </w:p>
    <w:p w14:paraId="7EF62CC8"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lang w:val="es-ES"/>
        </w:rPr>
      </w:pPr>
      <w:r w:rsidRPr="008536ED">
        <w:rPr>
          <w:rFonts w:asciiTheme="majorHAnsi" w:hAnsiTheme="majorHAnsi"/>
          <w:sz w:val="18"/>
          <w:szCs w:val="20"/>
          <w:lang w:val="es-ES"/>
        </w:rPr>
        <w:t>A. Salvo que esté prohibido por ley, una persona que ha sido condenada por un delito mayor en el estado de Arizona puede solicitar un indulto.</w:t>
      </w:r>
    </w:p>
    <w:p w14:paraId="4520FD40"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lang w:val="es-ES"/>
        </w:rPr>
      </w:pPr>
      <w:r w:rsidRPr="008536ED">
        <w:rPr>
          <w:rFonts w:asciiTheme="majorHAnsi" w:hAnsiTheme="majorHAnsi"/>
          <w:sz w:val="18"/>
          <w:szCs w:val="20"/>
          <w:lang w:val="es-ES"/>
        </w:rPr>
        <w:t>B. Para solicitar un indulto, la persona que reúna los requisitos debe llenar un formulario de solicitud provisto por la Junta y presentárselo a la Junta.</w:t>
      </w:r>
    </w:p>
    <w:p w14:paraId="1DA05F30"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lang w:val="es-ES"/>
        </w:rPr>
      </w:pPr>
      <w:r w:rsidRPr="008536ED">
        <w:rPr>
          <w:rFonts w:asciiTheme="majorHAnsi" w:hAnsiTheme="majorHAnsi"/>
          <w:sz w:val="18"/>
          <w:szCs w:val="20"/>
          <w:lang w:val="es-ES"/>
        </w:rPr>
        <w:t xml:space="preserve">C. Además de la solicitud indicada en el inciso B, el solicitante deberá presentar cualquier otra información y documento que la Junta le pida para facilitar una decisión con respecto a la recomendación </w:t>
      </w:r>
      <w:r>
        <w:rPr>
          <w:rFonts w:asciiTheme="majorHAnsi" w:hAnsiTheme="majorHAnsi"/>
          <w:sz w:val="18"/>
          <w:szCs w:val="20"/>
          <w:lang w:val="es-ES"/>
        </w:rPr>
        <w:t xml:space="preserve">sobre </w:t>
      </w:r>
      <w:r w:rsidRPr="008536ED">
        <w:rPr>
          <w:rFonts w:asciiTheme="majorHAnsi" w:hAnsiTheme="majorHAnsi"/>
          <w:sz w:val="18"/>
          <w:szCs w:val="20"/>
          <w:lang w:val="es-ES"/>
        </w:rPr>
        <w:t xml:space="preserve">el indulto. </w:t>
      </w:r>
    </w:p>
    <w:p w14:paraId="2C706D3C"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lang w:val="es-ES"/>
        </w:rPr>
      </w:pPr>
      <w:r w:rsidRPr="008536ED">
        <w:rPr>
          <w:rFonts w:asciiTheme="majorHAnsi" w:hAnsiTheme="majorHAnsi"/>
          <w:sz w:val="18"/>
          <w:szCs w:val="20"/>
          <w:lang w:val="es-ES"/>
        </w:rPr>
        <w:t>D. Si un recluso pide un indulto, la Junta remitirá la solicitud al Departamento para que la examine y verifique si el recluso cumple los requisitos para pedir el indulto.</w:t>
      </w:r>
    </w:p>
    <w:p w14:paraId="701B647F"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lang w:val="es-ES"/>
        </w:rPr>
      </w:pPr>
      <w:r w:rsidRPr="008536ED">
        <w:rPr>
          <w:rFonts w:asciiTheme="majorHAnsi" w:hAnsiTheme="majorHAnsi"/>
          <w:sz w:val="18"/>
          <w:szCs w:val="20"/>
          <w:lang w:val="es-ES"/>
        </w:rPr>
        <w:t>E. Después de recibir una solicitud completa de un solicitante que reúna los requisitos, la Junta programará una audiencia y le avisará por escrito al solicitante, con antelación, el lugar y la fecha de la audiencia.</w:t>
      </w:r>
    </w:p>
    <w:p w14:paraId="65EB43D6"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lang w:val="es-ES"/>
        </w:rPr>
      </w:pPr>
      <w:r w:rsidRPr="008536ED">
        <w:rPr>
          <w:rFonts w:asciiTheme="majorHAnsi" w:hAnsiTheme="majorHAnsi"/>
          <w:sz w:val="18"/>
          <w:szCs w:val="20"/>
          <w:lang w:val="es-ES"/>
        </w:rPr>
        <w:t>F. En la audiencia, la Junta procederá de una de las formas siguientes, por votación: 1) recomendará que el gobernador no conceda el indulto y comunicará su decisión al solicitante por escrito dentro de un plazo de 10 días hábiles, o 2) recomendará que el gobernador conceda el indulto y comunicará su decisión al solicitante por escrito dentro de un plazo de 10 días hábiles.</w:t>
      </w:r>
    </w:p>
    <w:p w14:paraId="0D965192"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lang w:val="es-ES"/>
        </w:rPr>
      </w:pPr>
      <w:r w:rsidRPr="008536ED">
        <w:rPr>
          <w:rFonts w:asciiTheme="majorHAnsi" w:hAnsiTheme="majorHAnsi"/>
          <w:sz w:val="18"/>
          <w:szCs w:val="20"/>
          <w:lang w:val="es-ES"/>
        </w:rPr>
        <w:t>G. Si la Junta recomienda el indulto, el presidente designará un miembro para que redacte una carta de recomendación y la envíe al gobernador. La carta de recomendación podría contener una declaración de cada integrante de la Junta sobre las razones por las cuales vot</w:t>
      </w:r>
      <w:r>
        <w:rPr>
          <w:rFonts w:asciiTheme="majorHAnsi" w:hAnsiTheme="majorHAnsi"/>
          <w:sz w:val="18"/>
          <w:szCs w:val="20"/>
          <w:lang w:val="es-ES"/>
        </w:rPr>
        <w:t>ó</w:t>
      </w:r>
      <w:r w:rsidRPr="008536ED">
        <w:rPr>
          <w:rFonts w:asciiTheme="majorHAnsi" w:hAnsiTheme="majorHAnsi"/>
          <w:sz w:val="18"/>
          <w:szCs w:val="20"/>
          <w:lang w:val="es-ES"/>
        </w:rPr>
        <w:t xml:space="preserve"> a favor de recomendar el indulto. Los integrantes de la Junta que hayan votado en contra de recomendar el indulto podrían </w:t>
      </w:r>
      <w:r>
        <w:rPr>
          <w:rFonts w:asciiTheme="majorHAnsi" w:hAnsiTheme="majorHAnsi"/>
          <w:sz w:val="18"/>
          <w:szCs w:val="20"/>
          <w:lang w:val="es-ES"/>
        </w:rPr>
        <w:t>redactar</w:t>
      </w:r>
      <w:r w:rsidRPr="008536ED">
        <w:rPr>
          <w:rFonts w:asciiTheme="majorHAnsi" w:hAnsiTheme="majorHAnsi"/>
          <w:sz w:val="18"/>
          <w:szCs w:val="20"/>
          <w:lang w:val="es-ES"/>
        </w:rPr>
        <w:t xml:space="preserve"> una carta con opiniones disidentes y enviársela al gobernador.</w:t>
      </w:r>
    </w:p>
    <w:p w14:paraId="5AC405EF"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20"/>
          <w:lang w:val="es-ES"/>
        </w:rPr>
      </w:pPr>
      <w:r w:rsidRPr="008536ED">
        <w:rPr>
          <w:rFonts w:asciiTheme="majorHAnsi" w:hAnsiTheme="majorHAnsi"/>
          <w:sz w:val="18"/>
          <w:szCs w:val="20"/>
          <w:lang w:val="es-ES"/>
        </w:rPr>
        <w:t>H. Si el gobernador deniega el indulto, la Junta comunicará al solicitante por escrito la decisión del gobernador dentro de los 10 días hábiles siguientes a la fecha en que reciba el aviso de la decisión del gobernador.</w:t>
      </w:r>
    </w:p>
    <w:p w14:paraId="2D248EFF"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color w:val="FF0000"/>
          <w:sz w:val="18"/>
          <w:szCs w:val="20"/>
          <w:lang w:val="es-ES"/>
        </w:rPr>
      </w:pPr>
      <w:r w:rsidRPr="008536ED">
        <w:rPr>
          <w:rFonts w:asciiTheme="majorHAnsi" w:hAnsiTheme="majorHAnsi"/>
          <w:sz w:val="18"/>
          <w:szCs w:val="20"/>
          <w:lang w:val="es-ES"/>
        </w:rPr>
        <w:t>I. Si la Junta recomienda que no se indulte a un solicitante o si el gobernador deniega el indulto, el solicitante no podrá volver a solicitar un indulto durante tres años a partir de la fecha de la decisión de la Junta</w:t>
      </w:r>
      <w:r w:rsidRPr="008536ED">
        <w:rPr>
          <w:rStyle w:val="FootnoteReference"/>
          <w:rFonts w:asciiTheme="majorHAnsi" w:hAnsiTheme="majorHAnsi"/>
          <w:sz w:val="18"/>
          <w:szCs w:val="20"/>
          <w:lang w:val="es-ES"/>
        </w:rPr>
        <w:footnoteReference w:id="8"/>
      </w:r>
      <w:r w:rsidRPr="008536ED">
        <w:rPr>
          <w:rFonts w:asciiTheme="majorHAnsi" w:hAnsiTheme="majorHAnsi"/>
          <w:sz w:val="18"/>
          <w:szCs w:val="20"/>
          <w:lang w:val="es-ES"/>
        </w:rPr>
        <w:t>.</w:t>
      </w:r>
    </w:p>
    <w:p w14:paraId="6E8E9910" w14:textId="77777777" w:rsidR="00953481" w:rsidRPr="00400DC5" w:rsidRDefault="00953481" w:rsidP="00953481">
      <w:pPr>
        <w:rPr>
          <w:rFonts w:ascii="Cambria" w:hAnsi="Cambria"/>
          <w:sz w:val="20"/>
          <w:szCs w:val="20"/>
          <w:lang w:val="es-ES"/>
        </w:rPr>
      </w:pPr>
    </w:p>
    <w:p w14:paraId="6F92DF24" w14:textId="77777777" w:rsidR="00953481" w:rsidRPr="00953481" w:rsidRDefault="00953481" w:rsidP="00C341DD">
      <w:pPr>
        <w:pStyle w:val="Heading2"/>
        <w:keepLines/>
        <w:numPr>
          <w:ilvl w:val="0"/>
          <w:numId w:val="58"/>
        </w:numPr>
        <w:pBdr>
          <w:top w:val="nil"/>
          <w:left w:val="nil"/>
          <w:bottom w:val="nil"/>
          <w:right w:val="nil"/>
          <w:between w:val="nil"/>
          <w:bar w:val="nil"/>
        </w:pBdr>
        <w:tabs>
          <w:tab w:val="left" w:pos="360"/>
        </w:tabs>
        <w:spacing w:before="0" w:after="0"/>
        <w:ind w:hanging="720"/>
        <w:rPr>
          <w:rFonts w:asciiTheme="majorHAnsi" w:hAnsiTheme="majorHAnsi"/>
          <w:i w:val="0"/>
          <w:sz w:val="20"/>
          <w:szCs w:val="20"/>
          <w:lang w:val="es-ES"/>
        </w:rPr>
      </w:pPr>
      <w:bookmarkStart w:id="16" w:name="_Toc90283139"/>
      <w:r w:rsidRPr="00953481">
        <w:rPr>
          <w:rFonts w:asciiTheme="majorHAnsi" w:hAnsiTheme="majorHAnsi"/>
          <w:i w:val="0"/>
          <w:sz w:val="20"/>
          <w:szCs w:val="20"/>
          <w:lang w:val="es-ES"/>
        </w:rPr>
        <w:t>Hechos del caso</w:t>
      </w:r>
      <w:bookmarkEnd w:id="16"/>
    </w:p>
    <w:p w14:paraId="70874A4E" w14:textId="77777777" w:rsidR="00953481" w:rsidRPr="008536ED" w:rsidRDefault="00953481" w:rsidP="00953481">
      <w:pPr>
        <w:rPr>
          <w:rFonts w:asciiTheme="majorHAnsi" w:hAnsiTheme="majorHAnsi"/>
          <w:sz w:val="20"/>
          <w:szCs w:val="20"/>
          <w:lang w:val="es-ES"/>
        </w:rPr>
      </w:pPr>
    </w:p>
    <w:p w14:paraId="113A97A3"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8536ED">
        <w:rPr>
          <w:rFonts w:ascii="Cambria" w:hAnsi="Cambria"/>
          <w:sz w:val="20"/>
          <w:szCs w:val="20"/>
          <w:lang w:val="es-ES"/>
        </w:rPr>
        <w:t xml:space="preserve">Según la información disponible, </w:t>
      </w:r>
      <w:r w:rsidRPr="008536ED">
        <w:rPr>
          <w:rFonts w:asciiTheme="majorHAnsi" w:hAnsiTheme="majorHAnsi"/>
          <w:sz w:val="20"/>
          <w:szCs w:val="20"/>
          <w:lang w:val="es-ES"/>
        </w:rPr>
        <w:t xml:space="preserve">el 15 de marzo de 1992 por la mañana, Pete Carl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le disparó un tiro en el ojo a un </w:t>
      </w:r>
      <w:r>
        <w:rPr>
          <w:rFonts w:asciiTheme="majorHAnsi" w:hAnsiTheme="majorHAnsi"/>
          <w:sz w:val="20"/>
          <w:szCs w:val="20"/>
          <w:lang w:val="es-ES"/>
        </w:rPr>
        <w:t>empleado</w:t>
      </w:r>
      <w:r w:rsidRPr="008536ED">
        <w:rPr>
          <w:rFonts w:asciiTheme="majorHAnsi" w:hAnsiTheme="majorHAnsi"/>
          <w:sz w:val="20"/>
          <w:szCs w:val="20"/>
          <w:lang w:val="es-ES"/>
        </w:rPr>
        <w:t xml:space="preserve"> de una tienda a una distancia de dos pies (60 centímetros). Cuatro horas después salió de su apartamento y comenzó a disparar al azar en el estacionamiento del edificio, saltó la cerca y entró </w:t>
      </w:r>
      <w:r>
        <w:rPr>
          <w:rFonts w:asciiTheme="majorHAnsi" w:hAnsiTheme="majorHAnsi"/>
          <w:sz w:val="20"/>
          <w:szCs w:val="20"/>
          <w:lang w:val="es-ES"/>
        </w:rPr>
        <w:t>a</w:t>
      </w:r>
      <w:r w:rsidRPr="008536ED">
        <w:rPr>
          <w:rFonts w:asciiTheme="majorHAnsi" w:hAnsiTheme="majorHAnsi"/>
          <w:sz w:val="20"/>
          <w:szCs w:val="20"/>
          <w:lang w:val="es-ES"/>
        </w:rPr>
        <w:t xml:space="preserve"> un campamento de </w:t>
      </w:r>
      <w:r>
        <w:rPr>
          <w:rFonts w:asciiTheme="majorHAnsi" w:hAnsiTheme="majorHAnsi"/>
          <w:sz w:val="20"/>
          <w:szCs w:val="20"/>
          <w:lang w:val="es-ES"/>
        </w:rPr>
        <w:t>casas rodantes</w:t>
      </w:r>
      <w:r w:rsidRPr="008536ED">
        <w:rPr>
          <w:rFonts w:asciiTheme="majorHAnsi" w:hAnsiTheme="majorHAnsi"/>
          <w:sz w:val="20"/>
          <w:szCs w:val="20"/>
          <w:lang w:val="es-ES"/>
        </w:rPr>
        <w:t xml:space="preserve"> de las proximidades. Allí</w:t>
      </w:r>
      <w:r>
        <w:rPr>
          <w:rFonts w:asciiTheme="majorHAnsi" w:hAnsiTheme="majorHAnsi"/>
          <w:sz w:val="20"/>
          <w:szCs w:val="20"/>
          <w:lang w:val="es-ES"/>
        </w:rPr>
        <w:t>, se embarcó en</w:t>
      </w:r>
      <w:r w:rsidRPr="008536ED">
        <w:rPr>
          <w:rFonts w:asciiTheme="majorHAnsi" w:hAnsiTheme="majorHAnsi"/>
          <w:sz w:val="20"/>
          <w:szCs w:val="20"/>
          <w:lang w:val="es-ES"/>
        </w:rPr>
        <w:t xml:space="preserve"> una </w:t>
      </w:r>
      <w:r>
        <w:rPr>
          <w:rFonts w:asciiTheme="majorHAnsi" w:hAnsiTheme="majorHAnsi"/>
          <w:sz w:val="20"/>
          <w:szCs w:val="20"/>
          <w:lang w:val="es-ES"/>
        </w:rPr>
        <w:t>“</w:t>
      </w:r>
      <w:r w:rsidRPr="008536ED">
        <w:rPr>
          <w:rFonts w:asciiTheme="majorHAnsi" w:hAnsiTheme="majorHAnsi"/>
          <w:sz w:val="20"/>
          <w:szCs w:val="20"/>
          <w:lang w:val="es-ES"/>
        </w:rPr>
        <w:t>furia homicida</w:t>
      </w:r>
      <w:r>
        <w:rPr>
          <w:rFonts w:asciiTheme="majorHAnsi" w:hAnsiTheme="majorHAnsi"/>
          <w:sz w:val="20"/>
          <w:szCs w:val="20"/>
          <w:lang w:val="es-ES"/>
        </w:rPr>
        <w:t>”</w:t>
      </w:r>
      <w:r w:rsidRPr="008536ED">
        <w:rPr>
          <w:rFonts w:asciiTheme="majorHAnsi" w:hAnsiTheme="majorHAnsi"/>
          <w:sz w:val="20"/>
          <w:szCs w:val="20"/>
          <w:lang w:val="es-ES"/>
        </w:rPr>
        <w:t xml:space="preserve">, </w:t>
      </w:r>
      <w:r>
        <w:rPr>
          <w:rFonts w:asciiTheme="majorHAnsi" w:hAnsiTheme="majorHAnsi"/>
          <w:sz w:val="20"/>
          <w:szCs w:val="20"/>
          <w:lang w:val="es-ES"/>
        </w:rPr>
        <w:t>asesinando</w:t>
      </w:r>
      <w:r w:rsidRPr="008536ED">
        <w:rPr>
          <w:rFonts w:asciiTheme="majorHAnsi" w:hAnsiTheme="majorHAnsi"/>
          <w:sz w:val="20"/>
          <w:szCs w:val="20"/>
          <w:lang w:val="es-ES"/>
        </w:rPr>
        <w:t xml:space="preserve"> a tres mujeres y huy</w:t>
      </w:r>
      <w:r>
        <w:rPr>
          <w:rFonts w:asciiTheme="majorHAnsi" w:hAnsiTheme="majorHAnsi"/>
          <w:sz w:val="20"/>
          <w:szCs w:val="20"/>
          <w:lang w:val="es-ES"/>
        </w:rPr>
        <w:t>endo</w:t>
      </w:r>
      <w:r w:rsidRPr="008536ED">
        <w:rPr>
          <w:rFonts w:asciiTheme="majorHAnsi" w:hAnsiTheme="majorHAnsi"/>
          <w:sz w:val="20"/>
          <w:szCs w:val="20"/>
          <w:lang w:val="es-ES"/>
        </w:rPr>
        <w:t xml:space="preserve"> a un campo</w:t>
      </w:r>
      <w:r>
        <w:rPr>
          <w:rFonts w:asciiTheme="majorHAnsi" w:hAnsiTheme="majorHAnsi"/>
          <w:sz w:val="20"/>
          <w:szCs w:val="20"/>
          <w:lang w:val="es-ES"/>
        </w:rPr>
        <w:t xml:space="preserve"> abierto</w:t>
      </w:r>
      <w:r w:rsidRPr="008536ED">
        <w:rPr>
          <w:rFonts w:asciiTheme="majorHAnsi" w:hAnsiTheme="majorHAnsi"/>
          <w:sz w:val="20"/>
          <w:szCs w:val="20"/>
          <w:lang w:val="es-ES"/>
        </w:rPr>
        <w:t xml:space="preserve">. Después del tiroteo,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robó una camioneta y asaltó una tienda de artículos de primera necesidad, a punta de pistola en ambos casos. Al cabo de una larga persecución, la policía logró parar la camioneta con una barricada y arrestó al señor </w:t>
      </w:r>
      <w:proofErr w:type="spellStart"/>
      <w:r w:rsidRPr="008536ED">
        <w:rPr>
          <w:rFonts w:asciiTheme="majorHAnsi" w:hAnsiTheme="majorHAnsi"/>
          <w:sz w:val="20"/>
          <w:szCs w:val="20"/>
          <w:lang w:val="es-ES"/>
        </w:rPr>
        <w:t>Rogovich</w:t>
      </w:r>
      <w:proofErr w:type="spellEnd"/>
      <w:r w:rsidRPr="008536ED">
        <w:rPr>
          <w:rStyle w:val="FootnoteReference"/>
          <w:rFonts w:asciiTheme="majorHAnsi" w:hAnsiTheme="majorHAnsi"/>
          <w:sz w:val="20"/>
          <w:szCs w:val="20"/>
          <w:lang w:val="es-ES"/>
        </w:rPr>
        <w:footnoteReference w:id="9"/>
      </w:r>
      <w:r>
        <w:rPr>
          <w:rFonts w:asciiTheme="majorHAnsi" w:hAnsiTheme="majorHAnsi"/>
          <w:sz w:val="20"/>
          <w:szCs w:val="20"/>
          <w:lang w:val="es-ES"/>
        </w:rPr>
        <w:t>.</w:t>
      </w:r>
    </w:p>
    <w:p w14:paraId="0FD80117"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6CAE7DA9"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Según el ayudante del alguacil de policía que arrestó al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después que la presunta víctima salió de la tienda, lo persiguieron varios coches patrulla.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se acercó a uno de ellos con la camioneta a 50 millas (80 kilómetros) por hora, aminoró la marcha, se inclinó hacia adelante, saludó con la mano y sonrió. Después que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w:t>
      </w:r>
      <w:r>
        <w:rPr>
          <w:rFonts w:asciiTheme="majorHAnsi" w:hAnsiTheme="majorHAnsi"/>
          <w:sz w:val="20"/>
          <w:szCs w:val="20"/>
          <w:lang w:val="es-ES"/>
        </w:rPr>
        <w:t>fuera</w:t>
      </w:r>
      <w:r w:rsidRPr="008536ED">
        <w:rPr>
          <w:rFonts w:asciiTheme="majorHAnsi" w:hAnsiTheme="majorHAnsi"/>
          <w:sz w:val="20"/>
          <w:szCs w:val="20"/>
          <w:lang w:val="es-ES"/>
        </w:rPr>
        <w:t xml:space="preserve"> arresta</w:t>
      </w:r>
      <w:r>
        <w:rPr>
          <w:rFonts w:asciiTheme="majorHAnsi" w:hAnsiTheme="majorHAnsi"/>
          <w:sz w:val="20"/>
          <w:szCs w:val="20"/>
          <w:lang w:val="es-ES"/>
        </w:rPr>
        <w:t>d</w:t>
      </w:r>
      <w:r w:rsidRPr="008536ED">
        <w:rPr>
          <w:rFonts w:asciiTheme="majorHAnsi" w:hAnsiTheme="majorHAnsi"/>
          <w:sz w:val="20"/>
          <w:szCs w:val="20"/>
          <w:lang w:val="es-ES"/>
        </w:rPr>
        <w:t>o, preguntó si es</w:t>
      </w:r>
      <w:r>
        <w:rPr>
          <w:rFonts w:asciiTheme="majorHAnsi" w:hAnsiTheme="majorHAnsi"/>
          <w:sz w:val="20"/>
          <w:szCs w:val="20"/>
          <w:lang w:val="es-ES"/>
        </w:rPr>
        <w:t>t</w:t>
      </w:r>
      <w:r w:rsidRPr="008536ED">
        <w:rPr>
          <w:rFonts w:asciiTheme="majorHAnsi" w:hAnsiTheme="majorHAnsi"/>
          <w:sz w:val="20"/>
          <w:szCs w:val="20"/>
          <w:lang w:val="es-ES"/>
        </w:rPr>
        <w:t xml:space="preserve">o </w:t>
      </w:r>
      <w:r>
        <w:rPr>
          <w:rFonts w:asciiTheme="majorHAnsi" w:hAnsiTheme="majorHAnsi"/>
          <w:sz w:val="20"/>
          <w:szCs w:val="20"/>
          <w:lang w:val="es-ES"/>
        </w:rPr>
        <w:t>“perjudicaría</w:t>
      </w:r>
      <w:r w:rsidRPr="008536ED">
        <w:rPr>
          <w:rFonts w:asciiTheme="majorHAnsi" w:hAnsiTheme="majorHAnsi"/>
          <w:sz w:val="20"/>
          <w:szCs w:val="20"/>
          <w:lang w:val="es-ES"/>
        </w:rPr>
        <w:t xml:space="preserve"> </w:t>
      </w:r>
      <w:r>
        <w:rPr>
          <w:rFonts w:asciiTheme="majorHAnsi" w:hAnsiTheme="majorHAnsi"/>
          <w:sz w:val="20"/>
          <w:szCs w:val="20"/>
          <w:lang w:val="es-ES"/>
        </w:rPr>
        <w:t xml:space="preserve">sus posibilidades </w:t>
      </w:r>
      <w:r w:rsidRPr="008536ED">
        <w:rPr>
          <w:rFonts w:asciiTheme="majorHAnsi" w:hAnsiTheme="majorHAnsi"/>
          <w:sz w:val="20"/>
          <w:szCs w:val="20"/>
          <w:lang w:val="es-ES"/>
        </w:rPr>
        <w:t xml:space="preserve">de ser </w:t>
      </w:r>
      <w:r>
        <w:rPr>
          <w:rFonts w:asciiTheme="majorHAnsi" w:hAnsiTheme="majorHAnsi"/>
          <w:sz w:val="20"/>
          <w:szCs w:val="20"/>
          <w:lang w:val="es-ES"/>
        </w:rPr>
        <w:t xml:space="preserve">un </w:t>
      </w:r>
      <w:r w:rsidRPr="008536ED">
        <w:rPr>
          <w:rFonts w:asciiTheme="majorHAnsi" w:hAnsiTheme="majorHAnsi"/>
          <w:sz w:val="20"/>
          <w:szCs w:val="20"/>
          <w:lang w:val="es-ES"/>
        </w:rPr>
        <w:t>agente de policía</w:t>
      </w:r>
      <w:r w:rsidRPr="008536ED">
        <w:rPr>
          <w:rStyle w:val="FootnoteReference"/>
          <w:rFonts w:asciiTheme="majorHAnsi" w:hAnsiTheme="majorHAnsi"/>
          <w:sz w:val="20"/>
          <w:szCs w:val="20"/>
          <w:lang w:val="es-ES"/>
        </w:rPr>
        <w:footnoteReference w:id="10"/>
      </w:r>
      <w:r>
        <w:rPr>
          <w:rFonts w:asciiTheme="majorHAnsi" w:hAnsiTheme="majorHAnsi"/>
          <w:sz w:val="20"/>
          <w:szCs w:val="20"/>
          <w:lang w:val="es-ES"/>
        </w:rPr>
        <w:t>”</w:t>
      </w:r>
      <w:r w:rsidRPr="008536ED">
        <w:rPr>
          <w:rFonts w:asciiTheme="majorHAnsi" w:hAnsiTheme="majorHAnsi"/>
          <w:sz w:val="20"/>
          <w:szCs w:val="20"/>
          <w:lang w:val="es-ES"/>
        </w:rPr>
        <w:t>.</w:t>
      </w:r>
    </w:p>
    <w:p w14:paraId="7D179FF9"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0E60FCBC" w14:textId="77777777" w:rsidR="00953481" w:rsidRPr="00953481" w:rsidRDefault="00953481" w:rsidP="00953481">
      <w:pPr>
        <w:pStyle w:val="Heading2"/>
        <w:tabs>
          <w:tab w:val="left" w:pos="360"/>
        </w:tabs>
        <w:spacing w:before="0"/>
        <w:rPr>
          <w:rFonts w:asciiTheme="majorHAnsi" w:hAnsiTheme="majorHAnsi"/>
          <w:i w:val="0"/>
          <w:sz w:val="20"/>
          <w:szCs w:val="20"/>
          <w:lang w:val="es-ES"/>
        </w:rPr>
      </w:pPr>
      <w:bookmarkStart w:id="17" w:name="_Toc90283140"/>
      <w:r w:rsidRPr="00953481">
        <w:rPr>
          <w:rFonts w:asciiTheme="majorHAnsi" w:hAnsiTheme="majorHAnsi"/>
          <w:i w:val="0"/>
          <w:sz w:val="20"/>
          <w:szCs w:val="20"/>
          <w:lang w:val="es-ES"/>
        </w:rPr>
        <w:t>C.</w:t>
      </w:r>
      <w:r w:rsidRPr="00953481">
        <w:rPr>
          <w:rFonts w:asciiTheme="majorHAnsi" w:hAnsiTheme="majorHAnsi"/>
          <w:i w:val="0"/>
          <w:sz w:val="20"/>
          <w:szCs w:val="20"/>
          <w:lang w:val="es-ES"/>
        </w:rPr>
        <w:tab/>
        <w:t xml:space="preserve">La detención, el juicio y la condena del señor </w:t>
      </w:r>
      <w:proofErr w:type="spellStart"/>
      <w:r w:rsidRPr="00953481">
        <w:rPr>
          <w:rFonts w:asciiTheme="majorHAnsi" w:hAnsiTheme="majorHAnsi"/>
          <w:i w:val="0"/>
          <w:sz w:val="20"/>
          <w:szCs w:val="20"/>
          <w:lang w:val="es-ES"/>
        </w:rPr>
        <w:t>Rogovich</w:t>
      </w:r>
      <w:bookmarkEnd w:id="17"/>
      <w:proofErr w:type="spellEnd"/>
    </w:p>
    <w:p w14:paraId="39CC73B7"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3800EE4"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Después </w:t>
      </w:r>
      <w:r>
        <w:rPr>
          <w:rFonts w:asciiTheme="majorHAnsi" w:hAnsiTheme="majorHAnsi"/>
          <w:sz w:val="20"/>
          <w:szCs w:val="20"/>
          <w:lang w:val="es-ES"/>
        </w:rPr>
        <w:t>de ser arrestado</w:t>
      </w:r>
      <w:r w:rsidRPr="008536ED">
        <w:rPr>
          <w:rFonts w:asciiTheme="majorHAnsi" w:hAnsiTheme="majorHAnsi"/>
          <w:sz w:val="20"/>
          <w:szCs w:val="20"/>
          <w:lang w:val="es-ES"/>
        </w:rPr>
        <w:t xml:space="preserv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fue transportado a la comisaría principal del Departamento de Policía de Phoenix, donde </w:t>
      </w:r>
      <w:r>
        <w:rPr>
          <w:rFonts w:asciiTheme="majorHAnsi" w:hAnsiTheme="majorHAnsi"/>
          <w:sz w:val="20"/>
          <w:szCs w:val="20"/>
          <w:lang w:val="es-ES"/>
        </w:rPr>
        <w:t>fue</w:t>
      </w:r>
      <w:r w:rsidRPr="008536ED">
        <w:rPr>
          <w:rFonts w:asciiTheme="majorHAnsi" w:hAnsiTheme="majorHAnsi"/>
          <w:sz w:val="20"/>
          <w:szCs w:val="20"/>
          <w:lang w:val="es-ES"/>
        </w:rPr>
        <w:t xml:space="preserve"> interroga</w:t>
      </w:r>
      <w:r>
        <w:rPr>
          <w:rFonts w:asciiTheme="majorHAnsi" w:hAnsiTheme="majorHAnsi"/>
          <w:sz w:val="20"/>
          <w:szCs w:val="20"/>
          <w:lang w:val="es-ES"/>
        </w:rPr>
        <w:t>d</w:t>
      </w:r>
      <w:r w:rsidRPr="008536ED">
        <w:rPr>
          <w:rFonts w:asciiTheme="majorHAnsi" w:hAnsiTheme="majorHAnsi"/>
          <w:sz w:val="20"/>
          <w:szCs w:val="20"/>
          <w:lang w:val="es-ES"/>
        </w:rPr>
        <w:t>o</w:t>
      </w:r>
      <w:r w:rsidRPr="008536ED">
        <w:rPr>
          <w:rStyle w:val="FootnoteReference"/>
          <w:rFonts w:asciiTheme="majorHAnsi" w:hAnsiTheme="majorHAnsi"/>
          <w:sz w:val="20"/>
          <w:szCs w:val="20"/>
          <w:lang w:val="es-ES"/>
        </w:rPr>
        <w:footnoteReference w:id="11"/>
      </w:r>
      <w:r w:rsidRPr="008536ED">
        <w:rPr>
          <w:rFonts w:asciiTheme="majorHAnsi" w:hAnsiTheme="majorHAnsi"/>
          <w:sz w:val="20"/>
          <w:szCs w:val="20"/>
          <w:lang w:val="es-ES"/>
        </w:rPr>
        <w:t xml:space="preserve">. En esa oportunidad, la presunta víctima dijo con expresión cómica: “Creo que con esto ya no tengo ninguna posibilidad de entrar en el Departamento de Policía de Phoenix, ¿eh? Ya </w:t>
      </w:r>
      <w:r>
        <w:rPr>
          <w:rFonts w:asciiTheme="majorHAnsi" w:hAnsiTheme="majorHAnsi"/>
          <w:sz w:val="20"/>
          <w:szCs w:val="20"/>
          <w:lang w:val="es-ES"/>
        </w:rPr>
        <w:t>pedí</w:t>
      </w:r>
      <w:r w:rsidRPr="008536ED">
        <w:rPr>
          <w:rFonts w:asciiTheme="majorHAnsi" w:hAnsiTheme="majorHAnsi"/>
          <w:sz w:val="20"/>
          <w:szCs w:val="20"/>
          <w:lang w:val="es-ES"/>
        </w:rPr>
        <w:t xml:space="preserve"> trabajo dos veces”, y agregó que tenía un gran trauma emocional</w:t>
      </w:r>
      <w:r w:rsidRPr="008536ED">
        <w:rPr>
          <w:rStyle w:val="FootnoteReference"/>
          <w:rFonts w:asciiTheme="majorHAnsi" w:hAnsiTheme="majorHAnsi"/>
          <w:sz w:val="20"/>
          <w:szCs w:val="20"/>
          <w:lang w:val="es-ES"/>
        </w:rPr>
        <w:footnoteReference w:id="12"/>
      </w:r>
      <w:r w:rsidRPr="008536ED">
        <w:rPr>
          <w:rFonts w:asciiTheme="majorHAnsi" w:hAnsiTheme="majorHAnsi"/>
          <w:sz w:val="20"/>
          <w:szCs w:val="20"/>
          <w:lang w:val="es-ES"/>
        </w:rPr>
        <w:t xml:space="preserve">. Permaneció detenido en la </w:t>
      </w:r>
      <w:r>
        <w:rPr>
          <w:rFonts w:asciiTheme="majorHAnsi" w:hAnsiTheme="majorHAnsi"/>
          <w:sz w:val="20"/>
          <w:szCs w:val="20"/>
          <w:lang w:val="es-ES"/>
        </w:rPr>
        <w:t>C</w:t>
      </w:r>
      <w:r w:rsidRPr="008536ED">
        <w:rPr>
          <w:rFonts w:asciiTheme="majorHAnsi" w:hAnsiTheme="majorHAnsi"/>
          <w:sz w:val="20"/>
          <w:szCs w:val="20"/>
          <w:lang w:val="es-ES"/>
        </w:rPr>
        <w:t>árcel</w:t>
      </w:r>
      <w:r>
        <w:rPr>
          <w:rFonts w:asciiTheme="majorHAnsi" w:hAnsiTheme="majorHAnsi"/>
          <w:sz w:val="20"/>
          <w:szCs w:val="20"/>
          <w:lang w:val="es-ES"/>
        </w:rPr>
        <w:t xml:space="preserve"> de</w:t>
      </w:r>
      <w:r w:rsidRPr="008536ED">
        <w:rPr>
          <w:rFonts w:asciiTheme="majorHAnsi" w:hAnsiTheme="majorHAnsi"/>
          <w:sz w:val="20"/>
          <w:szCs w:val="20"/>
          <w:lang w:val="es-ES"/>
        </w:rPr>
        <w:t xml:space="preserve"> Madison</w:t>
      </w:r>
      <w:r>
        <w:rPr>
          <w:rFonts w:asciiTheme="majorHAnsi" w:hAnsiTheme="majorHAnsi"/>
          <w:sz w:val="20"/>
          <w:szCs w:val="20"/>
          <w:lang w:val="es-ES"/>
        </w:rPr>
        <w:t xml:space="preserve"> Street</w:t>
      </w:r>
      <w:r w:rsidRPr="008536ED">
        <w:rPr>
          <w:rFonts w:asciiTheme="majorHAnsi" w:hAnsiTheme="majorHAnsi"/>
          <w:sz w:val="20"/>
          <w:szCs w:val="20"/>
          <w:lang w:val="es-ES"/>
        </w:rPr>
        <w:t xml:space="preserve"> del Condado de </w:t>
      </w:r>
      <w:proofErr w:type="spellStart"/>
      <w:r w:rsidRPr="008536ED">
        <w:rPr>
          <w:rFonts w:asciiTheme="majorHAnsi" w:hAnsiTheme="majorHAnsi"/>
          <w:sz w:val="20"/>
          <w:szCs w:val="20"/>
          <w:lang w:val="es-ES"/>
        </w:rPr>
        <w:t>Maricopa</w:t>
      </w:r>
      <w:proofErr w:type="spellEnd"/>
      <w:r w:rsidRPr="008536ED">
        <w:rPr>
          <w:rFonts w:asciiTheme="majorHAnsi" w:hAnsiTheme="majorHAnsi"/>
          <w:sz w:val="20"/>
          <w:szCs w:val="20"/>
          <w:lang w:val="es-ES"/>
        </w:rPr>
        <w:t xml:space="preserve"> hasta el 9 de junio de 1995, fecha en que fue trasladado a la Unidad </w:t>
      </w:r>
      <w:proofErr w:type="spellStart"/>
      <w:r w:rsidRPr="008536ED">
        <w:rPr>
          <w:rFonts w:asciiTheme="majorHAnsi" w:hAnsiTheme="majorHAnsi"/>
          <w:sz w:val="20"/>
          <w:szCs w:val="20"/>
          <w:lang w:val="es-ES"/>
        </w:rPr>
        <w:t>Eyman</w:t>
      </w:r>
      <w:proofErr w:type="spellEnd"/>
      <w:r w:rsidRPr="008536ED">
        <w:rPr>
          <w:rFonts w:asciiTheme="majorHAnsi" w:hAnsiTheme="majorHAnsi"/>
          <w:sz w:val="20"/>
          <w:szCs w:val="20"/>
          <w:lang w:val="es-ES"/>
        </w:rPr>
        <w:t>-Browning del Complejo Penitenciario del Estado de Arizona</w:t>
      </w:r>
      <w:r w:rsidRPr="008536ED">
        <w:rPr>
          <w:rStyle w:val="FootnoteReference"/>
          <w:rFonts w:asciiTheme="majorHAnsi" w:hAnsiTheme="majorHAnsi"/>
          <w:sz w:val="20"/>
          <w:szCs w:val="20"/>
          <w:lang w:val="es-ES"/>
        </w:rPr>
        <w:footnoteReference w:id="13"/>
      </w:r>
      <w:r w:rsidRPr="008536ED">
        <w:rPr>
          <w:rFonts w:asciiTheme="majorHAnsi" w:hAnsiTheme="majorHAnsi"/>
          <w:sz w:val="20"/>
          <w:szCs w:val="20"/>
          <w:lang w:val="es-ES"/>
        </w:rPr>
        <w:t xml:space="preserve">. </w:t>
      </w:r>
    </w:p>
    <w:p w14:paraId="12C831C0"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25293C0A"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28 de julio de 1992 </w:t>
      </w:r>
      <w:r>
        <w:rPr>
          <w:rFonts w:asciiTheme="majorHAnsi" w:hAnsiTheme="majorHAnsi"/>
          <w:sz w:val="20"/>
          <w:szCs w:val="20"/>
          <w:lang w:val="es-ES"/>
        </w:rPr>
        <w:t>fue</w:t>
      </w:r>
      <w:r w:rsidRPr="008536ED">
        <w:rPr>
          <w:rFonts w:asciiTheme="majorHAnsi" w:hAnsiTheme="majorHAnsi"/>
          <w:sz w:val="20"/>
          <w:szCs w:val="20"/>
          <w:lang w:val="es-ES"/>
        </w:rPr>
        <w:t xml:space="preserve"> encontra</w:t>
      </w:r>
      <w:r>
        <w:rPr>
          <w:rFonts w:asciiTheme="majorHAnsi" w:hAnsiTheme="majorHAnsi"/>
          <w:sz w:val="20"/>
          <w:szCs w:val="20"/>
          <w:lang w:val="es-ES"/>
        </w:rPr>
        <w:t>d</w:t>
      </w:r>
      <w:r w:rsidRPr="008536ED">
        <w:rPr>
          <w:rFonts w:asciiTheme="majorHAnsi" w:hAnsiTheme="majorHAnsi"/>
          <w:sz w:val="20"/>
          <w:szCs w:val="20"/>
          <w:lang w:val="es-ES"/>
        </w:rPr>
        <w:t>o tendido de espaldas gritando: “Están tratando de matarme”. Tenía rasguños superficiales en el brazo y en la mano, estaba muy agitado, y se necesitaron seis guardias para sujetarlo</w:t>
      </w:r>
      <w:r w:rsidRPr="008536ED">
        <w:rPr>
          <w:rStyle w:val="FootnoteReference"/>
          <w:rFonts w:asciiTheme="majorHAnsi" w:hAnsiTheme="majorHAnsi"/>
          <w:sz w:val="20"/>
          <w:szCs w:val="20"/>
          <w:lang w:val="es-ES"/>
        </w:rPr>
        <w:footnoteReference w:id="14"/>
      </w:r>
      <w:r w:rsidRPr="008536ED">
        <w:rPr>
          <w:rFonts w:asciiTheme="majorHAnsi" w:hAnsiTheme="majorHAnsi"/>
          <w:sz w:val="20"/>
          <w:szCs w:val="20"/>
          <w:lang w:val="es-ES"/>
        </w:rPr>
        <w:t xml:space="preserve">. Ese mismo día trató de suicidarse, y </w:t>
      </w:r>
      <w:r>
        <w:rPr>
          <w:rFonts w:asciiTheme="majorHAnsi" w:hAnsiTheme="majorHAnsi"/>
          <w:sz w:val="20"/>
          <w:szCs w:val="20"/>
          <w:lang w:val="es-ES"/>
        </w:rPr>
        <w:t xml:space="preserve">fue </w:t>
      </w:r>
      <w:r w:rsidRPr="008536ED">
        <w:rPr>
          <w:rFonts w:asciiTheme="majorHAnsi" w:hAnsiTheme="majorHAnsi"/>
          <w:sz w:val="20"/>
          <w:szCs w:val="20"/>
          <w:lang w:val="es-ES"/>
        </w:rPr>
        <w:t>entonces traslada</w:t>
      </w:r>
      <w:r>
        <w:rPr>
          <w:rFonts w:asciiTheme="majorHAnsi" w:hAnsiTheme="majorHAnsi"/>
          <w:sz w:val="20"/>
          <w:szCs w:val="20"/>
          <w:lang w:val="es-ES"/>
        </w:rPr>
        <w:t>d</w:t>
      </w:r>
      <w:r w:rsidRPr="008536ED">
        <w:rPr>
          <w:rFonts w:asciiTheme="majorHAnsi" w:hAnsiTheme="majorHAnsi"/>
          <w:sz w:val="20"/>
          <w:szCs w:val="20"/>
          <w:lang w:val="es-ES"/>
        </w:rPr>
        <w:t xml:space="preserve">o a la unidad psiquiátrica, donde </w:t>
      </w:r>
      <w:r>
        <w:rPr>
          <w:rFonts w:asciiTheme="majorHAnsi" w:hAnsiTheme="majorHAnsi"/>
          <w:sz w:val="20"/>
          <w:szCs w:val="20"/>
          <w:lang w:val="es-ES"/>
        </w:rPr>
        <w:t>fue</w:t>
      </w:r>
      <w:r w:rsidRPr="008536ED">
        <w:rPr>
          <w:rFonts w:asciiTheme="majorHAnsi" w:hAnsiTheme="majorHAnsi"/>
          <w:sz w:val="20"/>
          <w:szCs w:val="20"/>
          <w:lang w:val="es-ES"/>
        </w:rPr>
        <w:t xml:space="preserve"> mant</w:t>
      </w:r>
      <w:r>
        <w:rPr>
          <w:rFonts w:asciiTheme="majorHAnsi" w:hAnsiTheme="majorHAnsi"/>
          <w:sz w:val="20"/>
          <w:szCs w:val="20"/>
          <w:lang w:val="es-ES"/>
        </w:rPr>
        <w:t>enido</w:t>
      </w:r>
      <w:r w:rsidRPr="008536ED">
        <w:rPr>
          <w:rFonts w:asciiTheme="majorHAnsi" w:hAnsiTheme="majorHAnsi"/>
          <w:sz w:val="20"/>
          <w:szCs w:val="20"/>
          <w:lang w:val="es-ES"/>
        </w:rPr>
        <w:t xml:space="preserve"> durante dos días con las manos y los pies sujetos a una cama.</w:t>
      </w:r>
      <w:r>
        <w:rPr>
          <w:rFonts w:asciiTheme="majorHAnsi" w:hAnsiTheme="majorHAnsi"/>
          <w:sz w:val="20"/>
          <w:szCs w:val="20"/>
          <w:lang w:val="es-ES"/>
        </w:rPr>
        <w:t xml:space="preserve"> </w:t>
      </w:r>
      <w:r w:rsidRPr="008536ED">
        <w:rPr>
          <w:rFonts w:asciiTheme="majorHAnsi" w:hAnsiTheme="majorHAnsi"/>
          <w:sz w:val="20"/>
          <w:szCs w:val="20"/>
          <w:lang w:val="es-ES"/>
        </w:rPr>
        <w:t>El 7 de agosto de 1992 le recetaron un medicamento antipsicótico por primera vez</w:t>
      </w:r>
      <w:r w:rsidRPr="008536ED">
        <w:rPr>
          <w:rStyle w:val="FootnoteReference"/>
          <w:rFonts w:asciiTheme="majorHAnsi" w:hAnsiTheme="majorHAnsi"/>
          <w:sz w:val="20"/>
          <w:szCs w:val="20"/>
          <w:lang w:val="es-ES"/>
        </w:rPr>
        <w:footnoteReference w:id="15"/>
      </w:r>
      <w:r w:rsidRPr="008536ED">
        <w:rPr>
          <w:rFonts w:asciiTheme="majorHAnsi" w:hAnsiTheme="majorHAnsi"/>
          <w:sz w:val="20"/>
          <w:szCs w:val="20"/>
          <w:lang w:val="es-ES"/>
        </w:rPr>
        <w:t>. Según un parte médico de</w:t>
      </w:r>
      <w:r>
        <w:rPr>
          <w:rFonts w:asciiTheme="majorHAnsi" w:hAnsiTheme="majorHAnsi"/>
          <w:sz w:val="20"/>
          <w:szCs w:val="20"/>
          <w:lang w:val="es-ES"/>
        </w:rPr>
        <w:t>l</w:t>
      </w:r>
      <w:r w:rsidRPr="008536ED">
        <w:rPr>
          <w:rFonts w:asciiTheme="majorHAnsi" w:hAnsiTheme="majorHAnsi"/>
          <w:sz w:val="20"/>
          <w:szCs w:val="20"/>
          <w:lang w:val="es-ES"/>
        </w:rPr>
        <w:t xml:space="preserve"> 20 de agosto de 1992,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parecía tener esquizofrenia paranoide</w:t>
      </w:r>
      <w:r w:rsidRPr="008536ED">
        <w:rPr>
          <w:rStyle w:val="FootnoteReference"/>
          <w:rFonts w:asciiTheme="majorHAnsi" w:hAnsiTheme="majorHAnsi"/>
          <w:sz w:val="20"/>
          <w:szCs w:val="20"/>
          <w:lang w:val="es-ES"/>
        </w:rPr>
        <w:footnoteReference w:id="16"/>
      </w:r>
      <w:r w:rsidRPr="008536ED">
        <w:rPr>
          <w:rFonts w:asciiTheme="majorHAnsi" w:hAnsiTheme="majorHAnsi"/>
          <w:sz w:val="20"/>
          <w:szCs w:val="20"/>
          <w:lang w:val="es-ES"/>
        </w:rPr>
        <w:t>. Posteriormente, otro médico señaló que la sintomatología de la presunta víctima correspondía a una “psicosis paranoide”</w:t>
      </w:r>
      <w:r w:rsidRPr="008536ED">
        <w:rPr>
          <w:rStyle w:val="FootnoteReference"/>
          <w:rFonts w:asciiTheme="majorHAnsi" w:hAnsiTheme="majorHAnsi"/>
          <w:sz w:val="20"/>
          <w:szCs w:val="20"/>
          <w:lang w:val="es-ES"/>
        </w:rPr>
        <w:footnoteReference w:id="17"/>
      </w:r>
      <w:r w:rsidRPr="008536ED">
        <w:rPr>
          <w:rFonts w:asciiTheme="majorHAnsi" w:hAnsiTheme="majorHAnsi"/>
          <w:sz w:val="20"/>
          <w:szCs w:val="20"/>
          <w:lang w:val="es-ES"/>
        </w:rPr>
        <w:t>. Le administraron un antipsicótico durante un mes</w:t>
      </w:r>
      <w:r w:rsidRPr="008536ED">
        <w:rPr>
          <w:rStyle w:val="FootnoteReference"/>
          <w:rFonts w:asciiTheme="majorHAnsi" w:hAnsiTheme="majorHAnsi"/>
          <w:sz w:val="20"/>
          <w:szCs w:val="20"/>
          <w:lang w:val="es-ES"/>
        </w:rPr>
        <w:footnoteReference w:id="18"/>
      </w:r>
      <w:r w:rsidRPr="008536ED">
        <w:rPr>
          <w:rFonts w:asciiTheme="majorHAnsi" w:hAnsiTheme="majorHAnsi"/>
          <w:sz w:val="20"/>
          <w:szCs w:val="20"/>
          <w:lang w:val="es-ES"/>
        </w:rPr>
        <w:t>.</w:t>
      </w:r>
    </w:p>
    <w:p w14:paraId="39F10255" w14:textId="77777777" w:rsidR="00953481" w:rsidRPr="00400DC5" w:rsidRDefault="00953481" w:rsidP="00953481">
      <w:pPr>
        <w:rPr>
          <w:rFonts w:asciiTheme="majorHAnsi" w:hAnsiTheme="majorHAnsi"/>
          <w:sz w:val="20"/>
          <w:szCs w:val="20"/>
          <w:lang w:val="es-ES"/>
        </w:rPr>
      </w:pPr>
    </w:p>
    <w:p w14:paraId="6DF34148"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21 de diciembre de 1992 </w:t>
      </w:r>
      <w:r>
        <w:rPr>
          <w:rFonts w:asciiTheme="majorHAnsi" w:hAnsiTheme="majorHAnsi"/>
          <w:sz w:val="20"/>
          <w:szCs w:val="20"/>
          <w:lang w:val="es-ES"/>
        </w:rPr>
        <w:t>fue dado</w:t>
      </w:r>
      <w:r w:rsidRPr="008536ED">
        <w:rPr>
          <w:rFonts w:asciiTheme="majorHAnsi" w:hAnsiTheme="majorHAnsi"/>
          <w:sz w:val="20"/>
          <w:szCs w:val="20"/>
          <w:lang w:val="es-ES"/>
        </w:rPr>
        <w:t xml:space="preserve"> de alta de la unidad psiquiátrica. Una semana más tarde, otro psiquiatra concluyó que los síntomas se debían a una larga historia de uso de drogas y que la presunta víctima no tenía esquizofrenia paranoide</w:t>
      </w:r>
      <w:r w:rsidRPr="008536ED">
        <w:rPr>
          <w:rStyle w:val="FootnoteReference"/>
          <w:rFonts w:asciiTheme="majorHAnsi" w:hAnsiTheme="majorHAnsi"/>
          <w:sz w:val="20"/>
          <w:szCs w:val="20"/>
          <w:lang w:val="es-ES"/>
        </w:rPr>
        <w:footnoteReference w:id="19"/>
      </w:r>
      <w:r w:rsidRPr="008536ED">
        <w:rPr>
          <w:rFonts w:asciiTheme="majorHAnsi" w:hAnsiTheme="majorHAnsi"/>
          <w:sz w:val="20"/>
          <w:szCs w:val="20"/>
          <w:lang w:val="es-ES"/>
        </w:rPr>
        <w:t xml:space="preserve">. Los días 21 y 24 de mayo de 1993, la presunta víctima fue sometida a pruebas psicológicas </w:t>
      </w:r>
      <w:r>
        <w:rPr>
          <w:rFonts w:asciiTheme="majorHAnsi" w:hAnsiTheme="majorHAnsi"/>
          <w:sz w:val="20"/>
          <w:szCs w:val="20"/>
          <w:lang w:val="es-ES"/>
        </w:rPr>
        <w:t>que concluyeron</w:t>
      </w:r>
      <w:r w:rsidRPr="008536ED">
        <w:rPr>
          <w:rFonts w:asciiTheme="majorHAnsi" w:hAnsiTheme="majorHAnsi"/>
          <w:sz w:val="20"/>
          <w:szCs w:val="20"/>
          <w:lang w:val="es-ES"/>
        </w:rPr>
        <w:t xml:space="preserve"> que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w:t>
      </w:r>
      <w:r>
        <w:rPr>
          <w:rFonts w:asciiTheme="majorHAnsi" w:hAnsiTheme="majorHAnsi"/>
          <w:sz w:val="20"/>
          <w:szCs w:val="20"/>
          <w:lang w:val="es-ES"/>
        </w:rPr>
        <w:t>“</w:t>
      </w:r>
      <w:r w:rsidRPr="008536ED">
        <w:rPr>
          <w:rFonts w:asciiTheme="majorHAnsi" w:hAnsiTheme="majorHAnsi"/>
          <w:sz w:val="20"/>
          <w:szCs w:val="20"/>
          <w:lang w:val="es-ES"/>
        </w:rPr>
        <w:t>no solo era</w:t>
      </w:r>
      <w:r>
        <w:rPr>
          <w:rFonts w:asciiTheme="majorHAnsi" w:hAnsiTheme="majorHAnsi"/>
          <w:sz w:val="20"/>
          <w:szCs w:val="20"/>
          <w:lang w:val="es-ES"/>
        </w:rPr>
        <w:t xml:space="preserve"> […]</w:t>
      </w:r>
      <w:r w:rsidRPr="008536ED">
        <w:rPr>
          <w:rFonts w:asciiTheme="majorHAnsi" w:hAnsiTheme="majorHAnsi"/>
          <w:sz w:val="20"/>
          <w:szCs w:val="20"/>
          <w:lang w:val="es-ES"/>
        </w:rPr>
        <w:t xml:space="preserve"> esquizofrénico paranoide, sino que también tenía </w:t>
      </w:r>
      <w:r>
        <w:rPr>
          <w:rFonts w:asciiTheme="majorHAnsi" w:hAnsiTheme="majorHAnsi"/>
          <w:sz w:val="20"/>
          <w:szCs w:val="20"/>
          <w:lang w:val="es-ES"/>
        </w:rPr>
        <w:t>daño</w:t>
      </w:r>
      <w:r w:rsidRPr="008536ED">
        <w:rPr>
          <w:rFonts w:asciiTheme="majorHAnsi" w:hAnsiTheme="majorHAnsi"/>
          <w:sz w:val="20"/>
          <w:szCs w:val="20"/>
          <w:lang w:val="es-ES"/>
        </w:rPr>
        <w:t xml:space="preserve"> cerebral</w:t>
      </w:r>
      <w:r>
        <w:rPr>
          <w:rFonts w:asciiTheme="majorHAnsi" w:hAnsiTheme="majorHAnsi"/>
          <w:sz w:val="20"/>
          <w:szCs w:val="20"/>
          <w:lang w:val="es-ES"/>
        </w:rPr>
        <w:t>; el</w:t>
      </w:r>
      <w:r w:rsidRPr="008536ED">
        <w:rPr>
          <w:rFonts w:asciiTheme="majorHAnsi" w:hAnsiTheme="majorHAnsi"/>
          <w:sz w:val="20"/>
          <w:szCs w:val="20"/>
          <w:lang w:val="es-ES"/>
        </w:rPr>
        <w:t xml:space="preserve"> trastorno mental orgánico que</w:t>
      </w:r>
      <w:r>
        <w:rPr>
          <w:rFonts w:asciiTheme="majorHAnsi" w:hAnsiTheme="majorHAnsi"/>
          <w:sz w:val="20"/>
          <w:szCs w:val="20"/>
          <w:lang w:val="es-ES"/>
        </w:rPr>
        <w:t>, que es quizás</w:t>
      </w:r>
      <w:r w:rsidRPr="008536ED">
        <w:rPr>
          <w:rFonts w:asciiTheme="majorHAnsi" w:hAnsiTheme="majorHAnsi"/>
          <w:sz w:val="20"/>
          <w:szCs w:val="20"/>
          <w:lang w:val="es-ES"/>
        </w:rPr>
        <w:t xml:space="preserve"> una de las razones </w:t>
      </w:r>
      <w:r>
        <w:rPr>
          <w:rFonts w:asciiTheme="majorHAnsi" w:hAnsiTheme="majorHAnsi"/>
          <w:sz w:val="20"/>
          <w:szCs w:val="20"/>
          <w:lang w:val="es-ES"/>
        </w:rPr>
        <w:t xml:space="preserve">de la </w:t>
      </w:r>
      <w:r w:rsidRPr="008536ED">
        <w:rPr>
          <w:rFonts w:asciiTheme="majorHAnsi" w:hAnsiTheme="majorHAnsi"/>
          <w:sz w:val="20"/>
          <w:szCs w:val="20"/>
          <w:lang w:val="es-ES"/>
        </w:rPr>
        <w:t xml:space="preserve">controversia </w:t>
      </w:r>
      <w:r>
        <w:rPr>
          <w:rFonts w:asciiTheme="majorHAnsi" w:hAnsiTheme="majorHAnsi"/>
          <w:sz w:val="20"/>
          <w:szCs w:val="20"/>
          <w:lang w:val="es-ES"/>
        </w:rPr>
        <w:t>sobre su</w:t>
      </w:r>
      <w:r w:rsidRPr="008536ED">
        <w:rPr>
          <w:rFonts w:asciiTheme="majorHAnsi" w:hAnsiTheme="majorHAnsi"/>
          <w:sz w:val="20"/>
          <w:szCs w:val="20"/>
          <w:lang w:val="es-ES"/>
        </w:rPr>
        <w:t xml:space="preserve"> diagnóstico</w:t>
      </w:r>
      <w:r w:rsidRPr="008536ED">
        <w:rPr>
          <w:rStyle w:val="FootnoteReference"/>
          <w:rFonts w:asciiTheme="majorHAnsi" w:hAnsiTheme="majorHAnsi"/>
          <w:sz w:val="20"/>
          <w:szCs w:val="20"/>
          <w:lang w:val="es-ES"/>
        </w:rPr>
        <w:footnoteReference w:id="20"/>
      </w:r>
      <w:r>
        <w:rPr>
          <w:rFonts w:asciiTheme="majorHAnsi" w:hAnsiTheme="majorHAnsi"/>
          <w:sz w:val="20"/>
          <w:szCs w:val="20"/>
          <w:lang w:val="es-ES"/>
        </w:rPr>
        <w:t>”</w:t>
      </w:r>
      <w:r w:rsidRPr="008536ED">
        <w:rPr>
          <w:rFonts w:asciiTheme="majorHAnsi" w:hAnsiTheme="majorHAnsi"/>
          <w:sz w:val="20"/>
          <w:szCs w:val="20"/>
          <w:lang w:val="es-ES"/>
        </w:rPr>
        <w:t>.</w:t>
      </w:r>
    </w:p>
    <w:p w14:paraId="281C4F29" w14:textId="77777777" w:rsidR="00953481" w:rsidRPr="00400DC5" w:rsidRDefault="00953481" w:rsidP="00953481">
      <w:pPr>
        <w:rPr>
          <w:rFonts w:asciiTheme="majorHAnsi" w:hAnsiTheme="majorHAnsi"/>
          <w:sz w:val="20"/>
          <w:szCs w:val="20"/>
          <w:lang w:val="es-ES"/>
        </w:rPr>
      </w:pPr>
    </w:p>
    <w:p w14:paraId="61158FDD"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Durante el juicio, en mayo de 1994,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dijo que se encontraba en un estado de “aturdimiento químico” </w:t>
      </w:r>
      <w:r>
        <w:rPr>
          <w:rFonts w:asciiTheme="majorHAnsi" w:hAnsiTheme="majorHAnsi"/>
          <w:sz w:val="20"/>
          <w:szCs w:val="20"/>
          <w:lang w:val="es-ES"/>
        </w:rPr>
        <w:t xml:space="preserve">causado por </w:t>
      </w:r>
      <w:r w:rsidRPr="008536ED">
        <w:rPr>
          <w:rFonts w:asciiTheme="majorHAnsi" w:hAnsiTheme="majorHAnsi"/>
          <w:sz w:val="20"/>
          <w:szCs w:val="20"/>
          <w:lang w:val="es-ES"/>
        </w:rPr>
        <w:t>los medicamentos psicotrópicos</w:t>
      </w:r>
      <w:r>
        <w:rPr>
          <w:rFonts w:asciiTheme="majorHAnsi" w:hAnsiTheme="majorHAnsi"/>
          <w:sz w:val="20"/>
          <w:szCs w:val="20"/>
          <w:lang w:val="es-ES"/>
        </w:rPr>
        <w:t>,</w:t>
      </w:r>
      <w:r w:rsidRPr="008536ED">
        <w:rPr>
          <w:rFonts w:asciiTheme="majorHAnsi" w:hAnsiTheme="majorHAnsi"/>
          <w:sz w:val="20"/>
          <w:szCs w:val="20"/>
          <w:lang w:val="es-ES"/>
        </w:rPr>
        <w:t xml:space="preserve"> que incidía en su capacidad para </w:t>
      </w:r>
      <w:r>
        <w:rPr>
          <w:rFonts w:asciiTheme="majorHAnsi" w:hAnsiTheme="majorHAnsi"/>
          <w:sz w:val="20"/>
          <w:szCs w:val="20"/>
          <w:lang w:val="es-ES"/>
        </w:rPr>
        <w:t xml:space="preserve">seguir con atención </w:t>
      </w:r>
      <w:r w:rsidRPr="008536ED">
        <w:rPr>
          <w:rFonts w:asciiTheme="majorHAnsi" w:hAnsiTheme="majorHAnsi"/>
          <w:sz w:val="20"/>
          <w:szCs w:val="20"/>
          <w:lang w:val="es-ES"/>
        </w:rPr>
        <w:t>el proce</w:t>
      </w:r>
      <w:r>
        <w:rPr>
          <w:rFonts w:asciiTheme="majorHAnsi" w:hAnsiTheme="majorHAnsi"/>
          <w:sz w:val="20"/>
          <w:szCs w:val="20"/>
          <w:lang w:val="es-ES"/>
        </w:rPr>
        <w:t>so</w:t>
      </w:r>
      <w:r w:rsidRPr="008536ED">
        <w:rPr>
          <w:rStyle w:val="FootnoteReference"/>
          <w:rFonts w:asciiTheme="majorHAnsi" w:hAnsiTheme="majorHAnsi"/>
          <w:sz w:val="20"/>
          <w:szCs w:val="20"/>
          <w:lang w:val="es-ES"/>
        </w:rPr>
        <w:footnoteReference w:id="21"/>
      </w:r>
      <w:r w:rsidRPr="008536ED">
        <w:rPr>
          <w:rFonts w:asciiTheme="majorHAnsi" w:hAnsiTheme="majorHAnsi"/>
          <w:sz w:val="20"/>
          <w:szCs w:val="20"/>
          <w:lang w:val="es-ES"/>
        </w:rPr>
        <w:t>. La presunta víctima estaba tomando cuatro medicamentos en ese momento</w:t>
      </w:r>
      <w:r w:rsidRPr="008536ED">
        <w:rPr>
          <w:rStyle w:val="FootnoteReference"/>
          <w:rFonts w:asciiTheme="majorHAnsi" w:hAnsiTheme="majorHAnsi"/>
          <w:sz w:val="20"/>
          <w:szCs w:val="20"/>
          <w:lang w:val="es-ES"/>
        </w:rPr>
        <w:footnoteReference w:id="22"/>
      </w:r>
      <w:r w:rsidRPr="008536ED">
        <w:rPr>
          <w:rFonts w:asciiTheme="majorHAnsi" w:hAnsiTheme="majorHAnsi"/>
          <w:sz w:val="20"/>
          <w:szCs w:val="20"/>
          <w:lang w:val="es-ES"/>
        </w:rPr>
        <w:t xml:space="preserve">. Como se señaló al Tribunal de Distrito de Estados Unidos para el Distrito de Arizona, durante todo el juicio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siguió teniendo problemas de salud mental</w:t>
      </w:r>
      <w:r>
        <w:rPr>
          <w:rFonts w:asciiTheme="majorHAnsi" w:hAnsiTheme="majorHAnsi"/>
          <w:sz w:val="20"/>
          <w:szCs w:val="20"/>
          <w:lang w:val="es-ES"/>
        </w:rPr>
        <w:t xml:space="preserve">. Debido a esos problemas y </w:t>
      </w:r>
      <w:r w:rsidRPr="008536ED">
        <w:rPr>
          <w:rFonts w:asciiTheme="majorHAnsi" w:hAnsiTheme="majorHAnsi"/>
          <w:sz w:val="20"/>
          <w:szCs w:val="20"/>
          <w:lang w:val="es-ES"/>
        </w:rPr>
        <w:t xml:space="preserve">a los </w:t>
      </w:r>
      <w:r>
        <w:rPr>
          <w:rFonts w:asciiTheme="majorHAnsi" w:hAnsiTheme="majorHAnsi"/>
          <w:sz w:val="20"/>
          <w:szCs w:val="20"/>
          <w:lang w:val="es-ES"/>
        </w:rPr>
        <w:t xml:space="preserve">efectos de los </w:t>
      </w:r>
      <w:r w:rsidRPr="008536ED">
        <w:rPr>
          <w:rFonts w:asciiTheme="majorHAnsi" w:hAnsiTheme="majorHAnsi"/>
          <w:sz w:val="20"/>
          <w:szCs w:val="20"/>
          <w:lang w:val="es-ES"/>
        </w:rPr>
        <w:t xml:space="preserve">medicamentos, le </w:t>
      </w:r>
      <w:r>
        <w:rPr>
          <w:rFonts w:asciiTheme="majorHAnsi" w:hAnsiTheme="majorHAnsi"/>
          <w:sz w:val="20"/>
          <w:szCs w:val="20"/>
          <w:lang w:val="es-ES"/>
        </w:rPr>
        <w:t xml:space="preserve">resultaba difícil comunicarse </w:t>
      </w:r>
      <w:r w:rsidRPr="008536ED">
        <w:rPr>
          <w:rFonts w:asciiTheme="majorHAnsi" w:hAnsiTheme="majorHAnsi"/>
          <w:sz w:val="20"/>
          <w:szCs w:val="20"/>
          <w:lang w:val="es-ES"/>
        </w:rPr>
        <w:t>con su abogado</w:t>
      </w:r>
      <w:r w:rsidRPr="008536ED">
        <w:rPr>
          <w:rStyle w:val="FootnoteReference"/>
          <w:rFonts w:asciiTheme="majorHAnsi" w:hAnsiTheme="majorHAnsi"/>
          <w:sz w:val="20"/>
          <w:szCs w:val="20"/>
          <w:lang w:val="es-ES"/>
        </w:rPr>
        <w:footnoteReference w:id="23"/>
      </w:r>
      <w:r w:rsidRPr="008536ED">
        <w:rPr>
          <w:rFonts w:asciiTheme="majorHAnsi" w:hAnsiTheme="majorHAnsi"/>
          <w:sz w:val="20"/>
          <w:szCs w:val="20"/>
          <w:lang w:val="es-ES"/>
        </w:rPr>
        <w:t xml:space="preserve">. El abogado indicó que se prescindiría de la presencia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durante </w:t>
      </w:r>
      <w:r>
        <w:rPr>
          <w:rFonts w:asciiTheme="majorHAnsi" w:hAnsiTheme="majorHAnsi"/>
          <w:sz w:val="20"/>
          <w:szCs w:val="20"/>
          <w:lang w:val="es-ES"/>
        </w:rPr>
        <w:t>la selección</w:t>
      </w:r>
      <w:r w:rsidRPr="008536ED">
        <w:rPr>
          <w:rFonts w:asciiTheme="majorHAnsi" w:hAnsiTheme="majorHAnsi"/>
          <w:sz w:val="20"/>
          <w:szCs w:val="20"/>
          <w:lang w:val="es-ES"/>
        </w:rPr>
        <w:t xml:space="preserve"> del jurado. En una audiencia realizada el 15 de noviembre de 1994 se abordó el </w:t>
      </w:r>
      <w:r w:rsidRPr="008536ED">
        <w:rPr>
          <w:rFonts w:asciiTheme="majorHAnsi" w:hAnsiTheme="majorHAnsi"/>
          <w:sz w:val="20"/>
          <w:szCs w:val="20"/>
          <w:lang w:val="es-ES"/>
        </w:rPr>
        <w:lastRenderedPageBreak/>
        <w:t>tema de la c</w:t>
      </w:r>
      <w:r>
        <w:rPr>
          <w:rFonts w:asciiTheme="majorHAnsi" w:hAnsiTheme="majorHAnsi"/>
          <w:sz w:val="20"/>
          <w:szCs w:val="20"/>
          <w:lang w:val="es-ES"/>
        </w:rPr>
        <w:t>apacidad procesal</w:t>
      </w:r>
      <w:r w:rsidRPr="008536ED">
        <w:rPr>
          <w:rFonts w:asciiTheme="majorHAnsi" w:hAnsiTheme="majorHAnsi"/>
          <w:sz w:val="20"/>
          <w:szCs w:val="20"/>
          <w:lang w:val="es-ES"/>
        </w:rPr>
        <w:t xml:space="preserve">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y el tribunal ordenó un examen preliminar</w:t>
      </w:r>
      <w:r w:rsidRPr="008536ED">
        <w:rPr>
          <w:rStyle w:val="FootnoteReference"/>
          <w:rFonts w:asciiTheme="majorHAnsi" w:hAnsiTheme="majorHAnsi"/>
          <w:sz w:val="20"/>
          <w:szCs w:val="20"/>
          <w:lang w:val="es-ES"/>
        </w:rPr>
        <w:footnoteReference w:id="24"/>
      </w:r>
      <w:r w:rsidRPr="008536ED">
        <w:rPr>
          <w:rFonts w:asciiTheme="majorHAnsi" w:hAnsiTheme="majorHAnsi"/>
          <w:sz w:val="20"/>
          <w:szCs w:val="20"/>
          <w:lang w:val="es-ES"/>
        </w:rPr>
        <w:t xml:space="preserve">. El 15 de marzo de 1995 se confirmó que la presunta víctima </w:t>
      </w:r>
      <w:r>
        <w:rPr>
          <w:rFonts w:asciiTheme="majorHAnsi" w:hAnsiTheme="majorHAnsi"/>
          <w:sz w:val="20"/>
          <w:szCs w:val="20"/>
          <w:lang w:val="es-ES"/>
        </w:rPr>
        <w:t>tenía capacidad procesal</w:t>
      </w:r>
      <w:r w:rsidRPr="008536ED">
        <w:rPr>
          <w:rStyle w:val="FootnoteReference"/>
          <w:rFonts w:asciiTheme="majorHAnsi" w:hAnsiTheme="majorHAnsi"/>
          <w:sz w:val="20"/>
          <w:szCs w:val="20"/>
          <w:lang w:val="es-ES"/>
        </w:rPr>
        <w:footnoteReference w:id="25"/>
      </w:r>
      <w:r w:rsidRPr="008536ED">
        <w:rPr>
          <w:rFonts w:asciiTheme="majorHAnsi" w:hAnsiTheme="majorHAnsi"/>
          <w:sz w:val="20"/>
          <w:szCs w:val="20"/>
          <w:lang w:val="es-ES"/>
        </w:rPr>
        <w:t xml:space="preserve">. El 1 de junio de 1995,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fue declarado culpable de cuatro cargos de homicidio en primer grado, dos cargos de robo a mano armada y un cargo de huir de un agente de policía, y el 9 de junio de 1995 </w:t>
      </w:r>
      <w:r>
        <w:rPr>
          <w:rFonts w:asciiTheme="majorHAnsi" w:hAnsiTheme="majorHAnsi"/>
          <w:sz w:val="20"/>
          <w:szCs w:val="20"/>
          <w:lang w:val="es-ES"/>
        </w:rPr>
        <w:t xml:space="preserve">fue </w:t>
      </w:r>
      <w:r w:rsidRPr="008536ED">
        <w:rPr>
          <w:rFonts w:asciiTheme="majorHAnsi" w:hAnsiTheme="majorHAnsi"/>
          <w:sz w:val="20"/>
          <w:szCs w:val="20"/>
          <w:lang w:val="es-ES"/>
        </w:rPr>
        <w:t>condenado a muerte</w:t>
      </w:r>
      <w:r w:rsidRPr="008536ED">
        <w:rPr>
          <w:rStyle w:val="FootnoteReference"/>
          <w:rFonts w:asciiTheme="majorHAnsi" w:hAnsiTheme="majorHAnsi"/>
          <w:sz w:val="20"/>
          <w:szCs w:val="20"/>
          <w:lang w:val="es-ES"/>
        </w:rPr>
        <w:footnoteReference w:id="26"/>
      </w:r>
      <w:r w:rsidRPr="008536ED">
        <w:rPr>
          <w:rFonts w:asciiTheme="majorHAnsi" w:hAnsiTheme="majorHAnsi"/>
          <w:sz w:val="20"/>
          <w:szCs w:val="20"/>
          <w:lang w:val="es-ES"/>
        </w:rPr>
        <w:t xml:space="preserve">. </w:t>
      </w:r>
    </w:p>
    <w:p w14:paraId="133D056D" w14:textId="77777777" w:rsidR="00953481" w:rsidRPr="00400DC5" w:rsidRDefault="00953481" w:rsidP="00953481">
      <w:pPr>
        <w:rPr>
          <w:rFonts w:asciiTheme="majorHAnsi" w:hAnsiTheme="majorHAnsi"/>
          <w:sz w:val="20"/>
          <w:szCs w:val="20"/>
          <w:lang w:val="es-ES"/>
        </w:rPr>
      </w:pPr>
    </w:p>
    <w:p w14:paraId="2705EEE8"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abogado de oficio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interpuso una apelación en la cual planteó tres </w:t>
      </w:r>
      <w:r>
        <w:rPr>
          <w:rFonts w:asciiTheme="majorHAnsi" w:hAnsiTheme="majorHAnsi"/>
          <w:sz w:val="20"/>
          <w:szCs w:val="20"/>
          <w:lang w:val="es-ES"/>
        </w:rPr>
        <w:t>cuestiones en</w:t>
      </w:r>
      <w:r w:rsidRPr="008536ED">
        <w:rPr>
          <w:rFonts w:asciiTheme="majorHAnsi" w:hAnsiTheme="majorHAnsi"/>
          <w:sz w:val="20"/>
          <w:szCs w:val="20"/>
          <w:lang w:val="es-ES"/>
        </w:rPr>
        <w:t xml:space="preserve"> diez páginas de argumentos y, según la</w:t>
      </w:r>
      <w:r>
        <w:rPr>
          <w:rFonts w:asciiTheme="majorHAnsi" w:hAnsiTheme="majorHAnsi"/>
          <w:sz w:val="20"/>
          <w:szCs w:val="20"/>
          <w:lang w:val="es-ES"/>
        </w:rPr>
        <w:t xml:space="preserve"> parte</w:t>
      </w:r>
      <w:r w:rsidRPr="008536ED">
        <w:rPr>
          <w:rFonts w:asciiTheme="majorHAnsi" w:hAnsiTheme="majorHAnsi"/>
          <w:sz w:val="20"/>
          <w:szCs w:val="20"/>
          <w:lang w:val="es-ES"/>
        </w:rPr>
        <w:t xml:space="preserve"> peticionaria, solo un</w:t>
      </w:r>
      <w:r>
        <w:rPr>
          <w:rFonts w:asciiTheme="majorHAnsi" w:hAnsiTheme="majorHAnsi"/>
          <w:sz w:val="20"/>
          <w:szCs w:val="20"/>
          <w:lang w:val="es-ES"/>
        </w:rPr>
        <w:t>a</w:t>
      </w:r>
      <w:r w:rsidRPr="008536ED">
        <w:rPr>
          <w:rFonts w:asciiTheme="majorHAnsi" w:hAnsiTheme="majorHAnsi"/>
          <w:sz w:val="20"/>
          <w:szCs w:val="20"/>
          <w:lang w:val="es-ES"/>
        </w:rPr>
        <w:t xml:space="preserve"> de es</w:t>
      </w:r>
      <w:r>
        <w:rPr>
          <w:rFonts w:asciiTheme="majorHAnsi" w:hAnsiTheme="majorHAnsi"/>
          <w:sz w:val="20"/>
          <w:szCs w:val="20"/>
          <w:lang w:val="es-ES"/>
        </w:rPr>
        <w:t>ta</w:t>
      </w:r>
      <w:r w:rsidRPr="008536ED">
        <w:rPr>
          <w:rFonts w:asciiTheme="majorHAnsi" w:hAnsiTheme="majorHAnsi"/>
          <w:sz w:val="20"/>
          <w:szCs w:val="20"/>
          <w:lang w:val="es-ES"/>
        </w:rPr>
        <w:t xml:space="preserve">s </w:t>
      </w:r>
      <w:r>
        <w:rPr>
          <w:rFonts w:asciiTheme="majorHAnsi" w:hAnsiTheme="majorHAnsi"/>
          <w:sz w:val="20"/>
          <w:szCs w:val="20"/>
          <w:lang w:val="es-ES"/>
        </w:rPr>
        <w:t>cuestiones</w:t>
      </w:r>
      <w:r w:rsidRPr="008536ED">
        <w:rPr>
          <w:rFonts w:asciiTheme="majorHAnsi" w:hAnsiTheme="majorHAnsi"/>
          <w:sz w:val="20"/>
          <w:szCs w:val="20"/>
          <w:lang w:val="es-ES"/>
        </w:rPr>
        <w:t xml:space="preserve"> se basaba en </w:t>
      </w:r>
      <w:r>
        <w:rPr>
          <w:rFonts w:asciiTheme="majorHAnsi" w:hAnsiTheme="majorHAnsi"/>
          <w:sz w:val="20"/>
          <w:szCs w:val="20"/>
          <w:lang w:val="es-ES"/>
        </w:rPr>
        <w:t>el expediente</w:t>
      </w:r>
      <w:r w:rsidRPr="008536ED">
        <w:rPr>
          <w:rFonts w:asciiTheme="majorHAnsi" w:hAnsiTheme="majorHAnsi"/>
          <w:sz w:val="20"/>
          <w:szCs w:val="20"/>
          <w:lang w:val="es-ES"/>
        </w:rPr>
        <w:t xml:space="preserve">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Asimismo, en el escrito que presentó al tribunal, el abogado </w:t>
      </w:r>
      <w:r>
        <w:rPr>
          <w:rFonts w:asciiTheme="majorHAnsi" w:hAnsiTheme="majorHAnsi"/>
          <w:sz w:val="20"/>
          <w:szCs w:val="20"/>
          <w:lang w:val="es-ES"/>
        </w:rPr>
        <w:t>de apelación</w:t>
      </w:r>
      <w:r w:rsidRPr="008536ED">
        <w:rPr>
          <w:rFonts w:asciiTheme="majorHAnsi" w:hAnsiTheme="majorHAnsi"/>
          <w:sz w:val="20"/>
          <w:szCs w:val="20"/>
          <w:lang w:val="es-ES"/>
        </w:rPr>
        <w:t xml:space="preserve"> admitió que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w:t>
      </w:r>
      <w:r>
        <w:rPr>
          <w:rFonts w:asciiTheme="majorHAnsi" w:hAnsiTheme="majorHAnsi"/>
          <w:sz w:val="20"/>
          <w:szCs w:val="20"/>
          <w:lang w:val="es-ES"/>
        </w:rPr>
        <w:t>tenía capacidad procesal</w:t>
      </w:r>
      <w:r w:rsidRPr="008536ED">
        <w:rPr>
          <w:rFonts w:asciiTheme="majorHAnsi" w:hAnsiTheme="majorHAnsi"/>
          <w:sz w:val="20"/>
          <w:szCs w:val="20"/>
          <w:lang w:val="es-ES"/>
        </w:rPr>
        <w:t>. El Estado no impugnó esta información. El 4 de febrero de 1997, la Corte Suprema de Arizona desestimó la apelación, en tanto que la Corte Suprema de Estados Unidos denegó el auto de avocación el 6 de octubre de 1997</w:t>
      </w:r>
      <w:r w:rsidRPr="008536ED">
        <w:rPr>
          <w:rStyle w:val="FootnoteReference"/>
          <w:rFonts w:asciiTheme="majorHAnsi" w:hAnsiTheme="majorHAnsi"/>
          <w:sz w:val="20"/>
          <w:szCs w:val="20"/>
          <w:lang w:val="es-ES"/>
        </w:rPr>
        <w:footnoteReference w:id="27"/>
      </w:r>
      <w:r w:rsidRPr="008536ED">
        <w:rPr>
          <w:rFonts w:asciiTheme="majorHAnsi" w:hAnsiTheme="majorHAnsi"/>
          <w:sz w:val="20"/>
          <w:szCs w:val="20"/>
          <w:lang w:val="es-ES"/>
        </w:rPr>
        <w:t>.</w:t>
      </w:r>
    </w:p>
    <w:p w14:paraId="29AAF8A0" w14:textId="77777777" w:rsidR="00953481" w:rsidRPr="008536ED" w:rsidRDefault="00953481" w:rsidP="00953481">
      <w:pPr>
        <w:pStyle w:val="ListParagraph"/>
        <w:tabs>
          <w:tab w:val="left" w:pos="360"/>
        </w:tabs>
        <w:ind w:left="0"/>
        <w:rPr>
          <w:rFonts w:asciiTheme="majorHAnsi" w:eastAsia="Arial Unicode MS" w:hAnsiTheme="majorHAnsi" w:cs="Times New Roman"/>
          <w:color w:val="auto"/>
          <w:sz w:val="20"/>
          <w:szCs w:val="20"/>
          <w:lang w:val="es-ES" w:eastAsia="en-US"/>
        </w:rPr>
      </w:pPr>
    </w:p>
    <w:p w14:paraId="1F10CA66" w14:textId="77777777" w:rsidR="00953481" w:rsidRPr="00953481" w:rsidRDefault="00953481" w:rsidP="00953481">
      <w:pPr>
        <w:pStyle w:val="Heading2"/>
        <w:tabs>
          <w:tab w:val="left" w:pos="360"/>
        </w:tabs>
        <w:spacing w:before="0"/>
        <w:rPr>
          <w:rFonts w:asciiTheme="majorHAnsi" w:hAnsiTheme="majorHAnsi"/>
          <w:i w:val="0"/>
          <w:sz w:val="20"/>
          <w:szCs w:val="20"/>
          <w:lang w:val="es-ES"/>
        </w:rPr>
      </w:pPr>
      <w:bookmarkStart w:id="18" w:name="_Toc90283141"/>
      <w:r w:rsidRPr="00953481">
        <w:rPr>
          <w:rFonts w:asciiTheme="majorHAnsi" w:hAnsiTheme="majorHAnsi"/>
          <w:i w:val="0"/>
          <w:sz w:val="20"/>
          <w:szCs w:val="20"/>
          <w:lang w:val="es-ES"/>
        </w:rPr>
        <w:t>D.</w:t>
      </w:r>
      <w:r w:rsidRPr="00953481">
        <w:rPr>
          <w:rFonts w:asciiTheme="majorHAnsi" w:hAnsiTheme="majorHAnsi"/>
          <w:i w:val="0"/>
          <w:sz w:val="20"/>
          <w:szCs w:val="20"/>
          <w:lang w:val="es-ES"/>
        </w:rPr>
        <w:tab/>
        <w:t xml:space="preserve">Actuaciones </w:t>
      </w:r>
      <w:proofErr w:type="spellStart"/>
      <w:r w:rsidRPr="00953481">
        <w:rPr>
          <w:rFonts w:asciiTheme="majorHAnsi" w:hAnsiTheme="majorHAnsi"/>
          <w:i w:val="0"/>
          <w:sz w:val="20"/>
          <w:szCs w:val="20"/>
          <w:lang w:val="es-ES"/>
        </w:rPr>
        <w:t>poscondenatorias</w:t>
      </w:r>
      <w:bookmarkEnd w:id="18"/>
      <w:proofErr w:type="spellEnd"/>
    </w:p>
    <w:p w14:paraId="62316E57" w14:textId="77777777" w:rsidR="00953481" w:rsidRPr="00400DC5" w:rsidRDefault="00953481" w:rsidP="00953481">
      <w:pPr>
        <w:rPr>
          <w:rFonts w:asciiTheme="majorHAnsi" w:hAnsiTheme="majorHAnsi"/>
          <w:sz w:val="20"/>
          <w:szCs w:val="20"/>
          <w:lang w:val="es-ES"/>
        </w:rPr>
      </w:pPr>
    </w:p>
    <w:p w14:paraId="1D62DDCB"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4 de febrero de 1999,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interpuso un recurso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w:t>
      </w:r>
      <w:proofErr w:type="spellEnd"/>
      <w:r w:rsidRPr="008536ED">
        <w:rPr>
          <w:rFonts w:asciiTheme="majorHAnsi" w:hAnsiTheme="majorHAnsi"/>
          <w:sz w:val="20"/>
          <w:szCs w:val="20"/>
          <w:lang w:val="es-ES"/>
        </w:rPr>
        <w:t xml:space="preserve"> en el cual planteaba 11 reclamos, entre ellos la asistencia letrada ineficaz del abogado </w:t>
      </w:r>
      <w:r>
        <w:rPr>
          <w:rFonts w:asciiTheme="majorHAnsi" w:hAnsiTheme="majorHAnsi"/>
          <w:sz w:val="20"/>
          <w:szCs w:val="20"/>
          <w:lang w:val="es-ES"/>
        </w:rPr>
        <w:t>de primera instancia</w:t>
      </w:r>
      <w:r w:rsidRPr="008536ED">
        <w:rPr>
          <w:rFonts w:asciiTheme="majorHAnsi" w:hAnsiTheme="majorHAnsi"/>
          <w:sz w:val="20"/>
          <w:szCs w:val="20"/>
          <w:lang w:val="es-ES"/>
        </w:rPr>
        <w:t xml:space="preserve"> y el abogado </w:t>
      </w:r>
      <w:r>
        <w:rPr>
          <w:rFonts w:asciiTheme="majorHAnsi" w:hAnsiTheme="majorHAnsi"/>
          <w:sz w:val="20"/>
          <w:szCs w:val="20"/>
          <w:lang w:val="es-ES"/>
        </w:rPr>
        <w:t>de apelación</w:t>
      </w:r>
      <w:r w:rsidRPr="008536ED">
        <w:rPr>
          <w:rFonts w:asciiTheme="majorHAnsi" w:hAnsiTheme="majorHAnsi"/>
          <w:sz w:val="20"/>
          <w:szCs w:val="20"/>
          <w:lang w:val="es-ES"/>
        </w:rPr>
        <w:t xml:space="preserve">. Se denegó </w:t>
      </w:r>
      <w:r>
        <w:rPr>
          <w:rFonts w:asciiTheme="majorHAnsi" w:hAnsiTheme="majorHAnsi"/>
          <w:sz w:val="20"/>
          <w:szCs w:val="20"/>
          <w:lang w:val="es-ES"/>
        </w:rPr>
        <w:t>la solicitud</w:t>
      </w:r>
      <w:r w:rsidRPr="008536ED">
        <w:rPr>
          <w:rFonts w:asciiTheme="majorHAnsi" w:hAnsiTheme="majorHAnsi"/>
          <w:sz w:val="20"/>
          <w:szCs w:val="20"/>
          <w:lang w:val="es-ES"/>
        </w:rPr>
        <w:t xml:space="preserve"> de audiencia probatoria y el Tribunal oyó alegatos orales sin que la presunta víctima estuviera presente. Los alegatos fueron rechazados pocos días después.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presentó un</w:t>
      </w:r>
      <w:r>
        <w:rPr>
          <w:rFonts w:asciiTheme="majorHAnsi" w:hAnsiTheme="majorHAnsi"/>
          <w:sz w:val="20"/>
          <w:szCs w:val="20"/>
          <w:lang w:val="es-ES"/>
        </w:rPr>
        <w:t>a</w:t>
      </w:r>
      <w:r w:rsidRPr="008536ED">
        <w:rPr>
          <w:rFonts w:asciiTheme="majorHAnsi" w:hAnsiTheme="majorHAnsi"/>
          <w:sz w:val="20"/>
          <w:szCs w:val="20"/>
          <w:lang w:val="es-ES"/>
        </w:rPr>
        <w:t xml:space="preserve"> petición de revisión de este fallo de la Corte Suprema de Arizona, que fue desestimada el 28 de septiembre de 2001</w:t>
      </w:r>
      <w:r w:rsidRPr="008536ED">
        <w:rPr>
          <w:rStyle w:val="FootnoteReference"/>
          <w:rFonts w:asciiTheme="majorHAnsi" w:hAnsiTheme="majorHAnsi"/>
          <w:sz w:val="20"/>
          <w:szCs w:val="20"/>
          <w:lang w:val="es-ES"/>
        </w:rPr>
        <w:footnoteReference w:id="28"/>
      </w:r>
      <w:r>
        <w:rPr>
          <w:rFonts w:asciiTheme="majorHAnsi" w:hAnsiTheme="majorHAnsi"/>
          <w:sz w:val="20"/>
          <w:szCs w:val="20"/>
          <w:lang w:val="es-ES"/>
        </w:rPr>
        <w:t>.</w:t>
      </w:r>
      <w:r w:rsidRPr="008536ED">
        <w:rPr>
          <w:rFonts w:asciiTheme="majorHAnsi" w:hAnsiTheme="majorHAnsi"/>
          <w:sz w:val="20"/>
          <w:szCs w:val="20"/>
          <w:lang w:val="es-ES"/>
        </w:rPr>
        <w:t xml:space="preserve"> </w:t>
      </w:r>
    </w:p>
    <w:p w14:paraId="74E37495" w14:textId="77777777" w:rsidR="00953481" w:rsidRPr="00400DC5" w:rsidRDefault="00953481" w:rsidP="00953481">
      <w:pPr>
        <w:rPr>
          <w:rFonts w:asciiTheme="majorHAnsi" w:hAnsiTheme="majorHAnsi"/>
          <w:sz w:val="20"/>
          <w:szCs w:val="20"/>
          <w:lang w:val="es-ES"/>
        </w:rPr>
      </w:pPr>
    </w:p>
    <w:p w14:paraId="54FC6F0A"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5 de octubre de 2000,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presentó una petición de auto de hábeas corpus y suspensión de la ejecución. El 4 de junio de 2001 presentó una petición enmendada de auto de hábeas corpus, en la que plante</w:t>
      </w:r>
      <w:r>
        <w:rPr>
          <w:rFonts w:asciiTheme="majorHAnsi" w:hAnsiTheme="majorHAnsi"/>
          <w:sz w:val="20"/>
          <w:szCs w:val="20"/>
          <w:lang w:val="es-ES"/>
        </w:rPr>
        <w:t>aba</w:t>
      </w:r>
      <w:r w:rsidRPr="008536ED">
        <w:rPr>
          <w:rFonts w:asciiTheme="majorHAnsi" w:hAnsiTheme="majorHAnsi"/>
          <w:sz w:val="20"/>
          <w:szCs w:val="20"/>
          <w:lang w:val="es-ES"/>
        </w:rPr>
        <w:t xml:space="preserve"> 11 reclamos</w:t>
      </w:r>
      <w:r w:rsidRPr="008536ED">
        <w:rPr>
          <w:rStyle w:val="FootnoteReference"/>
          <w:rFonts w:asciiTheme="majorHAnsi" w:hAnsiTheme="majorHAnsi"/>
          <w:sz w:val="20"/>
          <w:szCs w:val="20"/>
          <w:lang w:val="es-ES"/>
        </w:rPr>
        <w:footnoteReference w:id="29"/>
      </w:r>
      <w:r w:rsidRPr="008536ED">
        <w:rPr>
          <w:rFonts w:asciiTheme="majorHAnsi" w:hAnsiTheme="majorHAnsi"/>
          <w:sz w:val="20"/>
          <w:szCs w:val="20"/>
          <w:lang w:val="es-ES"/>
        </w:rPr>
        <w:t>. Posteriormente, entabló varios juicios y envió cartas al juez y al fiscal para desistir de sus apelaciones, seguidas de otras cartas para retirar esos pedidos</w:t>
      </w:r>
      <w:r w:rsidRPr="008536ED">
        <w:rPr>
          <w:rStyle w:val="FootnoteReference"/>
          <w:rFonts w:asciiTheme="majorHAnsi" w:hAnsiTheme="majorHAnsi"/>
          <w:sz w:val="20"/>
          <w:szCs w:val="20"/>
          <w:lang w:val="es-ES"/>
        </w:rPr>
        <w:footnoteReference w:id="30"/>
      </w:r>
      <w:r w:rsidRPr="008536ED">
        <w:rPr>
          <w:rFonts w:asciiTheme="majorHAnsi" w:hAnsiTheme="majorHAnsi"/>
          <w:sz w:val="20"/>
          <w:szCs w:val="20"/>
          <w:lang w:val="es-ES"/>
        </w:rPr>
        <w:t>. En consecuencia, el tribunal expresó preocupación por la salud mental d</w:t>
      </w:r>
      <w:r>
        <w:rPr>
          <w:rFonts w:asciiTheme="majorHAnsi" w:hAnsiTheme="majorHAnsi"/>
          <w:sz w:val="20"/>
          <w:szCs w:val="20"/>
          <w:lang w:val="es-ES"/>
        </w:rPr>
        <w:t xml:space="preserve">el recurrente </w:t>
      </w:r>
      <w:r w:rsidRPr="008536ED">
        <w:rPr>
          <w:rFonts w:asciiTheme="majorHAnsi" w:hAnsiTheme="majorHAnsi"/>
          <w:sz w:val="20"/>
          <w:szCs w:val="20"/>
          <w:lang w:val="es-ES"/>
        </w:rPr>
        <w:t>y su c</w:t>
      </w:r>
      <w:r>
        <w:rPr>
          <w:rFonts w:asciiTheme="majorHAnsi" w:hAnsiTheme="majorHAnsi"/>
          <w:sz w:val="20"/>
          <w:szCs w:val="20"/>
          <w:lang w:val="es-ES"/>
        </w:rPr>
        <w:t xml:space="preserve">apacidad procesal </w:t>
      </w:r>
      <w:r w:rsidRPr="008536ED">
        <w:rPr>
          <w:rFonts w:asciiTheme="majorHAnsi" w:hAnsiTheme="majorHAnsi"/>
          <w:sz w:val="20"/>
          <w:szCs w:val="20"/>
          <w:lang w:val="es-ES"/>
        </w:rPr>
        <w:t xml:space="preserve">para desistir de apelaciones. Se ordenó una audiencia y el tribunal señaló que </w:t>
      </w:r>
      <w:r>
        <w:rPr>
          <w:rFonts w:asciiTheme="majorHAnsi" w:hAnsiTheme="majorHAnsi"/>
          <w:sz w:val="20"/>
          <w:szCs w:val="20"/>
          <w:lang w:val="es-ES"/>
        </w:rPr>
        <w:t>su</w:t>
      </w:r>
      <w:r w:rsidRPr="008536ED">
        <w:rPr>
          <w:rFonts w:asciiTheme="majorHAnsi" w:hAnsiTheme="majorHAnsi"/>
          <w:sz w:val="20"/>
          <w:szCs w:val="20"/>
          <w:lang w:val="es-ES"/>
        </w:rPr>
        <w:t xml:space="preserve"> caso parecía </w:t>
      </w:r>
      <w:r>
        <w:rPr>
          <w:rFonts w:asciiTheme="majorHAnsi" w:hAnsiTheme="majorHAnsi"/>
          <w:sz w:val="20"/>
          <w:szCs w:val="20"/>
          <w:lang w:val="es-ES"/>
        </w:rPr>
        <w:t>“</w:t>
      </w:r>
      <w:r w:rsidRPr="008536ED">
        <w:rPr>
          <w:rFonts w:asciiTheme="majorHAnsi" w:hAnsiTheme="majorHAnsi"/>
          <w:sz w:val="20"/>
          <w:szCs w:val="20"/>
          <w:lang w:val="es-ES"/>
        </w:rPr>
        <w:t>sumamente complicado</w:t>
      </w:r>
      <w:r>
        <w:rPr>
          <w:rFonts w:asciiTheme="majorHAnsi" w:hAnsiTheme="majorHAnsi"/>
          <w:sz w:val="20"/>
          <w:szCs w:val="20"/>
          <w:lang w:val="es-ES"/>
        </w:rPr>
        <w:t>”</w:t>
      </w:r>
      <w:r w:rsidRPr="008536ED">
        <w:rPr>
          <w:rStyle w:val="FootnoteReference"/>
          <w:rFonts w:asciiTheme="majorHAnsi" w:hAnsiTheme="majorHAnsi"/>
          <w:sz w:val="20"/>
          <w:szCs w:val="20"/>
          <w:lang w:val="es-ES"/>
        </w:rPr>
        <w:footnoteReference w:id="31"/>
      </w:r>
      <w:r w:rsidRPr="008536ED">
        <w:rPr>
          <w:rFonts w:asciiTheme="majorHAnsi" w:hAnsiTheme="majorHAnsi"/>
          <w:sz w:val="20"/>
          <w:szCs w:val="20"/>
          <w:lang w:val="es-ES"/>
        </w:rPr>
        <w:t xml:space="preserve">. Según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en 2002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interpuso un segundo recurso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w:t>
      </w:r>
      <w:proofErr w:type="spellEnd"/>
      <w:r w:rsidRPr="008536ED">
        <w:rPr>
          <w:rFonts w:asciiTheme="majorHAnsi" w:hAnsiTheme="majorHAnsi"/>
          <w:sz w:val="20"/>
          <w:szCs w:val="20"/>
          <w:lang w:val="es-ES"/>
        </w:rPr>
        <w:t>, pero lo retiró después que la Corte Suprema de Estados Unidos se negó a aplicar un precedente retroactivamente</w:t>
      </w:r>
      <w:r w:rsidRPr="008536ED">
        <w:rPr>
          <w:rStyle w:val="FootnoteReference"/>
          <w:rFonts w:asciiTheme="majorHAnsi" w:hAnsiTheme="majorHAnsi"/>
          <w:sz w:val="20"/>
          <w:szCs w:val="20"/>
          <w:lang w:val="es-ES"/>
        </w:rPr>
        <w:footnoteReference w:id="32"/>
      </w:r>
      <w:r w:rsidRPr="008536ED">
        <w:rPr>
          <w:rFonts w:asciiTheme="majorHAnsi" w:hAnsiTheme="majorHAnsi"/>
          <w:sz w:val="20"/>
          <w:szCs w:val="20"/>
          <w:lang w:val="es-ES"/>
        </w:rPr>
        <w:t>.</w:t>
      </w:r>
    </w:p>
    <w:p w14:paraId="733CB6A9"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7B385E0A"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En 2003, un psiquiatra designado por el abogado defensor evaluó al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y </w:t>
      </w:r>
      <w:r>
        <w:rPr>
          <w:rFonts w:asciiTheme="majorHAnsi" w:hAnsiTheme="majorHAnsi"/>
          <w:sz w:val="20"/>
          <w:szCs w:val="20"/>
          <w:lang w:val="es-ES"/>
        </w:rPr>
        <w:t>concluyó</w:t>
      </w:r>
      <w:r w:rsidRPr="008536ED">
        <w:rPr>
          <w:rFonts w:asciiTheme="majorHAnsi" w:hAnsiTheme="majorHAnsi"/>
          <w:sz w:val="20"/>
          <w:szCs w:val="20"/>
          <w:lang w:val="es-ES"/>
        </w:rPr>
        <w:t xml:space="preserve"> que tenía un trastorno esquizoafectivo, enfermedad mental grave que consiste en una combinación de síntomas de esquizofrenia </w:t>
      </w:r>
      <w:r>
        <w:rPr>
          <w:rFonts w:asciiTheme="majorHAnsi" w:hAnsiTheme="majorHAnsi"/>
          <w:sz w:val="20"/>
          <w:szCs w:val="20"/>
          <w:lang w:val="es-ES"/>
        </w:rPr>
        <w:t>y</w:t>
      </w:r>
      <w:r w:rsidRPr="008536ED">
        <w:rPr>
          <w:rFonts w:asciiTheme="majorHAnsi" w:hAnsiTheme="majorHAnsi"/>
          <w:sz w:val="20"/>
          <w:szCs w:val="20"/>
          <w:lang w:val="es-ES"/>
        </w:rPr>
        <w:t xml:space="preserve"> trastorno bipolar</w:t>
      </w:r>
      <w:r w:rsidRPr="008536ED">
        <w:rPr>
          <w:rStyle w:val="FootnoteReference"/>
          <w:rFonts w:asciiTheme="majorHAnsi" w:hAnsiTheme="majorHAnsi"/>
          <w:sz w:val="20"/>
          <w:szCs w:val="20"/>
          <w:lang w:val="es-ES"/>
        </w:rPr>
        <w:footnoteReference w:id="33"/>
      </w:r>
      <w:r w:rsidRPr="008536ED">
        <w:rPr>
          <w:rFonts w:asciiTheme="majorHAnsi" w:hAnsiTheme="majorHAnsi"/>
          <w:sz w:val="20"/>
          <w:szCs w:val="20"/>
          <w:lang w:val="es-ES"/>
        </w:rPr>
        <w:t xml:space="preserve">. Según </w:t>
      </w:r>
      <w:r>
        <w:rPr>
          <w:rFonts w:asciiTheme="majorHAnsi" w:hAnsiTheme="majorHAnsi"/>
          <w:sz w:val="20"/>
          <w:szCs w:val="20"/>
          <w:lang w:val="es-ES"/>
        </w:rPr>
        <w:t>la peticionaria</w:t>
      </w:r>
      <w:r w:rsidRPr="008536ED">
        <w:rPr>
          <w:rFonts w:asciiTheme="majorHAnsi" w:hAnsiTheme="majorHAnsi"/>
          <w:sz w:val="20"/>
          <w:szCs w:val="20"/>
          <w:lang w:val="es-ES"/>
        </w:rPr>
        <w:t xml:space="preserve">, el 4 de agosto de 2004,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fue clasificado oficialmente como “enfermo mental grave”</w:t>
      </w:r>
      <w:r w:rsidRPr="008536ED">
        <w:rPr>
          <w:rStyle w:val="FootnoteReference"/>
          <w:rFonts w:asciiTheme="majorHAnsi" w:hAnsiTheme="majorHAnsi"/>
          <w:sz w:val="20"/>
          <w:szCs w:val="20"/>
          <w:lang w:val="es-ES"/>
        </w:rPr>
        <w:footnoteReference w:id="34"/>
      </w:r>
      <w:r w:rsidRPr="008536ED">
        <w:rPr>
          <w:rFonts w:asciiTheme="majorHAnsi" w:hAnsiTheme="majorHAnsi"/>
          <w:sz w:val="20"/>
          <w:szCs w:val="20"/>
          <w:lang w:val="es-ES"/>
        </w:rPr>
        <w:t xml:space="preserve">, pero el Departamento Correccional de Arizona le quitó </w:t>
      </w:r>
      <w:r w:rsidRPr="008536ED">
        <w:rPr>
          <w:rFonts w:asciiTheme="majorHAnsi" w:hAnsiTheme="majorHAnsi"/>
          <w:sz w:val="20"/>
          <w:szCs w:val="20"/>
          <w:lang w:val="es-ES"/>
        </w:rPr>
        <w:lastRenderedPageBreak/>
        <w:t>esa clasificación el 30 de septiembre de 2008</w:t>
      </w:r>
      <w:r w:rsidRPr="008536ED">
        <w:rPr>
          <w:rStyle w:val="FootnoteReference"/>
          <w:rFonts w:asciiTheme="majorHAnsi" w:hAnsiTheme="majorHAnsi"/>
          <w:sz w:val="20"/>
          <w:szCs w:val="20"/>
          <w:lang w:val="es-ES"/>
        </w:rPr>
        <w:footnoteReference w:id="35"/>
      </w:r>
      <w:r w:rsidRPr="008536ED">
        <w:rPr>
          <w:rFonts w:asciiTheme="majorHAnsi" w:hAnsiTheme="majorHAnsi"/>
          <w:sz w:val="20"/>
          <w:szCs w:val="20"/>
          <w:lang w:val="es-ES"/>
        </w:rPr>
        <w:t xml:space="preserve">. El Estado no impugnó esta afirmación. En 2009, el mismo psiquiatra declaró que su evaluación no había cambiado respecto de la anterior y que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se encuadraba en el diagnóstico de trastorno esquizoafectivo, trastorno de pánico sin agorafobia, trastorno limítrofe de la personalidad y </w:t>
      </w:r>
      <w:proofErr w:type="spellStart"/>
      <w:r w:rsidRPr="008536ED">
        <w:rPr>
          <w:rFonts w:asciiTheme="majorHAnsi" w:hAnsiTheme="majorHAnsi"/>
          <w:sz w:val="20"/>
          <w:szCs w:val="20"/>
          <w:lang w:val="es-ES"/>
        </w:rPr>
        <w:t>policonsumo</w:t>
      </w:r>
      <w:proofErr w:type="spellEnd"/>
      <w:r w:rsidRPr="008536ED">
        <w:rPr>
          <w:rFonts w:asciiTheme="majorHAnsi" w:hAnsiTheme="majorHAnsi"/>
          <w:sz w:val="20"/>
          <w:szCs w:val="20"/>
          <w:lang w:val="es-ES"/>
        </w:rPr>
        <w:t xml:space="preserve"> de drogas en un entorno controlado</w:t>
      </w:r>
      <w:r w:rsidRPr="008536ED">
        <w:rPr>
          <w:rStyle w:val="FootnoteReference"/>
          <w:rFonts w:asciiTheme="majorHAnsi" w:hAnsiTheme="majorHAnsi"/>
          <w:sz w:val="20"/>
          <w:szCs w:val="20"/>
          <w:lang w:val="es-ES"/>
        </w:rPr>
        <w:footnoteReference w:id="36"/>
      </w:r>
      <w:r w:rsidRPr="008536ED">
        <w:rPr>
          <w:rFonts w:asciiTheme="majorHAnsi" w:hAnsiTheme="majorHAnsi"/>
          <w:sz w:val="20"/>
          <w:szCs w:val="20"/>
          <w:lang w:val="es-ES"/>
        </w:rPr>
        <w:t>.</w:t>
      </w:r>
    </w:p>
    <w:p w14:paraId="3C7C8E29" w14:textId="77777777" w:rsidR="00953481" w:rsidRPr="008536ED" w:rsidRDefault="00953481" w:rsidP="00953481">
      <w:pPr>
        <w:rPr>
          <w:rFonts w:asciiTheme="majorHAnsi" w:hAnsiTheme="majorHAnsi"/>
          <w:sz w:val="20"/>
          <w:szCs w:val="20"/>
          <w:lang w:val="es-ES"/>
        </w:rPr>
      </w:pPr>
    </w:p>
    <w:p w14:paraId="11667D5C"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La presunta víctima interpuso un tercer recurso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w:t>
      </w:r>
      <w:proofErr w:type="spellEnd"/>
      <w:r w:rsidRPr="008536ED">
        <w:rPr>
          <w:rFonts w:asciiTheme="majorHAnsi" w:hAnsiTheme="majorHAnsi"/>
          <w:sz w:val="20"/>
          <w:szCs w:val="20"/>
          <w:lang w:val="es-ES"/>
        </w:rPr>
        <w:t xml:space="preserve"> en 2009 ante el Tribunal Superior del Condado de </w:t>
      </w:r>
      <w:proofErr w:type="spellStart"/>
      <w:r w:rsidRPr="008536ED">
        <w:rPr>
          <w:rFonts w:asciiTheme="majorHAnsi" w:hAnsiTheme="majorHAnsi"/>
          <w:sz w:val="20"/>
          <w:szCs w:val="20"/>
          <w:lang w:val="es-ES"/>
        </w:rPr>
        <w:t>Maricopa</w:t>
      </w:r>
      <w:proofErr w:type="spellEnd"/>
      <w:r w:rsidRPr="008536ED">
        <w:rPr>
          <w:rFonts w:asciiTheme="majorHAnsi" w:hAnsiTheme="majorHAnsi"/>
          <w:sz w:val="20"/>
          <w:szCs w:val="20"/>
          <w:lang w:val="es-ES"/>
        </w:rPr>
        <w:t>, en el cual impugn</w:t>
      </w:r>
      <w:r>
        <w:rPr>
          <w:rFonts w:asciiTheme="majorHAnsi" w:hAnsiTheme="majorHAnsi"/>
          <w:sz w:val="20"/>
          <w:szCs w:val="20"/>
          <w:lang w:val="es-ES"/>
        </w:rPr>
        <w:t>ó</w:t>
      </w:r>
      <w:r w:rsidRPr="008536ED">
        <w:rPr>
          <w:rFonts w:asciiTheme="majorHAnsi" w:hAnsiTheme="majorHAnsi"/>
          <w:sz w:val="20"/>
          <w:szCs w:val="20"/>
          <w:lang w:val="es-ES"/>
        </w:rPr>
        <w:t xml:space="preserve"> la constitucionalidad de la ejecución debido a su enfermedad mental grave</w:t>
      </w:r>
      <w:r>
        <w:rPr>
          <w:rFonts w:asciiTheme="majorHAnsi" w:hAnsiTheme="majorHAnsi"/>
          <w:sz w:val="20"/>
          <w:szCs w:val="20"/>
          <w:lang w:val="es-ES"/>
        </w:rPr>
        <w:t xml:space="preserve">. Como ese recurso </w:t>
      </w:r>
      <w:r w:rsidRPr="008536ED">
        <w:rPr>
          <w:rFonts w:asciiTheme="majorHAnsi" w:hAnsiTheme="majorHAnsi"/>
          <w:sz w:val="20"/>
          <w:szCs w:val="20"/>
          <w:lang w:val="es-ES"/>
        </w:rPr>
        <w:t xml:space="preserve">fue desestimado, interpuso un recurso de </w:t>
      </w:r>
      <w:r>
        <w:rPr>
          <w:rFonts w:asciiTheme="majorHAnsi" w:hAnsiTheme="majorHAnsi"/>
          <w:sz w:val="20"/>
          <w:szCs w:val="20"/>
          <w:lang w:val="es-ES"/>
        </w:rPr>
        <w:t>revisión</w:t>
      </w:r>
      <w:r w:rsidRPr="008536ED">
        <w:rPr>
          <w:rFonts w:asciiTheme="majorHAnsi" w:hAnsiTheme="majorHAnsi"/>
          <w:sz w:val="20"/>
          <w:szCs w:val="20"/>
          <w:lang w:val="es-ES"/>
        </w:rPr>
        <w:t xml:space="preserve"> el 22 de octubre de 2009</w:t>
      </w:r>
      <w:r w:rsidRPr="008536ED">
        <w:rPr>
          <w:rStyle w:val="FootnoteReference"/>
          <w:rFonts w:asciiTheme="majorHAnsi" w:hAnsiTheme="majorHAnsi"/>
          <w:sz w:val="20"/>
          <w:szCs w:val="20"/>
          <w:lang w:val="es-ES"/>
        </w:rPr>
        <w:footnoteReference w:id="37"/>
      </w:r>
      <w:r w:rsidRPr="008536ED">
        <w:rPr>
          <w:rFonts w:asciiTheme="majorHAnsi" w:hAnsiTheme="majorHAnsi"/>
          <w:sz w:val="20"/>
          <w:szCs w:val="20"/>
          <w:lang w:val="es-ES"/>
        </w:rPr>
        <w:t xml:space="preserve">. Según información de dominio público, entre el 27 de octubre de 2009 y el 18 de abril de 2013 no hubo ninguna actividad procesal con respecto al recurso interpuesto por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Posteriormente, la presunta víctima presentó una </w:t>
      </w:r>
      <w:r>
        <w:rPr>
          <w:rFonts w:asciiTheme="majorHAnsi" w:hAnsiTheme="majorHAnsi"/>
          <w:sz w:val="20"/>
          <w:szCs w:val="20"/>
          <w:lang w:val="es-ES"/>
        </w:rPr>
        <w:t>solicitud de fallo y e</w:t>
      </w:r>
      <w:r w:rsidRPr="008536ED">
        <w:rPr>
          <w:rFonts w:asciiTheme="majorHAnsi" w:hAnsiTheme="majorHAnsi"/>
          <w:sz w:val="20"/>
          <w:szCs w:val="20"/>
          <w:lang w:val="es-ES"/>
        </w:rPr>
        <w:t xml:space="preserve">l 18 de diciembre de 2013 el tribunal estatal programó una </w:t>
      </w:r>
      <w:r>
        <w:rPr>
          <w:rFonts w:asciiTheme="majorHAnsi" w:hAnsiTheme="majorHAnsi"/>
          <w:sz w:val="20"/>
          <w:szCs w:val="20"/>
          <w:lang w:val="es-ES"/>
        </w:rPr>
        <w:t>conferencia de estado</w:t>
      </w:r>
      <w:r w:rsidRPr="008536ED">
        <w:rPr>
          <w:rFonts w:asciiTheme="majorHAnsi" w:hAnsiTheme="majorHAnsi"/>
          <w:sz w:val="20"/>
          <w:szCs w:val="20"/>
          <w:lang w:val="es-ES"/>
        </w:rPr>
        <w:t xml:space="preserve"> para el 21 de febrero de 2014. El 28 de febrero de 2014, uno de los abogados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se retiró del caso. El 12 de mayo y el 26 de junio de 2015, el abogado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w:t>
      </w:r>
      <w:r>
        <w:rPr>
          <w:rFonts w:asciiTheme="majorHAnsi" w:hAnsiTheme="majorHAnsi"/>
          <w:sz w:val="20"/>
          <w:szCs w:val="20"/>
          <w:lang w:val="es-ES"/>
        </w:rPr>
        <w:t>solicitó</w:t>
      </w:r>
      <w:r w:rsidRPr="008536ED">
        <w:rPr>
          <w:rFonts w:asciiTheme="majorHAnsi" w:hAnsiTheme="majorHAnsi"/>
          <w:sz w:val="20"/>
          <w:szCs w:val="20"/>
          <w:lang w:val="es-ES"/>
        </w:rPr>
        <w:t xml:space="preserve"> una prórroga, que le fue concedida. El recurso de </w:t>
      </w:r>
      <w:r>
        <w:rPr>
          <w:rFonts w:asciiTheme="majorHAnsi" w:hAnsiTheme="majorHAnsi"/>
          <w:sz w:val="20"/>
          <w:szCs w:val="20"/>
          <w:lang w:val="es-ES"/>
        </w:rPr>
        <w:t>revisión</w:t>
      </w:r>
      <w:r w:rsidRPr="008536ED">
        <w:rPr>
          <w:rFonts w:asciiTheme="majorHAnsi" w:hAnsiTheme="majorHAnsi"/>
          <w:sz w:val="20"/>
          <w:szCs w:val="20"/>
          <w:lang w:val="es-ES"/>
        </w:rPr>
        <w:t xml:space="preserve"> fue desestimado el 11 de enero de 2016.</w:t>
      </w:r>
    </w:p>
    <w:p w14:paraId="23E3EA52" w14:textId="77777777" w:rsidR="00953481" w:rsidRPr="00400DC5" w:rsidRDefault="00953481" w:rsidP="00953481">
      <w:pPr>
        <w:rPr>
          <w:rFonts w:asciiTheme="majorHAnsi" w:hAnsiTheme="majorHAnsi"/>
          <w:sz w:val="20"/>
          <w:szCs w:val="20"/>
          <w:lang w:val="es-ES"/>
        </w:rPr>
      </w:pPr>
    </w:p>
    <w:p w14:paraId="79A11298"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El 6 de febrero de 2012, la presunta víctima presentó una demanda al Tribunal de Distrito de Estados Unidos para el Distrito de Arizona </w:t>
      </w:r>
      <w:r>
        <w:rPr>
          <w:rFonts w:asciiTheme="majorHAnsi" w:hAnsiTheme="majorHAnsi"/>
          <w:sz w:val="20"/>
          <w:szCs w:val="20"/>
          <w:lang w:val="es-ES"/>
        </w:rPr>
        <w:t>impugnando</w:t>
      </w:r>
      <w:r w:rsidRPr="008536ED">
        <w:rPr>
          <w:rFonts w:asciiTheme="majorHAnsi" w:hAnsiTheme="majorHAnsi"/>
          <w:sz w:val="20"/>
          <w:szCs w:val="20"/>
          <w:lang w:val="es-ES"/>
        </w:rPr>
        <w:t xml:space="preserve"> </w:t>
      </w:r>
      <w:r>
        <w:rPr>
          <w:rFonts w:asciiTheme="majorHAnsi" w:hAnsiTheme="majorHAnsi"/>
          <w:sz w:val="20"/>
          <w:szCs w:val="20"/>
          <w:lang w:val="es-ES"/>
        </w:rPr>
        <w:t>la forma</w:t>
      </w:r>
      <w:r w:rsidRPr="008536ED">
        <w:rPr>
          <w:rFonts w:asciiTheme="majorHAnsi" w:hAnsiTheme="majorHAnsi"/>
          <w:sz w:val="20"/>
          <w:szCs w:val="20"/>
          <w:lang w:val="es-ES"/>
        </w:rPr>
        <w:t xml:space="preserve"> y los medios</w:t>
      </w:r>
      <w:r>
        <w:rPr>
          <w:rFonts w:asciiTheme="majorHAnsi" w:hAnsiTheme="majorHAnsi"/>
          <w:sz w:val="20"/>
          <w:szCs w:val="20"/>
          <w:lang w:val="es-ES"/>
        </w:rPr>
        <w:t xml:space="preserve"> de ejecución</w:t>
      </w:r>
      <w:r w:rsidRPr="008536ED">
        <w:rPr>
          <w:rFonts w:asciiTheme="majorHAnsi" w:hAnsiTheme="majorHAnsi"/>
          <w:sz w:val="20"/>
          <w:szCs w:val="20"/>
          <w:lang w:val="es-ES"/>
        </w:rPr>
        <w:t xml:space="preserve"> utilizados por el Departamento Correccional de Arizona para las ejecuciones.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afirm</w:t>
      </w:r>
      <w:r>
        <w:rPr>
          <w:rFonts w:asciiTheme="majorHAnsi" w:hAnsiTheme="majorHAnsi"/>
          <w:sz w:val="20"/>
          <w:szCs w:val="20"/>
          <w:lang w:val="es-ES"/>
        </w:rPr>
        <w:t>ó</w:t>
      </w:r>
      <w:r w:rsidRPr="008536ED">
        <w:rPr>
          <w:rFonts w:asciiTheme="majorHAnsi" w:hAnsiTheme="majorHAnsi"/>
          <w:sz w:val="20"/>
          <w:szCs w:val="20"/>
          <w:lang w:val="es-ES"/>
        </w:rPr>
        <w:t xml:space="preserve"> que el protocolo de 2012 para las ejecuciones </w:t>
      </w:r>
      <w:r>
        <w:rPr>
          <w:rFonts w:asciiTheme="majorHAnsi" w:hAnsiTheme="majorHAnsi"/>
          <w:sz w:val="20"/>
          <w:szCs w:val="20"/>
          <w:lang w:val="es-ES"/>
        </w:rPr>
        <w:t>eliminaba</w:t>
      </w:r>
      <w:r w:rsidRPr="008536ED">
        <w:rPr>
          <w:rFonts w:asciiTheme="majorHAnsi" w:hAnsiTheme="majorHAnsi"/>
          <w:sz w:val="20"/>
          <w:szCs w:val="20"/>
          <w:lang w:val="es-ES"/>
        </w:rPr>
        <w:t xml:space="preserve"> muchas</w:t>
      </w:r>
      <w:r>
        <w:rPr>
          <w:rFonts w:asciiTheme="majorHAnsi" w:hAnsiTheme="majorHAnsi"/>
          <w:sz w:val="20"/>
          <w:szCs w:val="20"/>
          <w:lang w:val="es-ES"/>
        </w:rPr>
        <w:t xml:space="preserve"> de las</w:t>
      </w:r>
      <w:r w:rsidRPr="008536ED">
        <w:rPr>
          <w:rFonts w:asciiTheme="majorHAnsi" w:hAnsiTheme="majorHAnsi"/>
          <w:sz w:val="20"/>
          <w:szCs w:val="20"/>
          <w:lang w:val="es-ES"/>
        </w:rPr>
        <w:t xml:space="preserve"> salvaguardias que </w:t>
      </w:r>
      <w:r>
        <w:rPr>
          <w:rFonts w:asciiTheme="majorHAnsi" w:hAnsiTheme="majorHAnsi"/>
          <w:sz w:val="20"/>
          <w:szCs w:val="20"/>
          <w:lang w:val="es-ES"/>
        </w:rPr>
        <w:t>se habían empleado</w:t>
      </w:r>
      <w:r w:rsidRPr="008536ED">
        <w:rPr>
          <w:rFonts w:asciiTheme="majorHAnsi" w:hAnsiTheme="majorHAnsi"/>
          <w:sz w:val="20"/>
          <w:szCs w:val="20"/>
          <w:lang w:val="es-ES"/>
        </w:rPr>
        <w:t xml:space="preserve"> anteriormente y que daba al director del Departamento Correccional de Arizona discreción ilimitada para determinar el método de ejecución</w:t>
      </w:r>
      <w:r>
        <w:rPr>
          <w:rFonts w:asciiTheme="majorHAnsi" w:hAnsiTheme="majorHAnsi"/>
          <w:sz w:val="20"/>
          <w:szCs w:val="20"/>
          <w:lang w:val="es-ES"/>
        </w:rPr>
        <w:t>, utilizando</w:t>
      </w:r>
      <w:r w:rsidRPr="008536ED">
        <w:rPr>
          <w:rFonts w:asciiTheme="majorHAnsi" w:hAnsiTheme="majorHAnsi"/>
          <w:sz w:val="20"/>
          <w:szCs w:val="20"/>
          <w:lang w:val="es-ES"/>
        </w:rPr>
        <w:t xml:space="preserve"> fármacos no aprobados por la Administración de Alimentos y Medicamentos</w:t>
      </w:r>
      <w:r w:rsidRPr="008536ED">
        <w:rPr>
          <w:rStyle w:val="FootnoteReference"/>
          <w:rFonts w:asciiTheme="majorHAnsi" w:hAnsiTheme="majorHAnsi"/>
          <w:sz w:val="20"/>
          <w:szCs w:val="20"/>
          <w:lang w:val="es-ES"/>
        </w:rPr>
        <w:footnoteReference w:id="38"/>
      </w:r>
      <w:r w:rsidRPr="008536ED">
        <w:rPr>
          <w:rFonts w:asciiTheme="majorHAnsi" w:hAnsiTheme="majorHAnsi"/>
          <w:sz w:val="20"/>
          <w:szCs w:val="20"/>
          <w:lang w:val="es-ES"/>
        </w:rPr>
        <w:t>. Según la información disponible, la demanda fue desestimada.</w:t>
      </w:r>
      <w:r w:rsidRPr="008536ED">
        <w:rPr>
          <w:rStyle w:val="FootnoteReference"/>
          <w:lang w:val="es-ES"/>
        </w:rPr>
        <w:t xml:space="preserve"> </w:t>
      </w:r>
    </w:p>
    <w:p w14:paraId="33534403" w14:textId="77777777" w:rsidR="00953481" w:rsidRPr="00400DC5"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1C64E50F" w14:textId="77777777" w:rsidR="00953481" w:rsidRPr="00953481" w:rsidRDefault="00953481" w:rsidP="00C341DD">
      <w:pPr>
        <w:pStyle w:val="Heading2"/>
        <w:keepLines/>
        <w:numPr>
          <w:ilvl w:val="0"/>
          <w:numId w:val="62"/>
        </w:numPr>
        <w:pBdr>
          <w:top w:val="nil"/>
          <w:left w:val="nil"/>
          <w:bottom w:val="nil"/>
          <w:right w:val="nil"/>
          <w:between w:val="nil"/>
          <w:bar w:val="nil"/>
        </w:pBdr>
        <w:tabs>
          <w:tab w:val="left" w:pos="360"/>
        </w:tabs>
        <w:spacing w:before="0" w:after="0"/>
        <w:ind w:left="0" w:firstLine="0"/>
        <w:rPr>
          <w:rFonts w:asciiTheme="majorHAnsi" w:hAnsiTheme="majorHAnsi"/>
          <w:i w:val="0"/>
          <w:sz w:val="20"/>
          <w:szCs w:val="20"/>
          <w:lang w:val="es-ES"/>
        </w:rPr>
      </w:pPr>
      <w:bookmarkStart w:id="19" w:name="_Toc90283142"/>
      <w:r w:rsidRPr="00953481">
        <w:rPr>
          <w:rFonts w:asciiTheme="majorHAnsi" w:hAnsiTheme="majorHAnsi"/>
          <w:i w:val="0"/>
          <w:sz w:val="20"/>
          <w:szCs w:val="20"/>
          <w:lang w:val="es-ES"/>
        </w:rPr>
        <w:t>Condiciones de detención</w:t>
      </w:r>
      <w:bookmarkEnd w:id="19"/>
    </w:p>
    <w:p w14:paraId="65B42C3D" w14:textId="77777777" w:rsidR="00953481" w:rsidRPr="008536ED" w:rsidRDefault="00953481" w:rsidP="00953481">
      <w:pPr>
        <w:rPr>
          <w:rFonts w:asciiTheme="majorHAnsi" w:hAnsiTheme="majorHAnsi"/>
          <w:sz w:val="20"/>
          <w:szCs w:val="20"/>
          <w:lang w:val="es-ES"/>
        </w:rPr>
      </w:pPr>
    </w:p>
    <w:p w14:paraId="4C121E6A" w14:textId="77777777" w:rsidR="00953481" w:rsidRPr="00B4645B"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La parte peticionaria</w:t>
      </w:r>
      <w:r w:rsidRPr="008536ED">
        <w:rPr>
          <w:rFonts w:asciiTheme="majorHAnsi" w:hAnsiTheme="majorHAnsi"/>
          <w:sz w:val="20"/>
          <w:szCs w:val="20"/>
          <w:lang w:val="es-ES"/>
        </w:rPr>
        <w:t xml:space="preserve"> aduce que, durante más de 20 años,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estuvo </w:t>
      </w:r>
      <w:r>
        <w:rPr>
          <w:rFonts w:asciiTheme="majorHAnsi" w:hAnsiTheme="majorHAnsi"/>
          <w:sz w:val="20"/>
          <w:szCs w:val="20"/>
          <w:lang w:val="es-ES"/>
        </w:rPr>
        <w:t xml:space="preserve">en régimen de aislamiento </w:t>
      </w:r>
      <w:r w:rsidRPr="008536ED">
        <w:rPr>
          <w:rFonts w:asciiTheme="majorHAnsi" w:hAnsiTheme="majorHAnsi"/>
          <w:sz w:val="20"/>
          <w:szCs w:val="20"/>
          <w:lang w:val="es-ES"/>
        </w:rPr>
        <w:t>en una celda sin ventana y sin luz natural</w:t>
      </w:r>
      <w:r w:rsidRPr="008536ED">
        <w:rPr>
          <w:rStyle w:val="FootnoteReference"/>
          <w:rFonts w:asciiTheme="majorHAnsi" w:hAnsiTheme="majorHAnsi"/>
          <w:sz w:val="20"/>
          <w:szCs w:val="20"/>
          <w:lang w:val="es-ES"/>
        </w:rPr>
        <w:footnoteReference w:id="39"/>
      </w:r>
      <w:r w:rsidRPr="008536ED">
        <w:rPr>
          <w:rFonts w:asciiTheme="majorHAnsi" w:hAnsiTheme="majorHAnsi"/>
          <w:sz w:val="20"/>
          <w:szCs w:val="20"/>
          <w:lang w:val="es-ES"/>
        </w:rPr>
        <w:t xml:space="preserve">, con la luz encendida incluso </w:t>
      </w:r>
      <w:r>
        <w:rPr>
          <w:rFonts w:asciiTheme="majorHAnsi" w:hAnsiTheme="majorHAnsi"/>
          <w:sz w:val="20"/>
          <w:szCs w:val="20"/>
          <w:lang w:val="es-ES"/>
        </w:rPr>
        <w:t>por la noche</w:t>
      </w:r>
      <w:r w:rsidRPr="008536ED">
        <w:rPr>
          <w:rStyle w:val="FootnoteReference"/>
          <w:rFonts w:asciiTheme="majorHAnsi" w:hAnsiTheme="majorHAnsi"/>
          <w:sz w:val="20"/>
          <w:szCs w:val="20"/>
          <w:lang w:val="es-ES"/>
        </w:rPr>
        <w:footnoteReference w:id="40"/>
      </w:r>
      <w:r w:rsidRPr="008536ED">
        <w:rPr>
          <w:rFonts w:asciiTheme="majorHAnsi" w:hAnsiTheme="majorHAnsi"/>
          <w:sz w:val="20"/>
          <w:szCs w:val="20"/>
          <w:lang w:val="es-ES"/>
        </w:rPr>
        <w:t xml:space="preserve">. </w:t>
      </w:r>
      <w:r>
        <w:rPr>
          <w:rFonts w:asciiTheme="majorHAnsi" w:hAnsiTheme="majorHAnsi"/>
          <w:sz w:val="20"/>
          <w:szCs w:val="20"/>
          <w:lang w:val="es-ES"/>
        </w:rPr>
        <w:t>A</w:t>
      </w:r>
      <w:r w:rsidRPr="008536ED">
        <w:rPr>
          <w:rFonts w:asciiTheme="majorHAnsi" w:hAnsiTheme="majorHAnsi"/>
          <w:sz w:val="20"/>
          <w:szCs w:val="20"/>
          <w:lang w:val="es-ES"/>
        </w:rPr>
        <w:t xml:space="preserve">grega que los </w:t>
      </w:r>
      <w:r>
        <w:rPr>
          <w:rFonts w:asciiTheme="majorHAnsi" w:hAnsiTheme="majorHAnsi"/>
          <w:sz w:val="20"/>
          <w:szCs w:val="20"/>
          <w:lang w:val="es-ES"/>
        </w:rPr>
        <w:t>internos</w:t>
      </w:r>
      <w:r w:rsidRPr="008536ED">
        <w:rPr>
          <w:rFonts w:asciiTheme="majorHAnsi" w:hAnsiTheme="majorHAnsi"/>
          <w:sz w:val="20"/>
          <w:szCs w:val="20"/>
          <w:lang w:val="es-ES"/>
        </w:rPr>
        <w:t xml:space="preserve"> podían salir de la celda solo tres veces por semana durante dos horas como máximo. El Estado no </w:t>
      </w:r>
      <w:r>
        <w:rPr>
          <w:rFonts w:asciiTheme="majorHAnsi" w:hAnsiTheme="majorHAnsi"/>
          <w:sz w:val="20"/>
          <w:szCs w:val="20"/>
          <w:lang w:val="es-ES"/>
        </w:rPr>
        <w:t xml:space="preserve">controvirtió </w:t>
      </w:r>
      <w:r w:rsidRPr="008536ED">
        <w:rPr>
          <w:rFonts w:asciiTheme="majorHAnsi" w:hAnsiTheme="majorHAnsi"/>
          <w:sz w:val="20"/>
          <w:szCs w:val="20"/>
          <w:lang w:val="es-ES"/>
        </w:rPr>
        <w:t xml:space="preserve">estas afirmaciones. </w:t>
      </w:r>
    </w:p>
    <w:p w14:paraId="6E25A4D1" w14:textId="77777777" w:rsidR="00953481" w:rsidRPr="00B4645B" w:rsidRDefault="00953481" w:rsidP="00953481">
      <w:pPr>
        <w:tabs>
          <w:tab w:val="left" w:pos="0"/>
        </w:tabs>
        <w:rPr>
          <w:rFonts w:asciiTheme="majorHAnsi" w:hAnsiTheme="majorHAnsi"/>
          <w:sz w:val="20"/>
          <w:szCs w:val="20"/>
          <w:lang w:val="es-ES"/>
        </w:rPr>
      </w:pPr>
    </w:p>
    <w:p w14:paraId="3530DDBD"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63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Según la información disponible, en la Unidad </w:t>
      </w:r>
      <w:proofErr w:type="spellStart"/>
      <w:r w:rsidRPr="008536ED">
        <w:rPr>
          <w:rFonts w:asciiTheme="majorHAnsi" w:hAnsiTheme="majorHAnsi"/>
          <w:sz w:val="20"/>
          <w:szCs w:val="20"/>
          <w:lang w:val="es-ES"/>
        </w:rPr>
        <w:t>Eyman</w:t>
      </w:r>
      <w:proofErr w:type="spellEnd"/>
      <w:r w:rsidRPr="008536ED">
        <w:rPr>
          <w:rFonts w:asciiTheme="majorHAnsi" w:hAnsiTheme="majorHAnsi"/>
          <w:sz w:val="20"/>
          <w:szCs w:val="20"/>
          <w:lang w:val="es-ES"/>
        </w:rPr>
        <w:t xml:space="preserve"> del Complejo Penitenciario del Estado de Arizona no se administran medicamentos regularmente</w:t>
      </w:r>
      <w:r w:rsidRPr="008536ED">
        <w:rPr>
          <w:rStyle w:val="FootnoteReference"/>
          <w:rFonts w:asciiTheme="majorHAnsi" w:hAnsiTheme="majorHAnsi"/>
          <w:sz w:val="20"/>
          <w:szCs w:val="20"/>
          <w:lang w:val="es-ES"/>
        </w:rPr>
        <w:footnoteReference w:id="41"/>
      </w:r>
      <w:r w:rsidRPr="008536ED">
        <w:rPr>
          <w:rFonts w:asciiTheme="majorHAnsi" w:hAnsiTheme="majorHAnsi"/>
          <w:sz w:val="20"/>
          <w:szCs w:val="20"/>
          <w:lang w:val="es-ES"/>
        </w:rPr>
        <w:t xml:space="preserve"> y </w:t>
      </w:r>
      <w:r>
        <w:rPr>
          <w:rFonts w:asciiTheme="majorHAnsi" w:hAnsiTheme="majorHAnsi"/>
          <w:sz w:val="20"/>
          <w:szCs w:val="20"/>
          <w:lang w:val="es-ES"/>
        </w:rPr>
        <w:t xml:space="preserve">no hay suficiente </w:t>
      </w:r>
      <w:r w:rsidRPr="008536ED">
        <w:rPr>
          <w:rFonts w:asciiTheme="majorHAnsi" w:hAnsiTheme="majorHAnsi"/>
          <w:sz w:val="20"/>
          <w:szCs w:val="20"/>
          <w:lang w:val="es-ES"/>
        </w:rPr>
        <w:t>personal competente especializado en salud mental</w:t>
      </w:r>
      <w:r w:rsidRPr="008536ED">
        <w:rPr>
          <w:rStyle w:val="FootnoteReference"/>
          <w:rFonts w:asciiTheme="majorHAnsi" w:hAnsiTheme="majorHAnsi"/>
          <w:sz w:val="20"/>
          <w:szCs w:val="20"/>
          <w:lang w:val="es-ES"/>
        </w:rPr>
        <w:footnoteReference w:id="42"/>
      </w:r>
      <w:r w:rsidRPr="008536ED">
        <w:rPr>
          <w:rFonts w:asciiTheme="majorHAnsi" w:hAnsiTheme="majorHAnsi"/>
          <w:sz w:val="20"/>
          <w:szCs w:val="20"/>
          <w:lang w:val="es-ES"/>
        </w:rPr>
        <w:t xml:space="preserve">. Según los informes de un psiquiatra y un experto en medicina penitenciaria presentados </w:t>
      </w:r>
      <w:r>
        <w:rPr>
          <w:rFonts w:asciiTheme="majorHAnsi" w:hAnsiTheme="majorHAnsi"/>
          <w:sz w:val="20"/>
          <w:szCs w:val="20"/>
          <w:lang w:val="es-ES"/>
        </w:rPr>
        <w:t xml:space="preserve">ante los </w:t>
      </w:r>
      <w:r w:rsidRPr="008536ED">
        <w:rPr>
          <w:rFonts w:asciiTheme="majorHAnsi" w:hAnsiTheme="majorHAnsi"/>
          <w:sz w:val="20"/>
          <w:szCs w:val="20"/>
          <w:lang w:val="es-ES"/>
        </w:rPr>
        <w:t xml:space="preserve">tribunales </w:t>
      </w:r>
      <w:r>
        <w:rPr>
          <w:rFonts w:asciiTheme="majorHAnsi" w:hAnsiTheme="majorHAnsi"/>
          <w:sz w:val="20"/>
          <w:szCs w:val="20"/>
          <w:lang w:val="es-ES"/>
        </w:rPr>
        <w:t>nacionales</w:t>
      </w:r>
      <w:r w:rsidRPr="008536ED">
        <w:rPr>
          <w:rFonts w:asciiTheme="majorHAnsi" w:hAnsiTheme="majorHAnsi"/>
          <w:sz w:val="20"/>
          <w:szCs w:val="20"/>
          <w:lang w:val="es-ES"/>
        </w:rPr>
        <w:t xml:space="preserve">, </w:t>
      </w:r>
      <w:r>
        <w:rPr>
          <w:rFonts w:asciiTheme="majorHAnsi" w:hAnsiTheme="majorHAnsi"/>
          <w:sz w:val="20"/>
          <w:szCs w:val="20"/>
          <w:lang w:val="es-ES"/>
        </w:rPr>
        <w:t>“</w:t>
      </w:r>
      <w:r w:rsidRPr="008536ED">
        <w:rPr>
          <w:rFonts w:asciiTheme="majorHAnsi" w:hAnsiTheme="majorHAnsi"/>
          <w:sz w:val="20"/>
          <w:szCs w:val="20"/>
          <w:lang w:val="es-ES"/>
        </w:rPr>
        <w:t xml:space="preserve">no se </w:t>
      </w:r>
      <w:r>
        <w:rPr>
          <w:rFonts w:asciiTheme="majorHAnsi" w:hAnsiTheme="majorHAnsi"/>
          <w:sz w:val="20"/>
          <w:szCs w:val="20"/>
          <w:lang w:val="es-ES"/>
        </w:rPr>
        <w:t>atiende</w:t>
      </w:r>
      <w:r w:rsidRPr="008536ED">
        <w:rPr>
          <w:rFonts w:asciiTheme="majorHAnsi" w:hAnsiTheme="majorHAnsi"/>
          <w:sz w:val="20"/>
          <w:szCs w:val="20"/>
          <w:lang w:val="es-ES"/>
        </w:rPr>
        <w:t xml:space="preserve"> a los pacientes con intervalos apropiados, los encuentros con los pacientes son </w:t>
      </w:r>
      <w:r>
        <w:rPr>
          <w:rFonts w:asciiTheme="majorHAnsi" w:hAnsiTheme="majorHAnsi"/>
          <w:sz w:val="20"/>
          <w:szCs w:val="20"/>
          <w:lang w:val="es-ES"/>
        </w:rPr>
        <w:t>insu</w:t>
      </w:r>
      <w:r w:rsidRPr="008536ED">
        <w:rPr>
          <w:rFonts w:asciiTheme="majorHAnsi" w:hAnsiTheme="majorHAnsi"/>
          <w:sz w:val="20"/>
          <w:szCs w:val="20"/>
          <w:lang w:val="es-ES"/>
        </w:rPr>
        <w:t>ficientes (por ejemplo, no se hacen exámenes del estado de salud mental ni evaluaciones del riesgo de suicidio) y l</w:t>
      </w:r>
      <w:r>
        <w:rPr>
          <w:rFonts w:asciiTheme="majorHAnsi" w:hAnsiTheme="majorHAnsi"/>
          <w:sz w:val="20"/>
          <w:szCs w:val="20"/>
          <w:lang w:val="es-ES"/>
        </w:rPr>
        <w:t>a documentación en el historial</w:t>
      </w:r>
      <w:r w:rsidRPr="008536ED">
        <w:rPr>
          <w:rFonts w:asciiTheme="majorHAnsi" w:hAnsiTheme="majorHAnsi"/>
          <w:sz w:val="20"/>
          <w:szCs w:val="20"/>
          <w:lang w:val="es-ES"/>
        </w:rPr>
        <w:t xml:space="preserve"> médico </w:t>
      </w:r>
      <w:r>
        <w:rPr>
          <w:rFonts w:asciiTheme="majorHAnsi" w:hAnsiTheme="majorHAnsi"/>
          <w:sz w:val="20"/>
          <w:szCs w:val="20"/>
          <w:lang w:val="es-ES"/>
        </w:rPr>
        <w:t>es inadecuada</w:t>
      </w:r>
      <w:r w:rsidRPr="008536ED">
        <w:rPr>
          <w:rStyle w:val="FootnoteReference"/>
          <w:rFonts w:asciiTheme="majorHAnsi" w:hAnsiTheme="majorHAnsi"/>
          <w:sz w:val="20"/>
          <w:szCs w:val="20"/>
          <w:lang w:val="es-ES"/>
        </w:rPr>
        <w:footnoteReference w:id="43"/>
      </w:r>
      <w:r>
        <w:rPr>
          <w:rFonts w:asciiTheme="majorHAnsi" w:hAnsiTheme="majorHAnsi"/>
          <w:sz w:val="20"/>
          <w:szCs w:val="20"/>
          <w:lang w:val="es-ES"/>
        </w:rPr>
        <w:t>”</w:t>
      </w:r>
      <w:r w:rsidRPr="008536ED">
        <w:rPr>
          <w:rFonts w:asciiTheme="majorHAnsi" w:hAnsiTheme="majorHAnsi"/>
          <w:sz w:val="20"/>
          <w:szCs w:val="20"/>
          <w:lang w:val="es-ES"/>
        </w:rPr>
        <w:t xml:space="preserve">. Además, </w:t>
      </w:r>
      <w:r>
        <w:rPr>
          <w:rFonts w:asciiTheme="majorHAnsi" w:hAnsiTheme="majorHAnsi"/>
          <w:sz w:val="20"/>
          <w:szCs w:val="20"/>
          <w:lang w:val="es-ES"/>
        </w:rPr>
        <w:t>“</w:t>
      </w:r>
      <w:r w:rsidRPr="008536ED">
        <w:rPr>
          <w:rFonts w:asciiTheme="majorHAnsi" w:hAnsiTheme="majorHAnsi"/>
          <w:sz w:val="20"/>
          <w:szCs w:val="20"/>
          <w:lang w:val="es-ES"/>
        </w:rPr>
        <w:t xml:space="preserve">los servicios de salud mental proporcionados por el Departamento Correccional de Arizona y las condiciones de reclusión de los presos con enfermedades mentales </w:t>
      </w:r>
      <w:r>
        <w:rPr>
          <w:rFonts w:asciiTheme="majorHAnsi" w:hAnsiTheme="majorHAnsi"/>
          <w:sz w:val="20"/>
          <w:szCs w:val="20"/>
          <w:lang w:val="es-ES"/>
        </w:rPr>
        <w:t xml:space="preserve">están por debajo de los estándares de atención </w:t>
      </w:r>
      <w:r w:rsidRPr="008536ED">
        <w:rPr>
          <w:rFonts w:asciiTheme="majorHAnsi" w:hAnsiTheme="majorHAnsi"/>
          <w:sz w:val="20"/>
          <w:szCs w:val="20"/>
          <w:lang w:val="es-ES"/>
        </w:rPr>
        <w:t xml:space="preserve">y crean un riesgo </w:t>
      </w:r>
      <w:r>
        <w:rPr>
          <w:rFonts w:asciiTheme="majorHAnsi" w:hAnsiTheme="majorHAnsi"/>
          <w:sz w:val="20"/>
          <w:szCs w:val="20"/>
          <w:lang w:val="es-ES"/>
        </w:rPr>
        <w:t>sustancial</w:t>
      </w:r>
      <w:r w:rsidRPr="008536ED">
        <w:rPr>
          <w:rFonts w:asciiTheme="majorHAnsi" w:hAnsiTheme="majorHAnsi"/>
          <w:sz w:val="20"/>
          <w:szCs w:val="20"/>
          <w:lang w:val="es-ES"/>
        </w:rPr>
        <w:t xml:space="preserve"> de </w:t>
      </w:r>
      <w:r>
        <w:rPr>
          <w:rFonts w:asciiTheme="majorHAnsi" w:hAnsiTheme="majorHAnsi"/>
          <w:sz w:val="20"/>
          <w:szCs w:val="20"/>
          <w:lang w:val="es-ES"/>
        </w:rPr>
        <w:t>daño</w:t>
      </w:r>
      <w:r w:rsidRPr="008536ED">
        <w:rPr>
          <w:rFonts w:asciiTheme="majorHAnsi" w:hAnsiTheme="majorHAnsi"/>
          <w:sz w:val="20"/>
          <w:szCs w:val="20"/>
          <w:lang w:val="es-ES"/>
        </w:rPr>
        <w:t xml:space="preserve"> grave o muerte</w:t>
      </w:r>
      <w:r w:rsidRPr="008536ED">
        <w:rPr>
          <w:rStyle w:val="FootnoteReference"/>
          <w:rFonts w:asciiTheme="majorHAnsi" w:hAnsiTheme="majorHAnsi"/>
          <w:sz w:val="20"/>
          <w:szCs w:val="20"/>
          <w:lang w:val="es-ES"/>
        </w:rPr>
        <w:footnoteReference w:id="44"/>
      </w:r>
      <w:r>
        <w:rPr>
          <w:rFonts w:asciiTheme="majorHAnsi" w:hAnsiTheme="majorHAnsi"/>
          <w:sz w:val="20"/>
          <w:szCs w:val="20"/>
          <w:lang w:val="es-ES"/>
        </w:rPr>
        <w:t>”</w:t>
      </w:r>
      <w:r w:rsidRPr="008536ED">
        <w:rPr>
          <w:rFonts w:asciiTheme="majorHAnsi" w:hAnsiTheme="majorHAnsi"/>
          <w:sz w:val="20"/>
          <w:szCs w:val="20"/>
          <w:lang w:val="es-ES"/>
        </w:rPr>
        <w:t>.</w:t>
      </w:r>
    </w:p>
    <w:p w14:paraId="2EB76039" w14:textId="77777777" w:rsidR="00953481" w:rsidRPr="00400DC5" w:rsidRDefault="00953481" w:rsidP="00953481">
      <w:pPr>
        <w:rPr>
          <w:rFonts w:asciiTheme="majorHAnsi" w:hAnsiTheme="majorHAnsi"/>
          <w:sz w:val="20"/>
          <w:szCs w:val="20"/>
          <w:lang w:val="es-ES"/>
        </w:rPr>
      </w:pPr>
    </w:p>
    <w:p w14:paraId="4BF325E6" w14:textId="77777777" w:rsidR="00953481" w:rsidRPr="00953481" w:rsidRDefault="00953481" w:rsidP="00C341DD">
      <w:pPr>
        <w:pStyle w:val="Heading2"/>
        <w:keepLines/>
        <w:numPr>
          <w:ilvl w:val="0"/>
          <w:numId w:val="62"/>
        </w:numPr>
        <w:pBdr>
          <w:top w:val="nil"/>
          <w:left w:val="nil"/>
          <w:bottom w:val="nil"/>
          <w:right w:val="nil"/>
          <w:between w:val="nil"/>
          <w:bar w:val="nil"/>
        </w:pBdr>
        <w:tabs>
          <w:tab w:val="left" w:pos="360"/>
        </w:tabs>
        <w:spacing w:before="0" w:after="0"/>
        <w:ind w:left="0" w:firstLine="0"/>
        <w:rPr>
          <w:rFonts w:asciiTheme="majorHAnsi" w:hAnsiTheme="majorHAnsi"/>
          <w:i w:val="0"/>
          <w:sz w:val="20"/>
          <w:szCs w:val="20"/>
          <w:lang w:val="es-ES"/>
        </w:rPr>
      </w:pPr>
      <w:bookmarkStart w:id="20" w:name="_Toc90283143"/>
      <w:r w:rsidRPr="00953481">
        <w:rPr>
          <w:rFonts w:asciiTheme="majorHAnsi" w:hAnsiTheme="majorHAnsi"/>
          <w:i w:val="0"/>
          <w:sz w:val="20"/>
          <w:szCs w:val="20"/>
          <w:lang w:val="es-ES"/>
        </w:rPr>
        <w:lastRenderedPageBreak/>
        <w:t>Método de ejecución</w:t>
      </w:r>
      <w:bookmarkEnd w:id="20"/>
    </w:p>
    <w:p w14:paraId="4A01D56D"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43658D84"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El protocolo actual del Departamento Correccional de Arizona dispone lo siguiente</w:t>
      </w:r>
      <w:r w:rsidRPr="008536ED">
        <w:rPr>
          <w:rStyle w:val="FootnoteReference"/>
          <w:rFonts w:asciiTheme="majorHAnsi" w:hAnsiTheme="majorHAnsi"/>
          <w:sz w:val="20"/>
          <w:szCs w:val="20"/>
          <w:lang w:val="es-ES"/>
        </w:rPr>
        <w:footnoteReference w:id="45"/>
      </w:r>
      <w:r w:rsidRPr="008536ED">
        <w:rPr>
          <w:rFonts w:asciiTheme="majorHAnsi" w:hAnsiTheme="majorHAnsi"/>
          <w:sz w:val="20"/>
          <w:szCs w:val="20"/>
          <w:lang w:val="es-ES"/>
        </w:rPr>
        <w:t xml:space="preserve">: </w:t>
      </w:r>
    </w:p>
    <w:p w14:paraId="29F2CF68"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630B8313"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360" w:right="360"/>
        <w:jc w:val="both"/>
        <w:rPr>
          <w:rFonts w:asciiTheme="majorHAnsi" w:hAnsiTheme="majorHAnsi"/>
          <w:sz w:val="18"/>
          <w:szCs w:val="18"/>
          <w:lang w:val="es-ES"/>
        </w:rPr>
      </w:pPr>
      <w:r w:rsidRPr="008536ED">
        <w:rPr>
          <w:rFonts w:asciiTheme="majorHAnsi" w:hAnsiTheme="majorHAnsi"/>
          <w:sz w:val="18"/>
          <w:szCs w:val="18"/>
          <w:lang w:val="es-ES"/>
        </w:rPr>
        <w:t xml:space="preserve">A continuación se presentan cuadros para todos los protocolos químicos. El </w:t>
      </w:r>
      <w:proofErr w:type="gramStart"/>
      <w:r w:rsidRPr="008536ED">
        <w:rPr>
          <w:rFonts w:asciiTheme="majorHAnsi" w:hAnsiTheme="majorHAnsi"/>
          <w:sz w:val="18"/>
          <w:szCs w:val="18"/>
          <w:lang w:val="es-ES"/>
        </w:rPr>
        <w:t>Director</w:t>
      </w:r>
      <w:proofErr w:type="gramEnd"/>
      <w:r w:rsidRPr="008536ED">
        <w:rPr>
          <w:rFonts w:asciiTheme="majorHAnsi" w:hAnsiTheme="majorHAnsi"/>
          <w:sz w:val="18"/>
          <w:szCs w:val="18"/>
          <w:lang w:val="es-ES"/>
        </w:rPr>
        <w:t xml:space="preserve"> tendrá plena discreción para decidir qué protocolo farmacológico se usará para la ejecución programada. Esta decisión se comunicará por escrito al recluso y a</w:t>
      </w:r>
      <w:r>
        <w:rPr>
          <w:rFonts w:asciiTheme="majorHAnsi" w:hAnsiTheme="majorHAnsi"/>
          <w:sz w:val="18"/>
          <w:szCs w:val="18"/>
          <w:lang w:val="es-ES"/>
        </w:rPr>
        <w:t xml:space="preserve">l </w:t>
      </w:r>
      <w:r w:rsidRPr="008536ED">
        <w:rPr>
          <w:rFonts w:asciiTheme="majorHAnsi" w:hAnsiTheme="majorHAnsi"/>
          <w:sz w:val="18"/>
          <w:szCs w:val="18"/>
          <w:lang w:val="es-ES"/>
        </w:rPr>
        <w:t xml:space="preserve">abogado patrocinante en el momento en que el </w:t>
      </w:r>
      <w:r>
        <w:rPr>
          <w:rFonts w:asciiTheme="majorHAnsi" w:hAnsiTheme="majorHAnsi"/>
          <w:sz w:val="18"/>
          <w:szCs w:val="18"/>
          <w:lang w:val="es-ES"/>
        </w:rPr>
        <w:t>e</w:t>
      </w:r>
      <w:r w:rsidRPr="008536ED">
        <w:rPr>
          <w:rFonts w:asciiTheme="majorHAnsi" w:hAnsiTheme="majorHAnsi"/>
          <w:sz w:val="18"/>
          <w:szCs w:val="18"/>
          <w:lang w:val="es-ES"/>
        </w:rPr>
        <w:t>stado presente una solicitud de orden de ejecución a la Corte Suprema de Arizona. Si el Departamento cons</w:t>
      </w:r>
      <w:r>
        <w:rPr>
          <w:rFonts w:asciiTheme="majorHAnsi" w:hAnsiTheme="majorHAnsi"/>
          <w:sz w:val="18"/>
          <w:szCs w:val="18"/>
          <w:lang w:val="es-ES"/>
        </w:rPr>
        <w:t xml:space="preserve">igue </w:t>
      </w:r>
      <w:r w:rsidRPr="008536ED">
        <w:rPr>
          <w:rFonts w:asciiTheme="majorHAnsi" w:hAnsiTheme="majorHAnsi"/>
          <w:sz w:val="18"/>
          <w:szCs w:val="18"/>
          <w:lang w:val="es-ES"/>
        </w:rPr>
        <w:t xml:space="preserve">pentobarbital en cantidad y de calidad suficiente para utilizar el protocolo de un solo fármaco con pentobarbital que consta en el cuadro A, el </w:t>
      </w:r>
      <w:proofErr w:type="gramStart"/>
      <w:r w:rsidRPr="008536ED">
        <w:rPr>
          <w:rFonts w:asciiTheme="majorHAnsi" w:hAnsiTheme="majorHAnsi"/>
          <w:sz w:val="18"/>
          <w:szCs w:val="18"/>
          <w:lang w:val="es-ES"/>
        </w:rPr>
        <w:t>Director</w:t>
      </w:r>
      <w:proofErr w:type="gramEnd"/>
      <w:r w:rsidRPr="008536ED">
        <w:rPr>
          <w:rFonts w:asciiTheme="majorHAnsi" w:hAnsiTheme="majorHAnsi"/>
          <w:sz w:val="18"/>
          <w:szCs w:val="18"/>
          <w:lang w:val="es-ES"/>
        </w:rPr>
        <w:t xml:space="preserve"> utilizará dicho protocolo para la ejecución. Si el Departamento no consigue pentobarbital, pero puede conseguir pentotal sódico en cantidad y de calidad suficiente para utilizar el protocolo de un solo fármaco con pentotal sódico que consta en el cuadro B, el </w:t>
      </w:r>
      <w:proofErr w:type="gramStart"/>
      <w:r w:rsidRPr="008536ED">
        <w:rPr>
          <w:rFonts w:asciiTheme="majorHAnsi" w:hAnsiTheme="majorHAnsi"/>
          <w:sz w:val="18"/>
          <w:szCs w:val="18"/>
          <w:lang w:val="es-ES"/>
        </w:rPr>
        <w:t>Director</w:t>
      </w:r>
      <w:proofErr w:type="gramEnd"/>
      <w:r w:rsidRPr="008536ED">
        <w:rPr>
          <w:rFonts w:asciiTheme="majorHAnsi" w:hAnsiTheme="majorHAnsi"/>
          <w:sz w:val="18"/>
          <w:szCs w:val="18"/>
          <w:lang w:val="es-ES"/>
        </w:rPr>
        <w:t xml:space="preserve"> utilizará dicho protocolo para la ejecución.</w:t>
      </w:r>
    </w:p>
    <w:p w14:paraId="4BB055E1"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46DB7ABF"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Según información de dominio público, Joseph Wood fue ejecutado en Arizona en 2014 con 15 dosis de un cóctel de dos fármacos (midazolam e hidromorfona) administrado </w:t>
      </w:r>
      <w:r>
        <w:rPr>
          <w:rFonts w:asciiTheme="majorHAnsi" w:hAnsiTheme="majorHAnsi"/>
          <w:sz w:val="20"/>
          <w:szCs w:val="20"/>
          <w:lang w:val="es-ES"/>
        </w:rPr>
        <w:t xml:space="preserve">durante </w:t>
      </w:r>
      <w:r w:rsidRPr="008536ED">
        <w:rPr>
          <w:rFonts w:asciiTheme="majorHAnsi" w:hAnsiTheme="majorHAnsi"/>
          <w:sz w:val="20"/>
          <w:szCs w:val="20"/>
          <w:lang w:val="es-ES"/>
        </w:rPr>
        <w:t>un período de dos horas. Esta ejecución dio lugar a un juicio en el cual se impugnó la forma en que el estado aplicaba la pena de muerte y se puso de relieve la dificultad para encontrar fármacos para inyecciones letales. Posteriormente, un juez federal ordenó la suspensión de las ejecuciones en Arizona. El 22 de junio de 2017, el juez levantó la suspensión tras un acuerdo entre el Departamento Correccional y el abogado de</w:t>
      </w:r>
      <w:r>
        <w:rPr>
          <w:rFonts w:asciiTheme="majorHAnsi" w:hAnsiTheme="majorHAnsi"/>
          <w:sz w:val="20"/>
          <w:szCs w:val="20"/>
          <w:lang w:val="es-ES"/>
        </w:rPr>
        <w:t xml:space="preserve"> </w:t>
      </w:r>
      <w:r w:rsidRPr="008536ED">
        <w:rPr>
          <w:rFonts w:asciiTheme="majorHAnsi" w:hAnsiTheme="majorHAnsi"/>
          <w:sz w:val="20"/>
          <w:szCs w:val="20"/>
          <w:lang w:val="es-ES"/>
        </w:rPr>
        <w:t>l</w:t>
      </w:r>
      <w:r>
        <w:rPr>
          <w:rFonts w:asciiTheme="majorHAnsi" w:hAnsiTheme="majorHAnsi"/>
          <w:sz w:val="20"/>
          <w:szCs w:val="20"/>
          <w:lang w:val="es-ES"/>
        </w:rPr>
        <w:t>os</w:t>
      </w:r>
      <w:r w:rsidRPr="008536ED">
        <w:rPr>
          <w:rFonts w:asciiTheme="majorHAnsi" w:hAnsiTheme="majorHAnsi"/>
          <w:sz w:val="20"/>
          <w:szCs w:val="20"/>
          <w:lang w:val="es-ES"/>
        </w:rPr>
        <w:t xml:space="preserve"> recluso</w:t>
      </w:r>
      <w:r>
        <w:rPr>
          <w:rFonts w:asciiTheme="majorHAnsi" w:hAnsiTheme="majorHAnsi"/>
          <w:sz w:val="20"/>
          <w:szCs w:val="20"/>
          <w:lang w:val="es-ES"/>
        </w:rPr>
        <w:t>s</w:t>
      </w:r>
      <w:r w:rsidRPr="008536ED">
        <w:rPr>
          <w:rFonts w:asciiTheme="majorHAnsi" w:hAnsiTheme="majorHAnsi"/>
          <w:sz w:val="20"/>
          <w:szCs w:val="20"/>
          <w:lang w:val="es-ES"/>
        </w:rPr>
        <w:t xml:space="preserve">. El 26 de julio de 2019, el </w:t>
      </w:r>
      <w:r>
        <w:rPr>
          <w:rFonts w:asciiTheme="majorHAnsi" w:hAnsiTheme="majorHAnsi"/>
          <w:sz w:val="20"/>
          <w:szCs w:val="20"/>
          <w:lang w:val="es-ES"/>
        </w:rPr>
        <w:t xml:space="preserve">Procurador General </w:t>
      </w:r>
      <w:r w:rsidRPr="008536ED">
        <w:rPr>
          <w:rFonts w:asciiTheme="majorHAnsi" w:hAnsiTheme="majorHAnsi"/>
          <w:sz w:val="20"/>
          <w:szCs w:val="20"/>
          <w:lang w:val="es-ES"/>
        </w:rPr>
        <w:t xml:space="preserve">de Arizona envió una carta al </w:t>
      </w:r>
      <w:r>
        <w:rPr>
          <w:rFonts w:asciiTheme="majorHAnsi" w:hAnsiTheme="majorHAnsi"/>
          <w:sz w:val="20"/>
          <w:szCs w:val="20"/>
          <w:lang w:val="es-ES"/>
        </w:rPr>
        <w:t>G</w:t>
      </w:r>
      <w:r w:rsidRPr="008536ED">
        <w:rPr>
          <w:rFonts w:asciiTheme="majorHAnsi" w:hAnsiTheme="majorHAnsi"/>
          <w:sz w:val="20"/>
          <w:szCs w:val="20"/>
          <w:lang w:val="es-ES"/>
        </w:rPr>
        <w:t>obernador de</w:t>
      </w:r>
      <w:r>
        <w:rPr>
          <w:rFonts w:asciiTheme="majorHAnsi" w:hAnsiTheme="majorHAnsi"/>
          <w:sz w:val="20"/>
          <w:szCs w:val="20"/>
          <w:lang w:val="es-ES"/>
        </w:rPr>
        <w:t xml:space="preserve"> Arizona</w:t>
      </w:r>
      <w:r w:rsidRPr="008536ED">
        <w:rPr>
          <w:rFonts w:asciiTheme="majorHAnsi" w:hAnsiTheme="majorHAnsi"/>
          <w:sz w:val="20"/>
          <w:szCs w:val="20"/>
          <w:lang w:val="es-ES"/>
        </w:rPr>
        <w:t xml:space="preserve"> para indicar que, con la terminación del juicio, ya no quedaban barreras </w:t>
      </w:r>
      <w:r>
        <w:rPr>
          <w:rFonts w:asciiTheme="majorHAnsi" w:hAnsiTheme="majorHAnsi"/>
          <w:sz w:val="20"/>
          <w:szCs w:val="20"/>
          <w:lang w:val="es-ES"/>
        </w:rPr>
        <w:t>legale</w:t>
      </w:r>
      <w:r w:rsidRPr="008536ED">
        <w:rPr>
          <w:rFonts w:asciiTheme="majorHAnsi" w:hAnsiTheme="majorHAnsi"/>
          <w:sz w:val="20"/>
          <w:szCs w:val="20"/>
          <w:lang w:val="es-ES"/>
        </w:rPr>
        <w:t xml:space="preserve">s para </w:t>
      </w:r>
      <w:r>
        <w:rPr>
          <w:rFonts w:asciiTheme="majorHAnsi" w:hAnsiTheme="majorHAnsi"/>
          <w:sz w:val="20"/>
          <w:szCs w:val="20"/>
          <w:lang w:val="es-ES"/>
        </w:rPr>
        <w:t xml:space="preserve">llevar a cabo </w:t>
      </w:r>
      <w:r w:rsidRPr="008536ED">
        <w:rPr>
          <w:rFonts w:asciiTheme="majorHAnsi" w:hAnsiTheme="majorHAnsi"/>
          <w:sz w:val="20"/>
          <w:szCs w:val="20"/>
          <w:lang w:val="es-ES"/>
        </w:rPr>
        <w:t xml:space="preserve">las ejecuciones y que, en una opinión </w:t>
      </w:r>
      <w:r>
        <w:rPr>
          <w:rFonts w:asciiTheme="majorHAnsi" w:hAnsiTheme="majorHAnsi"/>
          <w:sz w:val="20"/>
          <w:szCs w:val="20"/>
          <w:lang w:val="es-ES"/>
        </w:rPr>
        <w:t>reciente,</w:t>
      </w:r>
      <w:r w:rsidRPr="008536ED">
        <w:rPr>
          <w:rFonts w:asciiTheme="majorHAnsi" w:hAnsiTheme="majorHAnsi"/>
          <w:sz w:val="20"/>
          <w:szCs w:val="20"/>
          <w:lang w:val="es-ES"/>
        </w:rPr>
        <w:t xml:space="preserve"> el Departamento de Justicia de Estados Unidos había allanado el camino para que los estados importaran pentobarbital. No hay información sobre la fecha de la próxima ejecución</w:t>
      </w:r>
      <w:r w:rsidRPr="008536ED">
        <w:rPr>
          <w:rStyle w:val="FootnoteReference"/>
          <w:rFonts w:asciiTheme="majorHAnsi" w:hAnsiTheme="majorHAnsi"/>
          <w:sz w:val="20"/>
          <w:szCs w:val="20"/>
          <w:lang w:val="es-ES"/>
        </w:rPr>
        <w:footnoteReference w:id="46"/>
      </w:r>
      <w:r w:rsidRPr="008536ED">
        <w:rPr>
          <w:rFonts w:asciiTheme="majorHAnsi" w:hAnsiTheme="majorHAnsi"/>
          <w:sz w:val="20"/>
          <w:szCs w:val="20"/>
          <w:lang w:val="es-ES"/>
        </w:rPr>
        <w:t>.</w:t>
      </w:r>
    </w:p>
    <w:p w14:paraId="6D00BB57" w14:textId="77777777" w:rsidR="00953481" w:rsidRPr="00953481"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1440"/>
        </w:tabs>
        <w:suppressAutoHyphens/>
        <w:jc w:val="both"/>
        <w:rPr>
          <w:rFonts w:asciiTheme="majorHAnsi" w:hAnsiTheme="majorHAnsi"/>
          <w:sz w:val="20"/>
          <w:szCs w:val="20"/>
          <w:lang w:val="es-ES"/>
        </w:rPr>
      </w:pPr>
    </w:p>
    <w:p w14:paraId="501FDD29" w14:textId="77777777" w:rsidR="00953481" w:rsidRPr="00953481" w:rsidRDefault="00953481" w:rsidP="00953481">
      <w:pPr>
        <w:pStyle w:val="Heading1"/>
        <w:tabs>
          <w:tab w:val="left" w:pos="360"/>
        </w:tabs>
        <w:spacing w:before="0"/>
        <w:ind w:hanging="720"/>
        <w:rPr>
          <w:color w:val="auto"/>
          <w:sz w:val="20"/>
          <w:szCs w:val="20"/>
          <w:lang w:val="es-ES"/>
        </w:rPr>
      </w:pPr>
      <w:bookmarkStart w:id="21" w:name="_Toc90283144"/>
      <w:r w:rsidRPr="00953481">
        <w:rPr>
          <w:color w:val="auto"/>
          <w:sz w:val="20"/>
          <w:szCs w:val="20"/>
          <w:lang w:val="es-ES"/>
        </w:rPr>
        <w:t>ANÁLISIS DE DERECHO</w:t>
      </w:r>
      <w:bookmarkEnd w:id="21"/>
    </w:p>
    <w:p w14:paraId="71743EBD" w14:textId="77777777" w:rsidR="00953481" w:rsidRPr="00953481" w:rsidRDefault="00953481" w:rsidP="00953481">
      <w:pPr>
        <w:rPr>
          <w:rFonts w:asciiTheme="majorHAnsi" w:hAnsiTheme="majorHAnsi"/>
          <w:sz w:val="20"/>
          <w:szCs w:val="20"/>
          <w:lang w:val="es-ES"/>
        </w:rPr>
      </w:pPr>
    </w:p>
    <w:p w14:paraId="1397D87E" w14:textId="77777777" w:rsidR="00953481" w:rsidRPr="00953481" w:rsidRDefault="00953481" w:rsidP="00C341DD">
      <w:pPr>
        <w:pStyle w:val="Heading2"/>
        <w:keepLines/>
        <w:numPr>
          <w:ilvl w:val="0"/>
          <w:numId w:val="61"/>
        </w:numPr>
        <w:pBdr>
          <w:top w:val="nil"/>
          <w:left w:val="nil"/>
          <w:bottom w:val="nil"/>
          <w:right w:val="nil"/>
          <w:between w:val="nil"/>
          <w:bar w:val="nil"/>
        </w:pBdr>
        <w:tabs>
          <w:tab w:val="left" w:pos="360"/>
        </w:tabs>
        <w:spacing w:before="0" w:after="0"/>
        <w:ind w:left="0" w:firstLine="0"/>
        <w:rPr>
          <w:rFonts w:asciiTheme="majorHAnsi" w:hAnsiTheme="majorHAnsi"/>
          <w:i w:val="0"/>
          <w:sz w:val="20"/>
          <w:szCs w:val="20"/>
          <w:lang w:val="es-ES"/>
        </w:rPr>
      </w:pPr>
      <w:bookmarkStart w:id="22" w:name="_Toc90283145"/>
      <w:r w:rsidRPr="00953481">
        <w:rPr>
          <w:rFonts w:asciiTheme="majorHAnsi" w:hAnsiTheme="majorHAnsi"/>
          <w:i w:val="0"/>
          <w:sz w:val="20"/>
          <w:szCs w:val="20"/>
          <w:lang w:val="es-ES"/>
        </w:rPr>
        <w:t>Consideraciones preliminares</w:t>
      </w:r>
      <w:bookmarkEnd w:id="22"/>
    </w:p>
    <w:p w14:paraId="435908C1" w14:textId="77777777" w:rsidR="00953481" w:rsidRPr="00953481" w:rsidRDefault="00953481" w:rsidP="00953481">
      <w:pPr>
        <w:rPr>
          <w:rFonts w:asciiTheme="majorHAnsi" w:hAnsiTheme="majorHAnsi"/>
          <w:sz w:val="20"/>
          <w:szCs w:val="20"/>
          <w:lang w:val="es-ES"/>
        </w:rPr>
      </w:pPr>
    </w:p>
    <w:p w14:paraId="49B1A9AE" w14:textId="77777777" w:rsidR="00953481" w:rsidRPr="008536ED" w:rsidRDefault="00953481" w:rsidP="00C341DD">
      <w:pPr>
        <w:pStyle w:val="parrafos"/>
        <w:numPr>
          <w:ilvl w:val="0"/>
          <w:numId w:val="55"/>
        </w:numPr>
        <w:ind w:left="0" w:firstLine="0"/>
        <w:rPr>
          <w:lang w:val="es-ES"/>
        </w:rPr>
      </w:pPr>
      <w:r w:rsidRPr="008536ED">
        <w:rPr>
          <w:lang w:val="es-ES"/>
        </w:rPr>
        <w:t xml:space="preserve">Antes de embarcarse en un análisis del fondo en el caso de Pete Carl </w:t>
      </w:r>
      <w:proofErr w:type="spellStart"/>
      <w:r w:rsidRPr="008536ED">
        <w:rPr>
          <w:lang w:val="es-ES"/>
        </w:rPr>
        <w:t>Rogovich</w:t>
      </w:r>
      <w:proofErr w:type="spellEnd"/>
      <w:r w:rsidRPr="008536ED">
        <w:rPr>
          <w:lang w:val="es-ES"/>
        </w:rPr>
        <w:t xml:space="preserve">, la Comisión Interamericana cree que debe reiterar sus </w:t>
      </w:r>
      <w:r>
        <w:rPr>
          <w:lang w:val="es-ES"/>
        </w:rPr>
        <w:t>conclusiones</w:t>
      </w:r>
      <w:r w:rsidRPr="008536ED">
        <w:rPr>
          <w:lang w:val="es-ES"/>
        </w:rPr>
        <w:t xml:space="preserve"> anteriores con respecto al escrutinio riguroso que debe efectuarse en los casos de delitos punibles con la pena de muerte. El derecho a la vida ha sido ampliamente reconocido como el derecho humano supremo y como </w:t>
      </w:r>
      <w:r w:rsidRPr="008536ED">
        <w:rPr>
          <w:i/>
          <w:iCs/>
          <w:lang w:val="es-ES"/>
        </w:rPr>
        <w:t>sine qua non</w:t>
      </w:r>
      <w:r w:rsidRPr="008536ED">
        <w:rPr>
          <w:lang w:val="es-ES"/>
        </w:rPr>
        <w:t xml:space="preserve"> para el goce de los demás derechos. </w:t>
      </w:r>
    </w:p>
    <w:p w14:paraId="3FC762AF"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5F21B1AF" w14:textId="77777777" w:rsidR="00953481" w:rsidRPr="008536ED" w:rsidRDefault="00953481" w:rsidP="00C341DD">
      <w:pPr>
        <w:pStyle w:val="parrafos"/>
        <w:numPr>
          <w:ilvl w:val="0"/>
          <w:numId w:val="55"/>
        </w:numPr>
        <w:ind w:left="0" w:firstLine="0"/>
        <w:rPr>
          <w:lang w:val="es-ES"/>
        </w:rPr>
      </w:pPr>
      <w:r w:rsidRPr="008536ED">
        <w:rPr>
          <w:lang w:val="es-ES"/>
        </w:rPr>
        <w:t>De ahí la particular importancia de la obligación de la CIDH de cerciorarse de que toda denegación de la vida que surja de la aplicación de la pena de muerte se ciña estrictamente a los requisitos establecidos en los instrumentos pertinentes del sistema interamericano de derechos humanos, entre ellos la Declaración Americana. Ese escrutinio riguroso es compatible con el enfoque restrictivo adoptado por otros órganos internacionales de derechos humanos en casos de pena de muerte</w:t>
      </w:r>
      <w:r w:rsidRPr="008536ED">
        <w:rPr>
          <w:rStyle w:val="FootnoteReference"/>
          <w:lang w:val="es-ES"/>
        </w:rPr>
        <w:footnoteReference w:id="47"/>
      </w:r>
      <w:r>
        <w:rPr>
          <w:lang w:val="es-ES"/>
        </w:rPr>
        <w:t>,</w:t>
      </w:r>
      <w:r w:rsidRPr="008536ED">
        <w:rPr>
          <w:rFonts w:ascii="Cambria" w:hAnsi="Cambria" w:cs="Segoe UI"/>
          <w:color w:val="auto"/>
          <w:sz w:val="24"/>
          <w:szCs w:val="24"/>
          <w:lang w:val="es-ES"/>
        </w:rPr>
        <w:t xml:space="preserve"> </w:t>
      </w:r>
      <w:r w:rsidRPr="008536ED">
        <w:rPr>
          <w:lang w:val="es-ES"/>
        </w:rPr>
        <w:t>y la Comisión lo ha expuesto y aplicado en casos anteriores de pena de muerte que llegaron ante ella</w:t>
      </w:r>
      <w:r w:rsidRPr="008536ED">
        <w:rPr>
          <w:rStyle w:val="FootnoteReference"/>
          <w:lang w:val="es-ES"/>
        </w:rPr>
        <w:footnoteReference w:id="48"/>
      </w:r>
      <w:r w:rsidRPr="008536ED">
        <w:rPr>
          <w:lang w:val="es-ES"/>
        </w:rPr>
        <w:t xml:space="preserve">. </w:t>
      </w:r>
      <w:r w:rsidRPr="008536ED">
        <w:rPr>
          <w:rFonts w:ascii="Cambria" w:hAnsi="Cambria" w:cs="Segoe UI"/>
          <w:lang w:val="es-ES"/>
        </w:rPr>
        <w:t xml:space="preserve">Tal como ha explicado la Comisión, esta norma de </w:t>
      </w:r>
      <w:r w:rsidRPr="008536ED">
        <w:rPr>
          <w:rFonts w:ascii="Cambria" w:hAnsi="Cambria" w:cs="Segoe UI"/>
          <w:lang w:val="es-ES"/>
        </w:rPr>
        <w:lastRenderedPageBreak/>
        <w:t xml:space="preserve">análisis es una consecuencia necesaria de la </w:t>
      </w:r>
      <w:r>
        <w:rPr>
          <w:rFonts w:ascii="Cambria" w:hAnsi="Cambria" w:cs="Segoe UI"/>
          <w:lang w:val="es-ES"/>
        </w:rPr>
        <w:t>pena en cuestión</w:t>
      </w:r>
      <w:r w:rsidRPr="008536ED">
        <w:rPr>
          <w:rFonts w:ascii="Cambria" w:hAnsi="Cambria" w:cs="Segoe UI"/>
          <w:lang w:val="es-ES"/>
        </w:rPr>
        <w:t xml:space="preserve"> y </w:t>
      </w:r>
      <w:r>
        <w:rPr>
          <w:rFonts w:ascii="Cambria" w:hAnsi="Cambria" w:cs="Segoe UI"/>
          <w:lang w:val="es-ES"/>
        </w:rPr>
        <w:t>d</w:t>
      </w:r>
      <w:r w:rsidRPr="008536ED">
        <w:rPr>
          <w:rFonts w:ascii="Cambria" w:hAnsi="Cambria" w:cs="Segoe UI"/>
          <w:lang w:val="es-ES"/>
        </w:rPr>
        <w:t>el derecho a un juicio imparcial y a todas las garantías concomitantes del debido proceso, entre otras cosas</w:t>
      </w:r>
      <w:r w:rsidRPr="008536ED">
        <w:rPr>
          <w:rStyle w:val="FootnoteReference"/>
          <w:lang w:val="es-ES"/>
        </w:rPr>
        <w:footnoteReference w:id="49"/>
      </w:r>
      <w:r w:rsidRPr="008536ED">
        <w:rPr>
          <w:lang w:val="es-ES"/>
        </w:rPr>
        <w:t>.</w:t>
      </w:r>
      <w:r>
        <w:rPr>
          <w:lang w:val="es-ES"/>
        </w:rPr>
        <w:t xml:space="preserve"> </w:t>
      </w:r>
      <w:r w:rsidRPr="008536ED">
        <w:rPr>
          <w:lang w:val="es-ES"/>
        </w:rPr>
        <w:t>Según la Comisión:</w:t>
      </w:r>
    </w:p>
    <w:p w14:paraId="2AAA65CF" w14:textId="77777777" w:rsidR="00953481" w:rsidRPr="00400DC5" w:rsidRDefault="00953481" w:rsidP="00953481">
      <w:pPr>
        <w:rPr>
          <w:sz w:val="20"/>
          <w:szCs w:val="20"/>
          <w:lang w:val="es-ES"/>
        </w:rPr>
      </w:pPr>
    </w:p>
    <w:p w14:paraId="66108ADE" w14:textId="77777777" w:rsidR="00953481" w:rsidRPr="008536ED" w:rsidRDefault="00953481" w:rsidP="00953481">
      <w:pPr>
        <w:autoSpaceDE w:val="0"/>
        <w:autoSpaceDN w:val="0"/>
        <w:adjustRightInd w:val="0"/>
        <w:ind w:left="360" w:right="360"/>
        <w:jc w:val="both"/>
        <w:rPr>
          <w:rFonts w:ascii="Cambria" w:hAnsi="Cambria" w:cs="Calibri"/>
          <w:sz w:val="18"/>
          <w:szCs w:val="18"/>
          <w:lang w:val="es-ES"/>
        </w:rPr>
      </w:pPr>
      <w:r w:rsidRPr="008536ED">
        <w:rPr>
          <w:rFonts w:ascii="Cambria" w:hAnsi="Cambria" w:cs="Calibri"/>
          <w:sz w:val="18"/>
          <w:szCs w:val="18"/>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8536ED">
        <w:rPr>
          <w:rStyle w:val="FootnoteReference"/>
          <w:rFonts w:ascii="Cambria" w:hAnsi="Cambria"/>
          <w:sz w:val="18"/>
          <w:szCs w:val="18"/>
          <w:lang w:val="es-ES"/>
        </w:rPr>
        <w:footnoteReference w:id="50"/>
      </w:r>
      <w:r w:rsidRPr="008536ED">
        <w:rPr>
          <w:rFonts w:ascii="Cambria" w:hAnsi="Cambria" w:cs="Calibri"/>
          <w:sz w:val="18"/>
          <w:szCs w:val="18"/>
          <w:lang w:val="es-ES"/>
        </w:rPr>
        <w:t>.</w:t>
      </w:r>
    </w:p>
    <w:p w14:paraId="23AC4A3B" w14:textId="77777777" w:rsidR="00953481" w:rsidRPr="008536ED" w:rsidRDefault="00953481" w:rsidP="00953481">
      <w:pPr>
        <w:jc w:val="both"/>
        <w:rPr>
          <w:rFonts w:ascii="Cambria" w:hAnsi="Cambria"/>
          <w:sz w:val="20"/>
          <w:szCs w:val="20"/>
          <w:lang w:val="es-ES"/>
        </w:rPr>
      </w:pPr>
    </w:p>
    <w:p w14:paraId="23A87C46"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lang w:val="es-ES"/>
        </w:rPr>
      </w:pPr>
      <w:r w:rsidRPr="008536ED">
        <w:rPr>
          <w:rFonts w:asciiTheme="majorHAnsi" w:hAnsiTheme="majorHAnsi"/>
          <w:sz w:val="20"/>
          <w:szCs w:val="20"/>
          <w:lang w:val="es-ES"/>
        </w:rPr>
        <w:t>Por lo tanto, la Comisión Interamericana examinará los argumentos de l</w:t>
      </w:r>
      <w:r>
        <w:rPr>
          <w:rFonts w:asciiTheme="majorHAnsi" w:hAnsiTheme="majorHAnsi"/>
          <w:sz w:val="20"/>
          <w:szCs w:val="20"/>
          <w:lang w:val="es-ES"/>
        </w:rPr>
        <w:t>a</w:t>
      </w:r>
      <w:r w:rsidRPr="008536ED">
        <w:rPr>
          <w:rFonts w:asciiTheme="majorHAnsi" w:hAnsiTheme="majorHAnsi"/>
          <w:sz w:val="20"/>
          <w:szCs w:val="20"/>
          <w:lang w:val="es-ES"/>
        </w:rPr>
        <w:t xml:space="preserve"> peticionari</w:t>
      </w:r>
      <w:r>
        <w:rPr>
          <w:rFonts w:asciiTheme="majorHAnsi" w:hAnsiTheme="majorHAnsi"/>
          <w:sz w:val="20"/>
          <w:szCs w:val="20"/>
          <w:lang w:val="es-ES"/>
        </w:rPr>
        <w:t>a</w:t>
      </w:r>
      <w:r w:rsidRPr="008536ED">
        <w:rPr>
          <w:rFonts w:asciiTheme="majorHAnsi" w:hAnsiTheme="majorHAnsi"/>
          <w:sz w:val="20"/>
          <w:szCs w:val="20"/>
          <w:lang w:val="es-ES"/>
        </w:rPr>
        <w:t xml:space="preserve"> en el caso de autos con un criterio riguroso a fin de cerciorarse en particular de que el Estado haya respetado el derecho a la vida, el derecho a no recibir un castigo cruel, infamante o inusitado, el derecho al debido proceso y el derecho a un juicio imparcial establecidos en la Declaración Americana. En cuanto a la condición jurídica de la Declaración Americana</w:t>
      </w:r>
      <w:r w:rsidRPr="008536ED">
        <w:rPr>
          <w:rFonts w:ascii="Cambria" w:hAnsi="Cambria"/>
          <w:sz w:val="20"/>
          <w:lang w:val="es-ES"/>
        </w:rPr>
        <w:t>, la CIDH reitera lo siguiente</w:t>
      </w:r>
      <w:r w:rsidRPr="008536ED">
        <w:rPr>
          <w:rStyle w:val="FootnoteReference"/>
          <w:rFonts w:ascii="Cambria" w:hAnsi="Cambria"/>
          <w:sz w:val="20"/>
          <w:szCs w:val="20"/>
          <w:lang w:val="es-ES"/>
        </w:rPr>
        <w:footnoteReference w:id="51"/>
      </w:r>
      <w:r>
        <w:rPr>
          <w:rFonts w:ascii="Cambria" w:hAnsi="Cambria"/>
          <w:sz w:val="20"/>
          <w:lang w:val="es-ES"/>
        </w:rPr>
        <w:t>:</w:t>
      </w:r>
    </w:p>
    <w:p w14:paraId="11B43DCF" w14:textId="77777777" w:rsidR="00953481" w:rsidRPr="008536ED" w:rsidRDefault="00953481" w:rsidP="00953481">
      <w:pPr>
        <w:tabs>
          <w:tab w:val="left" w:pos="630"/>
          <w:tab w:val="left" w:pos="810"/>
        </w:tabs>
        <w:autoSpaceDE w:val="0"/>
        <w:autoSpaceDN w:val="0"/>
        <w:adjustRightInd w:val="0"/>
        <w:jc w:val="both"/>
        <w:rPr>
          <w:rFonts w:ascii="Cambria" w:hAnsi="Cambria" w:cs="Calibri"/>
          <w:sz w:val="20"/>
          <w:szCs w:val="20"/>
          <w:lang w:val="es-ES"/>
        </w:rPr>
      </w:pPr>
    </w:p>
    <w:p w14:paraId="4AB3E067" w14:textId="77777777" w:rsidR="00953481" w:rsidRPr="008536ED" w:rsidRDefault="00953481" w:rsidP="00953481">
      <w:pPr>
        <w:tabs>
          <w:tab w:val="left" w:pos="630"/>
          <w:tab w:val="left" w:pos="810"/>
        </w:tabs>
        <w:autoSpaceDE w:val="0"/>
        <w:autoSpaceDN w:val="0"/>
        <w:adjustRightInd w:val="0"/>
        <w:ind w:left="360" w:right="360"/>
        <w:jc w:val="both"/>
        <w:rPr>
          <w:rFonts w:ascii="Cambria" w:hAnsi="Cambria" w:cs="Calibri"/>
          <w:sz w:val="18"/>
          <w:szCs w:val="18"/>
          <w:lang w:val="es-ES"/>
        </w:rPr>
      </w:pPr>
      <w:r w:rsidRPr="008536ED">
        <w:rPr>
          <w:rFonts w:ascii="Cambria" w:hAnsi="Cambria"/>
          <w:sz w:val="18"/>
          <w:szCs w:val="18"/>
          <w:lang w:val="es-ES"/>
        </w:rPr>
        <w:t>Para los Estados Miembros que no son parte de la Convención Americana, la Declaración es la fuente de obligaciones internacionales relacionadas con la Carta de la OEA. La Carta de la Organización confirió a la CIDH la función principal de promover la observancia y la protección de los derechos humanos en los Estados Miembros. El artículo 106 de la Carta de la OEA, sin embargo, no enumera o define esos derechos. La Asamblea General de la OEA, en su noveno período ordinario de sesiones celebrado en La Paz, Bolivia, en octubre de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p>
    <w:p w14:paraId="71B49DB7" w14:textId="77777777" w:rsidR="00953481" w:rsidRPr="008536ED" w:rsidRDefault="00953481" w:rsidP="00953481">
      <w:pPr>
        <w:rPr>
          <w:sz w:val="20"/>
          <w:szCs w:val="20"/>
          <w:lang w:val="es-ES"/>
        </w:rPr>
      </w:pPr>
    </w:p>
    <w:p w14:paraId="39136E91"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ES"/>
        </w:rPr>
      </w:pPr>
      <w:r w:rsidRPr="008536ED">
        <w:rPr>
          <w:rFonts w:asciiTheme="majorHAnsi" w:hAnsiTheme="majorHAnsi"/>
          <w:sz w:val="20"/>
          <w:lang w:val="es-ES"/>
        </w:rPr>
        <w:t>Por último, la Comisión recuerda que su examen no consiste en determinar que la pena de muerte en sí infringe la Declaración Americana. Lo que se aborda en este apartado es la norma aplicable al examen de las presuntas violaciones de derechos humanos en el contexto de un juicio que culminó con la imposición de la pena de muerte.</w:t>
      </w:r>
    </w:p>
    <w:p w14:paraId="0D40DF85" w14:textId="77777777" w:rsidR="00953481" w:rsidRPr="004D0C30" w:rsidRDefault="00953481" w:rsidP="00953481">
      <w:pPr>
        <w:rPr>
          <w:lang w:val="es-ES"/>
        </w:rPr>
      </w:pPr>
    </w:p>
    <w:p w14:paraId="0CCB97E8" w14:textId="77777777" w:rsidR="00953481" w:rsidRPr="00953481" w:rsidRDefault="00953481" w:rsidP="00C341DD">
      <w:pPr>
        <w:pStyle w:val="Heading2"/>
        <w:keepLines/>
        <w:numPr>
          <w:ilvl w:val="0"/>
          <w:numId w:val="61"/>
        </w:numPr>
        <w:pBdr>
          <w:top w:val="nil"/>
          <w:left w:val="nil"/>
          <w:bottom w:val="nil"/>
          <w:right w:val="nil"/>
          <w:between w:val="nil"/>
          <w:bar w:val="nil"/>
        </w:pBdr>
        <w:tabs>
          <w:tab w:val="left" w:pos="360"/>
        </w:tabs>
        <w:spacing w:before="0" w:after="0"/>
        <w:ind w:left="0" w:firstLine="0"/>
        <w:jc w:val="both"/>
        <w:rPr>
          <w:rFonts w:asciiTheme="majorHAnsi" w:hAnsiTheme="majorHAnsi"/>
          <w:i w:val="0"/>
          <w:sz w:val="20"/>
          <w:szCs w:val="20"/>
          <w:lang w:val="es-ES"/>
        </w:rPr>
      </w:pPr>
      <w:bookmarkStart w:id="23" w:name="_Toc90283146"/>
      <w:r w:rsidRPr="00953481">
        <w:rPr>
          <w:rFonts w:asciiTheme="majorHAnsi" w:hAnsiTheme="majorHAnsi"/>
          <w:i w:val="0"/>
          <w:sz w:val="20"/>
          <w:szCs w:val="20"/>
          <w:lang w:val="es-ES"/>
        </w:rPr>
        <w:t>Derecho de justicia</w:t>
      </w:r>
      <w:r w:rsidRPr="00953481">
        <w:rPr>
          <w:rStyle w:val="FootnoteReference"/>
          <w:rFonts w:asciiTheme="majorHAnsi" w:hAnsiTheme="majorHAnsi"/>
          <w:i w:val="0"/>
          <w:sz w:val="20"/>
          <w:szCs w:val="20"/>
          <w:lang w:val="es-ES"/>
        </w:rPr>
        <w:footnoteReference w:id="52"/>
      </w:r>
      <w:r w:rsidRPr="00953481">
        <w:rPr>
          <w:rFonts w:asciiTheme="majorHAnsi" w:hAnsiTheme="majorHAnsi"/>
          <w:i w:val="0"/>
          <w:sz w:val="20"/>
          <w:szCs w:val="20"/>
          <w:lang w:val="es-ES"/>
        </w:rPr>
        <w:t>, derecho de petición</w:t>
      </w:r>
      <w:r w:rsidRPr="00953481">
        <w:rPr>
          <w:rStyle w:val="FootnoteReference"/>
          <w:rFonts w:asciiTheme="majorHAnsi" w:hAnsiTheme="majorHAnsi"/>
          <w:i w:val="0"/>
          <w:sz w:val="20"/>
          <w:szCs w:val="20"/>
          <w:lang w:val="es-ES"/>
        </w:rPr>
        <w:footnoteReference w:id="53"/>
      </w:r>
      <w:r w:rsidRPr="00953481">
        <w:rPr>
          <w:rFonts w:asciiTheme="majorHAnsi" w:hAnsiTheme="majorHAnsi"/>
          <w:i w:val="0"/>
          <w:sz w:val="20"/>
          <w:szCs w:val="20"/>
          <w:lang w:val="es-ES"/>
        </w:rPr>
        <w:t xml:space="preserve"> y derecho a proceso regular</w:t>
      </w:r>
      <w:r w:rsidRPr="00953481">
        <w:rPr>
          <w:rStyle w:val="FootnoteReference"/>
          <w:rFonts w:asciiTheme="majorHAnsi" w:hAnsiTheme="majorHAnsi"/>
          <w:i w:val="0"/>
          <w:sz w:val="20"/>
          <w:szCs w:val="20"/>
          <w:lang w:val="es-ES"/>
        </w:rPr>
        <w:footnoteReference w:id="54"/>
      </w:r>
      <w:bookmarkEnd w:id="23"/>
      <w:r w:rsidRPr="00953481">
        <w:rPr>
          <w:rFonts w:asciiTheme="majorHAnsi" w:hAnsiTheme="majorHAnsi"/>
          <w:i w:val="0"/>
          <w:sz w:val="20"/>
          <w:szCs w:val="20"/>
          <w:lang w:val="es-ES"/>
        </w:rPr>
        <w:t xml:space="preserve"> </w:t>
      </w:r>
    </w:p>
    <w:p w14:paraId="798F67A9" w14:textId="77777777" w:rsidR="00953481" w:rsidRPr="00953481"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0D88AA12" w14:textId="77777777" w:rsidR="00953481" w:rsidRPr="00953481" w:rsidRDefault="00953481" w:rsidP="00C341DD">
      <w:pPr>
        <w:pStyle w:val="Heading3"/>
        <w:keepLines/>
        <w:numPr>
          <w:ilvl w:val="1"/>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24" w:name="_Toc90283147"/>
      <w:r w:rsidRPr="00953481">
        <w:rPr>
          <w:rFonts w:asciiTheme="majorHAnsi" w:hAnsiTheme="majorHAnsi"/>
          <w:sz w:val="20"/>
          <w:szCs w:val="20"/>
          <w:lang w:val="es-ES"/>
        </w:rPr>
        <w:t>Asistencia letrada de oficio ineficaz</w:t>
      </w:r>
      <w:bookmarkEnd w:id="24"/>
      <w:r w:rsidRPr="00953481">
        <w:rPr>
          <w:rFonts w:asciiTheme="majorHAnsi" w:hAnsiTheme="majorHAnsi"/>
          <w:sz w:val="20"/>
          <w:szCs w:val="20"/>
          <w:lang w:val="es-ES"/>
        </w:rPr>
        <w:t xml:space="preserve"> </w:t>
      </w:r>
    </w:p>
    <w:p w14:paraId="4EF128C3"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b/>
          <w:sz w:val="20"/>
          <w:szCs w:val="20"/>
          <w:lang w:val="es-ES"/>
        </w:rPr>
      </w:pPr>
    </w:p>
    <w:p w14:paraId="14B5B1D6"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8536ED">
        <w:rPr>
          <w:rFonts w:asciiTheme="majorHAnsi" w:hAnsiTheme="majorHAnsi"/>
          <w:sz w:val="20"/>
          <w:szCs w:val="20"/>
          <w:lang w:val="es-ES"/>
        </w:rPr>
        <w:t>La representación legal adecuada es un componente fundamental del derecho de justicia. La CIDH ha determinado que “[e]l derecho al debido proceso y al juicio justo incluye el derecho a recursos adecuados para la preparación de la defensa y a una adecuada asistencia legal”</w:t>
      </w:r>
      <w:r w:rsidRPr="008536ED">
        <w:rPr>
          <w:rStyle w:val="FootnoteReference"/>
          <w:rFonts w:asciiTheme="majorHAnsi" w:eastAsia="Arial Unicode MS" w:hAnsiTheme="majorHAnsi"/>
          <w:sz w:val="20"/>
          <w:szCs w:val="20"/>
          <w:bdr w:val="nil"/>
          <w:lang w:val="es-ES"/>
        </w:rPr>
        <w:footnoteReference w:id="55"/>
      </w:r>
      <w:r w:rsidRPr="008536ED">
        <w:rPr>
          <w:rFonts w:asciiTheme="majorHAnsi" w:hAnsiTheme="majorHAnsi"/>
          <w:sz w:val="20"/>
          <w:szCs w:val="20"/>
          <w:lang w:val="es-ES"/>
        </w:rPr>
        <w:t>. Según la Comisión, “[e]l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 éstas están obligadas a intervenir [...]. El cumplimiento rigoroso del derecho de recibir patrocinio letrado competente es impuesto por la posibilidad de la aplicación de la pena de muerte”</w:t>
      </w:r>
      <w:r w:rsidRPr="008536ED">
        <w:rPr>
          <w:rStyle w:val="FootnoteReference"/>
          <w:rFonts w:asciiTheme="majorHAnsi" w:eastAsia="Arial Unicode MS" w:hAnsiTheme="majorHAnsi"/>
          <w:sz w:val="20"/>
          <w:szCs w:val="20"/>
          <w:bdr w:val="nil"/>
          <w:lang w:val="es-ES"/>
        </w:rPr>
        <w:footnoteReference w:id="56"/>
      </w:r>
      <w:r w:rsidRPr="008536ED">
        <w:rPr>
          <w:rFonts w:asciiTheme="majorHAnsi" w:hAnsiTheme="majorHAnsi"/>
          <w:sz w:val="20"/>
          <w:szCs w:val="20"/>
          <w:lang w:val="es-ES"/>
        </w:rPr>
        <w:t>.</w:t>
      </w:r>
    </w:p>
    <w:p w14:paraId="19740EEC"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146D45B5"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Style w:val="FootnoteReference"/>
          <w:rFonts w:asciiTheme="majorHAnsi" w:hAnsiTheme="majorHAnsi"/>
          <w:sz w:val="20"/>
          <w:szCs w:val="20"/>
          <w:lang w:val="es-ES"/>
        </w:rPr>
      </w:pPr>
      <w:r w:rsidRPr="008536ED">
        <w:rPr>
          <w:rFonts w:ascii="Cambria" w:hAnsi="Cambria"/>
          <w:sz w:val="20"/>
          <w:szCs w:val="20"/>
          <w:lang w:val="es-ES"/>
        </w:rPr>
        <w:lastRenderedPageBreak/>
        <w:t xml:space="preserve">El nombramiento de un abogado por el Estado no asegura </w:t>
      </w:r>
      <w:r>
        <w:rPr>
          <w:rFonts w:ascii="Cambria" w:hAnsi="Cambria"/>
          <w:sz w:val="20"/>
          <w:szCs w:val="20"/>
          <w:lang w:val="es-ES"/>
        </w:rPr>
        <w:t xml:space="preserve">de por sí </w:t>
      </w:r>
      <w:r w:rsidRPr="008536ED">
        <w:rPr>
          <w:rFonts w:ascii="Cambria" w:hAnsi="Cambria"/>
          <w:sz w:val="20"/>
          <w:szCs w:val="20"/>
          <w:lang w:val="es-ES"/>
        </w:rPr>
        <w:t>una asistencia letrada eficaz. Al mismo tiempo, aunque el Estado debe asegurar que tal asistencia sea eficaz, no es responsable de lo que pueda entenderse como decisiones sobre la estrategia o de cada deficiencia posible. En cambio, la Comisión debe determinar si la asistencia del abogado fue eficaz en el contexto general del proceso, teniendo en cuenta los intereses particulares en juego. En el caso de autos, uno de los intereses en juego era la posibilidad de la aplicación de la pena de muerte, de modo que la asistencia letrada debe evaluarse en ese contexto</w:t>
      </w:r>
      <w:r w:rsidRPr="008536ED">
        <w:rPr>
          <w:rStyle w:val="FootnoteReference"/>
          <w:rFonts w:asciiTheme="majorHAnsi" w:hAnsiTheme="majorHAnsi"/>
          <w:sz w:val="20"/>
          <w:szCs w:val="20"/>
          <w:lang w:val="es-ES"/>
        </w:rPr>
        <w:footnoteReference w:id="57"/>
      </w:r>
      <w:r w:rsidRPr="008536ED">
        <w:rPr>
          <w:rFonts w:ascii="Cambria" w:hAnsi="Cambria"/>
          <w:sz w:val="20"/>
          <w:szCs w:val="20"/>
          <w:lang w:val="es-ES"/>
        </w:rPr>
        <w:t>.</w:t>
      </w:r>
    </w:p>
    <w:p w14:paraId="3F17FFA7" w14:textId="77777777" w:rsidR="00953481" w:rsidRPr="00400DC5" w:rsidRDefault="00953481" w:rsidP="00953481">
      <w:pPr>
        <w:rPr>
          <w:sz w:val="20"/>
          <w:szCs w:val="20"/>
          <w:lang w:val="es-ES"/>
        </w:rPr>
      </w:pPr>
    </w:p>
    <w:p w14:paraId="16B78DC6"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8536ED">
        <w:rPr>
          <w:rFonts w:ascii="Cambria" w:hAnsi="Cambria"/>
          <w:sz w:val="20"/>
          <w:szCs w:val="20"/>
          <w:lang w:val="es-ES"/>
        </w:rPr>
        <w:t>La Comisión ha establecido que “los requisitos fundamentales de debido proceso en el caso de juicios por delitos punibles con la pena capital incluyen la obligación de suministrar a un acusado la posibilidad plena y justa de presentar pruebas atenuantes para que se consideren al determinar si la pena de muerte constituye la sanción apropiada a las circunstancias de su caso”</w:t>
      </w:r>
      <w:r w:rsidRPr="008536ED">
        <w:rPr>
          <w:rStyle w:val="FootnoteReference"/>
          <w:rFonts w:asciiTheme="majorHAnsi" w:hAnsiTheme="majorHAnsi"/>
          <w:sz w:val="20"/>
          <w:lang w:val="es-ES"/>
        </w:rPr>
        <w:footnoteReference w:id="58"/>
      </w:r>
      <w:r w:rsidRPr="008536ED">
        <w:rPr>
          <w:rFonts w:ascii="Cambria" w:hAnsi="Cambria"/>
          <w:sz w:val="20"/>
          <w:szCs w:val="20"/>
          <w:lang w:val="es-ES"/>
        </w:rPr>
        <w:t xml:space="preserve">. La Comisión también ha indicado que, de acuerdo con la Declaración, las garantías del debido proceso: </w:t>
      </w:r>
    </w:p>
    <w:p w14:paraId="1AC6B22F" w14:textId="77777777" w:rsidR="00953481" w:rsidRPr="008536ED" w:rsidRDefault="00953481" w:rsidP="00953481">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jc w:val="both"/>
        <w:rPr>
          <w:rFonts w:ascii="Cambria" w:hAnsi="Cambria"/>
          <w:sz w:val="20"/>
          <w:szCs w:val="20"/>
          <w:lang w:val="es-ES"/>
        </w:rPr>
      </w:pPr>
    </w:p>
    <w:p w14:paraId="53AE72F7" w14:textId="77777777" w:rsidR="00953481" w:rsidRPr="008536ED" w:rsidRDefault="00953481" w:rsidP="00953481">
      <w:pPr>
        <w:pBdr>
          <w:top w:val="none" w:sz="0" w:space="0" w:color="auto"/>
          <w:left w:val="none" w:sz="0" w:space="0" w:color="auto"/>
          <w:bottom w:val="none" w:sz="0" w:space="0" w:color="auto"/>
          <w:right w:val="none" w:sz="0" w:space="0" w:color="auto"/>
          <w:bar w:val="none" w:sz="0" w:color="auto"/>
        </w:pBdr>
        <w:ind w:left="360" w:right="360"/>
        <w:jc w:val="both"/>
        <w:rPr>
          <w:rFonts w:ascii="Cambria" w:hAnsi="Cambria"/>
          <w:sz w:val="18"/>
          <w:szCs w:val="18"/>
          <w:lang w:val="es-ES"/>
        </w:rPr>
      </w:pPr>
      <w:r w:rsidRPr="008536ED">
        <w:rPr>
          <w:rFonts w:ascii="Cambria" w:hAnsi="Cambria"/>
          <w:sz w:val="18"/>
          <w:szCs w:val="18"/>
          <w:lang w:val="es-ES"/>
        </w:rPr>
        <w:t>garantizan la posibilidad de presentar alegatos y pruebas sobre si la pena de muerte puede no ser permisible o adecuada a las circunstancias de su caso, frente a consideraciones tales como el carácter e historial del delincuente, los factores subjetivos que podrían haber motivado su conducta, el diseño y la forma de ejecución del delito en cuestión y la posibilidad de reforma y readaptación social del delincuente</w:t>
      </w:r>
      <w:r w:rsidRPr="008536ED">
        <w:rPr>
          <w:rStyle w:val="FootnoteReference"/>
          <w:rFonts w:ascii="Cambria" w:hAnsi="Cambria"/>
          <w:sz w:val="18"/>
          <w:szCs w:val="18"/>
          <w:lang w:val="es-ES"/>
        </w:rPr>
        <w:footnoteReference w:id="59"/>
      </w:r>
      <w:r w:rsidRPr="008536ED">
        <w:rPr>
          <w:rFonts w:ascii="Cambria" w:hAnsi="Cambria"/>
          <w:sz w:val="18"/>
          <w:szCs w:val="18"/>
          <w:lang w:val="es-ES"/>
        </w:rPr>
        <w:t>.</w:t>
      </w:r>
    </w:p>
    <w:p w14:paraId="667D48EB"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Cs/>
          <w:sz w:val="20"/>
          <w:szCs w:val="20"/>
          <w:lang w:val="es-ES"/>
        </w:rPr>
      </w:pPr>
    </w:p>
    <w:p w14:paraId="6F633B61"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536ED">
        <w:rPr>
          <w:rFonts w:ascii="Cambria" w:hAnsi="Cambria"/>
          <w:sz w:val="20"/>
          <w:szCs w:val="20"/>
          <w:lang w:val="es-ES"/>
        </w:rPr>
        <w:t>Cabe señalar que la índole fundamental de esta garantía se ha reflejado en las directrices para el ejercicio de la abogacía. El Colegio de Abogados de Estados Unidos ha formulado y adoptado directrices y comentarios conexos en los cuales se pone de relieve la importancia de investigar y presentar pruebas atenuantes en casos de pena de muerte</w:t>
      </w:r>
      <w:r w:rsidRPr="008536ED">
        <w:rPr>
          <w:rStyle w:val="FootnoteReference"/>
          <w:rFonts w:asciiTheme="majorHAnsi" w:hAnsiTheme="majorHAnsi"/>
          <w:sz w:val="20"/>
          <w:lang w:val="es-ES"/>
        </w:rPr>
        <w:footnoteReference w:id="60"/>
      </w:r>
      <w:r w:rsidRPr="008536ED">
        <w:rPr>
          <w:rFonts w:ascii="Cambria" w:hAnsi="Cambria"/>
          <w:sz w:val="20"/>
          <w:szCs w:val="20"/>
          <w:lang w:val="es-ES"/>
        </w:rPr>
        <w:t xml:space="preserve">. De acuerdo con estas directrices, el deber del abogado defensor de investigar y presentar pruebas atenuantes ya es bien conocido en Estados Unidos, y debido a que el juez que dicta sentencia en un caso de pena de muerte debe considerar entre los atenuantes </w:t>
      </w:r>
      <w:r>
        <w:rPr>
          <w:rFonts w:ascii="Cambria" w:hAnsi="Cambria"/>
          <w:sz w:val="20"/>
          <w:szCs w:val="20"/>
          <w:lang w:val="es-ES"/>
        </w:rPr>
        <w:t>“</w:t>
      </w:r>
      <w:r w:rsidRPr="008536ED">
        <w:rPr>
          <w:rFonts w:ascii="Cambria" w:hAnsi="Cambria"/>
          <w:sz w:val="20"/>
          <w:szCs w:val="20"/>
          <w:lang w:val="es-ES"/>
        </w:rPr>
        <w:t>cualquier aspecto de la vida del acusado que se oponga a la procedencia de la pena de muerte para el acusado</w:t>
      </w:r>
      <w:r>
        <w:rPr>
          <w:rFonts w:ascii="Cambria" w:hAnsi="Cambria"/>
          <w:sz w:val="20"/>
          <w:szCs w:val="20"/>
          <w:lang w:val="es-ES"/>
        </w:rPr>
        <w:t>”</w:t>
      </w:r>
      <w:r w:rsidRPr="008536ED">
        <w:rPr>
          <w:rFonts w:ascii="Cambria" w:hAnsi="Cambria"/>
          <w:sz w:val="20"/>
          <w:szCs w:val="20"/>
          <w:lang w:val="es-ES"/>
        </w:rPr>
        <w:t>, los preparativos para la etapa de la sentencia requieren una investigación extensa y generalmente sin precedente de los antecedentes personales y familiares</w:t>
      </w:r>
      <w:r w:rsidRPr="008536ED">
        <w:rPr>
          <w:rStyle w:val="FootnoteReference"/>
          <w:rFonts w:asciiTheme="majorHAnsi" w:hAnsiTheme="majorHAnsi"/>
          <w:sz w:val="20"/>
          <w:lang w:val="es-ES"/>
        </w:rPr>
        <w:footnoteReference w:id="61"/>
      </w:r>
      <w:r w:rsidRPr="008536ED">
        <w:rPr>
          <w:rFonts w:ascii="Cambria" w:hAnsi="Cambria"/>
          <w:sz w:val="20"/>
          <w:szCs w:val="20"/>
          <w:lang w:val="es-ES"/>
        </w:rPr>
        <w:t>. En las directrices también se recalca que la investigación de los atenuantes debe comenzar cuanto antes, porque podría influir en la investigación de las defensas de la primera etapa (por ejemplo, al revelar otros asuntos sobre los cuales se podría interrogar a los agentes de policía o a otros testigos), las decisiones sobre la necesidad de peritajes (incluida la c</w:t>
      </w:r>
      <w:r>
        <w:rPr>
          <w:rFonts w:ascii="Cambria" w:hAnsi="Cambria"/>
          <w:sz w:val="20"/>
          <w:szCs w:val="20"/>
          <w:lang w:val="es-ES"/>
        </w:rPr>
        <w:t>apacidad procesal</w:t>
      </w:r>
      <w:r w:rsidRPr="008536ED">
        <w:rPr>
          <w:rFonts w:ascii="Cambria" w:hAnsi="Cambria"/>
          <w:sz w:val="20"/>
          <w:szCs w:val="20"/>
          <w:lang w:val="es-ES"/>
        </w:rPr>
        <w:t>, el retraso mental o la demencia), la presentación de peticiones y las negociaciones relativas a la contestación a la acusación</w:t>
      </w:r>
      <w:r w:rsidRPr="008536ED">
        <w:rPr>
          <w:rStyle w:val="FootnoteReference"/>
          <w:rFonts w:asciiTheme="majorHAnsi" w:hAnsiTheme="majorHAnsi"/>
          <w:sz w:val="20"/>
          <w:lang w:val="es-ES"/>
        </w:rPr>
        <w:footnoteReference w:id="62"/>
      </w:r>
      <w:r w:rsidRPr="008536ED">
        <w:rPr>
          <w:rFonts w:ascii="Cambria" w:hAnsi="Cambria"/>
          <w:sz w:val="20"/>
          <w:szCs w:val="20"/>
          <w:lang w:val="es-ES"/>
        </w:rPr>
        <w:t>.</w:t>
      </w:r>
      <w:r w:rsidRPr="008536ED">
        <w:rPr>
          <w:rStyle w:val="FootnoteReference"/>
          <w:rFonts w:asciiTheme="majorHAnsi" w:hAnsiTheme="majorHAnsi"/>
          <w:lang w:val="es-ES"/>
        </w:rPr>
        <w:t xml:space="preserve"> </w:t>
      </w:r>
    </w:p>
    <w:p w14:paraId="4CE9FA8A"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473D552D"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536ED">
        <w:rPr>
          <w:rFonts w:asciiTheme="majorHAnsi" w:hAnsiTheme="majorHAnsi"/>
          <w:sz w:val="20"/>
          <w:szCs w:val="20"/>
          <w:lang w:val="es-ES"/>
        </w:rPr>
        <w:t xml:space="preserve">En el caso de autos, </w:t>
      </w:r>
      <w:r>
        <w:rPr>
          <w:rFonts w:asciiTheme="majorHAnsi" w:hAnsiTheme="majorHAnsi"/>
          <w:sz w:val="20"/>
          <w:szCs w:val="20"/>
          <w:lang w:val="es-ES"/>
        </w:rPr>
        <w:t>la peticionaria</w:t>
      </w:r>
      <w:r w:rsidRPr="008536ED">
        <w:rPr>
          <w:rFonts w:asciiTheme="majorHAnsi" w:hAnsiTheme="majorHAnsi"/>
          <w:sz w:val="20"/>
          <w:szCs w:val="20"/>
          <w:lang w:val="es-ES"/>
        </w:rPr>
        <w:t xml:space="preserve"> afirma que la asistencia letrada que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recibió en el juicio y en la apelación fue ineficaz. El Estado aduce que la asistencia letrada en el juicio, la apelación y los procedimientos </w:t>
      </w:r>
      <w:proofErr w:type="spellStart"/>
      <w:r w:rsidRPr="008536ED">
        <w:rPr>
          <w:rFonts w:asciiTheme="majorHAnsi" w:hAnsiTheme="majorHAnsi"/>
          <w:sz w:val="20"/>
          <w:szCs w:val="20"/>
          <w:lang w:val="es-ES"/>
        </w:rPr>
        <w:t>poscondenatorios</w:t>
      </w:r>
      <w:proofErr w:type="spellEnd"/>
      <w:r w:rsidRPr="008536ED">
        <w:rPr>
          <w:rFonts w:asciiTheme="majorHAnsi" w:hAnsiTheme="majorHAnsi"/>
          <w:sz w:val="20"/>
          <w:szCs w:val="20"/>
          <w:lang w:val="es-ES"/>
        </w:rPr>
        <w:t xml:space="preserve"> se ciñeron a las normas constitucionales </w:t>
      </w:r>
      <w:r>
        <w:rPr>
          <w:rFonts w:asciiTheme="majorHAnsi" w:hAnsiTheme="majorHAnsi"/>
          <w:sz w:val="20"/>
          <w:szCs w:val="20"/>
          <w:lang w:val="es-ES"/>
        </w:rPr>
        <w:t xml:space="preserve">en materia </w:t>
      </w:r>
      <w:r w:rsidRPr="008536ED">
        <w:rPr>
          <w:rFonts w:asciiTheme="majorHAnsi" w:hAnsiTheme="majorHAnsi"/>
          <w:sz w:val="20"/>
          <w:szCs w:val="20"/>
          <w:lang w:val="es-ES"/>
        </w:rPr>
        <w:t xml:space="preserve">de </w:t>
      </w:r>
      <w:r>
        <w:rPr>
          <w:rFonts w:asciiTheme="majorHAnsi" w:hAnsiTheme="majorHAnsi"/>
          <w:sz w:val="20"/>
          <w:szCs w:val="20"/>
          <w:lang w:val="es-ES"/>
        </w:rPr>
        <w:t>competencia</w:t>
      </w:r>
      <w:r w:rsidRPr="008536ED">
        <w:rPr>
          <w:rFonts w:asciiTheme="majorHAnsi" w:hAnsiTheme="majorHAnsi"/>
          <w:sz w:val="20"/>
          <w:szCs w:val="20"/>
          <w:lang w:val="es-ES"/>
        </w:rPr>
        <w:t>.</w:t>
      </w:r>
    </w:p>
    <w:p w14:paraId="16F97F69"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Cambria" w:eastAsia="Cambria" w:hAnsi="Cambria" w:cs="Cambria"/>
          <w:color w:val="000000"/>
          <w:sz w:val="20"/>
          <w:szCs w:val="20"/>
          <w:u w:color="000000"/>
          <w:bdr w:val="nil"/>
          <w:lang w:val="es-ES" w:eastAsia="es-ES"/>
        </w:rPr>
      </w:pPr>
    </w:p>
    <w:p w14:paraId="7C998D5F"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Pr>
          <w:rFonts w:asciiTheme="majorHAnsi" w:hAnsiTheme="majorHAnsi"/>
          <w:sz w:val="20"/>
          <w:szCs w:val="20"/>
          <w:lang w:val="es-ES"/>
        </w:rPr>
        <w:t>La parte peticionaria</w:t>
      </w:r>
      <w:r w:rsidRPr="008536ED">
        <w:rPr>
          <w:rFonts w:asciiTheme="majorHAnsi" w:hAnsiTheme="majorHAnsi"/>
          <w:sz w:val="20"/>
          <w:szCs w:val="20"/>
          <w:lang w:val="es-ES"/>
        </w:rPr>
        <w:t xml:space="preserve"> afirma que el Estado proporcionó un abogado defensor incompetente, ya que el abogado </w:t>
      </w:r>
      <w:r>
        <w:rPr>
          <w:rFonts w:asciiTheme="majorHAnsi" w:hAnsiTheme="majorHAnsi"/>
          <w:sz w:val="20"/>
          <w:szCs w:val="20"/>
          <w:lang w:val="es-ES"/>
        </w:rPr>
        <w:t>de primera instancia</w:t>
      </w:r>
      <w:r w:rsidRPr="008536ED">
        <w:rPr>
          <w:rFonts w:asciiTheme="majorHAnsi" w:hAnsiTheme="majorHAnsi"/>
          <w:sz w:val="20"/>
          <w:szCs w:val="20"/>
          <w:lang w:val="es-ES"/>
        </w:rPr>
        <w:t xml:space="preserve"> prescindió de la presencia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durante la etapa de selección del jurado en su juicio y presentó una defensa de </w:t>
      </w:r>
      <w:r>
        <w:rPr>
          <w:rFonts w:asciiTheme="majorHAnsi" w:hAnsiTheme="majorHAnsi"/>
          <w:sz w:val="20"/>
          <w:szCs w:val="20"/>
          <w:lang w:val="es-ES"/>
        </w:rPr>
        <w:t>discapacidad mental</w:t>
      </w:r>
      <w:r w:rsidRPr="008536ED">
        <w:rPr>
          <w:rFonts w:asciiTheme="majorHAnsi" w:hAnsiTheme="majorHAnsi"/>
          <w:sz w:val="20"/>
          <w:szCs w:val="20"/>
          <w:lang w:val="es-ES"/>
        </w:rPr>
        <w:t xml:space="preserve"> sin consultar a la presunta víctima. En ese sentido, la CIDH observa que, durante todo el trámite ante la Comisión,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sostuvo sistemáticamente que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padecía en esa época una enfermedad mental grave y sigue padeciéndola, argumento que se analizará a continuación. Sobre este punto, la Comisión </w:t>
      </w:r>
      <w:r>
        <w:rPr>
          <w:rFonts w:asciiTheme="majorHAnsi" w:hAnsiTheme="majorHAnsi"/>
          <w:sz w:val="20"/>
          <w:szCs w:val="20"/>
          <w:lang w:val="es-ES"/>
        </w:rPr>
        <w:t>concuerda</w:t>
      </w:r>
      <w:r w:rsidRPr="008536ED">
        <w:rPr>
          <w:rFonts w:asciiTheme="majorHAnsi" w:hAnsiTheme="majorHAnsi"/>
          <w:sz w:val="20"/>
          <w:szCs w:val="20"/>
          <w:lang w:val="es-ES"/>
        </w:rPr>
        <w:t xml:space="preserve"> con el Estado en que podría haber una contradicción entre ambas afirmaciones. La CIDH observa asimismo que </w:t>
      </w:r>
      <w:r>
        <w:rPr>
          <w:rFonts w:asciiTheme="majorHAnsi" w:hAnsiTheme="majorHAnsi"/>
          <w:sz w:val="20"/>
          <w:szCs w:val="20"/>
          <w:lang w:val="es-ES"/>
        </w:rPr>
        <w:t>la parte peticionaria</w:t>
      </w:r>
      <w:r w:rsidRPr="008536ED">
        <w:rPr>
          <w:rFonts w:asciiTheme="majorHAnsi" w:hAnsiTheme="majorHAnsi"/>
          <w:sz w:val="20"/>
          <w:szCs w:val="20"/>
          <w:lang w:val="es-ES"/>
        </w:rPr>
        <w:t xml:space="preserve"> declaró ante la Comisión que el abogado defensor había planteado “numerosos argumentos” </w:t>
      </w:r>
      <w:r w:rsidRPr="008536ED">
        <w:rPr>
          <w:rFonts w:asciiTheme="majorHAnsi" w:hAnsiTheme="majorHAnsi"/>
          <w:sz w:val="20"/>
          <w:szCs w:val="20"/>
          <w:lang w:val="es-ES"/>
        </w:rPr>
        <w:lastRenderedPageBreak/>
        <w:t>durante el juicio</w:t>
      </w:r>
      <w:r w:rsidRPr="008536ED">
        <w:rPr>
          <w:rStyle w:val="FootnoteReference"/>
          <w:rFonts w:asciiTheme="majorHAnsi" w:hAnsiTheme="majorHAnsi"/>
          <w:sz w:val="20"/>
          <w:lang w:val="es-ES"/>
        </w:rPr>
        <w:footnoteReference w:id="63"/>
      </w:r>
      <w:r w:rsidRPr="008536ED">
        <w:rPr>
          <w:rFonts w:asciiTheme="majorHAnsi" w:hAnsiTheme="majorHAnsi"/>
          <w:sz w:val="20"/>
          <w:szCs w:val="20"/>
          <w:lang w:val="es-ES"/>
        </w:rPr>
        <w:t>. Por lo tanto, la CIDH no cuenta con suficientes elementos fácticos para determinar si esa acción es compatible con las obligaciones internacionales del Estado relativas a la capacidad procesal de las personas con discapacidad.</w:t>
      </w:r>
    </w:p>
    <w:p w14:paraId="29D1787D" w14:textId="77777777" w:rsidR="00953481" w:rsidRPr="00EA1766" w:rsidRDefault="00953481" w:rsidP="00953481">
      <w:pPr>
        <w:rPr>
          <w:sz w:val="20"/>
          <w:szCs w:val="20"/>
          <w:lang w:val="es-ES"/>
        </w:rPr>
      </w:pPr>
    </w:p>
    <w:p w14:paraId="64081A5E"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536ED">
        <w:rPr>
          <w:rFonts w:ascii="Cambria" w:hAnsi="Cambria"/>
          <w:sz w:val="20"/>
          <w:szCs w:val="20"/>
          <w:lang w:val="es-ES"/>
        </w:rPr>
        <w:t xml:space="preserve">Con respecto a la asistencia letrada del señor </w:t>
      </w:r>
      <w:proofErr w:type="spellStart"/>
      <w:r w:rsidRPr="008536ED">
        <w:rPr>
          <w:rFonts w:ascii="Cambria" w:hAnsi="Cambria"/>
          <w:sz w:val="20"/>
          <w:szCs w:val="20"/>
          <w:lang w:val="es-ES"/>
        </w:rPr>
        <w:t>Rogovich</w:t>
      </w:r>
      <w:proofErr w:type="spellEnd"/>
      <w:r w:rsidRPr="008536ED">
        <w:rPr>
          <w:rFonts w:ascii="Cambria" w:hAnsi="Cambria"/>
          <w:sz w:val="20"/>
          <w:szCs w:val="20"/>
          <w:lang w:val="es-ES"/>
        </w:rPr>
        <w:t xml:space="preserve"> en la apelación, sobre la base de la información proporcionada por </w:t>
      </w:r>
      <w:r>
        <w:rPr>
          <w:rFonts w:ascii="Cambria" w:hAnsi="Cambria"/>
          <w:sz w:val="20"/>
          <w:szCs w:val="20"/>
          <w:lang w:val="es-ES"/>
        </w:rPr>
        <w:t>la parte peticionaria</w:t>
      </w:r>
      <w:r w:rsidRPr="008536ED">
        <w:rPr>
          <w:rFonts w:ascii="Cambria" w:hAnsi="Cambria"/>
          <w:sz w:val="20"/>
          <w:szCs w:val="20"/>
          <w:lang w:val="es-ES"/>
        </w:rPr>
        <w:t xml:space="preserve">, </w:t>
      </w:r>
      <w:r>
        <w:rPr>
          <w:rFonts w:ascii="Cambria" w:hAnsi="Cambria"/>
          <w:sz w:val="20"/>
          <w:szCs w:val="20"/>
          <w:lang w:val="es-ES"/>
        </w:rPr>
        <w:t>no controvertida</w:t>
      </w:r>
      <w:r w:rsidRPr="008536ED">
        <w:rPr>
          <w:rFonts w:ascii="Cambria" w:hAnsi="Cambria"/>
          <w:sz w:val="20"/>
          <w:szCs w:val="20"/>
          <w:lang w:val="es-ES"/>
        </w:rPr>
        <w:t xml:space="preserve"> por el Estado, la Comisión observa que el abogado </w:t>
      </w:r>
      <w:r>
        <w:rPr>
          <w:rFonts w:ascii="Cambria" w:hAnsi="Cambria"/>
          <w:sz w:val="20"/>
          <w:szCs w:val="20"/>
          <w:lang w:val="es-ES"/>
        </w:rPr>
        <w:t>de apelación</w:t>
      </w:r>
      <w:r w:rsidRPr="008536ED">
        <w:rPr>
          <w:rFonts w:ascii="Cambria" w:hAnsi="Cambria"/>
          <w:sz w:val="20"/>
          <w:szCs w:val="20"/>
          <w:lang w:val="es-ES"/>
        </w:rPr>
        <w:t xml:space="preserve"> planteó tres </w:t>
      </w:r>
      <w:r>
        <w:rPr>
          <w:rFonts w:ascii="Cambria" w:hAnsi="Cambria"/>
          <w:sz w:val="20"/>
          <w:szCs w:val="20"/>
          <w:lang w:val="es-ES"/>
        </w:rPr>
        <w:t>cuestiones en</w:t>
      </w:r>
      <w:r w:rsidRPr="008536ED">
        <w:rPr>
          <w:rFonts w:ascii="Cambria" w:hAnsi="Cambria"/>
          <w:sz w:val="20"/>
          <w:szCs w:val="20"/>
          <w:lang w:val="es-ES"/>
        </w:rPr>
        <w:t xml:space="preserve"> diez páginas de argumentos, dos de los cuales eran genéricos. El abogado </w:t>
      </w:r>
      <w:r>
        <w:rPr>
          <w:rFonts w:ascii="Cambria" w:hAnsi="Cambria"/>
          <w:sz w:val="20"/>
          <w:szCs w:val="20"/>
          <w:lang w:val="es-ES"/>
        </w:rPr>
        <w:t>de apelación</w:t>
      </w:r>
      <w:r w:rsidRPr="008536ED">
        <w:rPr>
          <w:rFonts w:ascii="Cambria" w:hAnsi="Cambria"/>
          <w:sz w:val="20"/>
          <w:szCs w:val="20"/>
          <w:lang w:val="es-ES"/>
        </w:rPr>
        <w:t>, además de no impugnar la condena y la sentencia</w:t>
      </w:r>
      <w:r>
        <w:rPr>
          <w:rFonts w:ascii="Cambria" w:hAnsi="Cambria"/>
          <w:sz w:val="20"/>
          <w:szCs w:val="20"/>
          <w:lang w:val="es-ES"/>
        </w:rPr>
        <w:t xml:space="preserve"> en forma detallada</w:t>
      </w:r>
      <w:r w:rsidRPr="008536ED">
        <w:rPr>
          <w:rFonts w:ascii="Cambria" w:hAnsi="Cambria"/>
          <w:sz w:val="20"/>
          <w:szCs w:val="20"/>
          <w:lang w:val="es-ES"/>
        </w:rPr>
        <w:t xml:space="preserve">, admitió que el señor </w:t>
      </w:r>
      <w:proofErr w:type="spellStart"/>
      <w:r w:rsidRPr="008536ED">
        <w:rPr>
          <w:rFonts w:ascii="Cambria" w:hAnsi="Cambria"/>
          <w:sz w:val="20"/>
          <w:szCs w:val="20"/>
          <w:lang w:val="es-ES"/>
        </w:rPr>
        <w:t>Rogovich</w:t>
      </w:r>
      <w:proofErr w:type="spellEnd"/>
      <w:r w:rsidRPr="008536ED">
        <w:rPr>
          <w:rFonts w:ascii="Cambria" w:hAnsi="Cambria"/>
          <w:sz w:val="20"/>
          <w:szCs w:val="20"/>
          <w:lang w:val="es-ES"/>
        </w:rPr>
        <w:t xml:space="preserve"> </w:t>
      </w:r>
      <w:r>
        <w:rPr>
          <w:rFonts w:ascii="Cambria" w:hAnsi="Cambria"/>
          <w:sz w:val="20"/>
          <w:szCs w:val="20"/>
          <w:lang w:val="es-ES"/>
        </w:rPr>
        <w:t>tenía capacidad procesal</w:t>
      </w:r>
      <w:r w:rsidRPr="008536ED">
        <w:rPr>
          <w:rFonts w:ascii="Cambria" w:hAnsi="Cambria"/>
          <w:sz w:val="20"/>
          <w:szCs w:val="20"/>
          <w:lang w:val="es-ES"/>
        </w:rPr>
        <w:t xml:space="preserve">, una de las cuestiones más controvertidas del juicio. Además, no hay ninguna indicación en el expediente que obra en poder de la CIDH de que el abogado </w:t>
      </w:r>
      <w:r>
        <w:rPr>
          <w:rFonts w:ascii="Cambria" w:hAnsi="Cambria"/>
          <w:sz w:val="20"/>
          <w:szCs w:val="20"/>
          <w:lang w:val="es-ES"/>
        </w:rPr>
        <w:t>de apelación</w:t>
      </w:r>
      <w:r w:rsidRPr="008536ED">
        <w:rPr>
          <w:rFonts w:ascii="Cambria" w:hAnsi="Cambria"/>
          <w:sz w:val="20"/>
          <w:szCs w:val="20"/>
          <w:lang w:val="es-ES"/>
        </w:rPr>
        <w:t xml:space="preserve"> haya contratado otros expertos, especialmente en vista de la divergencia de opiniones sobre la salud mental del señor </w:t>
      </w:r>
      <w:proofErr w:type="spellStart"/>
      <w:r w:rsidRPr="008536ED">
        <w:rPr>
          <w:rFonts w:ascii="Cambria" w:hAnsi="Cambria"/>
          <w:sz w:val="20"/>
          <w:szCs w:val="20"/>
          <w:lang w:val="es-ES"/>
        </w:rPr>
        <w:t>Rogovich</w:t>
      </w:r>
      <w:proofErr w:type="spellEnd"/>
      <w:r w:rsidRPr="008536ED">
        <w:rPr>
          <w:rFonts w:ascii="Cambria" w:hAnsi="Cambria"/>
          <w:sz w:val="20"/>
          <w:szCs w:val="20"/>
          <w:lang w:val="es-ES"/>
        </w:rPr>
        <w:t>.</w:t>
      </w:r>
    </w:p>
    <w:p w14:paraId="25E86284" w14:textId="77777777" w:rsidR="00953481" w:rsidRPr="00EA1766" w:rsidRDefault="00953481" w:rsidP="00953481">
      <w:pPr>
        <w:rPr>
          <w:sz w:val="20"/>
          <w:szCs w:val="20"/>
          <w:lang w:val="es-ES"/>
        </w:rPr>
      </w:pPr>
    </w:p>
    <w:p w14:paraId="5F1817AD"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536ED">
        <w:rPr>
          <w:rFonts w:ascii="Cambria" w:hAnsi="Cambria"/>
          <w:sz w:val="20"/>
          <w:szCs w:val="20"/>
          <w:lang w:val="es-ES"/>
        </w:rPr>
        <w:t>Considerando que uno de los requisitos fundamentales relativos al derecho de justicia y al derecho a proceso regular para los delitos punibles con la pena de muerte es la obligación de proporcionar</w:t>
      </w:r>
      <w:r w:rsidRPr="008536ED">
        <w:rPr>
          <w:rFonts w:ascii="Cambria" w:hAnsi="Cambria" w:cs="Arial"/>
          <w:sz w:val="20"/>
          <w:szCs w:val="20"/>
          <w:lang w:val="es-ES"/>
        </w:rPr>
        <w:t xml:space="preserve"> asistencia letrada adecuada y que no impugnar debidamente la condena y la sentencia en un caso de ese tipo constituiría asistencia letrada inadecuada, la Comisión Interamericana concluye que Estados Unidos violó el derecho de justicia y el derecho a proceso regular del señor </w:t>
      </w:r>
      <w:proofErr w:type="spellStart"/>
      <w:r w:rsidRPr="008536ED">
        <w:rPr>
          <w:rFonts w:ascii="Cambria" w:hAnsi="Cambria" w:cs="Arial"/>
          <w:sz w:val="20"/>
          <w:szCs w:val="20"/>
          <w:lang w:val="es-ES"/>
        </w:rPr>
        <w:t>Rogovich</w:t>
      </w:r>
      <w:proofErr w:type="spellEnd"/>
      <w:r w:rsidRPr="008536ED">
        <w:rPr>
          <w:rFonts w:ascii="Cambria" w:hAnsi="Cambria" w:cs="Arial"/>
          <w:sz w:val="20"/>
          <w:szCs w:val="20"/>
          <w:lang w:val="es-ES"/>
        </w:rPr>
        <w:t xml:space="preserve"> enunciados en los artículos XVIII y XXVI de la Declaración Americana.</w:t>
      </w:r>
    </w:p>
    <w:p w14:paraId="3A512AC1"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56E1FEF6" w14:textId="77777777" w:rsidR="00953481" w:rsidRPr="00953481" w:rsidRDefault="00953481" w:rsidP="00C341DD">
      <w:pPr>
        <w:pStyle w:val="Heading3"/>
        <w:keepLines/>
        <w:numPr>
          <w:ilvl w:val="1"/>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25" w:name="_Toc90283148"/>
      <w:r w:rsidRPr="00953481">
        <w:rPr>
          <w:rFonts w:asciiTheme="majorHAnsi" w:hAnsiTheme="majorHAnsi"/>
          <w:sz w:val="20"/>
          <w:szCs w:val="20"/>
          <w:lang w:val="es-ES"/>
        </w:rPr>
        <w:t>Derecho de recurrir el fallo e impedimentos procesales</w:t>
      </w:r>
      <w:bookmarkEnd w:id="25"/>
    </w:p>
    <w:p w14:paraId="36FEFCD5"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6F364C92"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536ED">
        <w:rPr>
          <w:rFonts w:ascii="Cambria" w:hAnsi="Cambria"/>
          <w:sz w:val="20"/>
          <w:szCs w:val="20"/>
          <w:lang w:val="es-ES"/>
        </w:rPr>
        <w:t xml:space="preserve">El derecho </w:t>
      </w:r>
      <w:r>
        <w:rPr>
          <w:rFonts w:ascii="Cambria" w:hAnsi="Cambria"/>
          <w:sz w:val="20"/>
          <w:szCs w:val="20"/>
          <w:lang w:val="es-ES"/>
        </w:rPr>
        <w:t xml:space="preserve">de recurrir </w:t>
      </w:r>
      <w:r w:rsidRPr="008536ED">
        <w:rPr>
          <w:rFonts w:ascii="Cambria" w:hAnsi="Cambria"/>
          <w:sz w:val="20"/>
          <w:szCs w:val="20"/>
          <w:lang w:val="es-ES"/>
        </w:rPr>
        <w:t>una sentencia es una garantía básica del debido proceso para prevenir la consolidación de una situación de injusticia. En ese sentido, la CIDH ha señalado que “[l]as garantías del debido proceso también deben interpretarse en el sentido de incluir el derecho a una revisión o apelación efectivas de la determinación de que la pena de muerte es una sentencia adecuada en el caso dado”</w:t>
      </w:r>
      <w:r w:rsidRPr="008536ED">
        <w:rPr>
          <w:rStyle w:val="FootnoteReference"/>
          <w:rFonts w:asciiTheme="majorHAnsi" w:eastAsia="Arial Unicode MS" w:hAnsiTheme="majorHAnsi"/>
          <w:sz w:val="20"/>
          <w:szCs w:val="20"/>
          <w:bdr w:val="nil"/>
          <w:lang w:val="es-ES"/>
        </w:rPr>
        <w:footnoteReference w:id="64"/>
      </w:r>
      <w:r w:rsidRPr="008536ED">
        <w:rPr>
          <w:rFonts w:ascii="Cambria" w:hAnsi="Cambria"/>
          <w:sz w:val="20"/>
          <w:szCs w:val="20"/>
          <w:lang w:val="es-ES"/>
        </w:rPr>
        <w:t xml:space="preserve">. La finalidad del derecho de apelación es proteger el derecho a la defensa </w:t>
      </w:r>
      <w:r>
        <w:rPr>
          <w:rFonts w:ascii="Cambria" w:hAnsi="Cambria"/>
          <w:sz w:val="20"/>
          <w:szCs w:val="20"/>
          <w:lang w:val="es-ES"/>
        </w:rPr>
        <w:t xml:space="preserve">con </w:t>
      </w:r>
      <w:r w:rsidRPr="008536ED">
        <w:rPr>
          <w:rFonts w:ascii="Cambria" w:hAnsi="Cambria"/>
          <w:sz w:val="20"/>
          <w:szCs w:val="20"/>
          <w:lang w:val="es-ES"/>
        </w:rPr>
        <w:t xml:space="preserve">un recurso para que una sentencia viciada que contenga errores perjudiciales para los intereses de una persona </w:t>
      </w:r>
      <w:r>
        <w:rPr>
          <w:rFonts w:ascii="Cambria" w:hAnsi="Cambria"/>
          <w:sz w:val="20"/>
          <w:szCs w:val="20"/>
          <w:lang w:val="es-ES"/>
        </w:rPr>
        <w:t xml:space="preserve">no </w:t>
      </w:r>
      <w:r w:rsidRPr="008536ED">
        <w:rPr>
          <w:rFonts w:ascii="Cambria" w:hAnsi="Cambria"/>
          <w:sz w:val="20"/>
          <w:szCs w:val="20"/>
          <w:lang w:val="es-ES"/>
        </w:rPr>
        <w:t>se convierta en definitiva</w:t>
      </w:r>
      <w:r w:rsidRPr="008536ED">
        <w:rPr>
          <w:rStyle w:val="FootnoteReference"/>
          <w:rFonts w:asciiTheme="majorHAnsi" w:eastAsia="Arial Unicode MS" w:hAnsiTheme="majorHAnsi"/>
          <w:sz w:val="20"/>
          <w:szCs w:val="20"/>
          <w:bdr w:val="nil"/>
          <w:lang w:val="es-ES"/>
        </w:rPr>
        <w:footnoteReference w:id="65"/>
      </w:r>
      <w:r w:rsidRPr="008536ED">
        <w:rPr>
          <w:rFonts w:ascii="Cambria" w:hAnsi="Cambria"/>
          <w:sz w:val="20"/>
          <w:szCs w:val="20"/>
          <w:lang w:val="es-ES"/>
        </w:rPr>
        <w:t>.</w:t>
      </w:r>
    </w:p>
    <w:p w14:paraId="11246B09"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3D2B049F"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lang w:val="es-ES"/>
        </w:rPr>
      </w:pPr>
      <w:r w:rsidRPr="008536ED">
        <w:rPr>
          <w:rFonts w:asciiTheme="majorHAnsi" w:hAnsiTheme="majorHAnsi" w:cs="Univers"/>
          <w:sz w:val="20"/>
          <w:szCs w:val="20"/>
          <w:lang w:val="es-ES"/>
        </w:rPr>
        <w:t xml:space="preserve">Según </w:t>
      </w:r>
      <w:r>
        <w:rPr>
          <w:rFonts w:asciiTheme="majorHAnsi" w:hAnsiTheme="majorHAnsi" w:cs="Univers"/>
          <w:sz w:val="20"/>
          <w:szCs w:val="20"/>
          <w:lang w:val="es-ES"/>
        </w:rPr>
        <w:t xml:space="preserve">los estándares desarrollados por </w:t>
      </w:r>
      <w:r w:rsidRPr="008536ED">
        <w:rPr>
          <w:rFonts w:asciiTheme="majorHAnsi" w:hAnsiTheme="majorHAnsi" w:cs="Univers"/>
          <w:sz w:val="20"/>
          <w:szCs w:val="20"/>
          <w:lang w:val="es-ES"/>
        </w:rPr>
        <w:t>el sistema interamericano de derechos humanos, un recurso debe ser efectivo, es decir, debe conducir a resultados o respuestas compatibles con los objetivos a los cuales se propone servir, es decir, prevenir la consolidación de una situación de injusticia. También debe ser accesible, sin requerir el tipo de formalidades complejas que convertirían este derecho en algo ilusorio</w:t>
      </w:r>
      <w:r w:rsidRPr="008536ED">
        <w:rPr>
          <w:rStyle w:val="FootnoteReference"/>
          <w:rFonts w:asciiTheme="majorHAnsi" w:hAnsiTheme="majorHAnsi"/>
          <w:sz w:val="20"/>
          <w:szCs w:val="20"/>
          <w:lang w:val="es-ES"/>
        </w:rPr>
        <w:footnoteReference w:id="66"/>
      </w:r>
      <w:r w:rsidRPr="008536ED">
        <w:rPr>
          <w:rFonts w:asciiTheme="majorHAnsi" w:hAnsiTheme="majorHAnsi" w:cs="Univers"/>
          <w:sz w:val="20"/>
          <w:szCs w:val="20"/>
          <w:lang w:val="es-ES"/>
        </w:rPr>
        <w:t xml:space="preserve">. </w:t>
      </w:r>
    </w:p>
    <w:p w14:paraId="365D2520"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2E65FC8A"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Style w:val="apple-style-span"/>
          <w:rFonts w:asciiTheme="majorHAnsi" w:hAnsiTheme="majorHAnsi"/>
          <w:sz w:val="20"/>
          <w:szCs w:val="20"/>
          <w:lang w:val="es-ES"/>
        </w:rPr>
      </w:pPr>
      <w:r w:rsidRPr="008536ED">
        <w:rPr>
          <w:rFonts w:asciiTheme="majorHAnsi" w:hAnsiTheme="majorHAnsi" w:cs="Univers"/>
          <w:sz w:val="20"/>
          <w:szCs w:val="20"/>
          <w:lang w:val="es-ES"/>
        </w:rPr>
        <w:t>Por último, la CIDH debe subrayar que tiene una obligación mayor de asegurar que toda privación de la vida resultante de la aplicación de la pena de muerte se realice solo tras el ejercicio estricto del derecho a una apelación oportuna, efectiva y accesible</w:t>
      </w:r>
      <w:r w:rsidRPr="008536ED">
        <w:rPr>
          <w:rStyle w:val="apple-style-span"/>
          <w:rFonts w:asciiTheme="majorHAnsi" w:eastAsia="Trebuchet MS" w:hAnsiTheme="majorHAnsi"/>
          <w:sz w:val="20"/>
          <w:szCs w:val="20"/>
          <w:lang w:val="es-ES"/>
        </w:rPr>
        <w:t>.</w:t>
      </w:r>
    </w:p>
    <w:p w14:paraId="199611A7" w14:textId="77777777" w:rsidR="00953481" w:rsidRPr="008536ED" w:rsidRDefault="00953481" w:rsidP="00953481">
      <w:pPr>
        <w:pStyle w:val="ListParagraph"/>
        <w:rPr>
          <w:rStyle w:val="apple-style-span"/>
          <w:rFonts w:asciiTheme="majorHAnsi" w:hAnsiTheme="majorHAnsi"/>
          <w:sz w:val="20"/>
          <w:szCs w:val="20"/>
          <w:lang w:val="es-ES"/>
        </w:rPr>
      </w:pPr>
    </w:p>
    <w:p w14:paraId="2D2FED24"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Style w:val="apple-style-span"/>
          <w:rFonts w:asciiTheme="majorHAnsi" w:hAnsiTheme="majorHAnsi"/>
          <w:sz w:val="20"/>
          <w:szCs w:val="20"/>
          <w:lang w:val="es-ES"/>
        </w:rPr>
      </w:pPr>
      <w:r w:rsidRPr="008536ED">
        <w:rPr>
          <w:rStyle w:val="apple-style-span"/>
          <w:rFonts w:asciiTheme="majorHAnsi" w:hAnsiTheme="majorHAnsi"/>
          <w:sz w:val="20"/>
          <w:szCs w:val="20"/>
          <w:lang w:val="es-ES"/>
        </w:rPr>
        <w:t>La Comisión Interamericana ha señalado lo siguiente con respecto a la AEDPA:</w:t>
      </w:r>
      <w:r>
        <w:rPr>
          <w:rStyle w:val="apple-style-span"/>
          <w:rFonts w:asciiTheme="majorHAnsi" w:hAnsiTheme="majorHAnsi"/>
          <w:sz w:val="20"/>
          <w:szCs w:val="20"/>
          <w:lang w:val="es-ES"/>
        </w:rPr>
        <w:t xml:space="preserve"> </w:t>
      </w:r>
    </w:p>
    <w:p w14:paraId="22A93DC5" w14:textId="77777777" w:rsidR="00953481" w:rsidRPr="008536ED" w:rsidRDefault="00953481" w:rsidP="00953481">
      <w:pPr>
        <w:pStyle w:val="ListParagraph"/>
        <w:tabs>
          <w:tab w:val="left" w:pos="360"/>
        </w:tabs>
        <w:ind w:left="0"/>
        <w:rPr>
          <w:rStyle w:val="apple-style-span"/>
          <w:rFonts w:asciiTheme="majorHAnsi" w:hAnsiTheme="majorHAnsi"/>
          <w:sz w:val="20"/>
          <w:szCs w:val="20"/>
          <w:lang w:val="es-ES"/>
        </w:rPr>
      </w:pPr>
    </w:p>
    <w:p w14:paraId="51B3712D"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ES"/>
        </w:rPr>
      </w:pPr>
      <w:r w:rsidRPr="008536ED">
        <w:rPr>
          <w:rFonts w:asciiTheme="majorHAnsi" w:hAnsiTheme="majorHAnsi"/>
          <w:sz w:val="18"/>
          <w:szCs w:val="18"/>
          <w:lang w:val="es-ES"/>
        </w:rPr>
        <w:t>Antes de 1996, no era obligatorio seguir la interpretación de las leyes federales o su aplicación por los tribunales estatales en actuaciones subsiguientes relativas a recursos de hábeas corpus en instancias federales. Con la promulgación de la AEDPA, se modificó la doctrina del agotamiento a fin de permitir que los tribunales federales desestimen peticiones infundadas, a pesar de que los tribunales estatales no hayan tenido la oportunidad de decidir si lo son</w:t>
      </w:r>
      <w:r w:rsidRPr="008536ED">
        <w:rPr>
          <w:rStyle w:val="FootnoteReference"/>
          <w:rFonts w:asciiTheme="majorHAnsi" w:hAnsiTheme="majorHAnsi"/>
          <w:sz w:val="18"/>
          <w:szCs w:val="18"/>
          <w:lang w:val="es-ES"/>
        </w:rPr>
        <w:footnoteReference w:id="67"/>
      </w:r>
      <w:r w:rsidRPr="008536ED">
        <w:rPr>
          <w:rFonts w:asciiTheme="majorHAnsi" w:hAnsiTheme="majorHAnsi"/>
          <w:sz w:val="18"/>
          <w:szCs w:val="18"/>
          <w:lang w:val="es-ES"/>
        </w:rPr>
        <w:t xml:space="preserve">. Por lo tanto, la AEDPA “limita la introducción de pruebas que no hayan sido presentadas anteriormente a los tribunales estatales a los casos en que las pruebas respalden un reclamo constitucional recientemente reconocido, que puede hacerse valer retroactivamente, o a los casos en que no se haya podido presentar la prueba antes de manera razonable, pero solo si </w:t>
      </w:r>
      <w:r>
        <w:rPr>
          <w:rFonts w:asciiTheme="majorHAnsi" w:hAnsiTheme="majorHAnsi"/>
          <w:sz w:val="18"/>
          <w:szCs w:val="18"/>
          <w:lang w:val="es-ES"/>
        </w:rPr>
        <w:t>la peticionaria</w:t>
      </w:r>
      <w:r w:rsidRPr="008536ED">
        <w:rPr>
          <w:rFonts w:asciiTheme="majorHAnsi" w:hAnsiTheme="majorHAnsi"/>
          <w:sz w:val="18"/>
          <w:szCs w:val="18"/>
          <w:lang w:val="es-ES"/>
        </w:rPr>
        <w:t xml:space="preserve"> demuestra de manera clara y </w:t>
      </w:r>
      <w:r w:rsidRPr="008536ED">
        <w:rPr>
          <w:rFonts w:asciiTheme="majorHAnsi" w:hAnsiTheme="majorHAnsi"/>
          <w:sz w:val="18"/>
          <w:szCs w:val="18"/>
          <w:lang w:val="es-ES"/>
        </w:rPr>
        <w:lastRenderedPageBreak/>
        <w:t>convincente que, si no hubiera sido por el error constitucional demostrado con las pruebas nuevas, ningún jurado razonable habría hallado al peticionario culpable</w:t>
      </w:r>
      <w:r w:rsidRPr="008536ED">
        <w:rPr>
          <w:rFonts w:asciiTheme="majorHAnsi" w:hAnsiTheme="majorHAnsi" w:cs="Arial"/>
          <w:sz w:val="18"/>
          <w:szCs w:val="18"/>
          <w:lang w:val="es-ES"/>
        </w:rPr>
        <w:t>”</w:t>
      </w:r>
      <w:r w:rsidRPr="008536ED">
        <w:rPr>
          <w:rStyle w:val="FootnoteReference"/>
          <w:rFonts w:asciiTheme="majorHAnsi" w:hAnsiTheme="majorHAnsi"/>
          <w:sz w:val="18"/>
          <w:szCs w:val="18"/>
          <w:lang w:val="es-ES"/>
        </w:rPr>
        <w:footnoteReference w:id="68"/>
      </w:r>
      <w:r w:rsidRPr="008536ED">
        <w:rPr>
          <w:rFonts w:asciiTheme="majorHAnsi" w:hAnsiTheme="majorHAnsi" w:cs="Arial"/>
          <w:sz w:val="18"/>
          <w:szCs w:val="18"/>
          <w:lang w:val="es-ES"/>
        </w:rPr>
        <w:t>.</w:t>
      </w:r>
    </w:p>
    <w:p w14:paraId="6C09B78B" w14:textId="77777777" w:rsidR="00953481" w:rsidRPr="008536ED" w:rsidRDefault="00953481" w:rsidP="00953481">
      <w:pPr>
        <w:pStyle w:val="ListParagraph"/>
        <w:tabs>
          <w:tab w:val="left" w:pos="360"/>
        </w:tabs>
        <w:ind w:left="360" w:right="360"/>
        <w:rPr>
          <w:rFonts w:asciiTheme="majorHAnsi" w:hAnsiTheme="majorHAnsi" w:cs="Arial"/>
          <w:sz w:val="18"/>
          <w:szCs w:val="18"/>
          <w:lang w:val="es-ES"/>
        </w:rPr>
      </w:pPr>
    </w:p>
    <w:p w14:paraId="4BD3346D"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360"/>
        <w:jc w:val="both"/>
        <w:rPr>
          <w:rFonts w:asciiTheme="majorHAnsi" w:hAnsiTheme="majorHAnsi"/>
          <w:sz w:val="18"/>
          <w:szCs w:val="18"/>
          <w:lang w:val="es-ES"/>
        </w:rPr>
      </w:pPr>
      <w:r w:rsidRPr="008536ED">
        <w:rPr>
          <w:rFonts w:asciiTheme="majorHAnsi" w:hAnsiTheme="majorHAnsi"/>
          <w:sz w:val="18"/>
          <w:szCs w:val="18"/>
          <w:lang w:val="es-ES"/>
        </w:rPr>
        <w:t xml:space="preserve">Asimismo, en Cullen contra </w:t>
      </w:r>
      <w:proofErr w:type="spellStart"/>
      <w:r w:rsidRPr="008536ED">
        <w:rPr>
          <w:rFonts w:asciiTheme="majorHAnsi" w:hAnsiTheme="majorHAnsi"/>
          <w:sz w:val="18"/>
          <w:szCs w:val="18"/>
          <w:lang w:val="es-ES"/>
        </w:rPr>
        <w:t>Pinholster</w:t>
      </w:r>
      <w:proofErr w:type="spellEnd"/>
      <w:r w:rsidRPr="008536ED">
        <w:rPr>
          <w:rFonts w:asciiTheme="majorHAnsi" w:hAnsiTheme="majorHAnsi"/>
          <w:sz w:val="18"/>
          <w:szCs w:val="18"/>
          <w:lang w:val="es-ES"/>
        </w:rPr>
        <w:t>, la Corte Suprema de Estados Unidos sostuvo que la revisión de acuerdo con la AEDPA establece varios límites a la facultad de un tribunal federal para otorgar el hábeas corpus a un preso estatal y que esta revisión se limita al expediente que obraba en poder del tribunal estatal que se pronunció sobre el fondo del reclamo. El fallo dispone también que “[a]</w:t>
      </w:r>
      <w:proofErr w:type="spellStart"/>
      <w:r w:rsidRPr="008536ED">
        <w:rPr>
          <w:rFonts w:asciiTheme="majorHAnsi" w:hAnsiTheme="majorHAnsi"/>
          <w:sz w:val="18"/>
          <w:szCs w:val="18"/>
          <w:lang w:val="es-ES"/>
        </w:rPr>
        <w:t>unque</w:t>
      </w:r>
      <w:proofErr w:type="spellEnd"/>
      <w:r w:rsidRPr="008536ED">
        <w:rPr>
          <w:rFonts w:asciiTheme="majorHAnsi" w:hAnsiTheme="majorHAnsi"/>
          <w:sz w:val="18"/>
          <w:szCs w:val="18"/>
          <w:lang w:val="es-ES"/>
        </w:rPr>
        <w:t xml:space="preserve"> a veces los presos estatales pueden presentar pruebas nuevas en un tribunal federal, el sistema legal establecido por la AEDPA crea fuertes desincentivos al respecto”. Además, la Corte Suprema, refiriéndose al caso Strickland contra Washington, afirma que “[a] fin de superar la fuerte presunción de que el abogado ha actuado de manera competente</w:t>
      </w:r>
      <w:r>
        <w:rPr>
          <w:rFonts w:asciiTheme="majorHAnsi" w:hAnsiTheme="majorHAnsi"/>
          <w:sz w:val="18"/>
          <w:szCs w:val="18"/>
          <w:lang w:val="es-ES"/>
        </w:rPr>
        <w:t>”</w:t>
      </w:r>
      <w:r w:rsidRPr="008536ED">
        <w:rPr>
          <w:rFonts w:asciiTheme="majorHAnsi" w:hAnsiTheme="majorHAnsi"/>
          <w:sz w:val="18"/>
          <w:szCs w:val="18"/>
          <w:lang w:val="es-ES"/>
        </w:rPr>
        <w:t xml:space="preserve"> (</w:t>
      </w:r>
      <w:r w:rsidRPr="008536ED">
        <w:rPr>
          <w:rFonts w:asciiTheme="majorHAnsi" w:hAnsiTheme="majorHAnsi"/>
          <w:i/>
          <w:iCs/>
          <w:sz w:val="18"/>
          <w:szCs w:val="18"/>
          <w:lang w:val="es-ES"/>
        </w:rPr>
        <w:t xml:space="preserve">íd., </w:t>
      </w:r>
      <w:r w:rsidRPr="008536ED">
        <w:rPr>
          <w:rFonts w:asciiTheme="majorHAnsi" w:hAnsiTheme="majorHAnsi"/>
          <w:iCs/>
          <w:sz w:val="18"/>
          <w:szCs w:val="18"/>
          <w:lang w:val="es-ES"/>
        </w:rPr>
        <w:t>pág.</w:t>
      </w:r>
      <w:r w:rsidRPr="008536ED">
        <w:rPr>
          <w:rFonts w:asciiTheme="majorHAnsi" w:hAnsiTheme="majorHAnsi"/>
          <w:sz w:val="18"/>
          <w:szCs w:val="18"/>
          <w:lang w:val="es-ES"/>
        </w:rPr>
        <w:t xml:space="preserve"> 690), un acusado debe mostrar que el abogado no actuó </w:t>
      </w:r>
      <w:r>
        <w:rPr>
          <w:rFonts w:asciiTheme="majorHAnsi" w:hAnsiTheme="majorHAnsi"/>
          <w:sz w:val="18"/>
          <w:szCs w:val="18"/>
          <w:lang w:val="es-ES"/>
        </w:rPr>
        <w:t>‘</w:t>
      </w:r>
      <w:r w:rsidRPr="008536ED">
        <w:rPr>
          <w:rFonts w:asciiTheme="majorHAnsi" w:hAnsiTheme="majorHAnsi"/>
          <w:sz w:val="18"/>
          <w:szCs w:val="18"/>
          <w:lang w:val="es-ES"/>
        </w:rPr>
        <w:t>de manera razonable en vista de todas las circunstancias</w:t>
      </w:r>
      <w:r>
        <w:rPr>
          <w:rFonts w:asciiTheme="majorHAnsi" w:hAnsiTheme="majorHAnsi"/>
          <w:sz w:val="18"/>
          <w:szCs w:val="18"/>
          <w:lang w:val="es-ES"/>
        </w:rPr>
        <w:t>’</w:t>
      </w:r>
      <w:r w:rsidRPr="008536ED">
        <w:rPr>
          <w:rFonts w:asciiTheme="majorHAnsi" w:hAnsiTheme="majorHAnsi"/>
          <w:sz w:val="18"/>
          <w:szCs w:val="18"/>
          <w:lang w:val="es-ES"/>
        </w:rPr>
        <w:t xml:space="preserve"> (</w:t>
      </w:r>
      <w:r w:rsidRPr="008536ED">
        <w:rPr>
          <w:rFonts w:asciiTheme="majorHAnsi" w:hAnsiTheme="majorHAnsi"/>
          <w:i/>
          <w:iCs/>
          <w:sz w:val="18"/>
          <w:szCs w:val="18"/>
          <w:lang w:val="es-ES"/>
        </w:rPr>
        <w:t xml:space="preserve">íd., </w:t>
      </w:r>
      <w:r w:rsidRPr="008536ED">
        <w:rPr>
          <w:rFonts w:asciiTheme="majorHAnsi" w:hAnsiTheme="majorHAnsi"/>
          <w:iCs/>
          <w:sz w:val="18"/>
          <w:szCs w:val="18"/>
          <w:lang w:val="es-ES"/>
        </w:rPr>
        <w:t>pág.</w:t>
      </w:r>
      <w:r w:rsidRPr="008536ED">
        <w:rPr>
          <w:rFonts w:asciiTheme="majorHAnsi" w:hAnsiTheme="majorHAnsi"/>
          <w:sz w:val="18"/>
          <w:szCs w:val="18"/>
          <w:lang w:val="es-ES"/>
        </w:rPr>
        <w:t xml:space="preserve"> 688) y debe probar que existe la </w:t>
      </w:r>
      <w:r>
        <w:rPr>
          <w:rFonts w:asciiTheme="majorHAnsi" w:hAnsiTheme="majorHAnsi"/>
          <w:sz w:val="18"/>
          <w:szCs w:val="18"/>
          <w:lang w:val="es-ES"/>
        </w:rPr>
        <w:t>‘</w:t>
      </w:r>
      <w:r w:rsidRPr="008536ED">
        <w:rPr>
          <w:rFonts w:asciiTheme="majorHAnsi" w:hAnsiTheme="majorHAnsi"/>
          <w:sz w:val="18"/>
          <w:szCs w:val="18"/>
          <w:lang w:val="es-ES"/>
        </w:rPr>
        <w:t>probabilidad razonable de que, si no hubiera sido por los errores profesionales del abogado, el resultado de las actuaciones habría sido diferente</w:t>
      </w:r>
      <w:r>
        <w:rPr>
          <w:rFonts w:asciiTheme="majorHAnsi" w:hAnsiTheme="majorHAnsi"/>
          <w:sz w:val="18"/>
          <w:szCs w:val="18"/>
          <w:lang w:val="es-ES"/>
        </w:rPr>
        <w:t>’</w:t>
      </w:r>
      <w:r w:rsidRPr="008536ED">
        <w:rPr>
          <w:rFonts w:asciiTheme="majorHAnsi" w:hAnsiTheme="majorHAnsi"/>
          <w:sz w:val="18"/>
          <w:szCs w:val="18"/>
          <w:lang w:val="es-ES"/>
        </w:rPr>
        <w:t xml:space="preserve"> (</w:t>
      </w:r>
      <w:r w:rsidRPr="008536ED">
        <w:rPr>
          <w:rFonts w:asciiTheme="majorHAnsi" w:hAnsiTheme="majorHAnsi"/>
          <w:i/>
          <w:iCs/>
          <w:sz w:val="18"/>
          <w:szCs w:val="18"/>
          <w:lang w:val="es-ES"/>
        </w:rPr>
        <w:t xml:space="preserve">íd., </w:t>
      </w:r>
      <w:r w:rsidRPr="008536ED">
        <w:rPr>
          <w:rFonts w:asciiTheme="majorHAnsi" w:hAnsiTheme="majorHAnsi"/>
          <w:iCs/>
          <w:sz w:val="18"/>
          <w:szCs w:val="18"/>
          <w:lang w:val="es-ES"/>
        </w:rPr>
        <w:t>pág.</w:t>
      </w:r>
      <w:r w:rsidRPr="008536ED">
        <w:rPr>
          <w:rFonts w:asciiTheme="majorHAnsi" w:hAnsiTheme="majorHAnsi"/>
          <w:sz w:val="18"/>
          <w:szCs w:val="18"/>
          <w:lang w:val="es-ES"/>
        </w:rPr>
        <w:t xml:space="preserve"> 694)”</w:t>
      </w:r>
      <w:r w:rsidRPr="008536ED">
        <w:rPr>
          <w:rStyle w:val="FootnoteReference"/>
          <w:rFonts w:asciiTheme="majorHAnsi" w:hAnsiTheme="majorHAnsi"/>
          <w:sz w:val="18"/>
          <w:szCs w:val="18"/>
          <w:lang w:val="es-ES"/>
        </w:rPr>
        <w:footnoteReference w:id="69"/>
      </w:r>
      <w:r w:rsidRPr="008536ED">
        <w:rPr>
          <w:rFonts w:asciiTheme="majorHAnsi" w:hAnsiTheme="majorHAnsi"/>
          <w:sz w:val="18"/>
          <w:szCs w:val="18"/>
          <w:lang w:val="es-ES"/>
        </w:rPr>
        <w:t>.</w:t>
      </w:r>
    </w:p>
    <w:p w14:paraId="008F06DA" w14:textId="77777777" w:rsidR="00953481" w:rsidRPr="008536ED" w:rsidRDefault="00953481" w:rsidP="00953481">
      <w:pPr>
        <w:tabs>
          <w:tab w:val="left" w:pos="360"/>
        </w:tabs>
        <w:jc w:val="both"/>
        <w:rPr>
          <w:rFonts w:asciiTheme="majorHAnsi" w:hAnsiTheme="majorHAnsi"/>
          <w:sz w:val="20"/>
          <w:szCs w:val="20"/>
          <w:lang w:val="es-ES"/>
        </w:rPr>
      </w:pPr>
    </w:p>
    <w:p w14:paraId="0A069717"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ES"/>
        </w:rPr>
      </w:pPr>
      <w:r w:rsidRPr="008536ED">
        <w:rPr>
          <w:rFonts w:asciiTheme="majorHAnsi" w:hAnsiTheme="majorHAnsi" w:cs="Univers"/>
          <w:sz w:val="20"/>
          <w:szCs w:val="20"/>
          <w:lang w:val="es-ES"/>
        </w:rPr>
        <w:t xml:space="preserve">A la luz de </w:t>
      </w:r>
      <w:r>
        <w:rPr>
          <w:rFonts w:asciiTheme="majorHAnsi" w:hAnsiTheme="majorHAnsi" w:cs="Univers"/>
          <w:sz w:val="20"/>
          <w:szCs w:val="20"/>
          <w:lang w:val="es-ES"/>
        </w:rPr>
        <w:t>los estándares descritos</w:t>
      </w:r>
      <w:r w:rsidRPr="008536ED">
        <w:rPr>
          <w:rFonts w:asciiTheme="majorHAnsi" w:hAnsiTheme="majorHAnsi" w:cs="Univers"/>
          <w:sz w:val="20"/>
          <w:szCs w:val="20"/>
          <w:lang w:val="es-ES"/>
        </w:rPr>
        <w:t xml:space="preserve"> anteriormente, la CIDH reitera que es incompatible con el derecho de justicia y el derecho a </w:t>
      </w:r>
      <w:r>
        <w:rPr>
          <w:rFonts w:asciiTheme="majorHAnsi" w:hAnsiTheme="majorHAnsi" w:cs="Univers"/>
          <w:sz w:val="20"/>
          <w:szCs w:val="20"/>
          <w:lang w:val="es-ES"/>
        </w:rPr>
        <w:t xml:space="preserve">un </w:t>
      </w:r>
      <w:r w:rsidRPr="008536ED">
        <w:rPr>
          <w:rFonts w:asciiTheme="majorHAnsi" w:hAnsiTheme="majorHAnsi" w:cs="Univers"/>
          <w:sz w:val="20"/>
          <w:szCs w:val="20"/>
          <w:lang w:val="es-ES"/>
        </w:rPr>
        <w:t xml:space="preserve">proceso regular enunciados en la Declaración Americana que la revisión por un tribunal federal sea sumamente limitada. </w:t>
      </w:r>
      <w:r>
        <w:rPr>
          <w:rFonts w:asciiTheme="majorHAnsi" w:hAnsiTheme="majorHAnsi" w:cs="Univers"/>
          <w:sz w:val="20"/>
          <w:szCs w:val="20"/>
          <w:lang w:val="es-ES"/>
        </w:rPr>
        <w:t>Considerando el carácter</w:t>
      </w:r>
      <w:r w:rsidRPr="008536ED">
        <w:rPr>
          <w:rFonts w:asciiTheme="majorHAnsi" w:hAnsiTheme="majorHAnsi" w:cs="Univers"/>
          <w:sz w:val="20"/>
          <w:szCs w:val="20"/>
          <w:lang w:val="es-ES"/>
        </w:rPr>
        <w:t xml:space="preserve"> irreversible de la pena de muerte, una revisión federal </w:t>
      </w:r>
      <w:r>
        <w:rPr>
          <w:rFonts w:asciiTheme="majorHAnsi" w:hAnsiTheme="majorHAnsi" w:cs="Univers"/>
          <w:sz w:val="20"/>
          <w:szCs w:val="20"/>
          <w:lang w:val="es-ES"/>
        </w:rPr>
        <w:t xml:space="preserve">posterior a la </w:t>
      </w:r>
      <w:proofErr w:type="gramStart"/>
      <w:r>
        <w:rPr>
          <w:rFonts w:asciiTheme="majorHAnsi" w:hAnsiTheme="majorHAnsi" w:cs="Univers"/>
          <w:sz w:val="20"/>
          <w:szCs w:val="20"/>
          <w:lang w:val="es-ES"/>
        </w:rPr>
        <w:t xml:space="preserve">condena </w:t>
      </w:r>
      <w:r w:rsidRPr="008536ED">
        <w:rPr>
          <w:rFonts w:asciiTheme="majorHAnsi" w:hAnsiTheme="majorHAnsi" w:cs="Univers"/>
          <w:sz w:val="20"/>
          <w:szCs w:val="20"/>
          <w:lang w:val="es-ES"/>
        </w:rPr>
        <w:t xml:space="preserve"> limitada</w:t>
      </w:r>
      <w:proofErr w:type="gramEnd"/>
      <w:r w:rsidRPr="008536ED">
        <w:rPr>
          <w:rFonts w:asciiTheme="majorHAnsi" w:hAnsiTheme="majorHAnsi" w:cs="Univers"/>
          <w:sz w:val="20"/>
          <w:szCs w:val="20"/>
          <w:lang w:val="es-ES"/>
        </w:rPr>
        <w:t xml:space="preserve"> por las interpretaciones de los tribunales estatales y por</w:t>
      </w:r>
      <w:r w:rsidRPr="008536ED">
        <w:rPr>
          <w:rFonts w:asciiTheme="majorHAnsi" w:hAnsiTheme="majorHAnsi"/>
          <w:sz w:val="20"/>
          <w:szCs w:val="20"/>
          <w:lang w:val="es-ES"/>
        </w:rPr>
        <w:t xml:space="preserve"> su determinación de los hechos no </w:t>
      </w:r>
      <w:r>
        <w:rPr>
          <w:rFonts w:asciiTheme="majorHAnsi" w:hAnsiTheme="majorHAnsi"/>
          <w:sz w:val="20"/>
          <w:szCs w:val="20"/>
          <w:lang w:val="es-ES"/>
        </w:rPr>
        <w:t>cumple con</w:t>
      </w:r>
      <w:r w:rsidRPr="008536ED">
        <w:rPr>
          <w:rFonts w:asciiTheme="majorHAnsi" w:hAnsiTheme="majorHAnsi"/>
          <w:sz w:val="20"/>
          <w:szCs w:val="20"/>
          <w:lang w:val="es-ES"/>
        </w:rPr>
        <w:t xml:space="preserve"> las normas interamericanas, de acuerdo con las cuales el derecho </w:t>
      </w:r>
      <w:r>
        <w:rPr>
          <w:rFonts w:asciiTheme="majorHAnsi" w:hAnsiTheme="majorHAnsi"/>
          <w:sz w:val="20"/>
          <w:szCs w:val="20"/>
          <w:lang w:val="es-ES"/>
        </w:rPr>
        <w:t>a</w:t>
      </w:r>
      <w:r w:rsidRPr="008536ED">
        <w:rPr>
          <w:rFonts w:asciiTheme="majorHAnsi" w:hAnsiTheme="majorHAnsi"/>
          <w:sz w:val="20"/>
          <w:szCs w:val="20"/>
          <w:lang w:val="es-ES"/>
        </w:rPr>
        <w:t xml:space="preserve"> </w:t>
      </w:r>
      <w:r>
        <w:rPr>
          <w:rFonts w:asciiTheme="majorHAnsi" w:hAnsiTheme="majorHAnsi"/>
          <w:sz w:val="20"/>
          <w:szCs w:val="20"/>
          <w:lang w:val="es-ES"/>
        </w:rPr>
        <w:t>recurrir un fallo</w:t>
      </w:r>
      <w:r w:rsidRPr="008536ED">
        <w:rPr>
          <w:rFonts w:asciiTheme="majorHAnsi" w:hAnsiTheme="majorHAnsi"/>
          <w:sz w:val="20"/>
          <w:szCs w:val="20"/>
          <w:lang w:val="es-ES"/>
        </w:rPr>
        <w:t xml:space="preserve"> forma parte del conjunto de garantías procesales que aseguran el debido proceso legal</w:t>
      </w:r>
      <w:r w:rsidRPr="008536ED">
        <w:rPr>
          <w:rStyle w:val="FootnoteReference"/>
          <w:rFonts w:asciiTheme="majorHAnsi" w:hAnsiTheme="majorHAnsi"/>
          <w:sz w:val="20"/>
          <w:szCs w:val="20"/>
          <w:lang w:val="es-ES"/>
        </w:rPr>
        <w:footnoteReference w:id="70"/>
      </w:r>
      <w:r w:rsidRPr="008536ED">
        <w:rPr>
          <w:rFonts w:asciiTheme="majorHAnsi" w:hAnsiTheme="majorHAnsi"/>
          <w:sz w:val="20"/>
          <w:szCs w:val="20"/>
          <w:lang w:val="es-ES"/>
        </w:rPr>
        <w:t>.</w:t>
      </w:r>
    </w:p>
    <w:p w14:paraId="39DF022F" w14:textId="77777777" w:rsidR="00953481" w:rsidRPr="008536ED" w:rsidRDefault="00953481" w:rsidP="00953481">
      <w:pPr>
        <w:pStyle w:val="ListParagraph"/>
        <w:tabs>
          <w:tab w:val="left" w:pos="360"/>
        </w:tabs>
        <w:ind w:left="0"/>
        <w:rPr>
          <w:rFonts w:asciiTheme="majorHAnsi" w:hAnsiTheme="majorHAnsi" w:cs="Univers"/>
          <w:sz w:val="20"/>
          <w:szCs w:val="20"/>
          <w:lang w:val="es-ES"/>
        </w:rPr>
      </w:pPr>
    </w:p>
    <w:p w14:paraId="3B63863A"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ES"/>
        </w:rPr>
      </w:pPr>
      <w:r w:rsidRPr="008536ED">
        <w:rPr>
          <w:rFonts w:asciiTheme="majorHAnsi" w:hAnsiTheme="majorHAnsi" w:cs="Univers"/>
          <w:sz w:val="20"/>
          <w:szCs w:val="20"/>
          <w:lang w:val="es-ES"/>
        </w:rPr>
        <w:t xml:space="preserve">La Comisión Interamericana concluye que, en vista de las limitaciones impuestas por la AEDPA, el señor </w:t>
      </w:r>
      <w:proofErr w:type="spellStart"/>
      <w:r w:rsidRPr="008536ED">
        <w:rPr>
          <w:rFonts w:asciiTheme="majorHAnsi" w:hAnsiTheme="majorHAnsi" w:cs="Univers"/>
          <w:sz w:val="20"/>
          <w:szCs w:val="20"/>
          <w:lang w:val="es-ES"/>
        </w:rPr>
        <w:t>Rogovich</w:t>
      </w:r>
      <w:proofErr w:type="spellEnd"/>
      <w:r w:rsidRPr="008536ED">
        <w:rPr>
          <w:rFonts w:asciiTheme="majorHAnsi" w:hAnsiTheme="majorHAnsi" w:cs="Univers"/>
          <w:sz w:val="20"/>
          <w:szCs w:val="20"/>
          <w:lang w:val="es-ES"/>
        </w:rPr>
        <w:t xml:space="preserve"> no obtuvo una revisión exhaustiva de su condena a fin de corregir posibles errores y, por consiguiente, el Estado violó el derecho enunciado en los artículos XVIII y XXVI de la Declaración Americana</w:t>
      </w:r>
      <w:r>
        <w:rPr>
          <w:rFonts w:asciiTheme="majorHAnsi" w:hAnsiTheme="majorHAnsi" w:cs="Univers"/>
          <w:sz w:val="20"/>
          <w:szCs w:val="20"/>
          <w:lang w:val="es-ES"/>
        </w:rPr>
        <w:t xml:space="preserve"> en perjuicio del señor </w:t>
      </w:r>
      <w:proofErr w:type="spellStart"/>
      <w:r>
        <w:rPr>
          <w:rFonts w:asciiTheme="majorHAnsi" w:hAnsiTheme="majorHAnsi" w:cs="Univers"/>
          <w:sz w:val="20"/>
          <w:szCs w:val="20"/>
          <w:lang w:val="es-ES"/>
        </w:rPr>
        <w:t>Rogovich</w:t>
      </w:r>
      <w:proofErr w:type="spellEnd"/>
      <w:r w:rsidRPr="008536ED">
        <w:rPr>
          <w:rFonts w:asciiTheme="majorHAnsi" w:hAnsiTheme="majorHAnsi" w:cs="Univers"/>
          <w:sz w:val="20"/>
          <w:szCs w:val="20"/>
          <w:lang w:val="es-ES"/>
        </w:rPr>
        <w:t xml:space="preserve">. </w:t>
      </w:r>
    </w:p>
    <w:p w14:paraId="74212341"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b/>
          <w:sz w:val="20"/>
          <w:szCs w:val="20"/>
          <w:lang w:val="es-ES"/>
        </w:rPr>
      </w:pPr>
    </w:p>
    <w:p w14:paraId="365259B1" w14:textId="77777777" w:rsidR="00953481" w:rsidRPr="00953481" w:rsidRDefault="00953481" w:rsidP="00C341DD">
      <w:pPr>
        <w:pStyle w:val="Heading3"/>
        <w:keepLines/>
        <w:numPr>
          <w:ilvl w:val="1"/>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26" w:name="_Toc90283149"/>
      <w:r w:rsidRPr="00953481">
        <w:rPr>
          <w:rFonts w:asciiTheme="majorHAnsi" w:hAnsiTheme="majorHAnsi"/>
          <w:sz w:val="20"/>
          <w:szCs w:val="20"/>
          <w:lang w:val="es-ES"/>
        </w:rPr>
        <w:t>Derecho a un juicio sin dilaciones indebidas</w:t>
      </w:r>
      <w:bookmarkEnd w:id="26"/>
    </w:p>
    <w:p w14:paraId="1047B67E" w14:textId="77777777" w:rsidR="00953481" w:rsidRPr="008536ED" w:rsidRDefault="00953481" w:rsidP="00953481">
      <w:pPr>
        <w:pStyle w:val="NormalWeb"/>
        <w:keepNext/>
        <w:keepLines/>
        <w:shd w:val="clear" w:color="auto" w:fill="FFFFFF"/>
        <w:tabs>
          <w:tab w:val="left" w:pos="360"/>
        </w:tabs>
        <w:spacing w:before="0" w:beforeAutospacing="0" w:after="0" w:afterAutospacing="0"/>
        <w:jc w:val="both"/>
        <w:rPr>
          <w:rFonts w:asciiTheme="majorHAnsi" w:hAnsiTheme="majorHAnsi"/>
          <w:b/>
          <w:sz w:val="20"/>
          <w:szCs w:val="20"/>
          <w:lang w:val="es-ES"/>
        </w:rPr>
      </w:pPr>
    </w:p>
    <w:p w14:paraId="2A30B56C" w14:textId="77777777" w:rsidR="00953481" w:rsidRPr="008536ED" w:rsidRDefault="00953481" w:rsidP="00C341DD">
      <w:pPr>
        <w:pStyle w:val="NormalWeb"/>
        <w:keepNext/>
        <w:keepLines/>
        <w:numPr>
          <w:ilvl w:val="0"/>
          <w:numId w:val="55"/>
        </w:numPr>
        <w:shd w:val="clear" w:color="auto" w:fill="FFFFFF"/>
        <w:tabs>
          <w:tab w:val="left" w:pos="360"/>
        </w:tabs>
        <w:spacing w:before="0" w:beforeAutospacing="0" w:after="0" w:afterAutospacing="0"/>
        <w:ind w:left="0" w:firstLine="0"/>
        <w:jc w:val="both"/>
        <w:rPr>
          <w:rFonts w:asciiTheme="majorHAnsi" w:hAnsiTheme="majorHAnsi" w:cs="Univers"/>
          <w:sz w:val="20"/>
          <w:szCs w:val="20"/>
          <w:lang w:val="es-ES"/>
        </w:rPr>
      </w:pPr>
      <w:proofErr w:type="gramStart"/>
      <w:r>
        <w:rPr>
          <w:rFonts w:asciiTheme="majorHAnsi" w:hAnsiTheme="majorHAnsi" w:cs="Univers"/>
          <w:sz w:val="20"/>
          <w:szCs w:val="20"/>
          <w:lang w:val="es-ES"/>
        </w:rPr>
        <w:t>De acuerdo a</w:t>
      </w:r>
      <w:proofErr w:type="gramEnd"/>
      <w:r>
        <w:rPr>
          <w:rFonts w:asciiTheme="majorHAnsi" w:hAnsiTheme="majorHAnsi" w:cs="Univers"/>
          <w:sz w:val="20"/>
          <w:szCs w:val="20"/>
          <w:lang w:val="es-ES"/>
        </w:rPr>
        <w:t xml:space="preserve"> los estándares interamericanos</w:t>
      </w:r>
      <w:r w:rsidRPr="008536ED">
        <w:rPr>
          <w:rFonts w:asciiTheme="majorHAnsi" w:hAnsiTheme="majorHAnsi" w:cs="Univers"/>
          <w:sz w:val="20"/>
          <w:szCs w:val="20"/>
          <w:lang w:val="es-ES"/>
        </w:rPr>
        <w:t xml:space="preserve"> de derechos humanos, la duración de los procedimientos de jurisdicción interna es un componente esencial del debido proceso y del acceso efectivo a la justicia</w:t>
      </w:r>
      <w:r w:rsidRPr="008536ED">
        <w:rPr>
          <w:rStyle w:val="FootnoteReference"/>
          <w:rFonts w:asciiTheme="majorHAnsi" w:hAnsiTheme="majorHAnsi"/>
          <w:sz w:val="20"/>
          <w:szCs w:val="20"/>
          <w:lang w:val="es-ES"/>
        </w:rPr>
        <w:footnoteReference w:id="71"/>
      </w:r>
      <w:r w:rsidRPr="008536ED">
        <w:rPr>
          <w:rFonts w:asciiTheme="majorHAnsi" w:hAnsiTheme="majorHAnsi" w:cs="Univers"/>
          <w:sz w:val="20"/>
          <w:szCs w:val="20"/>
          <w:lang w:val="es-ES"/>
        </w:rPr>
        <w:t xml:space="preserve">. </w:t>
      </w:r>
      <w:r w:rsidRPr="008536ED">
        <w:rPr>
          <w:rFonts w:asciiTheme="majorHAnsi" w:hAnsiTheme="majorHAnsi"/>
          <w:bCs/>
          <w:sz w:val="20"/>
          <w:szCs w:val="20"/>
          <w:bdr w:val="none" w:sz="0" w:space="0" w:color="auto" w:frame="1"/>
          <w:lang w:val="es-ES"/>
        </w:rPr>
        <w:t>La CIDH ha señalado también que la carga de la prueba para justificar la dilación debe recaer en el Estado y</w:t>
      </w:r>
      <w:r>
        <w:rPr>
          <w:rFonts w:asciiTheme="majorHAnsi" w:hAnsiTheme="majorHAnsi"/>
          <w:bCs/>
          <w:sz w:val="20"/>
          <w:szCs w:val="20"/>
          <w:bdr w:val="none" w:sz="0" w:space="0" w:color="auto" w:frame="1"/>
          <w:lang w:val="es-ES"/>
        </w:rPr>
        <w:t xml:space="preserve"> </w:t>
      </w:r>
      <w:r w:rsidRPr="008536ED">
        <w:rPr>
          <w:rFonts w:asciiTheme="majorHAnsi" w:hAnsiTheme="majorHAnsi"/>
          <w:bCs/>
          <w:sz w:val="20"/>
          <w:szCs w:val="20"/>
          <w:bdr w:val="none" w:sz="0" w:space="0" w:color="auto" w:frame="1"/>
          <w:lang w:val="es-ES"/>
        </w:rPr>
        <w:t xml:space="preserve">se deben tener en cuenta los siguientes elementos: a) la complejidad del asunto; b) la actividad procesal de la parte interesada; c) la conducta de las autoridades judiciales, y d) el efecto de la situación jurídica en la persona </w:t>
      </w:r>
      <w:r>
        <w:rPr>
          <w:rFonts w:asciiTheme="majorHAnsi" w:hAnsiTheme="majorHAnsi"/>
          <w:bCs/>
          <w:sz w:val="20"/>
          <w:szCs w:val="20"/>
          <w:bdr w:val="none" w:sz="0" w:space="0" w:color="auto" w:frame="1"/>
          <w:lang w:val="es-ES"/>
        </w:rPr>
        <w:t>que es parte en el procedimiento</w:t>
      </w:r>
      <w:r w:rsidRPr="008536ED">
        <w:rPr>
          <w:rStyle w:val="FootnoteReference"/>
          <w:rFonts w:asciiTheme="majorHAnsi" w:hAnsiTheme="majorHAnsi"/>
          <w:bCs/>
          <w:sz w:val="20"/>
          <w:szCs w:val="20"/>
          <w:bdr w:val="none" w:sz="0" w:space="0" w:color="auto" w:frame="1"/>
          <w:lang w:val="es-ES"/>
        </w:rPr>
        <w:footnoteReference w:id="72"/>
      </w:r>
      <w:r>
        <w:rPr>
          <w:rFonts w:asciiTheme="majorHAnsi" w:hAnsiTheme="majorHAnsi"/>
          <w:bCs/>
          <w:sz w:val="20"/>
          <w:szCs w:val="20"/>
          <w:bdr w:val="none" w:sz="0" w:space="0" w:color="auto" w:frame="1"/>
          <w:lang w:val="es-ES"/>
        </w:rPr>
        <w:t>.</w:t>
      </w:r>
      <w:r w:rsidRPr="008536ED">
        <w:rPr>
          <w:rFonts w:asciiTheme="majorHAnsi" w:hAnsiTheme="majorHAnsi"/>
          <w:bCs/>
          <w:sz w:val="20"/>
          <w:szCs w:val="20"/>
          <w:bdr w:val="none" w:sz="0" w:space="0" w:color="auto" w:frame="1"/>
          <w:lang w:val="es-ES"/>
        </w:rPr>
        <w:t xml:space="preserve"> </w:t>
      </w:r>
    </w:p>
    <w:p w14:paraId="29ACCC2C"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cs="Univers"/>
          <w:sz w:val="20"/>
          <w:szCs w:val="20"/>
          <w:lang w:val="es-ES"/>
        </w:rPr>
      </w:pPr>
    </w:p>
    <w:p w14:paraId="652188F3"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bCs/>
          <w:sz w:val="20"/>
          <w:szCs w:val="20"/>
          <w:bdr w:val="none" w:sz="0" w:space="0" w:color="auto" w:frame="1"/>
          <w:lang w:val="es-ES"/>
        </w:rPr>
        <w:t xml:space="preserve">Según los hechos probados en el presente informe, el señor </w:t>
      </w:r>
      <w:proofErr w:type="spellStart"/>
      <w:r w:rsidRPr="008536ED">
        <w:rPr>
          <w:rFonts w:asciiTheme="majorHAnsi" w:hAnsiTheme="majorHAnsi"/>
          <w:bCs/>
          <w:sz w:val="20"/>
          <w:szCs w:val="20"/>
          <w:bdr w:val="none" w:sz="0" w:space="0" w:color="auto" w:frame="1"/>
          <w:lang w:val="es-ES"/>
        </w:rPr>
        <w:t>Rogovich</w:t>
      </w:r>
      <w:proofErr w:type="spellEnd"/>
      <w:r w:rsidRPr="008536ED">
        <w:rPr>
          <w:rFonts w:asciiTheme="majorHAnsi" w:hAnsiTheme="majorHAnsi"/>
          <w:bCs/>
          <w:sz w:val="20"/>
          <w:szCs w:val="20"/>
          <w:bdr w:val="none" w:sz="0" w:space="0" w:color="auto" w:frame="1"/>
          <w:lang w:val="es-ES"/>
        </w:rPr>
        <w:t xml:space="preserve"> interpuso un tercer recurso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w:t>
      </w:r>
      <w:proofErr w:type="spellEnd"/>
      <w:r w:rsidRPr="008536ED">
        <w:rPr>
          <w:rFonts w:asciiTheme="majorHAnsi" w:hAnsiTheme="majorHAnsi"/>
          <w:sz w:val="20"/>
          <w:szCs w:val="20"/>
          <w:lang w:val="es-ES"/>
        </w:rPr>
        <w:t xml:space="preserve"> en 2009, en el cual impugnaba la constitucionalidad de la ejecución debido a su enfermedad mental grave. Tras la denegación de este recurso, interpuso un recurso de </w:t>
      </w:r>
      <w:r>
        <w:rPr>
          <w:rFonts w:asciiTheme="majorHAnsi" w:hAnsiTheme="majorHAnsi"/>
          <w:sz w:val="20"/>
          <w:szCs w:val="20"/>
          <w:lang w:val="es-ES"/>
        </w:rPr>
        <w:t>revisión</w:t>
      </w:r>
      <w:r w:rsidRPr="008536ED">
        <w:rPr>
          <w:rFonts w:asciiTheme="majorHAnsi" w:hAnsiTheme="majorHAnsi"/>
          <w:sz w:val="20"/>
          <w:szCs w:val="20"/>
          <w:lang w:val="es-ES"/>
        </w:rPr>
        <w:t xml:space="preserve"> el 22 de octubre de 2009, que fue desestimado el 11 de enero de 2016. El Estado afirma que la demora se debió a los cambios de abogado y a varias mociones presentadas por la defensa con el fin de prorrogar el plazo para la presentación de escritos.</w:t>
      </w:r>
    </w:p>
    <w:p w14:paraId="528FD1BB" w14:textId="77777777" w:rsidR="00953481" w:rsidRPr="00400DC5" w:rsidRDefault="00953481" w:rsidP="00953481">
      <w:pPr>
        <w:rPr>
          <w:rFonts w:asciiTheme="majorHAnsi" w:hAnsiTheme="majorHAnsi"/>
          <w:sz w:val="20"/>
          <w:szCs w:val="20"/>
          <w:lang w:val="es-ES"/>
        </w:rPr>
      </w:pPr>
    </w:p>
    <w:p w14:paraId="726DCBA5"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 xml:space="preserve">Según información de dominio público, entre el 27 de octubre de 2009 y el 18 de abril de 2013 no hubo ninguna actividad procesal </w:t>
      </w:r>
      <w:r>
        <w:rPr>
          <w:rFonts w:asciiTheme="majorHAnsi" w:hAnsiTheme="majorHAnsi"/>
          <w:sz w:val="20"/>
          <w:szCs w:val="20"/>
          <w:lang w:val="es-ES"/>
        </w:rPr>
        <w:t xml:space="preserve">en relación </w:t>
      </w:r>
      <w:r w:rsidRPr="008536ED">
        <w:rPr>
          <w:rFonts w:asciiTheme="majorHAnsi" w:hAnsiTheme="majorHAnsi"/>
          <w:sz w:val="20"/>
          <w:szCs w:val="20"/>
          <w:lang w:val="es-ES"/>
        </w:rPr>
        <w:t xml:space="preserve">con </w:t>
      </w:r>
      <w:r>
        <w:rPr>
          <w:rFonts w:asciiTheme="majorHAnsi" w:hAnsiTheme="majorHAnsi"/>
          <w:sz w:val="20"/>
          <w:szCs w:val="20"/>
          <w:lang w:val="es-ES"/>
        </w:rPr>
        <w:t>e</w:t>
      </w:r>
      <w:r w:rsidRPr="008536ED">
        <w:rPr>
          <w:rFonts w:asciiTheme="majorHAnsi" w:hAnsiTheme="majorHAnsi"/>
          <w:sz w:val="20"/>
          <w:szCs w:val="20"/>
          <w:lang w:val="es-ES"/>
        </w:rPr>
        <w:t xml:space="preserve">l recurso de </w:t>
      </w:r>
      <w:r>
        <w:rPr>
          <w:rFonts w:asciiTheme="majorHAnsi" w:hAnsiTheme="majorHAnsi"/>
          <w:sz w:val="20"/>
          <w:szCs w:val="20"/>
          <w:lang w:val="es-ES"/>
        </w:rPr>
        <w:t>revisión</w:t>
      </w:r>
      <w:r w:rsidRPr="008536ED">
        <w:rPr>
          <w:rFonts w:asciiTheme="majorHAnsi" w:hAnsiTheme="majorHAnsi"/>
          <w:sz w:val="20"/>
          <w:szCs w:val="20"/>
          <w:lang w:val="es-ES"/>
        </w:rPr>
        <w:t xml:space="preserve"> interpuesto por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Posteriormente, la presunta víctima presentó una </w:t>
      </w:r>
      <w:r>
        <w:rPr>
          <w:rFonts w:asciiTheme="majorHAnsi" w:hAnsiTheme="majorHAnsi"/>
          <w:sz w:val="20"/>
          <w:szCs w:val="20"/>
          <w:lang w:val="es-ES"/>
        </w:rPr>
        <w:t>solicitud de fallo</w:t>
      </w:r>
      <w:r w:rsidRPr="008536ED">
        <w:rPr>
          <w:rFonts w:asciiTheme="majorHAnsi" w:hAnsiTheme="majorHAnsi"/>
          <w:sz w:val="20"/>
          <w:szCs w:val="20"/>
          <w:lang w:val="es-ES"/>
        </w:rPr>
        <w:t xml:space="preserve">. El 18 de diciembre de 2013, el tribunal estatal programó una </w:t>
      </w:r>
      <w:r>
        <w:rPr>
          <w:rFonts w:asciiTheme="majorHAnsi" w:hAnsiTheme="majorHAnsi"/>
          <w:sz w:val="20"/>
          <w:szCs w:val="20"/>
          <w:lang w:val="es-ES"/>
        </w:rPr>
        <w:t>conferencia de estado</w:t>
      </w:r>
      <w:r w:rsidRPr="008536ED">
        <w:rPr>
          <w:rFonts w:asciiTheme="majorHAnsi" w:hAnsiTheme="majorHAnsi"/>
          <w:sz w:val="20"/>
          <w:szCs w:val="20"/>
          <w:lang w:val="es-ES"/>
        </w:rPr>
        <w:t xml:space="preserve"> para el 21 de febrero de 2014. El 28 de febrero de 2014, uno de los abogados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se retiró del caso. El 12 de mayo y el 26 de junio de 2015, el abogado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w:t>
      </w:r>
      <w:r>
        <w:rPr>
          <w:rFonts w:asciiTheme="majorHAnsi" w:hAnsiTheme="majorHAnsi"/>
          <w:sz w:val="20"/>
          <w:szCs w:val="20"/>
          <w:lang w:val="es-ES"/>
        </w:rPr>
        <w:t>solicitó</w:t>
      </w:r>
      <w:r w:rsidRPr="008536ED">
        <w:rPr>
          <w:rFonts w:asciiTheme="majorHAnsi" w:hAnsiTheme="majorHAnsi"/>
          <w:sz w:val="20"/>
          <w:szCs w:val="20"/>
          <w:lang w:val="es-ES"/>
        </w:rPr>
        <w:t xml:space="preserve"> una prórroga, que le fue concedida. </w:t>
      </w:r>
    </w:p>
    <w:p w14:paraId="792A7B8A" w14:textId="77777777" w:rsidR="00953481" w:rsidRPr="00400DC5" w:rsidRDefault="00953481" w:rsidP="00953481">
      <w:pPr>
        <w:rPr>
          <w:rFonts w:asciiTheme="majorHAnsi" w:hAnsiTheme="majorHAnsi"/>
          <w:sz w:val="20"/>
          <w:szCs w:val="20"/>
          <w:lang w:val="es-ES"/>
        </w:rPr>
      </w:pPr>
    </w:p>
    <w:p w14:paraId="6DD24E0C"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lastRenderedPageBreak/>
        <w:t xml:space="preserve">Sobre la base de esta información, la CIDH observa que el tribunal tardó más de seis años en pronunciarse sobre el recurso de </w:t>
      </w:r>
      <w:r>
        <w:rPr>
          <w:rFonts w:asciiTheme="majorHAnsi" w:hAnsiTheme="majorHAnsi"/>
          <w:sz w:val="20"/>
          <w:szCs w:val="20"/>
          <w:lang w:val="es-ES"/>
        </w:rPr>
        <w:t>revisión</w:t>
      </w:r>
      <w:r w:rsidRPr="008536ED">
        <w:rPr>
          <w:rFonts w:asciiTheme="majorHAnsi" w:hAnsiTheme="majorHAnsi"/>
          <w:sz w:val="20"/>
          <w:szCs w:val="20"/>
          <w:lang w:val="es-ES"/>
        </w:rPr>
        <w:t xml:space="preserve">. La Comisión observa asimismo que no hubo ninguna actividad procesal durante los primeros tres años y medio y que el abogado del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impulsó la reactivación del procedimiento. Además, </w:t>
      </w:r>
      <w:r>
        <w:rPr>
          <w:rFonts w:asciiTheme="majorHAnsi" w:hAnsiTheme="majorHAnsi"/>
          <w:sz w:val="20"/>
          <w:szCs w:val="20"/>
          <w:lang w:val="es-ES"/>
        </w:rPr>
        <w:t>las solicitudes</w:t>
      </w:r>
      <w:r w:rsidRPr="008536ED">
        <w:rPr>
          <w:rFonts w:asciiTheme="majorHAnsi" w:hAnsiTheme="majorHAnsi"/>
          <w:sz w:val="20"/>
          <w:szCs w:val="20"/>
          <w:lang w:val="es-ES"/>
        </w:rPr>
        <w:t xml:space="preserve"> de prórroga efectuad</w:t>
      </w:r>
      <w:r>
        <w:rPr>
          <w:rFonts w:asciiTheme="majorHAnsi" w:hAnsiTheme="majorHAnsi"/>
          <w:sz w:val="20"/>
          <w:szCs w:val="20"/>
          <w:lang w:val="es-ES"/>
        </w:rPr>
        <w:t>a</w:t>
      </w:r>
      <w:r w:rsidRPr="008536ED">
        <w:rPr>
          <w:rFonts w:asciiTheme="majorHAnsi" w:hAnsiTheme="majorHAnsi"/>
          <w:sz w:val="20"/>
          <w:szCs w:val="20"/>
          <w:lang w:val="es-ES"/>
        </w:rPr>
        <w:t>s por la defensa fueron presentad</w:t>
      </w:r>
      <w:r>
        <w:rPr>
          <w:rFonts w:asciiTheme="majorHAnsi" w:hAnsiTheme="majorHAnsi"/>
          <w:sz w:val="20"/>
          <w:szCs w:val="20"/>
          <w:lang w:val="es-ES"/>
        </w:rPr>
        <w:t>a</w:t>
      </w:r>
      <w:r w:rsidRPr="008536ED">
        <w:rPr>
          <w:rFonts w:asciiTheme="majorHAnsi" w:hAnsiTheme="majorHAnsi"/>
          <w:sz w:val="20"/>
          <w:szCs w:val="20"/>
          <w:lang w:val="es-ES"/>
        </w:rPr>
        <w:t xml:space="preserve">s pocos meses antes de que se denegara el recurso. Por lo tanto, la actividad procesal de la parte interesada no fue la causa de la demora, como alega el Estado. La Comisión considera también que el recurso de </w:t>
      </w:r>
      <w:r>
        <w:rPr>
          <w:rFonts w:asciiTheme="majorHAnsi" w:hAnsiTheme="majorHAnsi"/>
          <w:sz w:val="20"/>
          <w:szCs w:val="20"/>
          <w:lang w:val="es-ES"/>
        </w:rPr>
        <w:t>revisión</w:t>
      </w:r>
      <w:r w:rsidRPr="008536ED">
        <w:rPr>
          <w:rFonts w:asciiTheme="majorHAnsi" w:hAnsiTheme="majorHAnsi"/>
          <w:sz w:val="20"/>
          <w:szCs w:val="20"/>
          <w:lang w:val="es-ES"/>
        </w:rPr>
        <w:t xml:space="preserve"> interpuesto contra la denegación del tercer recurso </w:t>
      </w:r>
      <w:proofErr w:type="spellStart"/>
      <w:r w:rsidRPr="008536ED">
        <w:rPr>
          <w:rFonts w:asciiTheme="majorHAnsi" w:hAnsiTheme="majorHAnsi"/>
          <w:sz w:val="20"/>
          <w:szCs w:val="20"/>
          <w:lang w:val="es-ES"/>
        </w:rPr>
        <w:t>poscondenatori</w:t>
      </w:r>
      <w:r>
        <w:rPr>
          <w:rFonts w:asciiTheme="majorHAnsi" w:hAnsiTheme="majorHAnsi"/>
          <w:sz w:val="20"/>
          <w:szCs w:val="20"/>
          <w:lang w:val="es-ES"/>
        </w:rPr>
        <w:t>o</w:t>
      </w:r>
      <w:proofErr w:type="spellEnd"/>
      <w:r w:rsidRPr="008536ED">
        <w:rPr>
          <w:rFonts w:asciiTheme="majorHAnsi" w:hAnsiTheme="majorHAnsi"/>
          <w:sz w:val="20"/>
          <w:szCs w:val="20"/>
          <w:lang w:val="es-ES"/>
        </w:rPr>
        <w:t xml:space="preserve"> no es un asunto complejo.</w:t>
      </w:r>
    </w:p>
    <w:p w14:paraId="3809185F" w14:textId="77777777" w:rsidR="00953481" w:rsidRPr="00400DC5" w:rsidRDefault="00953481" w:rsidP="00953481">
      <w:pPr>
        <w:rPr>
          <w:rFonts w:asciiTheme="majorHAnsi" w:hAnsiTheme="majorHAnsi"/>
          <w:sz w:val="20"/>
          <w:szCs w:val="20"/>
          <w:lang w:val="es-ES"/>
        </w:rPr>
      </w:pPr>
    </w:p>
    <w:p w14:paraId="4FF8D1A6"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ind w:left="0" w:firstLine="0"/>
        <w:jc w:val="both"/>
        <w:rPr>
          <w:rFonts w:asciiTheme="majorHAnsi" w:eastAsia="Times New Roman" w:hAnsiTheme="majorHAnsi"/>
          <w:bCs/>
          <w:sz w:val="20"/>
          <w:szCs w:val="20"/>
          <w:bdr w:val="none" w:sz="0" w:space="0" w:color="auto"/>
          <w:lang w:val="es-ES"/>
        </w:rPr>
      </w:pPr>
      <w:r w:rsidRPr="008536ED">
        <w:rPr>
          <w:rFonts w:asciiTheme="majorHAnsi" w:hAnsiTheme="majorHAnsi"/>
          <w:sz w:val="20"/>
          <w:szCs w:val="20"/>
          <w:lang w:val="es-ES"/>
        </w:rPr>
        <w:t>Por consiguiente, la Comisión concluye que la conducta de las autoridades judiciales causó una dilación indebida en el pronunciamiento sobre el recurso. Además, como se verá más adelante, la duración de los procedimientos ha influido en la configuración del fenómeno del corredor de la muerte, agravad</w:t>
      </w:r>
      <w:r>
        <w:rPr>
          <w:rFonts w:asciiTheme="majorHAnsi" w:hAnsiTheme="majorHAnsi"/>
          <w:sz w:val="20"/>
          <w:szCs w:val="20"/>
          <w:lang w:val="es-ES"/>
        </w:rPr>
        <w:t>o</w:t>
      </w:r>
      <w:r w:rsidRPr="008536ED">
        <w:rPr>
          <w:rFonts w:asciiTheme="majorHAnsi" w:hAnsiTheme="majorHAnsi"/>
          <w:sz w:val="20"/>
          <w:szCs w:val="20"/>
          <w:lang w:val="es-ES"/>
        </w:rPr>
        <w:t xml:space="preserve"> por </w:t>
      </w:r>
      <w:r>
        <w:rPr>
          <w:rFonts w:asciiTheme="majorHAnsi" w:hAnsiTheme="majorHAnsi"/>
          <w:sz w:val="20"/>
          <w:szCs w:val="20"/>
          <w:lang w:val="es-ES"/>
        </w:rPr>
        <w:t>la discapacidad</w:t>
      </w:r>
      <w:r w:rsidRPr="008536ED">
        <w:rPr>
          <w:rFonts w:asciiTheme="majorHAnsi" w:hAnsiTheme="majorHAnsi"/>
          <w:sz w:val="20"/>
          <w:szCs w:val="20"/>
          <w:lang w:val="es-ES"/>
        </w:rPr>
        <w:t xml:space="preserve"> mental d</w:t>
      </w:r>
      <w:r w:rsidRPr="008536ED">
        <w:rPr>
          <w:rFonts w:asciiTheme="majorHAnsi" w:hAnsiTheme="majorHAnsi"/>
          <w:sz w:val="20"/>
          <w:lang w:val="es-ES"/>
        </w:rPr>
        <w:t xml:space="preserve">el señor </w:t>
      </w:r>
      <w:proofErr w:type="spellStart"/>
      <w:r w:rsidRPr="008536ED">
        <w:rPr>
          <w:rFonts w:asciiTheme="majorHAnsi" w:hAnsiTheme="majorHAnsi"/>
          <w:sz w:val="20"/>
          <w:lang w:val="es-ES"/>
        </w:rPr>
        <w:t>Rogovich</w:t>
      </w:r>
      <w:proofErr w:type="spellEnd"/>
      <w:r w:rsidRPr="008536ED">
        <w:rPr>
          <w:rFonts w:asciiTheme="majorHAnsi" w:hAnsiTheme="majorHAnsi"/>
          <w:sz w:val="20"/>
          <w:lang w:val="es-ES"/>
        </w:rPr>
        <w:t xml:space="preserve">. En vista de lo que antecede, </w:t>
      </w:r>
      <w:r w:rsidRPr="008536ED">
        <w:rPr>
          <w:rFonts w:asciiTheme="majorHAnsi" w:eastAsia="Times New Roman" w:hAnsiTheme="majorHAnsi"/>
          <w:bCs/>
          <w:sz w:val="20"/>
          <w:szCs w:val="20"/>
          <w:bdr w:val="none" w:sz="0" w:space="0" w:color="auto"/>
          <w:lang w:val="es-ES"/>
        </w:rPr>
        <w:t xml:space="preserve">la CIDH concluye que la dilación injustificada en la tramitación del </w:t>
      </w:r>
      <w:r w:rsidRPr="008536ED">
        <w:rPr>
          <w:rFonts w:asciiTheme="majorHAnsi" w:hAnsiTheme="majorHAnsi"/>
          <w:sz w:val="20"/>
          <w:szCs w:val="20"/>
          <w:lang w:val="es-ES"/>
        </w:rPr>
        <w:t xml:space="preserve">recurso de </w:t>
      </w:r>
      <w:r>
        <w:rPr>
          <w:rFonts w:asciiTheme="majorHAnsi" w:hAnsiTheme="majorHAnsi"/>
          <w:sz w:val="20"/>
          <w:szCs w:val="20"/>
          <w:lang w:val="es-ES"/>
        </w:rPr>
        <w:t>revisión</w:t>
      </w:r>
      <w:r w:rsidRPr="008536ED">
        <w:rPr>
          <w:rFonts w:asciiTheme="majorHAnsi" w:eastAsia="Times New Roman" w:hAnsiTheme="majorHAnsi"/>
          <w:bCs/>
          <w:sz w:val="20"/>
          <w:szCs w:val="20"/>
          <w:bdr w:val="none" w:sz="0" w:space="0" w:color="auto"/>
          <w:lang w:val="es-ES"/>
        </w:rPr>
        <w:t xml:space="preserve"> representa una violación de los derechos del señor </w:t>
      </w:r>
      <w:proofErr w:type="spellStart"/>
      <w:r w:rsidRPr="008536ED">
        <w:rPr>
          <w:rFonts w:asciiTheme="majorHAnsi" w:eastAsia="Times New Roman" w:hAnsiTheme="majorHAnsi"/>
          <w:bCs/>
          <w:sz w:val="20"/>
          <w:szCs w:val="20"/>
          <w:bdr w:val="none" w:sz="0" w:space="0" w:color="auto"/>
          <w:lang w:val="es-ES"/>
        </w:rPr>
        <w:t>Rogovich</w:t>
      </w:r>
      <w:proofErr w:type="spellEnd"/>
      <w:r w:rsidRPr="008536ED">
        <w:rPr>
          <w:rFonts w:asciiTheme="majorHAnsi" w:eastAsia="Times New Roman" w:hAnsiTheme="majorHAnsi"/>
          <w:bCs/>
          <w:sz w:val="20"/>
          <w:szCs w:val="20"/>
          <w:bdr w:val="none" w:sz="0" w:space="0" w:color="auto"/>
          <w:lang w:val="es-ES"/>
        </w:rPr>
        <w:t xml:space="preserve"> enunciados en los artículos XVIII y XXIV de la Declaración. </w:t>
      </w:r>
    </w:p>
    <w:p w14:paraId="178F9EAE"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b/>
          <w:sz w:val="20"/>
          <w:szCs w:val="20"/>
          <w:lang w:val="es-ES"/>
        </w:rPr>
      </w:pPr>
    </w:p>
    <w:p w14:paraId="7BC736B9" w14:textId="77777777" w:rsidR="00953481" w:rsidRPr="00953481" w:rsidRDefault="00953481" w:rsidP="00C341DD">
      <w:pPr>
        <w:pStyle w:val="Heading3"/>
        <w:keepLines/>
        <w:numPr>
          <w:ilvl w:val="1"/>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27" w:name="_Toc90283150"/>
      <w:r w:rsidRPr="00953481">
        <w:rPr>
          <w:rFonts w:asciiTheme="majorHAnsi" w:hAnsiTheme="majorHAnsi"/>
          <w:sz w:val="20"/>
          <w:szCs w:val="20"/>
          <w:lang w:val="es-ES"/>
        </w:rPr>
        <w:t>Procedimiento de clemencia</w:t>
      </w:r>
      <w:bookmarkEnd w:id="27"/>
    </w:p>
    <w:p w14:paraId="248B5C48" w14:textId="77777777" w:rsidR="00953481" w:rsidRPr="008536ED" w:rsidRDefault="00953481" w:rsidP="00953481">
      <w:pPr>
        <w:pStyle w:val="NormalWeb"/>
        <w:shd w:val="clear" w:color="auto" w:fill="FFFFFF"/>
        <w:tabs>
          <w:tab w:val="left" w:pos="360"/>
        </w:tabs>
        <w:spacing w:before="0" w:beforeAutospacing="0" w:after="0" w:afterAutospacing="0"/>
        <w:ind w:left="1530"/>
        <w:jc w:val="both"/>
        <w:rPr>
          <w:rFonts w:asciiTheme="majorHAnsi" w:hAnsiTheme="majorHAnsi"/>
          <w:b/>
          <w:sz w:val="20"/>
          <w:szCs w:val="20"/>
          <w:lang w:val="es-ES"/>
        </w:rPr>
      </w:pPr>
    </w:p>
    <w:p w14:paraId="1160006A" w14:textId="77777777" w:rsidR="00953481" w:rsidRPr="00C919D3"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La parte peticionaria</w:t>
      </w:r>
      <w:r w:rsidRPr="008536ED">
        <w:rPr>
          <w:rFonts w:asciiTheme="majorHAnsi" w:hAnsiTheme="majorHAnsi"/>
          <w:sz w:val="20"/>
          <w:szCs w:val="20"/>
          <w:lang w:val="es-ES"/>
        </w:rPr>
        <w:t xml:space="preserve"> a</w:t>
      </w:r>
      <w:r>
        <w:rPr>
          <w:rFonts w:asciiTheme="majorHAnsi" w:hAnsiTheme="majorHAnsi"/>
          <w:sz w:val="20"/>
          <w:szCs w:val="20"/>
          <w:lang w:val="es-ES"/>
        </w:rPr>
        <w:t xml:space="preserve">lega </w:t>
      </w:r>
      <w:r w:rsidRPr="00C919D3">
        <w:rPr>
          <w:rFonts w:asciiTheme="majorHAnsi" w:hAnsiTheme="majorHAnsi"/>
          <w:sz w:val="20"/>
          <w:szCs w:val="20"/>
          <w:lang w:val="es-ES"/>
        </w:rPr>
        <w:t xml:space="preserve">que los integrantes de la Junta de Clemencia </w:t>
      </w:r>
      <w:r>
        <w:rPr>
          <w:rFonts w:asciiTheme="majorHAnsi" w:hAnsiTheme="majorHAnsi"/>
          <w:sz w:val="20"/>
          <w:szCs w:val="20"/>
          <w:lang w:val="es-ES"/>
        </w:rPr>
        <w:t>son capacitados por el Fiscal General</w:t>
      </w:r>
      <w:r w:rsidRPr="00C919D3">
        <w:rPr>
          <w:rFonts w:asciiTheme="majorHAnsi" w:hAnsiTheme="majorHAnsi"/>
          <w:sz w:val="20"/>
          <w:szCs w:val="20"/>
          <w:lang w:val="es-ES"/>
        </w:rPr>
        <w:t>, cuya oficina ayuda a los fiscales a obtener la pena de muerte en los juicios, y que deben atenerse a la</w:t>
      </w:r>
      <w:r>
        <w:rPr>
          <w:rFonts w:asciiTheme="majorHAnsi" w:hAnsiTheme="majorHAnsi"/>
          <w:sz w:val="20"/>
          <w:szCs w:val="20"/>
          <w:lang w:val="es-ES"/>
        </w:rPr>
        <w:t>s</w:t>
      </w:r>
      <w:r w:rsidRPr="00C919D3">
        <w:rPr>
          <w:rFonts w:asciiTheme="majorHAnsi" w:hAnsiTheme="majorHAnsi"/>
          <w:sz w:val="20"/>
          <w:szCs w:val="20"/>
          <w:lang w:val="es-ES"/>
        </w:rPr>
        <w:t xml:space="preserve"> prueba</w:t>
      </w:r>
      <w:r>
        <w:rPr>
          <w:rFonts w:asciiTheme="majorHAnsi" w:hAnsiTheme="majorHAnsi"/>
          <w:sz w:val="20"/>
          <w:szCs w:val="20"/>
          <w:lang w:val="es-ES"/>
        </w:rPr>
        <w:t>s</w:t>
      </w:r>
      <w:r w:rsidRPr="00C919D3">
        <w:rPr>
          <w:rFonts w:asciiTheme="majorHAnsi" w:hAnsiTheme="majorHAnsi"/>
          <w:sz w:val="20"/>
          <w:szCs w:val="20"/>
          <w:lang w:val="es-ES"/>
        </w:rPr>
        <w:t xml:space="preserve"> y los argumentos presentados durante el juicio</w:t>
      </w:r>
      <w:r w:rsidRPr="008536ED">
        <w:rPr>
          <w:rFonts w:asciiTheme="majorHAnsi" w:hAnsiTheme="majorHAnsi"/>
          <w:sz w:val="20"/>
          <w:szCs w:val="20"/>
          <w:lang w:val="es-ES"/>
        </w:rPr>
        <w:t xml:space="preserve">. El Estado, </w:t>
      </w:r>
      <w:r>
        <w:rPr>
          <w:rFonts w:asciiTheme="majorHAnsi" w:hAnsiTheme="majorHAnsi"/>
          <w:sz w:val="20"/>
          <w:szCs w:val="20"/>
          <w:lang w:val="es-ES"/>
        </w:rPr>
        <w:t xml:space="preserve">por su parte, afirma que </w:t>
      </w:r>
      <w:r w:rsidRPr="00C919D3">
        <w:rPr>
          <w:rFonts w:asciiTheme="majorHAnsi" w:hAnsiTheme="majorHAnsi"/>
          <w:sz w:val="20"/>
          <w:szCs w:val="20"/>
          <w:lang w:val="es-ES"/>
        </w:rPr>
        <w:t>el acceso al procedimiento de clemencia no es un derecho vinculado al debido proceso</w:t>
      </w:r>
      <w:r w:rsidRPr="008536ED">
        <w:rPr>
          <w:rFonts w:asciiTheme="majorHAnsi" w:hAnsiTheme="majorHAnsi"/>
          <w:sz w:val="20"/>
          <w:szCs w:val="20"/>
          <w:lang w:val="es-ES"/>
        </w:rPr>
        <w:t xml:space="preserve">. </w:t>
      </w:r>
    </w:p>
    <w:p w14:paraId="2AFC9636"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jc w:val="both"/>
        <w:rPr>
          <w:rFonts w:asciiTheme="majorHAnsi" w:hAnsiTheme="majorHAnsi"/>
          <w:sz w:val="20"/>
          <w:szCs w:val="20"/>
          <w:lang w:val="es-ES"/>
        </w:rPr>
      </w:pPr>
    </w:p>
    <w:p w14:paraId="371B55D5"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ind w:left="0" w:firstLine="0"/>
        <w:jc w:val="both"/>
        <w:rPr>
          <w:rFonts w:asciiTheme="majorHAnsi" w:hAnsiTheme="majorHAnsi"/>
          <w:sz w:val="20"/>
          <w:szCs w:val="20"/>
          <w:lang w:val="es-ES"/>
        </w:rPr>
      </w:pPr>
      <w:r w:rsidRPr="008536ED">
        <w:rPr>
          <w:rFonts w:asciiTheme="majorHAnsi" w:hAnsiTheme="majorHAnsi"/>
          <w:sz w:val="20"/>
          <w:szCs w:val="20"/>
          <w:lang w:val="es-ES"/>
        </w:rPr>
        <w:t>La Comisión Interamericana ha</w:t>
      </w:r>
      <w:r>
        <w:rPr>
          <w:rFonts w:asciiTheme="majorHAnsi" w:hAnsiTheme="majorHAnsi"/>
          <w:sz w:val="20"/>
          <w:szCs w:val="20"/>
          <w:lang w:val="es-ES"/>
        </w:rPr>
        <w:t xml:space="preserve"> concluido que el derecho a solicitar un </w:t>
      </w:r>
      <w:r w:rsidRPr="008536ED">
        <w:rPr>
          <w:rFonts w:asciiTheme="majorHAnsi" w:hAnsiTheme="majorHAnsi"/>
          <w:sz w:val="20"/>
          <w:szCs w:val="20"/>
          <w:lang w:val="es-ES"/>
        </w:rPr>
        <w:t>indulto o</w:t>
      </w:r>
      <w:r>
        <w:rPr>
          <w:rFonts w:asciiTheme="majorHAnsi" w:hAnsiTheme="majorHAnsi"/>
          <w:sz w:val="20"/>
          <w:szCs w:val="20"/>
          <w:lang w:val="es-ES"/>
        </w:rPr>
        <w:t xml:space="preserve"> la conmutación de la pena </w:t>
      </w:r>
      <w:r w:rsidRPr="00C919D3">
        <w:rPr>
          <w:rFonts w:asciiTheme="majorHAnsi" w:hAnsiTheme="majorHAnsi"/>
          <w:sz w:val="20"/>
          <w:szCs w:val="20"/>
          <w:lang w:val="es-ES"/>
        </w:rPr>
        <w:t>está sujeto a ciertas garantías mínimas de imparcialidad a fin de asegurar su respeto y goce efectivos</w:t>
      </w:r>
      <w:r w:rsidRPr="008536ED">
        <w:rPr>
          <w:rFonts w:asciiTheme="majorHAnsi" w:hAnsiTheme="majorHAnsi"/>
          <w:sz w:val="20"/>
          <w:szCs w:val="20"/>
          <w:lang w:val="es-ES"/>
        </w:rPr>
        <w:t xml:space="preserve">. </w:t>
      </w:r>
      <w:bookmarkStart w:id="28" w:name="_ftnref81"/>
      <w:r>
        <w:rPr>
          <w:rFonts w:asciiTheme="majorHAnsi" w:hAnsiTheme="majorHAnsi"/>
          <w:sz w:val="20"/>
          <w:szCs w:val="20"/>
          <w:lang w:val="es-ES"/>
        </w:rPr>
        <w:t>E</w:t>
      </w:r>
      <w:r w:rsidRPr="00C919D3">
        <w:rPr>
          <w:rFonts w:asciiTheme="majorHAnsi" w:hAnsiTheme="majorHAnsi"/>
          <w:sz w:val="20"/>
          <w:szCs w:val="20"/>
          <w:lang w:val="es-ES"/>
        </w:rPr>
        <w:t>stos mecanismos de protección procesal “</w:t>
      </w:r>
      <w:r w:rsidRPr="00C919D3">
        <w:rPr>
          <w:rFonts w:asciiTheme="majorHAnsi" w:hAnsiTheme="majorHAnsi"/>
          <w:sz w:val="20"/>
          <w:szCs w:val="20"/>
          <w:lang w:val="es-ES_tradnl"/>
        </w:rPr>
        <w:t>incluyen el derecho de los reclusos condenados de promover una solicitud de amnistía, indulto o conmutación de sentencia, de que se les informe cuándo considerarán su caso las autoridades competentes, de hacer declaraciones, en persona o a través de un abogado, a las autoridades competentes, y de recibir una decisión de dichas autoridades dentro de un plazo razonable antes de su ejecución</w:t>
      </w:r>
      <w:r>
        <w:rPr>
          <w:rFonts w:asciiTheme="majorHAnsi" w:hAnsiTheme="majorHAnsi"/>
          <w:sz w:val="20"/>
          <w:szCs w:val="20"/>
          <w:lang w:val="es-ES_tradnl"/>
        </w:rPr>
        <w:t>”.</w:t>
      </w:r>
      <w:r w:rsidRPr="008536ED">
        <w:rPr>
          <w:rFonts w:asciiTheme="majorHAnsi" w:hAnsiTheme="majorHAnsi"/>
          <w:sz w:val="20"/>
          <w:szCs w:val="20"/>
          <w:lang w:val="es-ES"/>
        </w:rPr>
        <w:t xml:space="preserve"> </w:t>
      </w:r>
      <w:r>
        <w:rPr>
          <w:rFonts w:asciiTheme="majorHAnsi" w:hAnsiTheme="majorHAnsi"/>
          <w:sz w:val="20"/>
          <w:szCs w:val="20"/>
          <w:lang w:val="es-ES"/>
        </w:rPr>
        <w:t>E</w:t>
      </w:r>
      <w:r w:rsidRPr="008536ED">
        <w:rPr>
          <w:rFonts w:asciiTheme="majorHAnsi" w:hAnsiTheme="majorHAnsi"/>
          <w:sz w:val="20"/>
          <w:szCs w:val="20"/>
          <w:lang w:val="es-ES"/>
        </w:rPr>
        <w:t>n particular, la CIDH ha</w:t>
      </w:r>
      <w:r>
        <w:rPr>
          <w:rFonts w:asciiTheme="majorHAnsi" w:hAnsiTheme="majorHAnsi"/>
          <w:sz w:val="20"/>
          <w:szCs w:val="20"/>
          <w:lang w:val="es-ES"/>
        </w:rPr>
        <w:t xml:space="preserve">bía señalado anteriormente que, </w:t>
      </w:r>
      <w:r w:rsidRPr="008536ED">
        <w:rPr>
          <w:rFonts w:asciiTheme="majorHAnsi" w:hAnsiTheme="majorHAnsi"/>
          <w:sz w:val="20"/>
          <w:szCs w:val="20"/>
          <w:lang w:val="es-ES"/>
        </w:rPr>
        <w:t>“</w:t>
      </w:r>
      <w:bookmarkEnd w:id="28"/>
      <w:r w:rsidRPr="00C919D3">
        <w:rPr>
          <w:rFonts w:asciiTheme="majorHAnsi" w:hAnsiTheme="majorHAnsi"/>
          <w:sz w:val="20"/>
          <w:szCs w:val="20"/>
          <w:lang w:val="es-ES"/>
        </w:rPr>
        <w:t>[e]</w:t>
      </w:r>
      <w:r w:rsidRPr="00C919D3">
        <w:rPr>
          <w:rFonts w:asciiTheme="majorHAnsi" w:hAnsiTheme="majorHAnsi"/>
          <w:sz w:val="20"/>
          <w:szCs w:val="20"/>
          <w:lang w:val="es-ES_tradnl"/>
        </w:rPr>
        <w:t>n el caso de los procedimientos de clemencia cuando está pendiente la ejecución de una sentencia capital, las garantías mínimas de justicia que se le otorgan al solicitante deben incluir la oportunidad de una audiencia imparcial</w:t>
      </w:r>
      <w:r w:rsidRPr="008536ED">
        <w:rPr>
          <w:rFonts w:asciiTheme="majorHAnsi" w:hAnsiTheme="majorHAnsi"/>
          <w:sz w:val="20"/>
          <w:szCs w:val="20"/>
          <w:lang w:val="es-ES"/>
        </w:rPr>
        <w:t>”</w:t>
      </w:r>
      <w:r w:rsidRPr="008536ED">
        <w:rPr>
          <w:rStyle w:val="FootnoteReference"/>
          <w:rFonts w:asciiTheme="majorHAnsi" w:eastAsia="Times New Roman" w:hAnsiTheme="majorHAnsi"/>
          <w:bCs/>
          <w:sz w:val="20"/>
          <w:szCs w:val="20"/>
          <w:bdr w:val="none" w:sz="0" w:space="0" w:color="auto" w:frame="1"/>
          <w:lang w:val="es-ES"/>
        </w:rPr>
        <w:footnoteReference w:id="73"/>
      </w:r>
      <w:r>
        <w:rPr>
          <w:rFonts w:asciiTheme="majorHAnsi" w:hAnsiTheme="majorHAnsi"/>
          <w:sz w:val="20"/>
          <w:szCs w:val="20"/>
          <w:lang w:val="es-ES"/>
        </w:rPr>
        <w:t>.</w:t>
      </w:r>
    </w:p>
    <w:p w14:paraId="2EB89968" w14:textId="77777777" w:rsidR="00953481" w:rsidRPr="00E87E3A" w:rsidRDefault="00953481" w:rsidP="00953481">
      <w:pPr>
        <w:rPr>
          <w:rFonts w:asciiTheme="majorHAnsi" w:hAnsiTheme="majorHAnsi"/>
          <w:sz w:val="20"/>
          <w:szCs w:val="20"/>
          <w:lang w:val="es-ES"/>
        </w:rPr>
      </w:pPr>
    </w:p>
    <w:p w14:paraId="7AE1FA21"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 w:val="left" w:pos="1440"/>
        </w:tabs>
        <w:suppressAutoHyphens/>
        <w:ind w:left="0" w:firstLine="0"/>
        <w:jc w:val="both"/>
        <w:rPr>
          <w:rFonts w:asciiTheme="majorHAnsi" w:hAnsiTheme="majorHAnsi"/>
          <w:sz w:val="20"/>
          <w:szCs w:val="20"/>
          <w:lang w:val="es-ES"/>
        </w:rPr>
      </w:pPr>
      <w:r>
        <w:rPr>
          <w:rFonts w:asciiTheme="majorHAnsi" w:hAnsiTheme="majorHAnsi"/>
          <w:sz w:val="20"/>
          <w:szCs w:val="20"/>
          <w:lang w:val="es-ES"/>
        </w:rPr>
        <w:t xml:space="preserve">Según la información disponible, el procedimiento de clemencia de </w:t>
      </w:r>
      <w:r w:rsidRPr="008536ED">
        <w:rPr>
          <w:rFonts w:asciiTheme="majorHAnsi" w:hAnsiTheme="majorHAnsi"/>
          <w:sz w:val="20"/>
          <w:szCs w:val="20"/>
          <w:lang w:val="es-ES"/>
        </w:rPr>
        <w:t xml:space="preserve">Arizona </w:t>
      </w:r>
      <w:r>
        <w:rPr>
          <w:rFonts w:asciiTheme="majorHAnsi" w:hAnsiTheme="majorHAnsi"/>
          <w:sz w:val="20"/>
          <w:szCs w:val="20"/>
          <w:lang w:val="es-ES"/>
        </w:rPr>
        <w:t>no parece garantizar los mencionados mecanismos mínimos de protección procesal. E</w:t>
      </w:r>
      <w:r w:rsidRPr="008536ED">
        <w:rPr>
          <w:rFonts w:asciiTheme="majorHAnsi" w:hAnsiTheme="majorHAnsi"/>
          <w:sz w:val="20"/>
          <w:szCs w:val="20"/>
          <w:lang w:val="es-ES"/>
        </w:rPr>
        <w:t xml:space="preserve">n particular, </w:t>
      </w:r>
      <w:r>
        <w:rPr>
          <w:rFonts w:asciiTheme="majorHAnsi" w:hAnsiTheme="majorHAnsi"/>
          <w:sz w:val="20"/>
          <w:szCs w:val="20"/>
          <w:lang w:val="es-ES"/>
        </w:rPr>
        <w:t>el hecho de que las personas facultadas para conmutar la pena de muerte d</w:t>
      </w:r>
      <w:r w:rsidRPr="008536ED">
        <w:rPr>
          <w:rFonts w:asciiTheme="majorHAnsi" w:hAnsiTheme="majorHAnsi"/>
          <w:sz w:val="20"/>
          <w:szCs w:val="20"/>
          <w:lang w:val="es-ES"/>
        </w:rPr>
        <w:t xml:space="preserve">el señor </w:t>
      </w:r>
      <w:proofErr w:type="spellStart"/>
      <w:r w:rsidRPr="008536ED">
        <w:rPr>
          <w:rFonts w:asciiTheme="majorHAnsi" w:hAnsiTheme="majorHAnsi"/>
          <w:sz w:val="20"/>
          <w:szCs w:val="20"/>
          <w:lang w:val="es-ES"/>
        </w:rPr>
        <w:t>Rogovich</w:t>
      </w:r>
      <w:proofErr w:type="spellEnd"/>
      <w:r>
        <w:rPr>
          <w:rFonts w:asciiTheme="majorHAnsi" w:hAnsiTheme="majorHAnsi"/>
          <w:sz w:val="20"/>
          <w:szCs w:val="20"/>
          <w:lang w:val="es-ES"/>
        </w:rPr>
        <w:t xml:space="preserve"> reciban capacitación de la misma oficina que se ocupó de enjuiciarlo no cumple las garantías mínimas de imparcialidad, como el derecho a ser oído por una autoridad imparcial. En consecuencia, </w:t>
      </w:r>
      <w:r w:rsidRPr="008536ED">
        <w:rPr>
          <w:rFonts w:asciiTheme="majorHAnsi" w:hAnsiTheme="majorHAnsi"/>
          <w:sz w:val="20"/>
          <w:szCs w:val="20"/>
          <w:lang w:val="es-ES"/>
        </w:rPr>
        <w:t>la Comisión Interamericana conclu</w:t>
      </w:r>
      <w:r>
        <w:rPr>
          <w:rFonts w:asciiTheme="majorHAnsi" w:hAnsiTheme="majorHAnsi"/>
          <w:sz w:val="20"/>
          <w:szCs w:val="20"/>
          <w:lang w:val="es-ES"/>
        </w:rPr>
        <w:t xml:space="preserve">ye que el </w:t>
      </w:r>
      <w:r w:rsidRPr="008536ED">
        <w:rPr>
          <w:rFonts w:asciiTheme="majorHAnsi" w:hAnsiTheme="majorHAnsi"/>
          <w:sz w:val="20"/>
          <w:szCs w:val="20"/>
          <w:lang w:val="es-ES"/>
        </w:rPr>
        <w:t xml:space="preserve">procedimiento de clemencia </w:t>
      </w:r>
      <w:r>
        <w:rPr>
          <w:rFonts w:asciiTheme="majorHAnsi" w:hAnsiTheme="majorHAnsi"/>
          <w:sz w:val="20"/>
          <w:szCs w:val="20"/>
          <w:lang w:val="es-ES"/>
        </w:rPr>
        <w:t>de</w:t>
      </w:r>
      <w:r w:rsidRPr="008536ED">
        <w:rPr>
          <w:rFonts w:asciiTheme="majorHAnsi" w:hAnsiTheme="majorHAnsi"/>
          <w:sz w:val="20"/>
          <w:szCs w:val="20"/>
          <w:lang w:val="es-ES"/>
        </w:rPr>
        <w:t xml:space="preserve"> Arizona </w:t>
      </w:r>
      <w:r>
        <w:rPr>
          <w:rFonts w:asciiTheme="majorHAnsi" w:hAnsiTheme="majorHAnsi"/>
          <w:sz w:val="20"/>
          <w:szCs w:val="20"/>
          <w:lang w:val="es-ES"/>
        </w:rPr>
        <w:t xml:space="preserve">no respeta el derecho a las </w:t>
      </w:r>
      <w:r w:rsidRPr="0013131C">
        <w:rPr>
          <w:rFonts w:asciiTheme="majorHAnsi" w:hAnsiTheme="majorHAnsi"/>
          <w:sz w:val="20"/>
          <w:szCs w:val="20"/>
          <w:lang w:val="es-ES"/>
        </w:rPr>
        <w:t>garantías mínimas de imparcialidad</w:t>
      </w:r>
      <w:r w:rsidRPr="008536ED">
        <w:rPr>
          <w:rFonts w:asciiTheme="majorHAnsi" w:hAnsiTheme="majorHAnsi"/>
          <w:sz w:val="20"/>
          <w:szCs w:val="20"/>
          <w:lang w:val="es-ES"/>
        </w:rPr>
        <w:t xml:space="preserve"> </w:t>
      </w:r>
      <w:r>
        <w:rPr>
          <w:rFonts w:asciiTheme="majorHAnsi" w:hAnsiTheme="majorHAnsi"/>
          <w:sz w:val="20"/>
          <w:szCs w:val="20"/>
          <w:lang w:val="es-ES"/>
        </w:rPr>
        <w:t>dispuesto en el artículo</w:t>
      </w:r>
      <w:r w:rsidRPr="008536ED">
        <w:rPr>
          <w:rFonts w:asciiTheme="majorHAnsi" w:hAnsiTheme="majorHAnsi"/>
          <w:sz w:val="20"/>
          <w:szCs w:val="20"/>
          <w:lang w:val="es-ES"/>
        </w:rPr>
        <w:t xml:space="preserve"> XXVI </w:t>
      </w:r>
      <w:r>
        <w:rPr>
          <w:rFonts w:asciiTheme="majorHAnsi" w:hAnsiTheme="majorHAnsi"/>
          <w:sz w:val="20"/>
          <w:szCs w:val="20"/>
          <w:lang w:val="es-ES"/>
        </w:rPr>
        <w:t xml:space="preserve">de la </w:t>
      </w:r>
      <w:r w:rsidRPr="008536ED">
        <w:rPr>
          <w:rFonts w:asciiTheme="majorHAnsi" w:hAnsiTheme="majorHAnsi"/>
          <w:sz w:val="20"/>
          <w:szCs w:val="20"/>
          <w:lang w:val="es-ES"/>
        </w:rPr>
        <w:t>Declaración Americana.</w:t>
      </w:r>
    </w:p>
    <w:p w14:paraId="4A45AB8A" w14:textId="77777777" w:rsidR="00953481" w:rsidRPr="00953481" w:rsidRDefault="00953481" w:rsidP="00953481">
      <w:pPr>
        <w:pStyle w:val="NormalWeb"/>
        <w:shd w:val="clear" w:color="auto" w:fill="FFFFFF"/>
        <w:tabs>
          <w:tab w:val="left" w:pos="360"/>
        </w:tabs>
        <w:spacing w:before="0" w:beforeAutospacing="0" w:after="0" w:afterAutospacing="0"/>
        <w:jc w:val="both"/>
        <w:rPr>
          <w:rFonts w:asciiTheme="majorHAnsi" w:hAnsiTheme="majorHAnsi"/>
          <w:b/>
          <w:sz w:val="20"/>
          <w:szCs w:val="20"/>
          <w:lang w:val="es-ES"/>
        </w:rPr>
      </w:pPr>
    </w:p>
    <w:p w14:paraId="6DD2A82B" w14:textId="77777777" w:rsidR="00953481" w:rsidRPr="00953481" w:rsidRDefault="00953481" w:rsidP="00C341DD">
      <w:pPr>
        <w:pStyle w:val="Heading2"/>
        <w:keepLines/>
        <w:numPr>
          <w:ilvl w:val="0"/>
          <w:numId w:val="61"/>
        </w:numPr>
        <w:pBdr>
          <w:top w:val="nil"/>
          <w:left w:val="nil"/>
          <w:bottom w:val="nil"/>
          <w:right w:val="nil"/>
          <w:between w:val="nil"/>
          <w:bar w:val="nil"/>
        </w:pBdr>
        <w:spacing w:before="0" w:after="0"/>
        <w:ind w:left="360"/>
        <w:jc w:val="both"/>
        <w:rPr>
          <w:rFonts w:asciiTheme="majorHAnsi" w:hAnsiTheme="majorHAnsi"/>
          <w:i w:val="0"/>
          <w:sz w:val="20"/>
          <w:szCs w:val="20"/>
          <w:lang w:val="es-ES"/>
        </w:rPr>
      </w:pPr>
      <w:bookmarkStart w:id="29" w:name="_Toc90283151"/>
      <w:r w:rsidRPr="00953481">
        <w:rPr>
          <w:rFonts w:asciiTheme="majorHAnsi" w:hAnsiTheme="majorHAnsi"/>
          <w:i w:val="0"/>
          <w:sz w:val="20"/>
          <w:szCs w:val="20"/>
          <w:lang w:val="es-ES"/>
        </w:rPr>
        <w:t>Derecho al trato humano durante la privación de la libertad</w:t>
      </w:r>
      <w:r w:rsidRPr="00953481">
        <w:rPr>
          <w:rStyle w:val="FootnoteReference"/>
          <w:rFonts w:asciiTheme="majorHAnsi" w:hAnsiTheme="majorHAnsi"/>
          <w:i w:val="0"/>
          <w:sz w:val="20"/>
          <w:szCs w:val="20"/>
          <w:lang w:val="es-ES"/>
        </w:rPr>
        <w:footnoteReference w:id="74"/>
      </w:r>
      <w:r w:rsidRPr="00953481">
        <w:rPr>
          <w:rFonts w:asciiTheme="majorHAnsi" w:hAnsiTheme="majorHAnsi"/>
          <w:i w:val="0"/>
          <w:sz w:val="20"/>
          <w:szCs w:val="20"/>
          <w:lang w:val="es-ES"/>
        </w:rPr>
        <w:t>, a la salud</w:t>
      </w:r>
      <w:r w:rsidRPr="00953481">
        <w:rPr>
          <w:rStyle w:val="FootnoteReference"/>
          <w:rFonts w:asciiTheme="majorHAnsi" w:hAnsiTheme="majorHAnsi"/>
          <w:i w:val="0"/>
          <w:sz w:val="20"/>
          <w:szCs w:val="20"/>
          <w:lang w:val="es-ES"/>
        </w:rPr>
        <w:footnoteReference w:id="75"/>
      </w:r>
      <w:r w:rsidRPr="00953481">
        <w:rPr>
          <w:rFonts w:asciiTheme="majorHAnsi" w:hAnsiTheme="majorHAnsi"/>
          <w:i w:val="0"/>
          <w:sz w:val="20"/>
          <w:szCs w:val="20"/>
          <w:lang w:val="es-ES"/>
        </w:rPr>
        <w:t xml:space="preserve"> y a no recibir un castigo cruel, infamante o inusitado</w:t>
      </w:r>
      <w:bookmarkEnd w:id="29"/>
      <w:r w:rsidRPr="00953481">
        <w:rPr>
          <w:rFonts w:asciiTheme="majorHAnsi" w:hAnsiTheme="majorHAnsi"/>
          <w:i w:val="0"/>
          <w:sz w:val="20"/>
          <w:szCs w:val="20"/>
          <w:lang w:val="es-ES"/>
        </w:rPr>
        <w:t xml:space="preserve"> </w:t>
      </w:r>
    </w:p>
    <w:p w14:paraId="458A6E0F" w14:textId="77777777" w:rsidR="00953481" w:rsidRPr="00953481" w:rsidRDefault="00953481" w:rsidP="00953481">
      <w:pPr>
        <w:rPr>
          <w:rFonts w:asciiTheme="majorHAnsi" w:hAnsiTheme="majorHAnsi"/>
          <w:lang w:val="es-ES"/>
        </w:rPr>
      </w:pPr>
    </w:p>
    <w:p w14:paraId="6AAD19C7" w14:textId="77777777" w:rsidR="00953481" w:rsidRPr="00953481" w:rsidRDefault="00953481" w:rsidP="00C341DD">
      <w:pPr>
        <w:pStyle w:val="Heading3"/>
        <w:keepLines/>
        <w:numPr>
          <w:ilvl w:val="3"/>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30" w:name="_Toc90283152"/>
      <w:r w:rsidRPr="00953481">
        <w:rPr>
          <w:rFonts w:asciiTheme="majorHAnsi" w:hAnsiTheme="majorHAnsi"/>
          <w:sz w:val="20"/>
          <w:szCs w:val="20"/>
          <w:lang w:val="es-ES"/>
        </w:rPr>
        <w:t>Derecho de toda persona con discapacidad mental a que no se le imponga la pena de muerte</w:t>
      </w:r>
      <w:bookmarkEnd w:id="30"/>
    </w:p>
    <w:p w14:paraId="0DC2C974" w14:textId="77777777" w:rsidR="00953481" w:rsidRPr="00953481" w:rsidRDefault="00953481" w:rsidP="00953481">
      <w:pPr>
        <w:pStyle w:val="ListParagraph"/>
        <w:tabs>
          <w:tab w:val="left" w:pos="360"/>
        </w:tabs>
        <w:ind w:left="0"/>
        <w:rPr>
          <w:rFonts w:asciiTheme="majorHAnsi" w:hAnsiTheme="majorHAnsi"/>
          <w:b/>
          <w:sz w:val="20"/>
          <w:szCs w:val="20"/>
          <w:lang w:val="es-ES"/>
        </w:rPr>
      </w:pPr>
    </w:p>
    <w:p w14:paraId="04B718AC"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lang w:val="es-ES"/>
        </w:rPr>
      </w:pPr>
      <w:r w:rsidRPr="008536ED">
        <w:rPr>
          <w:rFonts w:asciiTheme="majorHAnsi" w:hAnsiTheme="majorHAnsi"/>
          <w:bCs/>
          <w:sz w:val="20"/>
          <w:szCs w:val="20"/>
          <w:bdr w:val="none" w:sz="0" w:space="0" w:color="auto" w:frame="1"/>
          <w:lang w:val="es-ES"/>
        </w:rPr>
        <w:t>La CIDH ha</w:t>
      </w:r>
      <w:r>
        <w:rPr>
          <w:rFonts w:asciiTheme="majorHAnsi" w:hAnsiTheme="majorHAnsi"/>
          <w:bCs/>
          <w:sz w:val="20"/>
          <w:szCs w:val="20"/>
          <w:bdr w:val="none" w:sz="0" w:space="0" w:color="auto" w:frame="1"/>
          <w:lang w:val="es-ES"/>
        </w:rPr>
        <w:t xml:space="preserve"> dispuesto que, aunque en la </w:t>
      </w:r>
      <w:r w:rsidRPr="008536ED">
        <w:rPr>
          <w:rFonts w:asciiTheme="majorHAnsi" w:hAnsiTheme="majorHAnsi"/>
          <w:bCs/>
          <w:sz w:val="20"/>
          <w:szCs w:val="20"/>
          <w:bdr w:val="none" w:sz="0" w:space="0" w:color="auto" w:frame="1"/>
          <w:lang w:val="es-ES"/>
        </w:rPr>
        <w:t xml:space="preserve">Declaración Americana </w:t>
      </w:r>
      <w:r>
        <w:rPr>
          <w:rFonts w:asciiTheme="majorHAnsi" w:hAnsiTheme="majorHAnsi"/>
          <w:bCs/>
          <w:sz w:val="20"/>
          <w:szCs w:val="20"/>
          <w:bdr w:val="none" w:sz="0" w:space="0" w:color="auto" w:frame="1"/>
          <w:lang w:val="es-ES"/>
        </w:rPr>
        <w:t>no se prohíbe expresamente la imposición de</w:t>
      </w:r>
      <w:r w:rsidRPr="008536ED">
        <w:rPr>
          <w:rFonts w:asciiTheme="majorHAnsi" w:hAnsiTheme="majorHAnsi"/>
          <w:bCs/>
          <w:sz w:val="20"/>
          <w:szCs w:val="20"/>
          <w:bdr w:val="none" w:sz="0" w:space="0" w:color="auto" w:frame="1"/>
          <w:lang w:val="es-ES"/>
        </w:rPr>
        <w:t xml:space="preserve"> la pena de muerte </w:t>
      </w:r>
      <w:r>
        <w:rPr>
          <w:rFonts w:asciiTheme="majorHAnsi" w:hAnsiTheme="majorHAnsi"/>
          <w:bCs/>
          <w:sz w:val="20"/>
          <w:szCs w:val="20"/>
          <w:bdr w:val="none" w:sz="0" w:space="0" w:color="auto" w:frame="1"/>
          <w:lang w:val="es-ES"/>
        </w:rPr>
        <w:t>a personas con discapacidad</w:t>
      </w:r>
      <w:r w:rsidRPr="008536ED">
        <w:rPr>
          <w:rFonts w:asciiTheme="majorHAnsi" w:hAnsiTheme="majorHAnsi"/>
          <w:bCs/>
          <w:sz w:val="20"/>
          <w:szCs w:val="20"/>
          <w:bdr w:val="none" w:sz="0" w:space="0" w:color="auto" w:frame="1"/>
          <w:lang w:val="es-ES"/>
        </w:rPr>
        <w:t xml:space="preserve"> mental</w:t>
      </w:r>
      <w:r>
        <w:rPr>
          <w:rFonts w:asciiTheme="majorHAnsi" w:hAnsiTheme="majorHAnsi"/>
          <w:bCs/>
          <w:sz w:val="20"/>
          <w:szCs w:val="20"/>
          <w:bdr w:val="none" w:sz="0" w:space="0" w:color="auto" w:frame="1"/>
          <w:lang w:val="es-ES"/>
        </w:rPr>
        <w:t xml:space="preserve"> e </w:t>
      </w:r>
      <w:r w:rsidRPr="008536ED">
        <w:rPr>
          <w:rFonts w:asciiTheme="majorHAnsi" w:hAnsiTheme="majorHAnsi"/>
          <w:bCs/>
          <w:sz w:val="20"/>
          <w:szCs w:val="20"/>
          <w:bdr w:val="none" w:sz="0" w:space="0" w:color="auto" w:frame="1"/>
          <w:lang w:val="es-ES"/>
        </w:rPr>
        <w:t>intelectual</w:t>
      </w:r>
      <w:r>
        <w:rPr>
          <w:rFonts w:asciiTheme="majorHAnsi" w:hAnsiTheme="majorHAnsi"/>
          <w:bCs/>
          <w:sz w:val="20"/>
          <w:szCs w:val="20"/>
          <w:bdr w:val="none" w:sz="0" w:space="0" w:color="auto" w:frame="1"/>
          <w:lang w:val="es-ES"/>
        </w:rPr>
        <w:t xml:space="preserve">, dicha pena viola los derechos y </w:t>
      </w:r>
      <w:r>
        <w:rPr>
          <w:rFonts w:asciiTheme="majorHAnsi" w:hAnsiTheme="majorHAnsi"/>
          <w:bCs/>
          <w:sz w:val="20"/>
          <w:szCs w:val="20"/>
          <w:bdr w:val="none" w:sz="0" w:space="0" w:color="auto" w:frame="1"/>
          <w:lang w:val="es-ES"/>
        </w:rPr>
        <w:lastRenderedPageBreak/>
        <w:t xml:space="preserve">principios básicos reconocidos en los </w:t>
      </w:r>
      <w:r w:rsidRPr="008536ED">
        <w:rPr>
          <w:rFonts w:asciiTheme="majorHAnsi" w:hAnsiTheme="majorHAnsi"/>
          <w:bCs/>
          <w:sz w:val="20"/>
          <w:szCs w:val="20"/>
          <w:bdr w:val="none" w:sz="0" w:space="0" w:color="auto" w:frame="1"/>
          <w:lang w:val="es-ES"/>
        </w:rPr>
        <w:t xml:space="preserve">artículos I </w:t>
      </w:r>
      <w:r>
        <w:rPr>
          <w:rFonts w:asciiTheme="majorHAnsi" w:hAnsiTheme="majorHAnsi"/>
          <w:bCs/>
          <w:sz w:val="20"/>
          <w:szCs w:val="20"/>
          <w:bdr w:val="none" w:sz="0" w:space="0" w:color="auto" w:frame="1"/>
          <w:lang w:val="es-ES"/>
        </w:rPr>
        <w:t>y</w:t>
      </w:r>
      <w:r w:rsidRPr="008536ED">
        <w:rPr>
          <w:rFonts w:asciiTheme="majorHAnsi" w:hAnsiTheme="majorHAnsi"/>
          <w:bCs/>
          <w:sz w:val="20"/>
          <w:szCs w:val="20"/>
          <w:bdr w:val="none" w:sz="0" w:space="0" w:color="auto" w:frame="1"/>
          <w:lang w:val="es-ES"/>
        </w:rPr>
        <w:t xml:space="preserve"> XXVI </w:t>
      </w:r>
      <w:r>
        <w:rPr>
          <w:rFonts w:asciiTheme="majorHAnsi" w:hAnsiTheme="majorHAnsi"/>
          <w:bCs/>
          <w:sz w:val="20"/>
          <w:szCs w:val="20"/>
          <w:bdr w:val="none" w:sz="0" w:space="0" w:color="auto" w:frame="1"/>
          <w:lang w:val="es-ES"/>
        </w:rPr>
        <w:t xml:space="preserve">de la </w:t>
      </w:r>
      <w:r w:rsidRPr="008536ED">
        <w:rPr>
          <w:rFonts w:asciiTheme="majorHAnsi" w:hAnsiTheme="majorHAnsi"/>
          <w:bCs/>
          <w:sz w:val="20"/>
          <w:szCs w:val="20"/>
          <w:bdr w:val="none" w:sz="0" w:space="0" w:color="auto" w:frame="1"/>
          <w:lang w:val="es-ES"/>
        </w:rPr>
        <w:t>Declaración Americana</w:t>
      </w:r>
      <w:r w:rsidRPr="008536ED">
        <w:rPr>
          <w:rStyle w:val="FootnoteReference"/>
          <w:rFonts w:asciiTheme="majorHAnsi" w:hAnsiTheme="majorHAnsi"/>
          <w:bCs/>
          <w:sz w:val="20"/>
          <w:szCs w:val="20"/>
          <w:lang w:val="es-ES"/>
        </w:rPr>
        <w:footnoteReference w:id="76"/>
      </w:r>
      <w:r>
        <w:rPr>
          <w:rFonts w:asciiTheme="majorHAnsi" w:hAnsiTheme="majorHAnsi"/>
          <w:bCs/>
          <w:sz w:val="20"/>
          <w:szCs w:val="20"/>
          <w:bdr w:val="none" w:sz="0" w:space="0" w:color="auto" w:frame="1"/>
          <w:lang w:val="es-ES"/>
        </w:rPr>
        <w:t>.</w:t>
      </w:r>
      <w:r w:rsidRPr="008536ED">
        <w:rPr>
          <w:rStyle w:val="FootnoteReference"/>
          <w:lang w:val="es-ES"/>
        </w:rPr>
        <w:t xml:space="preserve"> </w:t>
      </w:r>
      <w:r w:rsidRPr="008536ED">
        <w:rPr>
          <w:rFonts w:asciiTheme="majorHAnsi" w:hAnsiTheme="majorHAnsi"/>
          <w:bCs/>
          <w:sz w:val="20"/>
          <w:szCs w:val="20"/>
          <w:bdr w:val="none" w:sz="0" w:space="0" w:color="auto" w:frame="1"/>
          <w:lang w:val="es-ES"/>
        </w:rPr>
        <w:t>La CIDH ha</w:t>
      </w:r>
      <w:r>
        <w:rPr>
          <w:rFonts w:asciiTheme="majorHAnsi" w:hAnsiTheme="majorHAnsi"/>
          <w:bCs/>
          <w:sz w:val="20"/>
          <w:szCs w:val="20"/>
          <w:bdr w:val="none" w:sz="0" w:space="0" w:color="auto" w:frame="1"/>
          <w:lang w:val="es-ES"/>
        </w:rPr>
        <w:t xml:space="preserve"> dictaminado también lo siguiente</w:t>
      </w:r>
      <w:r w:rsidRPr="008536ED">
        <w:rPr>
          <w:rFonts w:asciiTheme="majorHAnsi" w:hAnsiTheme="majorHAnsi"/>
          <w:bCs/>
          <w:sz w:val="20"/>
          <w:szCs w:val="20"/>
          <w:bdr w:val="none" w:sz="0" w:space="0" w:color="auto" w:frame="1"/>
          <w:lang w:val="es-ES"/>
        </w:rPr>
        <w:t>:</w:t>
      </w:r>
    </w:p>
    <w:p w14:paraId="7F3A346E" w14:textId="77777777" w:rsidR="00953481" w:rsidRPr="008536ED" w:rsidRDefault="00953481" w:rsidP="00953481">
      <w:pPr>
        <w:pStyle w:val="ListParagraph"/>
        <w:shd w:val="clear" w:color="auto" w:fill="FFFFFF"/>
        <w:ind w:left="0"/>
        <w:jc w:val="both"/>
        <w:rPr>
          <w:rFonts w:asciiTheme="majorHAnsi" w:hAnsiTheme="majorHAnsi"/>
          <w:bCs/>
          <w:sz w:val="20"/>
          <w:szCs w:val="20"/>
          <w:lang w:val="es-ES"/>
        </w:rPr>
      </w:pPr>
    </w:p>
    <w:p w14:paraId="76FA57C5" w14:textId="77777777" w:rsidR="00953481" w:rsidRPr="008536ED" w:rsidRDefault="00953481" w:rsidP="00953481">
      <w:pPr>
        <w:pStyle w:val="ListParagraph"/>
        <w:shd w:val="clear" w:color="auto" w:fill="FFFFFF"/>
        <w:ind w:left="360" w:right="360"/>
        <w:jc w:val="both"/>
        <w:rPr>
          <w:rFonts w:asciiTheme="majorHAnsi" w:hAnsiTheme="majorHAnsi"/>
          <w:bCs/>
          <w:sz w:val="18"/>
          <w:szCs w:val="18"/>
          <w:lang w:val="es-ES"/>
        </w:rPr>
      </w:pPr>
      <w:r w:rsidRPr="008536ED">
        <w:rPr>
          <w:rFonts w:eastAsia="Times New Roman"/>
          <w:sz w:val="18"/>
          <w:szCs w:val="18"/>
          <w:bdr w:val="none" w:sz="0" w:space="0" w:color="auto" w:frame="1"/>
          <w:lang w:val="es-ES"/>
        </w:rPr>
        <w:t>Los Estados tienen la obligación especial de proteger a las personas con discapacidad mental e intelectual. Se trata de un deber reforzado en el caso de personas bajo la custodia del Estado. Además, es un principio de derecho internacional que las personas con discapacidad mental e intelectual, ya sea en el momento de la comisión del delito o durante el juicio, no pueden ser condenadas a la pena de muerte. Del mismo modo, el derecho internacional también prohíbe la ejecución de una persona condenada a muerte si tiene una discapacidad mental o intelectual al momento de la ejecución</w:t>
      </w:r>
      <w:r w:rsidRPr="008536ED">
        <w:rPr>
          <w:rFonts w:eastAsia="Times New Roman"/>
          <w:sz w:val="18"/>
          <w:szCs w:val="18"/>
          <w:bdr w:val="none" w:sz="0" w:space="0" w:color="auto" w:frame="1"/>
          <w:vertAlign w:val="superscript"/>
          <w:lang w:val="es-ES"/>
        </w:rPr>
        <w:footnoteReference w:id="77"/>
      </w:r>
      <w:r w:rsidRPr="008536ED">
        <w:rPr>
          <w:rFonts w:eastAsia="Times New Roman"/>
          <w:sz w:val="18"/>
          <w:szCs w:val="18"/>
          <w:bdr w:val="none" w:sz="0" w:space="0" w:color="auto" w:frame="1"/>
          <w:lang w:val="es-ES"/>
        </w:rPr>
        <w:t>.</w:t>
      </w:r>
    </w:p>
    <w:p w14:paraId="7D060B7C" w14:textId="77777777" w:rsidR="00953481" w:rsidRPr="008536ED" w:rsidRDefault="00953481" w:rsidP="00953481">
      <w:pPr>
        <w:tabs>
          <w:tab w:val="left" w:pos="0"/>
        </w:tabs>
        <w:jc w:val="both"/>
        <w:rPr>
          <w:rFonts w:ascii="Cambria" w:eastAsia="Times New Roman" w:hAnsi="Cambria"/>
          <w:bCs/>
          <w:sz w:val="20"/>
          <w:szCs w:val="20"/>
          <w:bdr w:val="none" w:sz="0" w:space="0" w:color="auto" w:frame="1"/>
          <w:lang w:val="es-ES"/>
        </w:rPr>
      </w:pPr>
    </w:p>
    <w:p w14:paraId="6BF39C0A"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lang w:val="es-ES"/>
        </w:rPr>
      </w:pPr>
      <w:r>
        <w:rPr>
          <w:rFonts w:asciiTheme="majorHAnsi" w:hAnsiTheme="majorHAnsi"/>
          <w:bCs/>
          <w:sz w:val="20"/>
          <w:szCs w:val="20"/>
          <w:bdr w:val="none" w:sz="0" w:space="0" w:color="auto" w:frame="1"/>
          <w:lang w:val="es-ES"/>
        </w:rPr>
        <w:t xml:space="preserve">En un caso relacionado con </w:t>
      </w:r>
      <w:r w:rsidRPr="008536ED">
        <w:rPr>
          <w:rFonts w:asciiTheme="majorHAnsi" w:hAnsiTheme="majorHAnsi"/>
          <w:bCs/>
          <w:sz w:val="20"/>
          <w:szCs w:val="20"/>
          <w:bdr w:val="none" w:sz="0" w:space="0" w:color="auto" w:frame="1"/>
          <w:lang w:val="es-ES"/>
        </w:rPr>
        <w:t xml:space="preserve">Trinidad </w:t>
      </w:r>
      <w:r>
        <w:rPr>
          <w:rFonts w:asciiTheme="majorHAnsi" w:hAnsiTheme="majorHAnsi"/>
          <w:bCs/>
          <w:sz w:val="20"/>
          <w:szCs w:val="20"/>
          <w:bdr w:val="none" w:sz="0" w:space="0" w:color="auto" w:frame="1"/>
          <w:lang w:val="es-ES"/>
        </w:rPr>
        <w:t>y</w:t>
      </w:r>
      <w:r w:rsidRPr="008536ED">
        <w:rPr>
          <w:rFonts w:asciiTheme="majorHAnsi" w:hAnsiTheme="majorHAnsi"/>
          <w:bCs/>
          <w:sz w:val="20"/>
          <w:szCs w:val="20"/>
          <w:bdr w:val="none" w:sz="0" w:space="0" w:color="auto" w:frame="1"/>
          <w:lang w:val="es-ES"/>
        </w:rPr>
        <w:t xml:space="preserve"> Tobago, el Comité de Derechos Humanos </w:t>
      </w:r>
      <w:r>
        <w:rPr>
          <w:rFonts w:asciiTheme="majorHAnsi" w:hAnsiTheme="majorHAnsi"/>
          <w:bCs/>
          <w:sz w:val="20"/>
          <w:szCs w:val="20"/>
          <w:bdr w:val="none" w:sz="0" w:space="0" w:color="auto" w:frame="1"/>
          <w:lang w:val="es-ES"/>
        </w:rPr>
        <w:t xml:space="preserve">sostuvo que leerle una </w:t>
      </w:r>
      <w:r w:rsidRPr="008536ED">
        <w:rPr>
          <w:rFonts w:asciiTheme="majorHAnsi" w:hAnsiTheme="majorHAnsi"/>
          <w:bCs/>
          <w:sz w:val="20"/>
          <w:szCs w:val="20"/>
          <w:bdr w:val="none" w:sz="0" w:space="0" w:color="auto" w:frame="1"/>
          <w:lang w:val="es-ES"/>
        </w:rPr>
        <w:t xml:space="preserve">orden de ejecución de la pena de muerte </w:t>
      </w:r>
      <w:r>
        <w:rPr>
          <w:rFonts w:asciiTheme="majorHAnsi" w:hAnsiTheme="majorHAnsi"/>
          <w:bCs/>
          <w:sz w:val="20"/>
          <w:szCs w:val="20"/>
          <w:bdr w:val="none" w:sz="0" w:space="0" w:color="auto" w:frame="1"/>
          <w:lang w:val="es-ES"/>
        </w:rPr>
        <w:t xml:space="preserve">a una persona con una incapacidad mental, aunque la persona haya sido competente en el momento de su condena, es una violación del derecho a no ser sometido a </w:t>
      </w:r>
      <w:r w:rsidRPr="008536ED">
        <w:rPr>
          <w:rFonts w:asciiTheme="majorHAnsi" w:hAnsiTheme="majorHAnsi"/>
          <w:sz w:val="20"/>
          <w:szCs w:val="20"/>
          <w:bdr w:val="none" w:sz="0" w:space="0" w:color="auto" w:frame="1"/>
          <w:lang w:val="es-ES"/>
        </w:rPr>
        <w:t>tortur</w:t>
      </w:r>
      <w:r>
        <w:rPr>
          <w:rFonts w:asciiTheme="majorHAnsi" w:hAnsiTheme="majorHAnsi"/>
          <w:sz w:val="20"/>
          <w:szCs w:val="20"/>
          <w:bdr w:val="none" w:sz="0" w:space="0" w:color="auto" w:frame="1"/>
          <w:lang w:val="es-ES"/>
        </w:rPr>
        <w:t>a</w:t>
      </w:r>
      <w:r w:rsidRPr="008536ED">
        <w:rPr>
          <w:rFonts w:asciiTheme="majorHAnsi" w:hAnsiTheme="majorHAnsi"/>
          <w:bCs/>
          <w:sz w:val="20"/>
          <w:szCs w:val="20"/>
          <w:bdr w:val="none" w:sz="0" w:space="0" w:color="auto" w:frame="1"/>
          <w:lang w:val="es-ES"/>
        </w:rPr>
        <w:t xml:space="preserve"> </w:t>
      </w:r>
      <w:r>
        <w:rPr>
          <w:rFonts w:asciiTheme="majorHAnsi" w:hAnsiTheme="majorHAnsi"/>
          <w:bCs/>
          <w:sz w:val="20"/>
          <w:szCs w:val="20"/>
          <w:bdr w:val="none" w:sz="0" w:space="0" w:color="auto" w:frame="1"/>
          <w:lang w:val="es-ES"/>
        </w:rPr>
        <w:t xml:space="preserve">o a </w:t>
      </w:r>
      <w:r w:rsidRPr="008536ED">
        <w:rPr>
          <w:rFonts w:asciiTheme="majorHAnsi" w:hAnsiTheme="majorHAnsi"/>
          <w:bCs/>
          <w:sz w:val="20"/>
          <w:szCs w:val="20"/>
          <w:bdr w:val="none" w:sz="0" w:space="0" w:color="auto" w:frame="1"/>
          <w:lang w:val="es-ES"/>
        </w:rPr>
        <w:t>tratos o penas crueles, inhumanos o degradantes</w:t>
      </w:r>
      <w:r w:rsidRPr="008536ED">
        <w:rPr>
          <w:rStyle w:val="FootnoteReference"/>
          <w:rFonts w:asciiTheme="majorHAnsi" w:eastAsia="Cambria" w:hAnsiTheme="majorHAnsi"/>
          <w:bCs/>
          <w:color w:val="000000"/>
          <w:sz w:val="20"/>
          <w:szCs w:val="20"/>
          <w:u w:color="000000"/>
          <w:bdr w:val="nil"/>
          <w:lang w:val="es-ES" w:eastAsia="es-ES"/>
        </w:rPr>
        <w:footnoteReference w:id="78"/>
      </w:r>
      <w:r>
        <w:rPr>
          <w:rFonts w:asciiTheme="majorHAnsi" w:hAnsiTheme="majorHAnsi"/>
          <w:bCs/>
          <w:sz w:val="20"/>
          <w:szCs w:val="20"/>
          <w:bdr w:val="none" w:sz="0" w:space="0" w:color="auto" w:frame="1"/>
          <w:lang w:val="es-ES"/>
        </w:rPr>
        <w:t xml:space="preserve">. </w:t>
      </w:r>
      <w:r w:rsidRPr="008536ED">
        <w:rPr>
          <w:rFonts w:asciiTheme="majorHAnsi" w:hAnsiTheme="majorHAnsi"/>
          <w:bCs/>
          <w:sz w:val="20"/>
          <w:szCs w:val="20"/>
          <w:bdr w:val="none" w:sz="0" w:space="0" w:color="auto" w:frame="1"/>
          <w:lang w:val="es-ES"/>
        </w:rPr>
        <w:t xml:space="preserve">En las </w:t>
      </w:r>
      <w:r w:rsidRPr="008536ED">
        <w:rPr>
          <w:rFonts w:asciiTheme="majorHAnsi" w:hAnsiTheme="majorHAnsi"/>
          <w:bCs/>
          <w:i/>
          <w:sz w:val="20"/>
          <w:szCs w:val="20"/>
          <w:bdr w:val="none" w:sz="0" w:space="0" w:color="auto" w:frame="1"/>
          <w:lang w:val="es-ES"/>
        </w:rPr>
        <w:t>Salvaguardias para garantizar la protección de los derechos de los condenados a la pena de muerte</w:t>
      </w:r>
      <w:r w:rsidRPr="008536ED">
        <w:rPr>
          <w:rFonts w:asciiTheme="majorHAnsi" w:hAnsiTheme="majorHAnsi"/>
          <w:bCs/>
          <w:sz w:val="20"/>
          <w:szCs w:val="20"/>
          <w:bdr w:val="none" w:sz="0" w:space="0" w:color="auto" w:frame="1"/>
          <w:lang w:val="es-ES"/>
        </w:rPr>
        <w:t>, de las Naciones Unidas, se dispone que no se ejecutará la sentencia de muerte “cuando se trate de personas que hayan perdido la razón”</w:t>
      </w:r>
      <w:r w:rsidRPr="008536ED">
        <w:rPr>
          <w:rStyle w:val="FootnoteReference"/>
          <w:rFonts w:asciiTheme="majorHAnsi" w:eastAsia="Cambria" w:hAnsiTheme="majorHAnsi"/>
          <w:bCs/>
          <w:color w:val="000000"/>
          <w:sz w:val="20"/>
          <w:szCs w:val="20"/>
          <w:u w:color="000000"/>
          <w:bdr w:val="nil"/>
          <w:lang w:val="es-ES" w:eastAsia="es-ES"/>
        </w:rPr>
        <w:footnoteReference w:id="79"/>
      </w:r>
      <w:r w:rsidRPr="008536ED">
        <w:rPr>
          <w:rFonts w:asciiTheme="majorHAnsi" w:hAnsiTheme="majorHAnsi"/>
          <w:bCs/>
          <w:sz w:val="20"/>
          <w:szCs w:val="20"/>
          <w:bdr w:val="none" w:sz="0" w:space="0" w:color="auto" w:frame="1"/>
          <w:lang w:val="es-ES"/>
        </w:rPr>
        <w:t>.</w:t>
      </w:r>
      <w:r w:rsidRPr="008536ED">
        <w:rPr>
          <w:rStyle w:val="FootnoteReference"/>
          <w:rFonts w:asciiTheme="majorHAnsi" w:eastAsia="Cambria" w:hAnsiTheme="majorHAnsi"/>
          <w:color w:val="000000"/>
          <w:sz w:val="20"/>
          <w:szCs w:val="20"/>
          <w:u w:color="000000"/>
          <w:bdr w:val="nil"/>
          <w:lang w:val="es-ES" w:eastAsia="es-ES"/>
        </w:rPr>
        <w:t xml:space="preserve"> </w:t>
      </w:r>
      <w:r>
        <w:rPr>
          <w:rFonts w:asciiTheme="majorHAnsi" w:eastAsia="Cambria" w:hAnsiTheme="majorHAnsi"/>
          <w:color w:val="000000"/>
          <w:sz w:val="20"/>
          <w:szCs w:val="20"/>
          <w:u w:color="000000"/>
          <w:bdr w:val="nil"/>
          <w:lang w:val="es-ES" w:eastAsia="es-ES"/>
        </w:rPr>
        <w:t xml:space="preserve">La Comisión de Derechos Humanos de las Naciones Unidas hizo un llamamiento a los Estados que todavía no han abolido </w:t>
      </w:r>
      <w:r w:rsidRPr="008536ED">
        <w:rPr>
          <w:rFonts w:asciiTheme="majorHAnsi" w:hAnsiTheme="majorHAnsi"/>
          <w:bCs/>
          <w:sz w:val="20"/>
          <w:szCs w:val="20"/>
          <w:bdr w:val="none" w:sz="0" w:space="0" w:color="auto" w:frame="1"/>
          <w:lang w:val="es-ES"/>
        </w:rPr>
        <w:t>la pena de muerte</w:t>
      </w:r>
      <w:r>
        <w:rPr>
          <w:rFonts w:asciiTheme="majorHAnsi" w:hAnsiTheme="majorHAnsi"/>
          <w:bCs/>
          <w:sz w:val="20"/>
          <w:szCs w:val="20"/>
          <w:bdr w:val="none" w:sz="0" w:space="0" w:color="auto" w:frame="1"/>
          <w:lang w:val="es-ES"/>
        </w:rPr>
        <w:t xml:space="preserve"> a</w:t>
      </w:r>
      <w:r w:rsidRPr="008536ED">
        <w:rPr>
          <w:rFonts w:asciiTheme="majorHAnsi" w:hAnsiTheme="majorHAnsi"/>
          <w:bCs/>
          <w:sz w:val="20"/>
          <w:szCs w:val="20"/>
          <w:bdr w:val="none" w:sz="0" w:space="0" w:color="auto" w:frame="1"/>
          <w:lang w:val="es-ES"/>
        </w:rPr>
        <w:t xml:space="preserve"> “[n]o imponerla sobre personas que padecen de discapacidades mentales o intelectuales y a no ejecutar a esas personas”</w:t>
      </w:r>
      <w:r w:rsidRPr="008536ED">
        <w:rPr>
          <w:rStyle w:val="FootnoteReference"/>
          <w:rFonts w:asciiTheme="majorHAnsi" w:eastAsia="Cambria" w:hAnsiTheme="majorHAnsi"/>
          <w:bCs/>
          <w:color w:val="000000"/>
          <w:sz w:val="20"/>
          <w:szCs w:val="20"/>
          <w:u w:color="000000"/>
          <w:bdr w:val="nil"/>
          <w:lang w:val="es-ES" w:eastAsia="es-ES"/>
        </w:rPr>
        <w:footnoteReference w:id="80"/>
      </w:r>
      <w:r w:rsidRPr="008536ED">
        <w:rPr>
          <w:rFonts w:asciiTheme="majorHAnsi" w:hAnsiTheme="majorHAnsi"/>
          <w:bCs/>
          <w:sz w:val="20"/>
          <w:szCs w:val="20"/>
          <w:bdr w:val="none" w:sz="0" w:space="0" w:color="auto" w:frame="1"/>
          <w:lang w:val="es-ES"/>
        </w:rPr>
        <w:t>.</w:t>
      </w:r>
    </w:p>
    <w:p w14:paraId="7BB61F8B"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bCs/>
          <w:sz w:val="20"/>
          <w:szCs w:val="20"/>
          <w:bdr w:val="none" w:sz="0" w:space="0" w:color="auto" w:frame="1"/>
          <w:lang w:val="es-ES"/>
        </w:rPr>
      </w:pPr>
    </w:p>
    <w:p w14:paraId="14E517B4"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lang w:val="es-ES"/>
        </w:rPr>
      </w:pPr>
      <w:r w:rsidRPr="008536ED">
        <w:rPr>
          <w:rFonts w:asciiTheme="majorHAnsi" w:hAnsiTheme="majorHAnsi"/>
          <w:sz w:val="20"/>
          <w:szCs w:val="20"/>
          <w:bdr w:val="none" w:sz="0" w:space="0" w:color="auto" w:frame="1"/>
          <w:lang w:val="es-ES"/>
        </w:rPr>
        <w:t>A</w:t>
      </w:r>
      <w:r>
        <w:rPr>
          <w:rFonts w:asciiTheme="majorHAnsi" w:hAnsiTheme="majorHAnsi"/>
          <w:sz w:val="20"/>
          <w:szCs w:val="20"/>
          <w:bdr w:val="none" w:sz="0" w:space="0" w:color="auto" w:frame="1"/>
          <w:lang w:val="es-ES"/>
        </w:rPr>
        <w:t xml:space="preserve">simismo, el </w:t>
      </w:r>
      <w:r w:rsidRPr="008536ED">
        <w:rPr>
          <w:rFonts w:asciiTheme="majorHAnsi" w:hAnsiTheme="majorHAnsi"/>
          <w:sz w:val="20"/>
          <w:szCs w:val="20"/>
          <w:bdr w:val="none" w:sz="0" w:space="0" w:color="auto" w:frame="1"/>
          <w:lang w:val="es-ES"/>
        </w:rPr>
        <w:t xml:space="preserve">Relator Especial </w:t>
      </w:r>
      <w:r w:rsidRPr="00E708E1">
        <w:rPr>
          <w:rFonts w:asciiTheme="majorHAnsi" w:hAnsiTheme="majorHAnsi"/>
          <w:sz w:val="20"/>
          <w:szCs w:val="20"/>
          <w:bdr w:val="none" w:sz="0" w:space="0" w:color="auto" w:frame="1"/>
          <w:lang w:val="es-ES"/>
        </w:rPr>
        <w:t xml:space="preserve">de las Naciones Unidas </w:t>
      </w:r>
      <w:r w:rsidRPr="008536ED">
        <w:rPr>
          <w:rFonts w:asciiTheme="majorHAnsi" w:hAnsiTheme="majorHAnsi"/>
          <w:sz w:val="20"/>
          <w:szCs w:val="20"/>
          <w:bdr w:val="none" w:sz="0" w:space="0" w:color="auto" w:frame="1"/>
          <w:lang w:val="es-ES"/>
        </w:rPr>
        <w:t>sobre la tortura y otros tratos o penas crueles, inhumanos o degradantes</w:t>
      </w:r>
      <w:r>
        <w:rPr>
          <w:rFonts w:asciiTheme="majorHAnsi" w:hAnsiTheme="majorHAnsi"/>
          <w:sz w:val="20"/>
          <w:szCs w:val="20"/>
          <w:bdr w:val="none" w:sz="0" w:space="0" w:color="auto" w:frame="1"/>
          <w:lang w:val="es-ES"/>
        </w:rPr>
        <w:t xml:space="preserve"> indicó que, en el derecho internacional, se considera que la imposición y la ejecución de la </w:t>
      </w:r>
      <w:r w:rsidRPr="008536ED">
        <w:rPr>
          <w:rFonts w:asciiTheme="majorHAnsi" w:hAnsiTheme="majorHAnsi"/>
          <w:sz w:val="20"/>
          <w:szCs w:val="20"/>
          <w:bdr w:val="none" w:sz="0" w:space="0" w:color="auto" w:frame="1"/>
          <w:lang w:val="es-ES"/>
        </w:rPr>
        <w:t xml:space="preserve">pena de muerte </w:t>
      </w:r>
      <w:r>
        <w:rPr>
          <w:rFonts w:asciiTheme="majorHAnsi" w:hAnsiTheme="majorHAnsi"/>
          <w:sz w:val="20"/>
          <w:szCs w:val="20"/>
          <w:bdr w:val="none" w:sz="0" w:space="0" w:color="auto" w:frame="1"/>
          <w:lang w:val="es-ES"/>
        </w:rPr>
        <w:t xml:space="preserve">a personas con discapacidad </w:t>
      </w:r>
      <w:r w:rsidRPr="008536ED">
        <w:rPr>
          <w:rFonts w:asciiTheme="majorHAnsi" w:hAnsiTheme="majorHAnsi"/>
          <w:sz w:val="20"/>
          <w:szCs w:val="20"/>
          <w:bdr w:val="none" w:sz="0" w:space="0" w:color="auto" w:frame="1"/>
          <w:lang w:val="es-ES"/>
        </w:rPr>
        <w:t xml:space="preserve">mental </w:t>
      </w:r>
      <w:r>
        <w:rPr>
          <w:rFonts w:asciiTheme="majorHAnsi" w:hAnsiTheme="majorHAnsi"/>
          <w:sz w:val="20"/>
          <w:szCs w:val="20"/>
          <w:bdr w:val="none" w:sz="0" w:space="0" w:color="auto" w:frame="1"/>
          <w:lang w:val="es-ES"/>
        </w:rPr>
        <w:t xml:space="preserve">es una pena particularmente </w:t>
      </w:r>
      <w:r w:rsidRPr="008536ED">
        <w:rPr>
          <w:rFonts w:asciiTheme="majorHAnsi" w:hAnsiTheme="majorHAnsi"/>
          <w:sz w:val="20"/>
          <w:szCs w:val="20"/>
          <w:bdr w:val="none" w:sz="0" w:space="0" w:color="auto" w:frame="1"/>
          <w:lang w:val="es-ES"/>
        </w:rPr>
        <w:t>cruel, inhuman</w:t>
      </w:r>
      <w:r>
        <w:rPr>
          <w:rFonts w:asciiTheme="majorHAnsi" w:hAnsiTheme="majorHAnsi"/>
          <w:sz w:val="20"/>
          <w:szCs w:val="20"/>
          <w:bdr w:val="none" w:sz="0" w:space="0" w:color="auto" w:frame="1"/>
          <w:lang w:val="es-ES"/>
        </w:rPr>
        <w:t>a y</w:t>
      </w:r>
      <w:r w:rsidRPr="008536ED">
        <w:rPr>
          <w:rFonts w:asciiTheme="majorHAnsi" w:hAnsiTheme="majorHAnsi"/>
          <w:sz w:val="20"/>
          <w:szCs w:val="20"/>
          <w:bdr w:val="none" w:sz="0" w:space="0" w:color="auto" w:frame="1"/>
          <w:lang w:val="es-ES"/>
        </w:rPr>
        <w:t xml:space="preserve"> degrad</w:t>
      </w:r>
      <w:r>
        <w:rPr>
          <w:rFonts w:asciiTheme="majorHAnsi" w:hAnsiTheme="majorHAnsi"/>
          <w:sz w:val="20"/>
          <w:szCs w:val="20"/>
          <w:bdr w:val="none" w:sz="0" w:space="0" w:color="auto" w:frame="1"/>
          <w:lang w:val="es-ES"/>
        </w:rPr>
        <w:t xml:space="preserve">ante, violatoria del artículo </w:t>
      </w:r>
      <w:r w:rsidRPr="008536ED">
        <w:rPr>
          <w:rFonts w:asciiTheme="majorHAnsi" w:hAnsiTheme="majorHAnsi"/>
          <w:sz w:val="20"/>
          <w:szCs w:val="20"/>
          <w:bdr w:val="none" w:sz="0" w:space="0" w:color="auto" w:frame="1"/>
          <w:lang w:val="es-ES"/>
        </w:rPr>
        <w:t xml:space="preserve">7 </w:t>
      </w:r>
      <w:r>
        <w:rPr>
          <w:rFonts w:asciiTheme="majorHAnsi" w:hAnsiTheme="majorHAnsi"/>
          <w:sz w:val="20"/>
          <w:szCs w:val="20"/>
          <w:bdr w:val="none" w:sz="0" w:space="0" w:color="auto" w:frame="1"/>
          <w:lang w:val="es-ES"/>
        </w:rPr>
        <w:t xml:space="preserve">del </w:t>
      </w:r>
      <w:r w:rsidRPr="008536ED">
        <w:rPr>
          <w:rFonts w:asciiTheme="majorHAnsi" w:hAnsiTheme="majorHAnsi"/>
          <w:sz w:val="20"/>
          <w:szCs w:val="20"/>
          <w:bdr w:val="none" w:sz="0" w:space="0" w:color="auto" w:frame="1"/>
          <w:lang w:val="es-ES"/>
        </w:rPr>
        <w:t xml:space="preserve">Pacto Internacional de Derechos Civiles y Políticos </w:t>
      </w:r>
      <w:r>
        <w:rPr>
          <w:rFonts w:asciiTheme="majorHAnsi" w:hAnsiTheme="majorHAnsi"/>
          <w:sz w:val="20"/>
          <w:szCs w:val="20"/>
          <w:bdr w:val="none" w:sz="0" w:space="0" w:color="auto" w:frame="1"/>
          <w:lang w:val="es-ES"/>
        </w:rPr>
        <w:t>y de los</w:t>
      </w:r>
      <w:r w:rsidRPr="008536ED">
        <w:rPr>
          <w:rFonts w:asciiTheme="majorHAnsi" w:hAnsiTheme="majorHAnsi"/>
          <w:sz w:val="20"/>
          <w:szCs w:val="20"/>
          <w:bdr w:val="none" w:sz="0" w:space="0" w:color="auto" w:frame="1"/>
          <w:lang w:val="es-ES"/>
        </w:rPr>
        <w:t xml:space="preserve"> artículos 1 </w:t>
      </w:r>
      <w:r>
        <w:rPr>
          <w:rFonts w:asciiTheme="majorHAnsi" w:hAnsiTheme="majorHAnsi"/>
          <w:sz w:val="20"/>
          <w:szCs w:val="20"/>
          <w:bdr w:val="none" w:sz="0" w:space="0" w:color="auto" w:frame="1"/>
          <w:lang w:val="es-ES"/>
        </w:rPr>
        <w:t>y</w:t>
      </w:r>
      <w:r w:rsidRPr="008536ED">
        <w:rPr>
          <w:rFonts w:asciiTheme="majorHAnsi" w:hAnsiTheme="majorHAnsi"/>
          <w:sz w:val="20"/>
          <w:szCs w:val="20"/>
          <w:bdr w:val="none" w:sz="0" w:space="0" w:color="auto" w:frame="1"/>
          <w:lang w:val="es-ES"/>
        </w:rPr>
        <w:t xml:space="preserve"> 16 </w:t>
      </w:r>
      <w:r>
        <w:rPr>
          <w:rFonts w:asciiTheme="majorHAnsi" w:hAnsiTheme="majorHAnsi"/>
          <w:sz w:val="20"/>
          <w:szCs w:val="20"/>
          <w:bdr w:val="none" w:sz="0" w:space="0" w:color="auto" w:frame="1"/>
          <w:lang w:val="es-ES"/>
        </w:rPr>
        <w:t>de la Convención contra la</w:t>
      </w:r>
      <w:r w:rsidRPr="008536ED">
        <w:rPr>
          <w:rFonts w:asciiTheme="majorHAnsi" w:hAnsiTheme="majorHAnsi"/>
          <w:sz w:val="20"/>
          <w:szCs w:val="20"/>
          <w:bdr w:val="none" w:sz="0" w:space="0" w:color="auto" w:frame="1"/>
          <w:lang w:val="es-ES"/>
        </w:rPr>
        <w:t xml:space="preserve"> Tortur</w:t>
      </w:r>
      <w:r>
        <w:rPr>
          <w:rFonts w:asciiTheme="majorHAnsi" w:hAnsiTheme="majorHAnsi"/>
          <w:sz w:val="20"/>
          <w:szCs w:val="20"/>
          <w:bdr w:val="none" w:sz="0" w:space="0" w:color="auto" w:frame="1"/>
          <w:lang w:val="es-ES"/>
        </w:rPr>
        <w:t>a</w:t>
      </w:r>
      <w:r w:rsidRPr="008536ED">
        <w:rPr>
          <w:rStyle w:val="FootnoteReference"/>
          <w:rFonts w:asciiTheme="majorHAnsi" w:hAnsiTheme="majorHAnsi"/>
          <w:bCs/>
          <w:sz w:val="20"/>
          <w:szCs w:val="20"/>
          <w:lang w:val="es-ES"/>
        </w:rPr>
        <w:footnoteReference w:id="81"/>
      </w:r>
      <w:r>
        <w:rPr>
          <w:rFonts w:asciiTheme="majorHAnsi" w:hAnsiTheme="majorHAnsi"/>
          <w:sz w:val="20"/>
          <w:szCs w:val="20"/>
          <w:bdr w:val="none" w:sz="0" w:space="0" w:color="auto" w:frame="1"/>
          <w:lang w:val="es-ES"/>
        </w:rPr>
        <w:t>. Asimismo, el Relator Especial de las Naciones Unidas sobre las ejecuciones extrajudiciales, sumarias o arbitrarias ha señalado que la imposición de la pena capital a personas con discapacidades psicosociales constituye una violación de las salvaguardias relativas a la pena de muerte</w:t>
      </w:r>
      <w:r w:rsidRPr="008536ED">
        <w:rPr>
          <w:rStyle w:val="FootnoteReference"/>
          <w:rFonts w:asciiTheme="majorHAnsi" w:hAnsiTheme="majorHAnsi"/>
          <w:bCs/>
          <w:sz w:val="20"/>
          <w:szCs w:val="20"/>
          <w:lang w:val="es-ES"/>
        </w:rPr>
        <w:footnoteReference w:id="82"/>
      </w:r>
      <w:r>
        <w:rPr>
          <w:rFonts w:asciiTheme="majorHAnsi" w:hAnsiTheme="majorHAnsi"/>
          <w:sz w:val="20"/>
          <w:szCs w:val="20"/>
          <w:bdr w:val="none" w:sz="0" w:space="0" w:color="auto" w:frame="1"/>
          <w:lang w:val="es-ES"/>
        </w:rPr>
        <w:t>.</w:t>
      </w:r>
    </w:p>
    <w:p w14:paraId="33CAFFC6" w14:textId="77777777" w:rsidR="00953481" w:rsidRPr="00400DC5" w:rsidRDefault="00953481" w:rsidP="00953481">
      <w:pPr>
        <w:rPr>
          <w:rFonts w:asciiTheme="majorHAnsi" w:hAnsiTheme="majorHAnsi"/>
          <w:sz w:val="20"/>
          <w:szCs w:val="20"/>
          <w:bdr w:val="none" w:sz="0" w:space="0" w:color="auto" w:frame="1"/>
          <w:lang w:val="es-ES"/>
        </w:rPr>
      </w:pPr>
    </w:p>
    <w:p w14:paraId="0DC32F4A"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lang w:val="es-ES"/>
        </w:rPr>
      </w:pPr>
      <w:r>
        <w:rPr>
          <w:rFonts w:asciiTheme="majorHAnsi" w:hAnsiTheme="majorHAnsi"/>
          <w:sz w:val="20"/>
          <w:szCs w:val="20"/>
          <w:bdr w:val="none" w:sz="0" w:space="0" w:color="auto" w:frame="1"/>
          <w:lang w:val="es-ES"/>
        </w:rPr>
        <w:t>E</w:t>
      </w:r>
      <w:r w:rsidRPr="008536ED">
        <w:rPr>
          <w:rFonts w:asciiTheme="majorHAnsi" w:hAnsiTheme="majorHAnsi"/>
          <w:sz w:val="20"/>
          <w:szCs w:val="20"/>
          <w:bdr w:val="none" w:sz="0" w:space="0" w:color="auto" w:frame="1"/>
          <w:lang w:val="es-ES"/>
        </w:rPr>
        <w:t>n</w:t>
      </w:r>
      <w:r>
        <w:rPr>
          <w:rFonts w:asciiTheme="majorHAnsi" w:hAnsiTheme="majorHAnsi"/>
          <w:sz w:val="20"/>
          <w:szCs w:val="20"/>
          <w:bdr w:val="none" w:sz="0" w:space="0" w:color="auto" w:frame="1"/>
          <w:lang w:val="es-ES"/>
        </w:rPr>
        <w:t xml:space="preserve"> el caso</w:t>
      </w:r>
      <w:r w:rsidRPr="008536ED">
        <w:rPr>
          <w:rFonts w:asciiTheme="majorHAnsi" w:hAnsiTheme="majorHAnsi"/>
          <w:sz w:val="20"/>
          <w:szCs w:val="20"/>
          <w:bdr w:val="none" w:sz="0" w:space="0" w:color="auto" w:frame="1"/>
          <w:lang w:val="es-ES"/>
        </w:rPr>
        <w:t xml:space="preserve"> </w:t>
      </w:r>
      <w:r w:rsidRPr="00E708E1">
        <w:rPr>
          <w:rFonts w:asciiTheme="majorHAnsi" w:hAnsiTheme="majorHAnsi"/>
          <w:sz w:val="20"/>
          <w:szCs w:val="20"/>
          <w:bdr w:val="none" w:sz="0" w:space="0" w:color="auto" w:frame="1"/>
          <w:lang w:val="es-ES"/>
        </w:rPr>
        <w:t>Atkins contra Virginia</w:t>
      </w:r>
      <w:r w:rsidRPr="008536ED">
        <w:rPr>
          <w:rStyle w:val="FootnoteReference"/>
          <w:rFonts w:asciiTheme="majorHAnsi" w:hAnsiTheme="majorHAnsi"/>
          <w:bCs/>
          <w:sz w:val="20"/>
          <w:szCs w:val="20"/>
          <w:lang w:val="es-ES"/>
        </w:rPr>
        <w:footnoteReference w:id="83"/>
      </w:r>
      <w:r>
        <w:rPr>
          <w:rFonts w:asciiTheme="majorHAnsi" w:hAnsiTheme="majorHAnsi"/>
          <w:sz w:val="20"/>
          <w:szCs w:val="20"/>
          <w:bdr w:val="none" w:sz="0" w:space="0" w:color="auto" w:frame="1"/>
          <w:lang w:val="es-ES"/>
        </w:rPr>
        <w:t xml:space="preserve">, la Corte Suprema de </w:t>
      </w:r>
      <w:r w:rsidRPr="008536ED">
        <w:rPr>
          <w:rFonts w:asciiTheme="majorHAnsi" w:hAnsiTheme="majorHAnsi"/>
          <w:sz w:val="20"/>
          <w:szCs w:val="20"/>
          <w:bdr w:val="none" w:sz="0" w:space="0" w:color="auto" w:frame="1"/>
          <w:lang w:val="es-ES"/>
        </w:rPr>
        <w:t xml:space="preserve">Estados Unidos </w:t>
      </w:r>
      <w:r>
        <w:rPr>
          <w:rFonts w:asciiTheme="majorHAnsi" w:hAnsiTheme="majorHAnsi"/>
          <w:sz w:val="20"/>
          <w:szCs w:val="20"/>
          <w:bdr w:val="none" w:sz="0" w:space="0" w:color="auto" w:frame="1"/>
          <w:lang w:val="es-ES"/>
        </w:rPr>
        <w:t xml:space="preserve">dictaminó que la ejecución de delincuentes con retraso mental es uno de los castigos crueles e inusitados prohibidos por la Octava Enmienda de la Constitución. En su fallo, la Corte Suprema hizo una reseña histórica del concepto de pena </w:t>
      </w:r>
      <w:r w:rsidRPr="008536ED">
        <w:rPr>
          <w:rFonts w:asciiTheme="majorHAnsi" w:hAnsiTheme="majorHAnsi"/>
          <w:sz w:val="20"/>
          <w:szCs w:val="20"/>
          <w:bdr w:val="none" w:sz="0" w:space="0" w:color="auto" w:frame="1"/>
          <w:shd w:val="clear" w:color="auto" w:fill="FFFFFF"/>
          <w:lang w:val="es-ES"/>
        </w:rPr>
        <w:t>“excesiv</w:t>
      </w:r>
      <w:r>
        <w:rPr>
          <w:rFonts w:asciiTheme="majorHAnsi" w:hAnsiTheme="majorHAnsi"/>
          <w:sz w:val="20"/>
          <w:szCs w:val="20"/>
          <w:bdr w:val="none" w:sz="0" w:space="0" w:color="auto" w:frame="1"/>
          <w:shd w:val="clear" w:color="auto" w:fill="FFFFFF"/>
          <w:lang w:val="es-ES"/>
        </w:rPr>
        <w:t>a</w:t>
      </w:r>
      <w:r w:rsidRPr="008536ED">
        <w:rPr>
          <w:rFonts w:asciiTheme="majorHAnsi" w:hAnsiTheme="majorHAnsi"/>
          <w:sz w:val="20"/>
          <w:szCs w:val="20"/>
          <w:bdr w:val="none" w:sz="0" w:space="0" w:color="auto" w:frame="1"/>
          <w:shd w:val="clear" w:color="auto" w:fill="FFFFFF"/>
          <w:lang w:val="es-ES"/>
        </w:rPr>
        <w:t xml:space="preserve">” </w:t>
      </w:r>
      <w:r>
        <w:rPr>
          <w:rFonts w:asciiTheme="majorHAnsi" w:hAnsiTheme="majorHAnsi"/>
          <w:sz w:val="20"/>
          <w:szCs w:val="20"/>
          <w:bdr w:val="none" w:sz="0" w:space="0" w:color="auto" w:frame="1"/>
          <w:shd w:val="clear" w:color="auto" w:fill="FFFFFF"/>
          <w:lang w:val="es-ES"/>
        </w:rPr>
        <w:t>y recalcó que, en la actualidad, el consenso refleja de manera indiscutible un criterio generalizado con respecto a la culpabilidad relativa de los delincuentes con retraso mental</w:t>
      </w:r>
      <w:r w:rsidRPr="008536ED">
        <w:rPr>
          <w:rStyle w:val="FootnoteReference"/>
          <w:rFonts w:asciiTheme="majorHAnsi" w:hAnsiTheme="majorHAnsi"/>
          <w:bCs/>
          <w:sz w:val="20"/>
          <w:szCs w:val="20"/>
          <w:lang w:val="es-ES"/>
        </w:rPr>
        <w:footnoteReference w:id="84"/>
      </w:r>
      <w:r>
        <w:rPr>
          <w:rFonts w:asciiTheme="majorHAnsi" w:hAnsiTheme="majorHAnsi"/>
          <w:sz w:val="20"/>
          <w:szCs w:val="20"/>
          <w:bdr w:val="none" w:sz="0" w:space="0" w:color="auto" w:frame="1"/>
          <w:shd w:val="clear" w:color="auto" w:fill="FFFFFF"/>
          <w:lang w:val="es-ES"/>
        </w:rPr>
        <w:t>.</w:t>
      </w:r>
    </w:p>
    <w:p w14:paraId="13F9F3FD" w14:textId="77777777" w:rsidR="00953481" w:rsidRPr="00E708E1" w:rsidRDefault="00953481" w:rsidP="00953481">
      <w:pPr>
        <w:rPr>
          <w:rFonts w:asciiTheme="majorHAnsi" w:hAnsiTheme="majorHAnsi"/>
          <w:bCs/>
          <w:sz w:val="20"/>
          <w:szCs w:val="20"/>
          <w:bdr w:val="none" w:sz="0" w:space="0" w:color="auto" w:frame="1"/>
          <w:lang w:val="es-ES"/>
        </w:rPr>
      </w:pPr>
    </w:p>
    <w:p w14:paraId="7711FD09"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lang w:val="es-ES"/>
        </w:rPr>
      </w:pPr>
      <w:r>
        <w:rPr>
          <w:rFonts w:asciiTheme="majorHAnsi" w:hAnsiTheme="majorHAnsi"/>
          <w:bCs/>
          <w:sz w:val="20"/>
          <w:szCs w:val="20"/>
          <w:lang w:val="es-ES"/>
        </w:rPr>
        <w:t>En el expediente ante l</w:t>
      </w:r>
      <w:r w:rsidRPr="008536ED">
        <w:rPr>
          <w:rFonts w:asciiTheme="majorHAnsi" w:hAnsiTheme="majorHAnsi"/>
          <w:bCs/>
          <w:sz w:val="20"/>
          <w:szCs w:val="20"/>
          <w:lang w:val="es-ES"/>
        </w:rPr>
        <w:t xml:space="preserve">a CIDH </w:t>
      </w:r>
      <w:r>
        <w:rPr>
          <w:rFonts w:asciiTheme="majorHAnsi" w:hAnsiTheme="majorHAnsi"/>
          <w:bCs/>
          <w:sz w:val="20"/>
          <w:szCs w:val="20"/>
          <w:lang w:val="es-ES"/>
        </w:rPr>
        <w:t xml:space="preserve">no hay ninguna información sobre las razones que llevaron al jurado a concluir que </w:t>
      </w:r>
      <w:r w:rsidRPr="008536ED">
        <w:rPr>
          <w:rFonts w:asciiTheme="majorHAnsi" w:hAnsiTheme="majorHAnsi"/>
          <w:bCs/>
          <w:sz w:val="20"/>
          <w:szCs w:val="20"/>
          <w:lang w:val="es-ES"/>
        </w:rPr>
        <w:t xml:space="preserve">el señor </w:t>
      </w:r>
      <w:proofErr w:type="spellStart"/>
      <w:r w:rsidRPr="008536ED">
        <w:rPr>
          <w:rFonts w:asciiTheme="majorHAnsi" w:hAnsiTheme="majorHAnsi"/>
          <w:bCs/>
          <w:sz w:val="20"/>
          <w:szCs w:val="20"/>
          <w:lang w:val="es-ES"/>
        </w:rPr>
        <w:t>Rogovich</w:t>
      </w:r>
      <w:proofErr w:type="spellEnd"/>
      <w:r w:rsidRPr="008536ED">
        <w:rPr>
          <w:rFonts w:asciiTheme="majorHAnsi" w:hAnsiTheme="majorHAnsi"/>
          <w:bCs/>
          <w:sz w:val="20"/>
          <w:szCs w:val="20"/>
          <w:lang w:val="es-ES"/>
        </w:rPr>
        <w:t xml:space="preserve"> </w:t>
      </w:r>
      <w:r>
        <w:rPr>
          <w:rFonts w:asciiTheme="majorHAnsi" w:hAnsiTheme="majorHAnsi"/>
          <w:bCs/>
          <w:sz w:val="20"/>
          <w:szCs w:val="20"/>
          <w:lang w:val="es-ES"/>
        </w:rPr>
        <w:t>tenía capacidad procesal. Sin embargo,</w:t>
      </w:r>
      <w:r w:rsidRPr="008536ED">
        <w:rPr>
          <w:rFonts w:asciiTheme="majorHAnsi" w:hAnsiTheme="majorHAnsi"/>
          <w:bCs/>
          <w:sz w:val="20"/>
          <w:szCs w:val="20"/>
          <w:lang w:val="es-ES"/>
        </w:rPr>
        <w:t xml:space="preserve"> la Comisión</w:t>
      </w:r>
      <w:r w:rsidRPr="008536ED">
        <w:rPr>
          <w:rFonts w:asciiTheme="majorHAnsi" w:eastAsia="Arial Unicode MS" w:hAnsiTheme="majorHAnsi"/>
          <w:sz w:val="20"/>
          <w:szCs w:val="20"/>
          <w:lang w:val="es-ES"/>
        </w:rPr>
        <w:t xml:space="preserve"> </w:t>
      </w:r>
      <w:r>
        <w:rPr>
          <w:rFonts w:asciiTheme="majorHAnsi" w:eastAsia="Arial Unicode MS" w:hAnsiTheme="majorHAnsi"/>
          <w:sz w:val="20"/>
          <w:szCs w:val="20"/>
          <w:lang w:val="es-ES"/>
        </w:rPr>
        <w:t xml:space="preserve">observa que, el </w:t>
      </w:r>
      <w:r w:rsidRPr="008536ED">
        <w:rPr>
          <w:rFonts w:asciiTheme="majorHAnsi" w:hAnsiTheme="majorHAnsi"/>
          <w:bCs/>
          <w:sz w:val="20"/>
          <w:szCs w:val="20"/>
          <w:bdr w:val="none" w:sz="0" w:space="0" w:color="auto" w:frame="1"/>
          <w:lang w:val="es-ES"/>
        </w:rPr>
        <w:t>28</w:t>
      </w:r>
      <w:r>
        <w:rPr>
          <w:rFonts w:asciiTheme="majorHAnsi" w:hAnsiTheme="majorHAnsi"/>
          <w:bCs/>
          <w:sz w:val="20"/>
          <w:szCs w:val="20"/>
          <w:bdr w:val="none" w:sz="0" w:space="0" w:color="auto" w:frame="1"/>
          <w:lang w:val="es-ES"/>
        </w:rPr>
        <w:t xml:space="preserve"> de julio de</w:t>
      </w:r>
      <w:r w:rsidRPr="008536ED">
        <w:rPr>
          <w:rFonts w:asciiTheme="majorHAnsi" w:hAnsiTheme="majorHAnsi"/>
          <w:bCs/>
          <w:sz w:val="20"/>
          <w:szCs w:val="20"/>
          <w:bdr w:val="none" w:sz="0" w:space="0" w:color="auto" w:frame="1"/>
          <w:lang w:val="es-ES"/>
        </w:rPr>
        <w:t xml:space="preserve"> 1992, </w:t>
      </w:r>
      <w:r>
        <w:rPr>
          <w:rFonts w:asciiTheme="majorHAnsi" w:hAnsiTheme="majorHAnsi"/>
          <w:bCs/>
          <w:sz w:val="20"/>
          <w:szCs w:val="20"/>
          <w:bdr w:val="none" w:sz="0" w:space="0" w:color="auto" w:frame="1"/>
          <w:lang w:val="es-ES"/>
        </w:rPr>
        <w:t xml:space="preserve">pocos meses después de su arresto, </w:t>
      </w:r>
      <w:r w:rsidRPr="008536ED">
        <w:rPr>
          <w:rFonts w:asciiTheme="majorHAnsi" w:hAnsiTheme="majorHAnsi"/>
          <w:bCs/>
          <w:sz w:val="20"/>
          <w:szCs w:val="20"/>
          <w:bdr w:val="none" w:sz="0" w:space="0" w:color="auto" w:frame="1"/>
          <w:lang w:val="es-ES"/>
        </w:rPr>
        <w:t xml:space="preserve">el señor </w:t>
      </w:r>
      <w:proofErr w:type="spellStart"/>
      <w:r w:rsidRPr="008536ED">
        <w:rPr>
          <w:rFonts w:asciiTheme="majorHAnsi" w:hAnsiTheme="majorHAnsi"/>
          <w:bCs/>
          <w:sz w:val="20"/>
          <w:szCs w:val="20"/>
          <w:bdr w:val="none" w:sz="0" w:space="0" w:color="auto" w:frame="1"/>
          <w:lang w:val="es-ES"/>
        </w:rPr>
        <w:t>Rogovich</w:t>
      </w:r>
      <w:proofErr w:type="spellEnd"/>
      <w:r>
        <w:rPr>
          <w:rFonts w:asciiTheme="majorHAnsi" w:hAnsiTheme="majorHAnsi"/>
          <w:bCs/>
          <w:sz w:val="20"/>
          <w:szCs w:val="20"/>
          <w:bdr w:val="none" w:sz="0" w:space="0" w:color="auto" w:frame="1"/>
          <w:lang w:val="es-ES"/>
        </w:rPr>
        <w:t xml:space="preserve"> fue</w:t>
      </w:r>
      <w:r w:rsidRPr="00FE1C20">
        <w:rPr>
          <w:rFonts w:asciiTheme="majorHAnsi" w:hAnsiTheme="majorHAnsi"/>
          <w:bCs/>
          <w:sz w:val="20"/>
          <w:szCs w:val="20"/>
          <w:bdr w:val="none" w:sz="0" w:space="0" w:color="auto" w:frame="1"/>
          <w:lang w:val="es-ES"/>
        </w:rPr>
        <w:t xml:space="preserve"> encontra</w:t>
      </w:r>
      <w:r>
        <w:rPr>
          <w:rFonts w:asciiTheme="majorHAnsi" w:hAnsiTheme="majorHAnsi"/>
          <w:bCs/>
          <w:sz w:val="20"/>
          <w:szCs w:val="20"/>
          <w:bdr w:val="none" w:sz="0" w:space="0" w:color="auto" w:frame="1"/>
          <w:lang w:val="es-ES"/>
        </w:rPr>
        <w:t>do</w:t>
      </w:r>
      <w:r w:rsidRPr="00FE1C20">
        <w:rPr>
          <w:rFonts w:asciiTheme="majorHAnsi" w:hAnsiTheme="majorHAnsi"/>
          <w:bCs/>
          <w:sz w:val="20"/>
          <w:szCs w:val="20"/>
          <w:bdr w:val="none" w:sz="0" w:space="0" w:color="auto" w:frame="1"/>
          <w:lang w:val="es-ES"/>
        </w:rPr>
        <w:t xml:space="preserve"> tendido de espaldas gritando: “Están tratando de matarme”</w:t>
      </w:r>
      <w:r>
        <w:rPr>
          <w:rFonts w:asciiTheme="majorHAnsi" w:hAnsiTheme="majorHAnsi"/>
          <w:bCs/>
          <w:sz w:val="20"/>
          <w:szCs w:val="20"/>
          <w:bdr w:val="none" w:sz="0" w:space="0" w:color="auto" w:frame="1"/>
          <w:lang w:val="es-ES"/>
        </w:rPr>
        <w:t xml:space="preserve"> y que más tarde, ese mismo día, trató de suicidarse</w:t>
      </w:r>
      <w:r w:rsidRPr="00FE1C20">
        <w:rPr>
          <w:rFonts w:asciiTheme="majorHAnsi" w:hAnsiTheme="majorHAnsi"/>
          <w:bCs/>
          <w:sz w:val="20"/>
          <w:szCs w:val="20"/>
          <w:bdr w:val="none" w:sz="0" w:space="0" w:color="auto" w:frame="1"/>
          <w:lang w:val="es-ES"/>
        </w:rPr>
        <w:t>.</w:t>
      </w:r>
      <w:r w:rsidRPr="008536ED">
        <w:rPr>
          <w:rFonts w:asciiTheme="majorHAnsi" w:hAnsiTheme="majorHAnsi"/>
          <w:bCs/>
          <w:sz w:val="20"/>
          <w:szCs w:val="20"/>
          <w:bdr w:val="none" w:sz="0" w:space="0" w:color="auto" w:frame="1"/>
          <w:lang w:val="es-ES"/>
        </w:rPr>
        <w:t xml:space="preserve"> </w:t>
      </w:r>
      <w:r>
        <w:rPr>
          <w:rFonts w:asciiTheme="majorHAnsi" w:hAnsiTheme="majorHAnsi"/>
          <w:bCs/>
          <w:sz w:val="20"/>
          <w:szCs w:val="20"/>
          <w:bdr w:val="none" w:sz="0" w:space="0" w:color="auto" w:frame="1"/>
          <w:lang w:val="es-ES"/>
        </w:rPr>
        <w:t xml:space="preserve">Posteriormente fue trasladado a la unidad psiquiátrica, donde permaneció hasta el </w:t>
      </w:r>
      <w:r w:rsidRPr="008536ED">
        <w:rPr>
          <w:rFonts w:asciiTheme="majorHAnsi" w:hAnsiTheme="majorHAnsi"/>
          <w:bCs/>
          <w:sz w:val="20"/>
          <w:szCs w:val="20"/>
          <w:bdr w:val="none" w:sz="0" w:space="0" w:color="auto" w:frame="1"/>
          <w:lang w:val="es-ES"/>
        </w:rPr>
        <w:t>21</w:t>
      </w:r>
      <w:r>
        <w:rPr>
          <w:rFonts w:asciiTheme="majorHAnsi" w:hAnsiTheme="majorHAnsi"/>
          <w:bCs/>
          <w:sz w:val="20"/>
          <w:szCs w:val="20"/>
          <w:bdr w:val="none" w:sz="0" w:space="0" w:color="auto" w:frame="1"/>
          <w:lang w:val="es-ES"/>
        </w:rPr>
        <w:t xml:space="preserve"> de diciembre de</w:t>
      </w:r>
      <w:r w:rsidRPr="008536ED">
        <w:rPr>
          <w:rFonts w:asciiTheme="majorHAnsi" w:hAnsiTheme="majorHAnsi"/>
          <w:bCs/>
          <w:sz w:val="20"/>
          <w:szCs w:val="20"/>
          <w:bdr w:val="none" w:sz="0" w:space="0" w:color="auto" w:frame="1"/>
          <w:lang w:val="es-ES"/>
        </w:rPr>
        <w:t xml:space="preserve"> 1992. </w:t>
      </w:r>
      <w:r>
        <w:rPr>
          <w:rFonts w:asciiTheme="majorHAnsi" w:hAnsiTheme="majorHAnsi"/>
          <w:bCs/>
          <w:sz w:val="20"/>
          <w:szCs w:val="20"/>
          <w:bdr w:val="none" w:sz="0" w:space="0" w:color="auto" w:frame="1"/>
          <w:lang w:val="es-ES"/>
        </w:rPr>
        <w:t xml:space="preserve">Fue diagnosticado con </w:t>
      </w:r>
      <w:r w:rsidRPr="008536ED">
        <w:rPr>
          <w:rFonts w:asciiTheme="majorHAnsi" w:hAnsiTheme="majorHAnsi"/>
          <w:bCs/>
          <w:sz w:val="20"/>
          <w:szCs w:val="20"/>
          <w:bdr w:val="none" w:sz="0" w:space="0" w:color="auto" w:frame="1"/>
          <w:lang w:val="es-ES"/>
        </w:rPr>
        <w:t xml:space="preserve">esquizofrenia paranoide </w:t>
      </w:r>
      <w:r>
        <w:rPr>
          <w:rFonts w:asciiTheme="majorHAnsi" w:hAnsiTheme="majorHAnsi"/>
          <w:bCs/>
          <w:sz w:val="20"/>
          <w:szCs w:val="20"/>
          <w:bdr w:val="none" w:sz="0" w:space="0" w:color="auto" w:frame="1"/>
          <w:lang w:val="es-ES"/>
        </w:rPr>
        <w:t>y le administraron un medicamento antipsicótico durante un mes. Con base pruebas psicológicas realizadas en mayo de</w:t>
      </w:r>
      <w:r w:rsidRPr="008536ED">
        <w:rPr>
          <w:rFonts w:asciiTheme="majorHAnsi" w:hAnsiTheme="majorHAnsi"/>
          <w:bCs/>
          <w:sz w:val="20"/>
          <w:szCs w:val="20"/>
          <w:bdr w:val="none" w:sz="0" w:space="0" w:color="auto" w:frame="1"/>
          <w:lang w:val="es-ES"/>
        </w:rPr>
        <w:t xml:space="preserve"> 1993</w:t>
      </w:r>
      <w:r>
        <w:rPr>
          <w:rFonts w:asciiTheme="majorHAnsi" w:hAnsiTheme="majorHAnsi"/>
          <w:bCs/>
          <w:sz w:val="20"/>
          <w:szCs w:val="20"/>
          <w:bdr w:val="none" w:sz="0" w:space="0" w:color="auto" w:frame="1"/>
          <w:lang w:val="es-ES"/>
        </w:rPr>
        <w:t xml:space="preserve"> se determinó que padecía también daño cerebral</w:t>
      </w:r>
      <w:r w:rsidRPr="008536ED">
        <w:rPr>
          <w:rFonts w:asciiTheme="majorHAnsi" w:hAnsiTheme="majorHAnsi"/>
          <w:bCs/>
          <w:sz w:val="20"/>
          <w:szCs w:val="20"/>
          <w:bdr w:val="none" w:sz="0" w:space="0" w:color="auto" w:frame="1"/>
          <w:lang w:val="es-ES"/>
        </w:rPr>
        <w:t xml:space="preserve">. </w:t>
      </w:r>
    </w:p>
    <w:p w14:paraId="08253118" w14:textId="77777777" w:rsidR="00953481" w:rsidRPr="00E708E1" w:rsidRDefault="00953481" w:rsidP="00953481">
      <w:pPr>
        <w:rPr>
          <w:rFonts w:asciiTheme="majorHAnsi" w:hAnsiTheme="majorHAnsi"/>
          <w:bCs/>
          <w:sz w:val="20"/>
          <w:szCs w:val="20"/>
          <w:bdr w:val="none" w:sz="0" w:space="0" w:color="auto" w:frame="1"/>
          <w:lang w:val="es-ES"/>
        </w:rPr>
      </w:pPr>
    </w:p>
    <w:p w14:paraId="15D90BB6"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bCs/>
          <w:sz w:val="20"/>
          <w:szCs w:val="20"/>
          <w:bdr w:val="none" w:sz="0" w:space="0" w:color="auto" w:frame="1"/>
          <w:lang w:val="es-ES"/>
        </w:rPr>
      </w:pPr>
      <w:r>
        <w:rPr>
          <w:rFonts w:asciiTheme="majorHAnsi" w:hAnsiTheme="majorHAnsi"/>
          <w:bCs/>
          <w:sz w:val="20"/>
          <w:szCs w:val="20"/>
          <w:bdr w:val="none" w:sz="0" w:space="0" w:color="auto" w:frame="1"/>
          <w:lang w:val="es-ES"/>
        </w:rPr>
        <w:lastRenderedPageBreak/>
        <w:t xml:space="preserve">Además, según los hechos probados en el presente informe, durante el juicio, </w:t>
      </w:r>
      <w:r w:rsidRPr="008536ED">
        <w:rPr>
          <w:rFonts w:asciiTheme="majorHAnsi" w:hAnsiTheme="majorHAnsi"/>
          <w:bCs/>
          <w:sz w:val="20"/>
          <w:szCs w:val="20"/>
          <w:bdr w:val="none" w:sz="0" w:space="0" w:color="auto" w:frame="1"/>
          <w:lang w:val="es-ES"/>
        </w:rPr>
        <w:t xml:space="preserve">el señor </w:t>
      </w:r>
      <w:proofErr w:type="spellStart"/>
      <w:r w:rsidRPr="008536ED">
        <w:rPr>
          <w:rFonts w:asciiTheme="majorHAnsi" w:hAnsiTheme="majorHAnsi"/>
          <w:bCs/>
          <w:sz w:val="20"/>
          <w:szCs w:val="20"/>
          <w:bdr w:val="none" w:sz="0" w:space="0" w:color="auto" w:frame="1"/>
          <w:lang w:val="es-ES"/>
        </w:rPr>
        <w:t>Rogovich</w:t>
      </w:r>
      <w:proofErr w:type="spellEnd"/>
      <w:r w:rsidRPr="008536ED">
        <w:rPr>
          <w:rFonts w:asciiTheme="majorHAnsi" w:hAnsiTheme="majorHAnsi"/>
          <w:bCs/>
          <w:sz w:val="20"/>
          <w:szCs w:val="20"/>
          <w:bdr w:val="none" w:sz="0" w:space="0" w:color="auto" w:frame="1"/>
          <w:lang w:val="es-ES"/>
        </w:rPr>
        <w:t xml:space="preserve"> </w:t>
      </w:r>
      <w:r>
        <w:rPr>
          <w:rFonts w:asciiTheme="majorHAnsi" w:hAnsiTheme="majorHAnsi"/>
          <w:bCs/>
          <w:sz w:val="20"/>
          <w:szCs w:val="20"/>
          <w:bdr w:val="none" w:sz="0" w:space="0" w:color="auto" w:frame="1"/>
          <w:lang w:val="es-ES"/>
        </w:rPr>
        <w:t xml:space="preserve">estaba tomando cuatro medicamentos psicotrópicos, que incidían en su capacidad para seguir con atención el proceso. Debido a ello y a los problemas de salud </w:t>
      </w:r>
      <w:r w:rsidRPr="008536ED">
        <w:rPr>
          <w:rFonts w:asciiTheme="majorHAnsi" w:hAnsiTheme="majorHAnsi"/>
          <w:bCs/>
          <w:sz w:val="20"/>
          <w:szCs w:val="20"/>
          <w:bdr w:val="none" w:sz="0" w:space="0" w:color="auto" w:frame="1"/>
          <w:lang w:val="es-ES"/>
        </w:rPr>
        <w:t>mental</w:t>
      </w:r>
      <w:r>
        <w:rPr>
          <w:rFonts w:asciiTheme="majorHAnsi" w:hAnsiTheme="majorHAnsi"/>
          <w:bCs/>
          <w:sz w:val="20"/>
          <w:szCs w:val="20"/>
          <w:bdr w:val="none" w:sz="0" w:space="0" w:color="auto" w:frame="1"/>
          <w:lang w:val="es-ES"/>
        </w:rPr>
        <w:t>, le resultaba difícil comunicarse con su abogado. Tras un examen preliminar se confirmó l</w:t>
      </w:r>
      <w:r w:rsidRPr="008536ED">
        <w:rPr>
          <w:rFonts w:asciiTheme="majorHAnsi" w:hAnsiTheme="majorHAnsi"/>
          <w:bCs/>
          <w:sz w:val="20"/>
          <w:szCs w:val="20"/>
          <w:bdr w:val="none" w:sz="0" w:space="0" w:color="auto" w:frame="1"/>
          <w:lang w:val="es-ES"/>
        </w:rPr>
        <w:t>a c</w:t>
      </w:r>
      <w:r>
        <w:rPr>
          <w:rFonts w:asciiTheme="majorHAnsi" w:hAnsiTheme="majorHAnsi"/>
          <w:bCs/>
          <w:sz w:val="20"/>
          <w:szCs w:val="20"/>
          <w:bdr w:val="none" w:sz="0" w:space="0" w:color="auto" w:frame="1"/>
          <w:lang w:val="es-ES"/>
        </w:rPr>
        <w:t xml:space="preserve">apacidad procesal </w:t>
      </w:r>
      <w:r w:rsidRPr="008536ED">
        <w:rPr>
          <w:rFonts w:asciiTheme="majorHAnsi" w:hAnsiTheme="majorHAnsi"/>
          <w:bCs/>
          <w:sz w:val="20"/>
          <w:szCs w:val="20"/>
          <w:bdr w:val="none" w:sz="0" w:space="0" w:color="auto" w:frame="1"/>
          <w:lang w:val="es-ES"/>
        </w:rPr>
        <w:t xml:space="preserve">del señor </w:t>
      </w:r>
      <w:proofErr w:type="spellStart"/>
      <w:r w:rsidRPr="008536ED">
        <w:rPr>
          <w:rFonts w:asciiTheme="majorHAnsi" w:hAnsiTheme="majorHAnsi"/>
          <w:bCs/>
          <w:sz w:val="20"/>
          <w:szCs w:val="20"/>
          <w:bdr w:val="none" w:sz="0" w:space="0" w:color="auto" w:frame="1"/>
          <w:lang w:val="es-ES"/>
        </w:rPr>
        <w:t>Rogovich</w:t>
      </w:r>
      <w:proofErr w:type="spellEnd"/>
      <w:r w:rsidRPr="008536ED">
        <w:rPr>
          <w:rFonts w:asciiTheme="majorHAnsi" w:hAnsiTheme="majorHAnsi"/>
          <w:bCs/>
          <w:sz w:val="20"/>
          <w:szCs w:val="20"/>
          <w:bdr w:val="none" w:sz="0" w:space="0" w:color="auto" w:frame="1"/>
          <w:lang w:val="es-ES"/>
        </w:rPr>
        <w:t xml:space="preserve"> </w:t>
      </w:r>
      <w:r>
        <w:rPr>
          <w:rFonts w:asciiTheme="majorHAnsi" w:hAnsiTheme="majorHAnsi"/>
          <w:bCs/>
          <w:sz w:val="20"/>
          <w:szCs w:val="20"/>
          <w:bdr w:val="none" w:sz="0" w:space="0" w:color="auto" w:frame="1"/>
          <w:lang w:val="es-ES"/>
        </w:rPr>
        <w:t xml:space="preserve">el 15 de marzo de </w:t>
      </w:r>
      <w:r w:rsidRPr="008536ED">
        <w:rPr>
          <w:rFonts w:asciiTheme="majorHAnsi" w:hAnsiTheme="majorHAnsi"/>
          <w:bCs/>
          <w:sz w:val="20"/>
          <w:szCs w:val="20"/>
          <w:bdr w:val="none" w:sz="0" w:space="0" w:color="auto" w:frame="1"/>
          <w:lang w:val="es-ES"/>
        </w:rPr>
        <w:t xml:space="preserve">1995. Según el Estado, </w:t>
      </w:r>
      <w:r>
        <w:rPr>
          <w:rFonts w:asciiTheme="majorHAnsi" w:hAnsiTheme="majorHAnsi"/>
          <w:bCs/>
          <w:sz w:val="20"/>
          <w:szCs w:val="20"/>
          <w:bdr w:val="none" w:sz="0" w:space="0" w:color="auto" w:frame="1"/>
          <w:lang w:val="es-ES"/>
        </w:rPr>
        <w:t xml:space="preserve">cuatro expertos en salud </w:t>
      </w:r>
      <w:r w:rsidRPr="008536ED">
        <w:rPr>
          <w:rFonts w:asciiTheme="majorHAnsi" w:hAnsiTheme="majorHAnsi"/>
          <w:bCs/>
          <w:sz w:val="20"/>
          <w:szCs w:val="20"/>
          <w:bdr w:val="none" w:sz="0" w:space="0" w:color="auto" w:frame="1"/>
          <w:lang w:val="es-ES"/>
        </w:rPr>
        <w:t xml:space="preserve">mental </w:t>
      </w:r>
      <w:r>
        <w:rPr>
          <w:rFonts w:asciiTheme="majorHAnsi" w:hAnsiTheme="majorHAnsi"/>
          <w:bCs/>
          <w:sz w:val="20"/>
          <w:szCs w:val="20"/>
          <w:bdr w:val="none" w:sz="0" w:space="0" w:color="auto" w:frame="1"/>
          <w:lang w:val="es-ES"/>
        </w:rPr>
        <w:t xml:space="preserve">consideraron su caso. </w:t>
      </w:r>
      <w:r w:rsidRPr="00DE2327">
        <w:rPr>
          <w:rFonts w:asciiTheme="majorHAnsi" w:hAnsiTheme="majorHAnsi"/>
          <w:bCs/>
          <w:sz w:val="20"/>
          <w:szCs w:val="20"/>
          <w:bdr w:val="none" w:sz="0" w:space="0" w:color="auto" w:frame="1"/>
          <w:lang w:val="es-ES"/>
        </w:rPr>
        <w:t xml:space="preserve">Dos dijeron que podría tener una psicosis, mientras que los otros dos opinaron que su comportamiento se debía a un trastorno de la personalidad o </w:t>
      </w:r>
      <w:r>
        <w:rPr>
          <w:rFonts w:asciiTheme="majorHAnsi" w:hAnsiTheme="majorHAnsi"/>
          <w:bCs/>
          <w:sz w:val="20"/>
          <w:szCs w:val="20"/>
          <w:bdr w:val="none" w:sz="0" w:space="0" w:color="auto" w:frame="1"/>
          <w:lang w:val="es-ES"/>
        </w:rPr>
        <w:t xml:space="preserve">a </w:t>
      </w:r>
      <w:r w:rsidRPr="00DE2327">
        <w:rPr>
          <w:rFonts w:asciiTheme="majorHAnsi" w:hAnsiTheme="majorHAnsi"/>
          <w:bCs/>
          <w:sz w:val="20"/>
          <w:szCs w:val="20"/>
          <w:bdr w:val="none" w:sz="0" w:space="0" w:color="auto" w:frame="1"/>
          <w:lang w:val="es-ES"/>
        </w:rPr>
        <w:t>una intoxicación por drogas.</w:t>
      </w:r>
    </w:p>
    <w:p w14:paraId="42A2FC1D" w14:textId="77777777" w:rsidR="00953481" w:rsidRPr="00D0030B" w:rsidRDefault="00953481" w:rsidP="00953481">
      <w:pPr>
        <w:rPr>
          <w:rFonts w:asciiTheme="majorHAnsi" w:hAnsiTheme="majorHAnsi"/>
          <w:bCs/>
          <w:sz w:val="20"/>
          <w:szCs w:val="20"/>
          <w:bdr w:val="none" w:sz="0" w:space="0" w:color="auto" w:frame="1"/>
          <w:lang w:val="es-ES"/>
        </w:rPr>
      </w:pPr>
    </w:p>
    <w:p w14:paraId="01AECAD1" w14:textId="77777777" w:rsidR="00953481" w:rsidRPr="008536ED" w:rsidRDefault="00953481" w:rsidP="00C341D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asciiTheme="majorHAnsi" w:hAnsiTheme="majorHAnsi"/>
          <w:bCs/>
          <w:sz w:val="20"/>
          <w:szCs w:val="20"/>
          <w:bdr w:val="none" w:sz="0" w:space="0" w:color="auto" w:frame="1"/>
          <w:lang w:val="es-ES"/>
        </w:rPr>
      </w:pPr>
      <w:r>
        <w:rPr>
          <w:rFonts w:asciiTheme="majorHAnsi" w:hAnsiTheme="majorHAnsi"/>
          <w:bCs/>
          <w:sz w:val="20"/>
          <w:szCs w:val="20"/>
          <w:bdr w:val="none" w:sz="0" w:space="0" w:color="auto" w:frame="1"/>
          <w:lang w:val="es-ES"/>
        </w:rPr>
        <w:t>E</w:t>
      </w:r>
      <w:r w:rsidRPr="008536ED">
        <w:rPr>
          <w:rFonts w:asciiTheme="majorHAnsi" w:hAnsiTheme="majorHAnsi"/>
          <w:bCs/>
          <w:sz w:val="20"/>
          <w:szCs w:val="20"/>
          <w:bdr w:val="none" w:sz="0" w:space="0" w:color="auto" w:frame="1"/>
          <w:lang w:val="es-ES"/>
        </w:rPr>
        <w:t>n 2001, dur</w:t>
      </w:r>
      <w:r>
        <w:rPr>
          <w:rFonts w:asciiTheme="majorHAnsi" w:hAnsiTheme="majorHAnsi"/>
          <w:bCs/>
          <w:sz w:val="20"/>
          <w:szCs w:val="20"/>
          <w:bdr w:val="none" w:sz="0" w:space="0" w:color="auto" w:frame="1"/>
          <w:lang w:val="es-ES"/>
        </w:rPr>
        <w:t>ante las</w:t>
      </w:r>
      <w:r w:rsidRPr="008536ED">
        <w:rPr>
          <w:rFonts w:asciiTheme="majorHAnsi" w:hAnsiTheme="majorHAnsi"/>
          <w:bCs/>
          <w:sz w:val="20"/>
          <w:szCs w:val="20"/>
          <w:bdr w:val="none" w:sz="0" w:space="0" w:color="auto" w:frame="1"/>
          <w:lang w:val="es-ES"/>
        </w:rPr>
        <w:t xml:space="preserve"> actuaciones </w:t>
      </w:r>
      <w:proofErr w:type="spellStart"/>
      <w:r w:rsidRPr="008536ED">
        <w:rPr>
          <w:rFonts w:asciiTheme="majorHAnsi" w:hAnsiTheme="majorHAnsi"/>
          <w:bCs/>
          <w:sz w:val="20"/>
          <w:szCs w:val="20"/>
          <w:bdr w:val="none" w:sz="0" w:space="0" w:color="auto" w:frame="1"/>
          <w:lang w:val="es-ES"/>
        </w:rPr>
        <w:t>poscondenatorias</w:t>
      </w:r>
      <w:proofErr w:type="spellEnd"/>
      <w:r w:rsidRPr="008536ED">
        <w:rPr>
          <w:rFonts w:asciiTheme="majorHAnsi" w:hAnsiTheme="majorHAnsi"/>
          <w:bCs/>
          <w:sz w:val="20"/>
          <w:szCs w:val="20"/>
          <w:bdr w:val="none" w:sz="0" w:space="0" w:color="auto" w:frame="1"/>
          <w:lang w:val="es-ES"/>
        </w:rPr>
        <w:t xml:space="preserve">, el señor </w:t>
      </w:r>
      <w:proofErr w:type="spellStart"/>
      <w:r w:rsidRPr="008536ED">
        <w:rPr>
          <w:rFonts w:asciiTheme="majorHAnsi" w:hAnsiTheme="majorHAnsi"/>
          <w:bCs/>
          <w:sz w:val="20"/>
          <w:szCs w:val="20"/>
          <w:bdr w:val="none" w:sz="0" w:space="0" w:color="auto" w:frame="1"/>
          <w:lang w:val="es-ES"/>
        </w:rPr>
        <w:t>Rogovich</w:t>
      </w:r>
      <w:proofErr w:type="spellEnd"/>
      <w:r w:rsidRPr="008536ED">
        <w:rPr>
          <w:rFonts w:asciiTheme="majorHAnsi" w:hAnsiTheme="majorHAnsi"/>
          <w:bCs/>
          <w:sz w:val="20"/>
          <w:szCs w:val="20"/>
          <w:bdr w:val="none" w:sz="0" w:space="0" w:color="auto" w:frame="1"/>
          <w:lang w:val="es-ES"/>
        </w:rPr>
        <w:t xml:space="preserve"> </w:t>
      </w:r>
      <w:r w:rsidRPr="00644E8C">
        <w:rPr>
          <w:rFonts w:asciiTheme="majorHAnsi" w:hAnsiTheme="majorHAnsi"/>
          <w:bCs/>
          <w:sz w:val="20"/>
          <w:szCs w:val="20"/>
          <w:bdr w:val="none" w:sz="0" w:space="0" w:color="auto" w:frame="1"/>
          <w:lang w:val="es-ES"/>
        </w:rPr>
        <w:t>envió cartas al juez y al fiscal para desistir de sus apelaciones, seguidas de otras cartas para retirar esos pedidos. El tribunal expresó preocupación por su salud mental y su c</w:t>
      </w:r>
      <w:r>
        <w:rPr>
          <w:rFonts w:asciiTheme="majorHAnsi" w:hAnsiTheme="majorHAnsi"/>
          <w:bCs/>
          <w:sz w:val="20"/>
          <w:szCs w:val="20"/>
          <w:bdr w:val="none" w:sz="0" w:space="0" w:color="auto" w:frame="1"/>
          <w:lang w:val="es-ES"/>
        </w:rPr>
        <w:t>apacidad procesal</w:t>
      </w:r>
      <w:r w:rsidRPr="00644E8C">
        <w:rPr>
          <w:rFonts w:asciiTheme="majorHAnsi" w:hAnsiTheme="majorHAnsi"/>
          <w:bCs/>
          <w:sz w:val="20"/>
          <w:szCs w:val="20"/>
          <w:bdr w:val="none" w:sz="0" w:space="0" w:color="auto" w:frame="1"/>
          <w:lang w:val="es-ES"/>
        </w:rPr>
        <w:t xml:space="preserve"> para desistir de apelaciones y ordenó una audiencia</w:t>
      </w:r>
      <w:r w:rsidRPr="008536ED">
        <w:rPr>
          <w:rFonts w:asciiTheme="majorHAnsi" w:hAnsiTheme="majorHAnsi"/>
          <w:bCs/>
          <w:sz w:val="20"/>
          <w:szCs w:val="20"/>
          <w:bdr w:val="none" w:sz="0" w:space="0" w:color="auto" w:frame="1"/>
          <w:lang w:val="es-ES"/>
        </w:rPr>
        <w:t xml:space="preserve">. </w:t>
      </w:r>
      <w:r>
        <w:rPr>
          <w:rFonts w:asciiTheme="majorHAnsi" w:hAnsiTheme="majorHAnsi"/>
          <w:bCs/>
          <w:sz w:val="20"/>
          <w:szCs w:val="20"/>
          <w:bdr w:val="none" w:sz="0" w:space="0" w:color="auto" w:frame="1"/>
          <w:lang w:val="es-ES"/>
        </w:rPr>
        <w:t>E</w:t>
      </w:r>
      <w:r w:rsidRPr="008536ED">
        <w:rPr>
          <w:rFonts w:asciiTheme="majorHAnsi" w:hAnsiTheme="majorHAnsi"/>
          <w:bCs/>
          <w:sz w:val="20"/>
          <w:szCs w:val="20"/>
          <w:bdr w:val="none" w:sz="0" w:space="0" w:color="auto" w:frame="1"/>
          <w:lang w:val="es-ES"/>
        </w:rPr>
        <w:t xml:space="preserve">n 2003, </w:t>
      </w:r>
      <w:r>
        <w:rPr>
          <w:rFonts w:asciiTheme="majorHAnsi" w:hAnsiTheme="majorHAnsi"/>
          <w:bCs/>
          <w:sz w:val="20"/>
          <w:szCs w:val="20"/>
          <w:bdr w:val="none" w:sz="0" w:space="0" w:color="auto" w:frame="1"/>
          <w:lang w:val="es-ES"/>
        </w:rPr>
        <w:t>un</w:t>
      </w:r>
      <w:r w:rsidRPr="008536ED">
        <w:rPr>
          <w:rFonts w:asciiTheme="majorHAnsi" w:hAnsiTheme="majorHAnsi"/>
          <w:bCs/>
          <w:sz w:val="20"/>
          <w:szCs w:val="20"/>
          <w:bdr w:val="none" w:sz="0" w:space="0" w:color="auto" w:frame="1"/>
          <w:lang w:val="es-ES"/>
        </w:rPr>
        <w:t xml:space="preserve"> psiquiatra </w:t>
      </w:r>
      <w:r>
        <w:rPr>
          <w:rFonts w:asciiTheme="majorHAnsi" w:hAnsiTheme="majorHAnsi"/>
          <w:bCs/>
          <w:sz w:val="20"/>
          <w:szCs w:val="20"/>
          <w:bdr w:val="none" w:sz="0" w:space="0" w:color="auto" w:frame="1"/>
          <w:lang w:val="es-ES"/>
        </w:rPr>
        <w:t>dictaminó que</w:t>
      </w:r>
      <w:r w:rsidRPr="008536ED">
        <w:rPr>
          <w:rFonts w:asciiTheme="majorHAnsi" w:hAnsiTheme="majorHAnsi"/>
          <w:bCs/>
          <w:sz w:val="20"/>
          <w:szCs w:val="20"/>
          <w:bdr w:val="none" w:sz="0" w:space="0" w:color="auto" w:frame="1"/>
          <w:lang w:val="es-ES"/>
        </w:rPr>
        <w:t xml:space="preserve"> el señor </w:t>
      </w:r>
      <w:proofErr w:type="spellStart"/>
      <w:r w:rsidRPr="008536ED">
        <w:rPr>
          <w:rFonts w:asciiTheme="majorHAnsi" w:hAnsiTheme="majorHAnsi"/>
          <w:bCs/>
          <w:sz w:val="20"/>
          <w:szCs w:val="20"/>
          <w:bdr w:val="none" w:sz="0" w:space="0" w:color="auto" w:frame="1"/>
          <w:lang w:val="es-ES"/>
        </w:rPr>
        <w:t>Rogovich</w:t>
      </w:r>
      <w:proofErr w:type="spellEnd"/>
      <w:r w:rsidRPr="008536ED">
        <w:rPr>
          <w:rFonts w:asciiTheme="majorHAnsi" w:hAnsiTheme="majorHAnsi"/>
          <w:bCs/>
          <w:sz w:val="20"/>
          <w:szCs w:val="20"/>
          <w:bdr w:val="none" w:sz="0" w:space="0" w:color="auto" w:frame="1"/>
          <w:lang w:val="es-ES"/>
        </w:rPr>
        <w:t xml:space="preserve"> </w:t>
      </w:r>
      <w:r>
        <w:rPr>
          <w:rFonts w:asciiTheme="majorHAnsi" w:hAnsiTheme="majorHAnsi"/>
          <w:bCs/>
          <w:sz w:val="20"/>
          <w:szCs w:val="20"/>
          <w:bdr w:val="none" w:sz="0" w:space="0" w:color="auto" w:frame="1"/>
          <w:lang w:val="es-ES"/>
        </w:rPr>
        <w:t>tenía un</w:t>
      </w:r>
      <w:r w:rsidRPr="008536ED">
        <w:rPr>
          <w:rFonts w:asciiTheme="majorHAnsi" w:hAnsiTheme="majorHAnsi"/>
          <w:sz w:val="20"/>
          <w:szCs w:val="20"/>
          <w:lang w:val="es-ES"/>
        </w:rPr>
        <w:t xml:space="preserve"> trastorno esquizoafectivo, </w:t>
      </w:r>
      <w:r w:rsidRPr="00445076">
        <w:rPr>
          <w:rFonts w:asciiTheme="majorHAnsi" w:hAnsiTheme="majorHAnsi"/>
          <w:sz w:val="20"/>
          <w:szCs w:val="20"/>
          <w:lang w:val="es-ES"/>
        </w:rPr>
        <w:t>enfermedad mental grave</w:t>
      </w:r>
      <w:r>
        <w:rPr>
          <w:rFonts w:asciiTheme="majorHAnsi" w:hAnsiTheme="majorHAnsi"/>
          <w:sz w:val="20"/>
          <w:szCs w:val="20"/>
          <w:lang w:val="es-ES"/>
        </w:rPr>
        <w:t xml:space="preserve"> que consiste en una combinación de síntomas de </w:t>
      </w:r>
      <w:r w:rsidRPr="008536ED">
        <w:rPr>
          <w:rFonts w:asciiTheme="majorHAnsi" w:hAnsiTheme="majorHAnsi"/>
          <w:sz w:val="20"/>
          <w:szCs w:val="20"/>
          <w:lang w:val="es-ES"/>
        </w:rPr>
        <w:t xml:space="preserve">esquizofrenia </w:t>
      </w:r>
      <w:r>
        <w:rPr>
          <w:rFonts w:asciiTheme="majorHAnsi" w:hAnsiTheme="majorHAnsi"/>
          <w:sz w:val="20"/>
          <w:szCs w:val="20"/>
          <w:lang w:val="es-ES"/>
        </w:rPr>
        <w:t>y</w:t>
      </w:r>
      <w:r w:rsidRPr="008536ED">
        <w:rPr>
          <w:rFonts w:asciiTheme="majorHAnsi" w:hAnsiTheme="majorHAnsi"/>
          <w:sz w:val="20"/>
          <w:szCs w:val="20"/>
          <w:lang w:val="es-ES"/>
        </w:rPr>
        <w:t xml:space="preserve"> trastorno bipolar.</w:t>
      </w:r>
      <w:r>
        <w:rPr>
          <w:rFonts w:asciiTheme="majorHAnsi" w:hAnsiTheme="majorHAnsi"/>
          <w:sz w:val="20"/>
          <w:szCs w:val="20"/>
          <w:lang w:val="es-ES"/>
        </w:rPr>
        <w:t xml:space="preserve"> Entre el 4 de agosto de </w:t>
      </w:r>
      <w:r w:rsidRPr="008536ED">
        <w:rPr>
          <w:rFonts w:asciiTheme="majorHAnsi" w:hAnsiTheme="majorHAnsi"/>
          <w:sz w:val="20"/>
          <w:szCs w:val="20"/>
          <w:lang w:val="es-ES"/>
        </w:rPr>
        <w:t>2004</w:t>
      </w:r>
      <w:r>
        <w:rPr>
          <w:rFonts w:asciiTheme="majorHAnsi" w:hAnsiTheme="majorHAnsi"/>
          <w:sz w:val="20"/>
          <w:szCs w:val="20"/>
          <w:lang w:val="es-ES"/>
        </w:rPr>
        <w:t xml:space="preserve"> y el </w:t>
      </w:r>
      <w:r w:rsidRPr="008536ED">
        <w:rPr>
          <w:rFonts w:asciiTheme="majorHAnsi" w:hAnsiTheme="majorHAnsi"/>
          <w:sz w:val="20"/>
          <w:szCs w:val="20"/>
          <w:lang w:val="es-ES"/>
        </w:rPr>
        <w:t>30</w:t>
      </w:r>
      <w:r>
        <w:rPr>
          <w:rFonts w:asciiTheme="majorHAnsi" w:hAnsiTheme="majorHAnsi"/>
          <w:sz w:val="20"/>
          <w:szCs w:val="20"/>
          <w:lang w:val="es-ES"/>
        </w:rPr>
        <w:t xml:space="preserve"> de septiembre de</w:t>
      </w:r>
      <w:r w:rsidRPr="008536ED">
        <w:rPr>
          <w:rFonts w:asciiTheme="majorHAnsi" w:hAnsiTheme="majorHAnsi"/>
          <w:sz w:val="20"/>
          <w:szCs w:val="20"/>
          <w:lang w:val="es-ES"/>
        </w:rPr>
        <w:t xml:space="preserve"> 2008</w:t>
      </w:r>
      <w:r>
        <w:rPr>
          <w:rFonts w:asciiTheme="majorHAnsi" w:hAnsiTheme="majorHAnsi"/>
          <w:sz w:val="20"/>
          <w:szCs w:val="20"/>
          <w:lang w:val="es-ES"/>
        </w:rPr>
        <w:t xml:space="preserve"> estuvo</w:t>
      </w:r>
      <w:r w:rsidRPr="00644E8C">
        <w:rPr>
          <w:rFonts w:asciiTheme="majorHAnsi" w:hAnsiTheme="majorHAnsi"/>
          <w:sz w:val="20"/>
          <w:szCs w:val="20"/>
          <w:lang w:val="es-ES"/>
        </w:rPr>
        <w:t xml:space="preserve"> clasificado oficialmente como “enfermo mental grave”. En 2009, el mismo psiquiatra declaró que </w:t>
      </w:r>
      <w:r>
        <w:rPr>
          <w:rFonts w:asciiTheme="majorHAnsi" w:hAnsiTheme="majorHAnsi"/>
          <w:sz w:val="20"/>
          <w:szCs w:val="20"/>
          <w:lang w:val="es-ES"/>
        </w:rPr>
        <w:t>la</w:t>
      </w:r>
      <w:r w:rsidRPr="00644E8C">
        <w:rPr>
          <w:rFonts w:asciiTheme="majorHAnsi" w:hAnsiTheme="majorHAnsi"/>
          <w:sz w:val="20"/>
          <w:szCs w:val="20"/>
          <w:lang w:val="es-ES"/>
        </w:rPr>
        <w:t xml:space="preserve"> evaluación del señor </w:t>
      </w:r>
      <w:proofErr w:type="spellStart"/>
      <w:r w:rsidRPr="00644E8C">
        <w:rPr>
          <w:rFonts w:asciiTheme="majorHAnsi" w:hAnsiTheme="majorHAnsi"/>
          <w:sz w:val="20"/>
          <w:szCs w:val="20"/>
          <w:lang w:val="es-ES"/>
        </w:rPr>
        <w:t>Rogovich</w:t>
      </w:r>
      <w:proofErr w:type="spellEnd"/>
      <w:r w:rsidRPr="00644E8C">
        <w:rPr>
          <w:rFonts w:asciiTheme="majorHAnsi" w:hAnsiTheme="majorHAnsi"/>
          <w:sz w:val="20"/>
          <w:szCs w:val="20"/>
          <w:lang w:val="es-ES"/>
        </w:rPr>
        <w:t xml:space="preserve"> no había cambiado respecto de la anterior y le diagnosticó un trastorno esquizoafectivo, trastorno de pánico sin agorafobia, trastorno limítrofe de la personalidad y </w:t>
      </w:r>
      <w:proofErr w:type="spellStart"/>
      <w:r w:rsidRPr="00644E8C">
        <w:rPr>
          <w:rFonts w:asciiTheme="majorHAnsi" w:hAnsiTheme="majorHAnsi"/>
          <w:sz w:val="20"/>
          <w:szCs w:val="20"/>
          <w:lang w:val="es-ES"/>
        </w:rPr>
        <w:t>policonsumo</w:t>
      </w:r>
      <w:proofErr w:type="spellEnd"/>
      <w:r w:rsidRPr="00644E8C">
        <w:rPr>
          <w:rFonts w:asciiTheme="majorHAnsi" w:hAnsiTheme="majorHAnsi"/>
          <w:sz w:val="20"/>
          <w:szCs w:val="20"/>
          <w:lang w:val="es-ES"/>
        </w:rPr>
        <w:t xml:space="preserve"> de drogas en un entorno controlado</w:t>
      </w:r>
      <w:r w:rsidRPr="008536ED">
        <w:rPr>
          <w:rFonts w:asciiTheme="majorHAnsi" w:hAnsiTheme="majorHAnsi"/>
          <w:sz w:val="20"/>
          <w:szCs w:val="20"/>
          <w:lang w:val="es-ES"/>
        </w:rPr>
        <w:t>.</w:t>
      </w:r>
    </w:p>
    <w:p w14:paraId="29A76515" w14:textId="77777777" w:rsidR="00953481" w:rsidRPr="008536ED" w:rsidRDefault="00953481" w:rsidP="00953481">
      <w:pPr>
        <w:pStyle w:val="ListParagraph"/>
        <w:tabs>
          <w:tab w:val="left" w:pos="360"/>
        </w:tabs>
        <w:ind w:left="0"/>
        <w:rPr>
          <w:b/>
          <w:sz w:val="20"/>
          <w:szCs w:val="20"/>
          <w:lang w:val="es-ES"/>
        </w:rPr>
      </w:pPr>
    </w:p>
    <w:p w14:paraId="15DD901B" w14:textId="77777777" w:rsidR="00953481" w:rsidRPr="008536ED" w:rsidRDefault="00953481" w:rsidP="00C341D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0" w:firstLine="0"/>
        <w:jc w:val="both"/>
        <w:rPr>
          <w:rFonts w:eastAsia="Times New Roman"/>
          <w:bCs/>
          <w:sz w:val="20"/>
          <w:szCs w:val="20"/>
          <w:bdr w:val="none" w:sz="0" w:space="0" w:color="auto"/>
          <w:lang w:val="es-ES"/>
        </w:rPr>
      </w:pPr>
      <w:r>
        <w:rPr>
          <w:rFonts w:asciiTheme="majorHAnsi" w:eastAsia="Arial Unicode MS" w:hAnsiTheme="majorHAnsi"/>
          <w:sz w:val="20"/>
          <w:szCs w:val="20"/>
          <w:lang w:val="es-ES"/>
        </w:rPr>
        <w:t xml:space="preserve">Por lo tanto, hay indicios de que, durante el juicio y las </w:t>
      </w:r>
      <w:r w:rsidRPr="008536ED">
        <w:rPr>
          <w:rFonts w:asciiTheme="majorHAnsi" w:eastAsia="Arial Unicode MS" w:hAnsiTheme="majorHAnsi"/>
          <w:sz w:val="20"/>
          <w:szCs w:val="20"/>
          <w:lang w:val="es-ES"/>
        </w:rPr>
        <w:t xml:space="preserve">actuaciones </w:t>
      </w:r>
      <w:proofErr w:type="spellStart"/>
      <w:r w:rsidRPr="008536ED">
        <w:rPr>
          <w:rFonts w:asciiTheme="majorHAnsi" w:eastAsia="Arial Unicode MS" w:hAnsiTheme="majorHAnsi"/>
          <w:sz w:val="20"/>
          <w:szCs w:val="20"/>
          <w:lang w:val="es-ES"/>
        </w:rPr>
        <w:t>poscondenatorias</w:t>
      </w:r>
      <w:proofErr w:type="spellEnd"/>
      <w:r>
        <w:rPr>
          <w:rFonts w:asciiTheme="majorHAnsi" w:eastAsia="Arial Unicode MS" w:hAnsiTheme="majorHAnsi"/>
          <w:sz w:val="20"/>
          <w:szCs w:val="20"/>
          <w:lang w:val="es-ES"/>
        </w:rPr>
        <w:t>, había suficientes elementos para suscitar una duda razonable respecto a la capacidad procesal d</w:t>
      </w:r>
      <w:r w:rsidRPr="008536ED">
        <w:rPr>
          <w:rFonts w:asciiTheme="majorHAnsi" w:eastAsia="Arial Unicode MS" w:hAnsiTheme="majorHAnsi"/>
          <w:sz w:val="20"/>
          <w:szCs w:val="20"/>
          <w:lang w:val="es-ES"/>
        </w:rPr>
        <w:t xml:space="preserve">el señor </w:t>
      </w:r>
      <w:proofErr w:type="spellStart"/>
      <w:r w:rsidRPr="008536ED">
        <w:rPr>
          <w:rFonts w:asciiTheme="majorHAnsi" w:eastAsia="Arial Unicode MS" w:hAnsiTheme="majorHAnsi"/>
          <w:sz w:val="20"/>
          <w:szCs w:val="20"/>
          <w:lang w:val="es-ES"/>
        </w:rPr>
        <w:t>Rogovich</w:t>
      </w:r>
      <w:proofErr w:type="spellEnd"/>
      <w:r>
        <w:rPr>
          <w:rFonts w:asciiTheme="majorHAnsi" w:eastAsia="Arial Unicode MS" w:hAnsiTheme="majorHAnsi"/>
          <w:sz w:val="20"/>
          <w:szCs w:val="20"/>
          <w:lang w:val="es-ES"/>
        </w:rPr>
        <w:t xml:space="preserve"> y a su capacidad para que se le aplicara </w:t>
      </w:r>
      <w:r w:rsidRPr="008536ED">
        <w:rPr>
          <w:rFonts w:asciiTheme="majorHAnsi" w:eastAsia="Arial Unicode MS" w:hAnsiTheme="majorHAnsi"/>
          <w:sz w:val="20"/>
          <w:szCs w:val="20"/>
          <w:lang w:val="es-ES"/>
        </w:rPr>
        <w:t xml:space="preserve">la pena de muerte. </w:t>
      </w:r>
      <w:r>
        <w:rPr>
          <w:rFonts w:asciiTheme="majorHAnsi" w:eastAsia="Arial Unicode MS" w:hAnsiTheme="majorHAnsi"/>
          <w:sz w:val="20"/>
          <w:szCs w:val="20"/>
          <w:lang w:val="es-ES"/>
        </w:rPr>
        <w:t>En vista de dichas limitaciones procesales, el asunto no fue considerado debidamente en los tribunales nacionales durante las</w:t>
      </w:r>
      <w:r w:rsidRPr="008536ED">
        <w:rPr>
          <w:rFonts w:asciiTheme="majorHAnsi" w:eastAsia="Arial Unicode MS" w:hAnsiTheme="majorHAnsi"/>
          <w:sz w:val="20"/>
          <w:szCs w:val="20"/>
          <w:lang w:val="es-ES"/>
        </w:rPr>
        <w:t xml:space="preserve"> actuaciones </w:t>
      </w:r>
      <w:proofErr w:type="spellStart"/>
      <w:r w:rsidRPr="008536ED">
        <w:rPr>
          <w:rFonts w:asciiTheme="majorHAnsi" w:eastAsia="Arial Unicode MS" w:hAnsiTheme="majorHAnsi"/>
          <w:sz w:val="20"/>
          <w:szCs w:val="20"/>
          <w:lang w:val="es-ES"/>
        </w:rPr>
        <w:t>poscondenatorias</w:t>
      </w:r>
      <w:proofErr w:type="spellEnd"/>
      <w:r w:rsidRPr="008536ED">
        <w:rPr>
          <w:rFonts w:asciiTheme="majorHAnsi" w:eastAsia="Arial Unicode MS" w:hAnsiTheme="majorHAnsi"/>
          <w:sz w:val="20"/>
          <w:szCs w:val="20"/>
          <w:lang w:val="es-ES"/>
        </w:rPr>
        <w:t xml:space="preserve">. </w:t>
      </w:r>
      <w:r>
        <w:rPr>
          <w:rFonts w:asciiTheme="majorHAnsi" w:eastAsia="Arial Unicode MS" w:hAnsiTheme="majorHAnsi"/>
          <w:sz w:val="20"/>
          <w:szCs w:val="20"/>
          <w:lang w:val="es-ES"/>
        </w:rPr>
        <w:t>Sobre la base de las consideraciones precedentes, la información disponible y el escrutinio riguroso que ha efectuado en casos de pena de muerte</w:t>
      </w:r>
      <w:r w:rsidRPr="008536ED">
        <w:rPr>
          <w:rFonts w:eastAsia="Times New Roman"/>
          <w:sz w:val="20"/>
          <w:szCs w:val="20"/>
          <w:bdr w:val="none" w:sz="0" w:space="0" w:color="auto"/>
          <w:lang w:val="es-ES"/>
        </w:rPr>
        <w:t>,</w:t>
      </w:r>
      <w:r w:rsidRPr="008536ED">
        <w:rPr>
          <w:rFonts w:eastAsia="Times New Roman"/>
          <w:bCs/>
          <w:sz w:val="20"/>
          <w:szCs w:val="20"/>
          <w:bdr w:val="none" w:sz="0" w:space="0" w:color="auto"/>
          <w:lang w:val="es-ES"/>
        </w:rPr>
        <w:t xml:space="preserve"> la CIDH conclu</w:t>
      </w:r>
      <w:r>
        <w:rPr>
          <w:rFonts w:eastAsia="Times New Roman"/>
          <w:bCs/>
          <w:sz w:val="20"/>
          <w:szCs w:val="20"/>
          <w:bdr w:val="none" w:sz="0" w:space="0" w:color="auto"/>
          <w:lang w:val="es-ES"/>
        </w:rPr>
        <w:t xml:space="preserve">ye que </w:t>
      </w:r>
      <w:r w:rsidRPr="008536ED">
        <w:rPr>
          <w:rFonts w:eastAsia="Times New Roman"/>
          <w:bCs/>
          <w:sz w:val="20"/>
          <w:szCs w:val="20"/>
          <w:bdr w:val="none" w:sz="0" w:space="0" w:color="auto"/>
          <w:lang w:val="es-ES"/>
        </w:rPr>
        <w:t xml:space="preserve">Estados Unidos </w:t>
      </w:r>
      <w:r>
        <w:rPr>
          <w:rFonts w:eastAsia="Times New Roman"/>
          <w:bCs/>
          <w:sz w:val="20"/>
          <w:szCs w:val="20"/>
          <w:bdr w:val="none" w:sz="0" w:space="0" w:color="auto"/>
          <w:lang w:val="es-ES"/>
        </w:rPr>
        <w:t>violó los</w:t>
      </w:r>
      <w:r w:rsidRPr="008536ED">
        <w:rPr>
          <w:rFonts w:eastAsia="Times New Roman"/>
          <w:sz w:val="20"/>
          <w:szCs w:val="20"/>
          <w:bdr w:val="none" w:sz="0" w:space="0" w:color="auto"/>
          <w:lang w:val="es-ES"/>
        </w:rPr>
        <w:t xml:space="preserve"> artículos I </w:t>
      </w:r>
      <w:r>
        <w:rPr>
          <w:rFonts w:eastAsia="Times New Roman"/>
          <w:sz w:val="20"/>
          <w:szCs w:val="20"/>
          <w:bdr w:val="none" w:sz="0" w:space="0" w:color="auto"/>
          <w:lang w:val="es-ES"/>
        </w:rPr>
        <w:t>y</w:t>
      </w:r>
      <w:r w:rsidRPr="008536ED">
        <w:rPr>
          <w:rFonts w:eastAsia="Times New Roman"/>
          <w:sz w:val="20"/>
          <w:szCs w:val="20"/>
          <w:bdr w:val="none" w:sz="0" w:space="0" w:color="auto"/>
          <w:lang w:val="es-ES"/>
        </w:rPr>
        <w:t xml:space="preserve"> XXVI </w:t>
      </w:r>
      <w:r>
        <w:rPr>
          <w:rFonts w:eastAsia="Times New Roman"/>
          <w:sz w:val="20"/>
          <w:szCs w:val="20"/>
          <w:bdr w:val="none" w:sz="0" w:space="0" w:color="auto"/>
          <w:lang w:val="es-ES"/>
        </w:rPr>
        <w:t xml:space="preserve">de la </w:t>
      </w:r>
      <w:r w:rsidRPr="008536ED">
        <w:rPr>
          <w:rFonts w:eastAsia="Times New Roman"/>
          <w:sz w:val="20"/>
          <w:szCs w:val="20"/>
          <w:bdr w:val="none" w:sz="0" w:space="0" w:color="auto"/>
          <w:lang w:val="es-ES"/>
        </w:rPr>
        <w:t xml:space="preserve">Declaración Americana </w:t>
      </w:r>
      <w:r>
        <w:rPr>
          <w:rFonts w:eastAsia="Times New Roman"/>
          <w:sz w:val="20"/>
          <w:szCs w:val="20"/>
          <w:bdr w:val="none" w:sz="0" w:space="0" w:color="auto"/>
          <w:lang w:val="es-ES"/>
        </w:rPr>
        <w:t>en perjuicio d</w:t>
      </w:r>
      <w:r w:rsidRPr="008536ED">
        <w:rPr>
          <w:rFonts w:eastAsia="Times New Roman"/>
          <w:sz w:val="20"/>
          <w:szCs w:val="20"/>
          <w:bdr w:val="none" w:sz="0" w:space="0" w:color="auto"/>
          <w:lang w:val="es-ES"/>
        </w:rPr>
        <w:t xml:space="preserve">el señor </w:t>
      </w:r>
      <w:proofErr w:type="spellStart"/>
      <w:r w:rsidRPr="008536ED">
        <w:rPr>
          <w:rFonts w:eastAsia="Times New Roman"/>
          <w:sz w:val="20"/>
          <w:szCs w:val="20"/>
          <w:bdr w:val="none" w:sz="0" w:space="0" w:color="auto"/>
          <w:lang w:val="es-ES"/>
        </w:rPr>
        <w:t>Rogovich</w:t>
      </w:r>
      <w:proofErr w:type="spellEnd"/>
      <w:r w:rsidRPr="008536ED">
        <w:rPr>
          <w:rFonts w:eastAsia="Times New Roman"/>
          <w:bCs/>
          <w:sz w:val="20"/>
          <w:szCs w:val="20"/>
          <w:bdr w:val="none" w:sz="0" w:space="0" w:color="auto"/>
          <w:lang w:val="es-ES"/>
        </w:rPr>
        <w:t>.</w:t>
      </w:r>
    </w:p>
    <w:p w14:paraId="6FEE0C22" w14:textId="77777777" w:rsidR="00953481" w:rsidRPr="00400DC5" w:rsidRDefault="00953481" w:rsidP="00953481">
      <w:pPr>
        <w:tabs>
          <w:tab w:val="left" w:pos="360"/>
        </w:tabs>
        <w:rPr>
          <w:rFonts w:asciiTheme="majorHAnsi" w:hAnsiTheme="majorHAnsi"/>
          <w:sz w:val="20"/>
          <w:szCs w:val="20"/>
          <w:lang w:val="es-ES"/>
        </w:rPr>
      </w:pPr>
    </w:p>
    <w:p w14:paraId="1A547AA0" w14:textId="77777777" w:rsidR="00953481" w:rsidRPr="00953481" w:rsidRDefault="00953481" w:rsidP="00C341DD">
      <w:pPr>
        <w:pStyle w:val="Heading3"/>
        <w:keepLines/>
        <w:numPr>
          <w:ilvl w:val="3"/>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31" w:name="_Toc90283153"/>
      <w:r w:rsidRPr="00953481">
        <w:rPr>
          <w:rFonts w:asciiTheme="majorHAnsi" w:hAnsiTheme="majorHAnsi"/>
          <w:sz w:val="20"/>
          <w:szCs w:val="20"/>
          <w:lang w:val="es-ES"/>
        </w:rPr>
        <w:t>Condiciones de detención en el corredor de la muerte</w:t>
      </w:r>
      <w:bookmarkEnd w:id="31"/>
    </w:p>
    <w:p w14:paraId="35F112C9" w14:textId="77777777" w:rsidR="00953481" w:rsidRPr="008536ED" w:rsidRDefault="00953481" w:rsidP="00953481">
      <w:pPr>
        <w:pStyle w:val="ListParagraph"/>
        <w:tabs>
          <w:tab w:val="left" w:pos="360"/>
        </w:tabs>
        <w:ind w:left="0"/>
        <w:rPr>
          <w:b/>
          <w:sz w:val="20"/>
          <w:szCs w:val="20"/>
          <w:lang w:val="es-ES"/>
        </w:rPr>
      </w:pPr>
    </w:p>
    <w:p w14:paraId="7C6A6782"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lang w:val="es-ES"/>
        </w:rPr>
      </w:pPr>
      <w:r>
        <w:rPr>
          <w:rFonts w:asciiTheme="majorHAnsi" w:hAnsiTheme="majorHAnsi"/>
          <w:sz w:val="20"/>
          <w:szCs w:val="20"/>
          <w:bdr w:val="none" w:sz="0" w:space="0" w:color="auto" w:frame="1"/>
          <w:lang w:val="es-ES"/>
        </w:rPr>
        <w:t>Según las normas internacionales en materia de derechos</w:t>
      </w:r>
      <w:r w:rsidRPr="008536ED">
        <w:rPr>
          <w:rFonts w:asciiTheme="majorHAnsi" w:hAnsiTheme="majorHAnsi"/>
          <w:sz w:val="20"/>
          <w:szCs w:val="20"/>
          <w:bdr w:val="none" w:sz="0" w:space="0" w:color="auto" w:frame="1"/>
          <w:lang w:val="es-ES"/>
        </w:rPr>
        <w:t xml:space="preserve"> human</w:t>
      </w:r>
      <w:r>
        <w:rPr>
          <w:rFonts w:asciiTheme="majorHAnsi" w:hAnsiTheme="majorHAnsi"/>
          <w:sz w:val="20"/>
          <w:szCs w:val="20"/>
          <w:bdr w:val="none" w:sz="0" w:space="0" w:color="auto" w:frame="1"/>
          <w:lang w:val="es-ES"/>
        </w:rPr>
        <w:t>os, las personas privadas de libertad</w:t>
      </w:r>
      <w:r w:rsidRPr="008536ED">
        <w:rPr>
          <w:rFonts w:asciiTheme="majorHAnsi" w:hAnsiTheme="majorHAnsi"/>
          <w:sz w:val="20"/>
          <w:szCs w:val="20"/>
          <w:bdr w:val="none" w:sz="0" w:space="0" w:color="auto" w:frame="1"/>
          <w:lang w:val="es-ES"/>
        </w:rPr>
        <w:t xml:space="preserve"> en el corredor de la muerte </w:t>
      </w:r>
      <w:r>
        <w:rPr>
          <w:rFonts w:asciiTheme="majorHAnsi" w:hAnsiTheme="majorHAnsi"/>
          <w:sz w:val="20"/>
          <w:szCs w:val="20"/>
          <w:bdr w:val="none" w:sz="0" w:space="0" w:color="auto" w:frame="1"/>
          <w:lang w:val="es-ES"/>
        </w:rPr>
        <w:t>no deben permanecer en régimen de aislamiento como forma de reclusión regular, sino solo en circunstancias excepcionales y, como medida disciplinaria, únicamente en los casos y en las mismas condiciones en que</w:t>
      </w:r>
      <w:r w:rsidRPr="00D0030B">
        <w:rPr>
          <w:rFonts w:asciiTheme="majorHAnsi" w:hAnsiTheme="majorHAnsi"/>
          <w:sz w:val="20"/>
          <w:szCs w:val="20"/>
          <w:bdr w:val="none" w:sz="0" w:space="0" w:color="auto" w:frame="1"/>
          <w:lang w:val="es-ES"/>
        </w:rPr>
        <w:t xml:space="preserve"> dicha medida</w:t>
      </w:r>
      <w:r>
        <w:rPr>
          <w:rFonts w:asciiTheme="majorHAnsi" w:hAnsiTheme="majorHAnsi"/>
          <w:sz w:val="20"/>
          <w:szCs w:val="20"/>
          <w:bdr w:val="none" w:sz="0" w:space="0" w:color="auto" w:frame="1"/>
          <w:lang w:val="es-ES"/>
        </w:rPr>
        <w:t xml:space="preserve"> se aplicaría a los demás reclusos</w:t>
      </w:r>
      <w:r w:rsidRPr="008536ED">
        <w:rPr>
          <w:rStyle w:val="FootnoteReference"/>
          <w:rFonts w:asciiTheme="majorHAnsi" w:hAnsiTheme="majorHAnsi"/>
          <w:bCs/>
          <w:sz w:val="20"/>
          <w:szCs w:val="20"/>
          <w:lang w:val="es-ES"/>
        </w:rPr>
        <w:footnoteReference w:id="85"/>
      </w:r>
      <w:r>
        <w:rPr>
          <w:rFonts w:asciiTheme="majorHAnsi" w:hAnsiTheme="majorHAnsi"/>
          <w:sz w:val="20"/>
          <w:szCs w:val="20"/>
          <w:bdr w:val="none" w:sz="0" w:space="0" w:color="auto" w:frame="1"/>
          <w:lang w:val="es-ES"/>
        </w:rPr>
        <w:t>.</w:t>
      </w:r>
    </w:p>
    <w:p w14:paraId="1911D2CD"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lang w:val="es-ES"/>
        </w:rPr>
      </w:pPr>
    </w:p>
    <w:p w14:paraId="5BD0BD97"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lang w:val="es-ES"/>
        </w:rPr>
      </w:pPr>
      <w:r w:rsidRPr="008536ED">
        <w:rPr>
          <w:rFonts w:ascii="Cambria" w:hAnsi="Cambria"/>
          <w:sz w:val="20"/>
          <w:szCs w:val="20"/>
          <w:lang w:val="es-ES"/>
        </w:rPr>
        <w:t>La CIDH ha</w:t>
      </w:r>
      <w:r>
        <w:rPr>
          <w:rFonts w:ascii="Cambria" w:hAnsi="Cambria"/>
          <w:sz w:val="20"/>
          <w:szCs w:val="20"/>
          <w:lang w:val="es-ES"/>
        </w:rPr>
        <w:t xml:space="preserve"> dispuesto que el régimen de aislamiento</w:t>
      </w:r>
      <w:r w:rsidRPr="008536ED">
        <w:rPr>
          <w:rFonts w:ascii="Cambria" w:hAnsi="Cambria"/>
          <w:sz w:val="20"/>
          <w:szCs w:val="20"/>
          <w:lang w:val="es-ES"/>
        </w:rPr>
        <w:t xml:space="preserve"> </w:t>
      </w:r>
      <w:r>
        <w:rPr>
          <w:rFonts w:ascii="Cambria" w:hAnsi="Cambria"/>
          <w:sz w:val="20"/>
          <w:szCs w:val="20"/>
          <w:lang w:val="es-ES"/>
        </w:rPr>
        <w:t>debe usarse solo como excepción, durante el menor tiempo posible y solo como último recurso</w:t>
      </w:r>
      <w:r w:rsidRPr="008536ED">
        <w:rPr>
          <w:rStyle w:val="FootnoteReference"/>
          <w:rFonts w:asciiTheme="majorHAnsi" w:hAnsiTheme="majorHAnsi"/>
          <w:bCs/>
          <w:sz w:val="20"/>
          <w:szCs w:val="20"/>
          <w:lang w:val="es-ES"/>
        </w:rPr>
        <w:footnoteReference w:id="86"/>
      </w:r>
      <w:r>
        <w:rPr>
          <w:rFonts w:ascii="Cambria" w:hAnsi="Cambria"/>
          <w:sz w:val="20"/>
          <w:szCs w:val="20"/>
          <w:lang w:val="es-ES"/>
        </w:rPr>
        <w:t>. En los</w:t>
      </w:r>
      <w:r w:rsidRPr="008536ED">
        <w:rPr>
          <w:rFonts w:ascii="Cambria" w:hAnsi="Cambria"/>
          <w:sz w:val="20"/>
          <w:szCs w:val="20"/>
          <w:lang w:val="es-ES"/>
        </w:rPr>
        <w:t xml:space="preserve"> </w:t>
      </w:r>
      <w:r w:rsidRPr="003F761C">
        <w:rPr>
          <w:rFonts w:ascii="Cambria" w:hAnsi="Cambria"/>
          <w:i/>
          <w:sz w:val="20"/>
          <w:szCs w:val="20"/>
          <w:lang w:val="es-ES"/>
        </w:rPr>
        <w:t>Principios y Buenas Prácticas sobre la Protección de las Personas Privadas de Libertad en las Américas</w:t>
      </w:r>
      <w:r w:rsidRPr="008536ED">
        <w:rPr>
          <w:rFonts w:ascii="Cambria" w:hAnsi="Cambria"/>
          <w:sz w:val="20"/>
          <w:szCs w:val="20"/>
          <w:lang w:val="es-ES"/>
        </w:rPr>
        <w:t xml:space="preserve"> </w:t>
      </w:r>
      <w:r>
        <w:rPr>
          <w:rFonts w:ascii="Cambria" w:hAnsi="Cambria"/>
          <w:sz w:val="20"/>
          <w:szCs w:val="20"/>
          <w:lang w:val="es-ES"/>
        </w:rPr>
        <w:t>se subraya la índole excepcional del régimen de aislamiento</w:t>
      </w:r>
      <w:r w:rsidRPr="008536ED">
        <w:rPr>
          <w:rFonts w:ascii="Cambria" w:hAnsi="Cambria"/>
          <w:sz w:val="20"/>
          <w:szCs w:val="20"/>
          <w:lang w:val="es-ES"/>
        </w:rPr>
        <w:t xml:space="preserve">: </w:t>
      </w:r>
    </w:p>
    <w:p w14:paraId="72062FC1"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jc w:val="both"/>
        <w:outlineLvl w:val="2"/>
        <w:rPr>
          <w:rFonts w:ascii="Cambria" w:eastAsia="Times New Roman" w:hAnsi="Cambria" w:cs="TimesNewRoman"/>
          <w:bCs/>
          <w:sz w:val="20"/>
          <w:szCs w:val="20"/>
          <w:bdr w:val="none" w:sz="0" w:space="0" w:color="auto"/>
          <w:lang w:val="es-ES"/>
        </w:rPr>
      </w:pPr>
    </w:p>
    <w:p w14:paraId="72630083" w14:textId="77777777" w:rsidR="00953481" w:rsidRPr="00445076"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000"/>
        </w:tabs>
        <w:ind w:left="360" w:right="360"/>
        <w:jc w:val="both"/>
        <w:rPr>
          <w:rFonts w:asciiTheme="majorHAnsi" w:eastAsia="Times New Roman" w:hAnsiTheme="majorHAnsi" w:cs="TimesNewRoman"/>
          <w:b/>
          <w:sz w:val="18"/>
          <w:szCs w:val="18"/>
          <w:bdr w:val="none" w:sz="0" w:space="0" w:color="auto"/>
          <w:lang w:val="es-ES"/>
        </w:rPr>
      </w:pPr>
      <w:r w:rsidRPr="00445076">
        <w:rPr>
          <w:rFonts w:asciiTheme="majorHAnsi" w:eastAsia="Times New Roman" w:hAnsiTheme="majorHAnsi" w:cs="Tahoma"/>
          <w:sz w:val="18"/>
          <w:szCs w:val="18"/>
          <w:bdr w:val="none" w:sz="0" w:space="0" w:color="auto"/>
          <w:lang w:val="es-ES"/>
        </w:rPr>
        <w:t>El aislamiento sólo se permitirá como una medida estrictamente limitada en el tiempo y como un último recurso, cuando se demuestre que sea necesaria para salvaguardar intereses legítimos relativos a la seguridad interna de los establecimientos, y para proteger derechos fundamentales, como la vida e integridad de las mismas personas privadas de libertad o del personal de dichas instituciones</w:t>
      </w:r>
      <w:r w:rsidRPr="00445076">
        <w:rPr>
          <w:rFonts w:asciiTheme="majorHAnsi" w:eastAsia="Times New Roman" w:hAnsiTheme="majorHAnsi"/>
          <w:b/>
          <w:sz w:val="18"/>
          <w:szCs w:val="18"/>
          <w:bdr w:val="none" w:sz="0" w:space="0" w:color="auto"/>
          <w:vertAlign w:val="superscript"/>
          <w:lang w:val="es-ES"/>
        </w:rPr>
        <w:footnoteReference w:id="87"/>
      </w:r>
      <w:r w:rsidRPr="00445076">
        <w:rPr>
          <w:rFonts w:asciiTheme="majorHAnsi" w:eastAsia="Times New Roman" w:hAnsiTheme="majorHAnsi" w:cs="Tahoma"/>
          <w:sz w:val="18"/>
          <w:szCs w:val="18"/>
          <w:bdr w:val="none" w:sz="0" w:space="0" w:color="auto"/>
          <w:lang w:val="es-ES"/>
        </w:rPr>
        <w:t>.</w:t>
      </w:r>
    </w:p>
    <w:p w14:paraId="5B17961A"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jc w:val="both"/>
        <w:outlineLvl w:val="2"/>
        <w:rPr>
          <w:rFonts w:ascii="Cambria" w:eastAsia="Times New Roman" w:hAnsi="Cambria" w:cs="Arial"/>
          <w:bCs/>
          <w:sz w:val="20"/>
          <w:szCs w:val="20"/>
          <w:bdr w:val="none" w:sz="0" w:space="0" w:color="auto"/>
          <w:lang w:val="es-ES"/>
        </w:rPr>
      </w:pPr>
    </w:p>
    <w:p w14:paraId="32E64EAB"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lang w:val="es-ES"/>
        </w:rPr>
      </w:pPr>
      <w:r>
        <w:rPr>
          <w:rFonts w:asciiTheme="majorHAnsi" w:hAnsiTheme="majorHAnsi"/>
          <w:sz w:val="20"/>
          <w:szCs w:val="20"/>
          <w:bdr w:val="none" w:sz="0" w:space="0" w:color="auto" w:frame="1"/>
          <w:lang w:val="es-ES"/>
        </w:rPr>
        <w:t xml:space="preserve">Al determinar si el aislamiento está comprendido en el ámbito del artículo </w:t>
      </w:r>
      <w:r w:rsidRPr="008536ED">
        <w:rPr>
          <w:rFonts w:asciiTheme="majorHAnsi" w:hAnsiTheme="majorHAnsi"/>
          <w:sz w:val="20"/>
          <w:szCs w:val="20"/>
          <w:bdr w:val="none" w:sz="0" w:space="0" w:color="auto" w:frame="1"/>
          <w:lang w:val="es-ES"/>
        </w:rPr>
        <w:t>3 (</w:t>
      </w:r>
      <w:r>
        <w:rPr>
          <w:rFonts w:asciiTheme="majorHAnsi" w:hAnsiTheme="majorHAnsi"/>
          <w:sz w:val="20"/>
          <w:szCs w:val="20"/>
          <w:bdr w:val="none" w:sz="0" w:space="0" w:color="auto" w:frame="1"/>
          <w:lang w:val="es-ES"/>
        </w:rPr>
        <w:t>pr</w:t>
      </w:r>
      <w:r w:rsidRPr="008536ED">
        <w:rPr>
          <w:rFonts w:asciiTheme="majorHAnsi" w:hAnsiTheme="majorHAnsi"/>
          <w:sz w:val="20"/>
          <w:szCs w:val="20"/>
          <w:bdr w:val="none" w:sz="0" w:space="0" w:color="auto" w:frame="1"/>
          <w:lang w:val="es-ES"/>
        </w:rPr>
        <w:t xml:space="preserve">ohibición </w:t>
      </w:r>
      <w:r>
        <w:rPr>
          <w:rFonts w:asciiTheme="majorHAnsi" w:hAnsiTheme="majorHAnsi"/>
          <w:sz w:val="20"/>
          <w:szCs w:val="20"/>
          <w:bdr w:val="none" w:sz="0" w:space="0" w:color="auto" w:frame="1"/>
          <w:lang w:val="es-ES"/>
        </w:rPr>
        <w:t xml:space="preserve">de la </w:t>
      </w:r>
      <w:r w:rsidRPr="008536ED">
        <w:rPr>
          <w:rFonts w:asciiTheme="majorHAnsi" w:hAnsiTheme="majorHAnsi"/>
          <w:sz w:val="20"/>
          <w:szCs w:val="20"/>
          <w:bdr w:val="none" w:sz="0" w:space="0" w:color="auto" w:frame="1"/>
          <w:lang w:val="es-ES"/>
        </w:rPr>
        <w:t>tortur</w:t>
      </w:r>
      <w:r>
        <w:rPr>
          <w:rFonts w:asciiTheme="majorHAnsi" w:hAnsiTheme="majorHAnsi"/>
          <w:sz w:val="20"/>
          <w:szCs w:val="20"/>
          <w:bdr w:val="none" w:sz="0" w:space="0" w:color="auto" w:frame="1"/>
          <w:lang w:val="es-ES"/>
        </w:rPr>
        <w:t>a</w:t>
      </w:r>
      <w:r w:rsidRPr="008536ED">
        <w:rPr>
          <w:rFonts w:asciiTheme="majorHAnsi" w:hAnsiTheme="majorHAnsi"/>
          <w:sz w:val="20"/>
          <w:szCs w:val="20"/>
          <w:bdr w:val="none" w:sz="0" w:space="0" w:color="auto" w:frame="1"/>
          <w:lang w:val="es-ES"/>
        </w:rPr>
        <w:t xml:space="preserve">) </w:t>
      </w:r>
      <w:r>
        <w:rPr>
          <w:rFonts w:asciiTheme="majorHAnsi" w:hAnsiTheme="majorHAnsi"/>
          <w:sz w:val="20"/>
          <w:szCs w:val="20"/>
          <w:bdr w:val="none" w:sz="0" w:space="0" w:color="auto" w:frame="1"/>
          <w:lang w:val="es-ES"/>
        </w:rPr>
        <w:t>e</w:t>
      </w:r>
      <w:r w:rsidRPr="008536ED">
        <w:rPr>
          <w:rFonts w:asciiTheme="majorHAnsi" w:hAnsiTheme="majorHAnsi"/>
          <w:sz w:val="20"/>
          <w:szCs w:val="20"/>
          <w:bdr w:val="none" w:sz="0" w:space="0" w:color="auto" w:frame="1"/>
          <w:lang w:val="es-ES"/>
        </w:rPr>
        <w:t xml:space="preserve">n </w:t>
      </w:r>
      <w:r>
        <w:rPr>
          <w:rFonts w:asciiTheme="majorHAnsi" w:hAnsiTheme="majorHAnsi"/>
          <w:sz w:val="20"/>
          <w:szCs w:val="20"/>
          <w:bdr w:val="none" w:sz="0" w:space="0" w:color="auto" w:frame="1"/>
          <w:lang w:val="es-ES"/>
        </w:rPr>
        <w:t>un caso</w:t>
      </w:r>
      <w:r w:rsidRPr="008536ED">
        <w:rPr>
          <w:rFonts w:asciiTheme="majorHAnsi" w:hAnsiTheme="majorHAnsi"/>
          <w:sz w:val="20"/>
          <w:szCs w:val="20"/>
          <w:bdr w:val="none" w:sz="0" w:space="0" w:color="auto" w:frame="1"/>
          <w:lang w:val="es-ES"/>
        </w:rPr>
        <w:t xml:space="preserve"> particular</w:t>
      </w:r>
      <w:r>
        <w:rPr>
          <w:rFonts w:asciiTheme="majorHAnsi" w:hAnsiTheme="majorHAnsi"/>
          <w:sz w:val="20"/>
          <w:szCs w:val="20"/>
          <w:bdr w:val="none" w:sz="0" w:space="0" w:color="auto" w:frame="1"/>
          <w:lang w:val="es-ES"/>
        </w:rPr>
        <w:t>, el Tribunal Europeo de Derechos Humanos considera la rigurosidad de la medida, su duración, el fin perseguido y los efectos que tenga en la persona en cuestión</w:t>
      </w:r>
      <w:r w:rsidRPr="008536ED">
        <w:rPr>
          <w:rStyle w:val="FootnoteReference"/>
          <w:rFonts w:asciiTheme="majorHAnsi" w:hAnsiTheme="majorHAnsi"/>
          <w:bCs/>
          <w:sz w:val="20"/>
          <w:szCs w:val="20"/>
          <w:lang w:val="es-ES"/>
        </w:rPr>
        <w:footnoteReference w:id="88"/>
      </w:r>
      <w:r>
        <w:rPr>
          <w:rFonts w:asciiTheme="majorHAnsi" w:hAnsiTheme="majorHAnsi"/>
          <w:sz w:val="20"/>
          <w:szCs w:val="20"/>
          <w:bdr w:val="none" w:sz="0" w:space="0" w:color="auto" w:frame="1"/>
          <w:lang w:val="es-ES"/>
        </w:rPr>
        <w:t xml:space="preserve">. Al mismo tiempo, el Tribunal ha señalado que, </w:t>
      </w:r>
      <w:r w:rsidRPr="00E06E23">
        <w:rPr>
          <w:rFonts w:asciiTheme="majorHAnsi" w:hAnsiTheme="majorHAnsi"/>
          <w:sz w:val="20"/>
          <w:szCs w:val="20"/>
          <w:bdr w:val="none" w:sz="0" w:space="0" w:color="auto" w:frame="1"/>
          <w:lang w:val="es-ES"/>
        </w:rPr>
        <w:t>“[c]</w:t>
      </w:r>
      <w:proofErr w:type="spellStart"/>
      <w:r w:rsidRPr="00E06E23">
        <w:rPr>
          <w:rFonts w:asciiTheme="majorHAnsi" w:hAnsiTheme="majorHAnsi"/>
          <w:sz w:val="20"/>
          <w:szCs w:val="20"/>
          <w:bdr w:val="none" w:sz="0" w:space="0" w:color="auto" w:frame="1"/>
          <w:lang w:val="es-ES"/>
        </w:rPr>
        <w:t>uando</w:t>
      </w:r>
      <w:proofErr w:type="spellEnd"/>
      <w:r w:rsidRPr="00E06E23">
        <w:rPr>
          <w:rFonts w:asciiTheme="majorHAnsi" w:hAnsiTheme="majorHAnsi"/>
          <w:sz w:val="20"/>
          <w:szCs w:val="20"/>
          <w:bdr w:val="none" w:sz="0" w:space="0" w:color="auto" w:frame="1"/>
          <w:lang w:val="es-ES"/>
        </w:rPr>
        <w:t xml:space="preserve"> las condiciones de detención cumplen con el Convenio y el detenido está en contacto con el mundo exterior, a través de las visitas y el contacto con el personal de la prisión, prohibir el contacto con otros prisioneros no viola el artículo 3, siempre y cuando el régimen sea proporcional al fin buscado y el período </w:t>
      </w:r>
      <w:r w:rsidRPr="00E06E23">
        <w:rPr>
          <w:rFonts w:asciiTheme="majorHAnsi" w:hAnsiTheme="majorHAnsi"/>
          <w:sz w:val="20"/>
          <w:szCs w:val="20"/>
          <w:bdr w:val="none" w:sz="0" w:space="0" w:color="auto" w:frame="1"/>
          <w:lang w:val="es-ES"/>
        </w:rPr>
        <w:lastRenderedPageBreak/>
        <w:t>de aislamiento no sea excesivo”</w:t>
      </w:r>
      <w:r w:rsidRPr="00E06E23">
        <w:rPr>
          <w:rStyle w:val="FootnoteReference"/>
          <w:rFonts w:asciiTheme="majorHAnsi" w:hAnsiTheme="majorHAnsi"/>
          <w:bCs/>
          <w:sz w:val="20"/>
          <w:szCs w:val="20"/>
          <w:lang w:val="es-ES"/>
        </w:rPr>
        <w:footnoteReference w:id="89"/>
      </w:r>
      <w:r w:rsidRPr="00E06E23">
        <w:rPr>
          <w:rFonts w:asciiTheme="majorHAnsi" w:hAnsiTheme="majorHAnsi"/>
          <w:sz w:val="20"/>
          <w:szCs w:val="20"/>
          <w:bdr w:val="none" w:sz="0" w:space="0" w:color="auto" w:frame="1"/>
          <w:lang w:val="es-ES"/>
        </w:rPr>
        <w:t>.</w:t>
      </w:r>
      <w:r w:rsidRPr="008536ED">
        <w:rPr>
          <w:rFonts w:asciiTheme="majorHAnsi" w:hAnsiTheme="majorHAnsi"/>
          <w:sz w:val="20"/>
          <w:szCs w:val="20"/>
          <w:bdr w:val="none" w:sz="0" w:space="0" w:color="auto" w:frame="1"/>
          <w:lang w:val="es-ES"/>
        </w:rPr>
        <w:t xml:space="preserve"> </w:t>
      </w:r>
      <w:r>
        <w:rPr>
          <w:rFonts w:asciiTheme="majorHAnsi" w:hAnsiTheme="majorHAnsi"/>
          <w:sz w:val="20"/>
          <w:szCs w:val="20"/>
          <w:bdr w:val="none" w:sz="0" w:space="0" w:color="auto" w:frame="1"/>
          <w:lang w:val="es-ES"/>
        </w:rPr>
        <w:t>Asimismo, el Comité de Derechos Humanos de las Naciones Unidas ha concluido que el régimen de aislamiento se justifica solo en casos de urgente necesidad, en circunstancias excepcionales y por períodos limitados</w:t>
      </w:r>
      <w:r w:rsidRPr="008536ED">
        <w:rPr>
          <w:rStyle w:val="FootnoteReference"/>
          <w:rFonts w:asciiTheme="majorHAnsi" w:hAnsiTheme="majorHAnsi"/>
          <w:bCs/>
          <w:sz w:val="20"/>
          <w:szCs w:val="20"/>
          <w:lang w:val="es-ES"/>
        </w:rPr>
        <w:footnoteReference w:id="90"/>
      </w:r>
      <w:r>
        <w:rPr>
          <w:rFonts w:asciiTheme="majorHAnsi" w:hAnsiTheme="majorHAnsi"/>
          <w:sz w:val="20"/>
          <w:szCs w:val="20"/>
          <w:bdr w:val="none" w:sz="0" w:space="0" w:color="auto" w:frame="1"/>
          <w:lang w:val="es-ES"/>
        </w:rPr>
        <w:t>.</w:t>
      </w:r>
    </w:p>
    <w:p w14:paraId="4864CD30"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lang w:val="es-ES"/>
        </w:rPr>
      </w:pPr>
    </w:p>
    <w:p w14:paraId="5E2086D3" w14:textId="77777777" w:rsidR="00953481" w:rsidRPr="001874C1"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lang w:val="es-ES"/>
        </w:rPr>
      </w:pPr>
      <w:r>
        <w:rPr>
          <w:rFonts w:ascii="Cambria" w:hAnsi="Cambria"/>
          <w:sz w:val="20"/>
          <w:szCs w:val="20"/>
          <w:lang w:val="es-ES"/>
        </w:rPr>
        <w:t xml:space="preserve">El </w:t>
      </w:r>
      <w:r w:rsidRPr="008536ED">
        <w:rPr>
          <w:rFonts w:ascii="Cambria" w:hAnsi="Cambria"/>
          <w:sz w:val="20"/>
          <w:szCs w:val="20"/>
          <w:lang w:val="es-ES"/>
        </w:rPr>
        <w:t>18</w:t>
      </w:r>
      <w:r>
        <w:rPr>
          <w:rFonts w:ascii="Cambria" w:hAnsi="Cambria"/>
          <w:sz w:val="20"/>
          <w:szCs w:val="20"/>
          <w:lang w:val="es-ES"/>
        </w:rPr>
        <w:t xml:space="preserve"> de octubre de</w:t>
      </w:r>
      <w:r w:rsidRPr="008536ED">
        <w:rPr>
          <w:rFonts w:ascii="Cambria" w:hAnsi="Cambria"/>
          <w:sz w:val="20"/>
          <w:szCs w:val="20"/>
          <w:lang w:val="es-ES"/>
        </w:rPr>
        <w:t xml:space="preserve"> 2011, </w:t>
      </w:r>
      <w:r>
        <w:rPr>
          <w:rFonts w:ascii="Cambria" w:hAnsi="Cambria"/>
          <w:sz w:val="20"/>
          <w:szCs w:val="20"/>
          <w:lang w:val="es-ES"/>
        </w:rPr>
        <w:t xml:space="preserve">el </w:t>
      </w:r>
      <w:r w:rsidRPr="009973CC">
        <w:rPr>
          <w:rFonts w:ascii="Cambria" w:hAnsi="Cambria"/>
          <w:sz w:val="20"/>
          <w:szCs w:val="20"/>
          <w:lang w:val="es-ES"/>
        </w:rPr>
        <w:t>Relator Especial</w:t>
      </w:r>
      <w:r w:rsidRPr="00E708E1">
        <w:rPr>
          <w:rFonts w:ascii="Cambria" w:hAnsi="Cambria"/>
          <w:sz w:val="20"/>
          <w:szCs w:val="20"/>
          <w:lang w:val="es-ES"/>
        </w:rPr>
        <w:t xml:space="preserve"> de las Naciones Unidas</w:t>
      </w:r>
      <w:r w:rsidRPr="009973CC">
        <w:rPr>
          <w:rFonts w:ascii="Cambria" w:hAnsi="Cambria"/>
          <w:sz w:val="20"/>
          <w:szCs w:val="20"/>
          <w:lang w:val="es-ES"/>
        </w:rPr>
        <w:t xml:space="preserve"> sobre la tortura y otros tratos o penas crueles, inhumanos o degradantes</w:t>
      </w:r>
      <w:r>
        <w:rPr>
          <w:rFonts w:ascii="Cambria" w:hAnsi="Cambria"/>
          <w:sz w:val="20"/>
          <w:szCs w:val="20"/>
          <w:lang w:val="es-ES"/>
        </w:rPr>
        <w:t xml:space="preserve"> hizo</w:t>
      </w:r>
      <w:r w:rsidRPr="000A2BC7">
        <w:rPr>
          <w:rFonts w:ascii="Cambria" w:hAnsi="Cambria"/>
          <w:sz w:val="20"/>
          <w:szCs w:val="20"/>
          <w:lang w:val="es-ES"/>
        </w:rPr>
        <w:t xml:space="preserve"> un llamamiento a favor de la prohibición de la reclusión en régimen de aislamiento indefinido y de la incomunicación prolongada, que definió como la impuesta por un período superior a 15 días</w:t>
      </w:r>
      <w:r w:rsidRPr="000A2BC7">
        <w:rPr>
          <w:rStyle w:val="FootnoteReference"/>
          <w:rFonts w:asciiTheme="majorHAnsi" w:hAnsiTheme="majorHAnsi"/>
          <w:bCs/>
          <w:sz w:val="20"/>
          <w:szCs w:val="20"/>
          <w:lang w:val="es-ES"/>
        </w:rPr>
        <w:footnoteReference w:id="91"/>
      </w:r>
      <w:r>
        <w:rPr>
          <w:rFonts w:ascii="Cambria" w:hAnsi="Cambria"/>
          <w:sz w:val="20"/>
          <w:szCs w:val="20"/>
          <w:lang w:val="es-ES"/>
        </w:rPr>
        <w:t>. Concluyó qu</w:t>
      </w:r>
      <w:r w:rsidRPr="000A2BC7">
        <w:rPr>
          <w:rFonts w:ascii="Cambria" w:hAnsi="Cambria"/>
          <w:sz w:val="20"/>
          <w:szCs w:val="20"/>
          <w:lang w:val="es-ES"/>
        </w:rPr>
        <w:t>e “el plazo de 15 días es el límite entre el ‘régimen de aislamiento’ y el ‘régimen de aislamiento prolongado’ porque en ese punto, según la bibliografía consultada, algunos de los efectos psicológi</w:t>
      </w:r>
      <w:r w:rsidRPr="001874C1">
        <w:rPr>
          <w:rFonts w:ascii="Cambria" w:hAnsi="Cambria"/>
          <w:sz w:val="20"/>
          <w:szCs w:val="20"/>
          <w:lang w:val="es-ES"/>
        </w:rPr>
        <w:t>cos nocivos del aislamiento pueden ser irreversibles”.</w:t>
      </w:r>
      <w:r w:rsidRPr="001874C1">
        <w:rPr>
          <w:rFonts w:ascii="Cambria" w:hAnsi="Cambria" w:cs="TimesNewRoman"/>
          <w:sz w:val="20"/>
          <w:szCs w:val="20"/>
          <w:lang w:val="es-ES"/>
        </w:rPr>
        <w:t xml:space="preserve"> El Relator Especial observó asimismo que “incluso unos pocos días en régimen de aislamiento hacen que la actividad cerebral de una persona adquiera una pauta anormal característica del estupor y el delirio”</w:t>
      </w:r>
      <w:r w:rsidRPr="001874C1">
        <w:rPr>
          <w:rStyle w:val="FootnoteReference"/>
          <w:rFonts w:asciiTheme="majorHAnsi" w:hAnsiTheme="majorHAnsi"/>
          <w:bCs/>
          <w:sz w:val="20"/>
          <w:szCs w:val="20"/>
          <w:lang w:val="es-ES"/>
        </w:rPr>
        <w:footnoteReference w:id="92"/>
      </w:r>
      <w:r w:rsidRPr="001874C1">
        <w:rPr>
          <w:rFonts w:ascii="Cambria" w:hAnsi="Cambria" w:cs="TimesNewRoman"/>
          <w:sz w:val="20"/>
          <w:szCs w:val="20"/>
          <w:lang w:val="es-ES"/>
        </w:rPr>
        <w:t xml:space="preserve"> y que, de acuerdo con las normas de derechos humanos, “[n]</w:t>
      </w:r>
      <w:proofErr w:type="spellStart"/>
      <w:r w:rsidRPr="001874C1">
        <w:rPr>
          <w:rFonts w:ascii="Cambria" w:hAnsi="Cambria" w:cs="TimesNewRoman"/>
          <w:sz w:val="20"/>
          <w:szCs w:val="20"/>
          <w:lang w:val="es-ES"/>
        </w:rPr>
        <w:t>ingún</w:t>
      </w:r>
      <w:proofErr w:type="spellEnd"/>
      <w:r w:rsidRPr="001874C1">
        <w:rPr>
          <w:rFonts w:ascii="Cambria" w:hAnsi="Cambria" w:cs="TimesNewRoman"/>
          <w:sz w:val="20"/>
          <w:szCs w:val="20"/>
          <w:lang w:val="es-ES"/>
        </w:rPr>
        <w:t xml:space="preserve"> recluso, incluidos los que cumplen cadena perpetua y los condenados a muerte, deberá ser sometido a reclusión en régimen de aislamiento en razón simplemente de la gravedad del delito cometido”</w:t>
      </w:r>
      <w:r w:rsidRPr="001874C1">
        <w:rPr>
          <w:rStyle w:val="FootnoteReference"/>
          <w:rFonts w:asciiTheme="majorHAnsi" w:hAnsiTheme="majorHAnsi"/>
          <w:bCs/>
          <w:sz w:val="20"/>
          <w:szCs w:val="20"/>
          <w:lang w:val="es-ES"/>
        </w:rPr>
        <w:footnoteReference w:id="93"/>
      </w:r>
      <w:r>
        <w:rPr>
          <w:rFonts w:ascii="Cambria" w:hAnsi="Cambria" w:cs="TimesNewRoman"/>
          <w:sz w:val="20"/>
          <w:szCs w:val="20"/>
          <w:lang w:val="es-ES"/>
        </w:rPr>
        <w:t>.</w:t>
      </w:r>
    </w:p>
    <w:p w14:paraId="20E12512" w14:textId="77777777" w:rsidR="00953481" w:rsidRPr="00400DC5" w:rsidRDefault="00953481" w:rsidP="00953481">
      <w:pPr>
        <w:rPr>
          <w:sz w:val="20"/>
          <w:szCs w:val="20"/>
          <w:lang w:val="es-ES"/>
        </w:rPr>
      </w:pPr>
    </w:p>
    <w:p w14:paraId="7857E3E6"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lang w:val="es-ES"/>
        </w:rPr>
      </w:pPr>
      <w:r>
        <w:rPr>
          <w:rFonts w:ascii="Cambria" w:hAnsi="Cambria"/>
          <w:sz w:val="20"/>
          <w:szCs w:val="20"/>
          <w:lang w:val="es-ES"/>
        </w:rPr>
        <w:t>Respecto al tamaño de la celda, el Relat</w:t>
      </w:r>
      <w:r w:rsidRPr="00B52D74">
        <w:rPr>
          <w:rFonts w:ascii="Cambria" w:hAnsi="Cambria"/>
          <w:sz w:val="20"/>
          <w:szCs w:val="20"/>
          <w:lang w:val="es-ES"/>
        </w:rPr>
        <w:t xml:space="preserve">or Especial indica que, aunque no hay ningún instrumento universal que especifique un tamaño mínimo aceptable, algunas jurisdicciones nacionales y regionales han dictado normas sobre este asunto en algunas ocasiones. Según el Tribunal Europeo de Derechos Humanos, que se pronunció en el caso </w:t>
      </w:r>
      <w:r w:rsidRPr="00E222C3">
        <w:rPr>
          <w:rFonts w:ascii="Cambria" w:hAnsi="Cambria"/>
          <w:sz w:val="20"/>
          <w:szCs w:val="20"/>
          <w:lang w:val="es-ES"/>
        </w:rPr>
        <w:t>Ramírez Sánchez c</w:t>
      </w:r>
      <w:r>
        <w:rPr>
          <w:rFonts w:ascii="Cambria" w:hAnsi="Cambria"/>
          <w:sz w:val="20"/>
          <w:szCs w:val="20"/>
          <w:lang w:val="es-ES"/>
        </w:rPr>
        <w:t>ontra</w:t>
      </w:r>
      <w:r w:rsidRPr="00E222C3">
        <w:rPr>
          <w:rFonts w:ascii="Cambria" w:hAnsi="Cambria"/>
          <w:sz w:val="20"/>
          <w:szCs w:val="20"/>
          <w:lang w:val="es-ES"/>
        </w:rPr>
        <w:t xml:space="preserve"> Francia</w:t>
      </w:r>
      <w:r w:rsidRPr="00B52D74">
        <w:rPr>
          <w:rFonts w:ascii="Cambria" w:hAnsi="Cambria"/>
          <w:sz w:val="20"/>
          <w:szCs w:val="20"/>
          <w:lang w:val="es-ES"/>
        </w:rPr>
        <w:t xml:space="preserve">, una celda de 6,84 metros cuadrados es “suficientemente grande” para su uso por una </w:t>
      </w:r>
      <w:r>
        <w:rPr>
          <w:rFonts w:ascii="Cambria" w:hAnsi="Cambria"/>
          <w:sz w:val="20"/>
          <w:szCs w:val="20"/>
          <w:lang w:val="es-ES"/>
        </w:rPr>
        <w:t>sola</w:t>
      </w:r>
      <w:r w:rsidRPr="00B52D74">
        <w:rPr>
          <w:rFonts w:ascii="Cambria" w:hAnsi="Cambria"/>
          <w:sz w:val="20"/>
          <w:szCs w:val="20"/>
          <w:lang w:val="es-ES"/>
        </w:rPr>
        <w:t xml:space="preserve"> persona. Sin embargo, el Relator Especial disiente, “especialmente si la celda única también debe incluir, como mínimo, un inodoro e instalaciones de aseo, una cama y un escritorio”</w:t>
      </w:r>
      <w:r w:rsidRPr="00B52D74">
        <w:rPr>
          <w:rStyle w:val="FootnoteReference"/>
          <w:rFonts w:asciiTheme="majorHAnsi" w:hAnsiTheme="majorHAnsi"/>
          <w:bCs/>
          <w:sz w:val="20"/>
          <w:szCs w:val="20"/>
          <w:lang w:val="es-ES"/>
        </w:rPr>
        <w:footnoteReference w:id="94"/>
      </w:r>
      <w:r w:rsidRPr="00B52D74">
        <w:rPr>
          <w:rFonts w:ascii="Cambria" w:hAnsi="Cambria"/>
          <w:sz w:val="20"/>
          <w:szCs w:val="20"/>
          <w:lang w:val="es-ES"/>
        </w:rPr>
        <w:t>.</w:t>
      </w:r>
    </w:p>
    <w:p w14:paraId="5ECEEFE1" w14:textId="77777777" w:rsidR="00953481" w:rsidRPr="00400DC5" w:rsidRDefault="00953481" w:rsidP="00953481">
      <w:pPr>
        <w:rPr>
          <w:sz w:val="20"/>
          <w:szCs w:val="20"/>
          <w:lang w:val="es-ES"/>
        </w:rPr>
      </w:pPr>
    </w:p>
    <w:p w14:paraId="43D5785C"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lang w:val="es-ES"/>
        </w:rPr>
      </w:pPr>
      <w:r>
        <w:rPr>
          <w:rFonts w:ascii="Cambria" w:hAnsi="Cambria"/>
          <w:sz w:val="20"/>
          <w:szCs w:val="20"/>
          <w:lang w:val="es-ES"/>
        </w:rPr>
        <w:t>El régimen de aislamiento</w:t>
      </w:r>
      <w:r w:rsidRPr="008536ED">
        <w:rPr>
          <w:rFonts w:ascii="Cambria" w:hAnsi="Cambria"/>
          <w:sz w:val="20"/>
          <w:szCs w:val="20"/>
          <w:lang w:val="es-ES"/>
        </w:rPr>
        <w:t xml:space="preserve"> </w:t>
      </w:r>
      <w:r>
        <w:rPr>
          <w:rFonts w:ascii="Cambria" w:hAnsi="Cambria"/>
          <w:sz w:val="20"/>
          <w:szCs w:val="20"/>
          <w:lang w:val="es-ES"/>
        </w:rPr>
        <w:t xml:space="preserve">puede tener graves efectos psicológicos, que van de la depresión a la </w:t>
      </w:r>
      <w:r w:rsidRPr="008536ED">
        <w:rPr>
          <w:rFonts w:ascii="Cambria" w:hAnsi="Cambria"/>
          <w:sz w:val="20"/>
          <w:szCs w:val="20"/>
          <w:lang w:val="es-ES"/>
        </w:rPr>
        <w:t xml:space="preserve">paranoia </w:t>
      </w:r>
      <w:r>
        <w:rPr>
          <w:rFonts w:ascii="Cambria" w:hAnsi="Cambria"/>
          <w:sz w:val="20"/>
          <w:szCs w:val="20"/>
          <w:lang w:val="es-ES"/>
        </w:rPr>
        <w:t xml:space="preserve">y la </w:t>
      </w:r>
      <w:r w:rsidRPr="008536ED">
        <w:rPr>
          <w:rFonts w:ascii="Cambria" w:hAnsi="Cambria"/>
          <w:sz w:val="20"/>
          <w:szCs w:val="20"/>
          <w:lang w:val="es-ES"/>
        </w:rPr>
        <w:t>psicosis, as</w:t>
      </w:r>
      <w:r>
        <w:rPr>
          <w:rFonts w:ascii="Cambria" w:hAnsi="Cambria"/>
          <w:sz w:val="20"/>
          <w:szCs w:val="20"/>
          <w:lang w:val="es-ES"/>
        </w:rPr>
        <w:t xml:space="preserve">í como efectos fisiológicos tales como problemas </w:t>
      </w:r>
      <w:r w:rsidRPr="008536ED">
        <w:rPr>
          <w:rFonts w:ascii="Cambria" w:hAnsi="Cambria"/>
          <w:sz w:val="20"/>
          <w:szCs w:val="20"/>
          <w:lang w:val="es-ES"/>
        </w:rPr>
        <w:t>cardiovascular</w:t>
      </w:r>
      <w:r>
        <w:rPr>
          <w:rFonts w:ascii="Cambria" w:hAnsi="Cambria"/>
          <w:sz w:val="20"/>
          <w:szCs w:val="20"/>
          <w:lang w:val="es-ES"/>
        </w:rPr>
        <w:t>es y fatiga profunda</w:t>
      </w:r>
      <w:r w:rsidRPr="008536ED">
        <w:rPr>
          <w:rStyle w:val="FootnoteReference"/>
          <w:rFonts w:asciiTheme="majorHAnsi" w:hAnsiTheme="majorHAnsi"/>
          <w:bCs/>
          <w:sz w:val="20"/>
          <w:szCs w:val="20"/>
          <w:lang w:val="es-ES"/>
        </w:rPr>
        <w:footnoteReference w:id="95"/>
      </w:r>
      <w:r>
        <w:rPr>
          <w:rFonts w:ascii="Cambria" w:hAnsi="Cambria"/>
          <w:sz w:val="20"/>
          <w:szCs w:val="20"/>
          <w:lang w:val="es-ES"/>
        </w:rPr>
        <w:t>. El Tribunal Europeo ha determinado que el aislamiento sensorial prolongado, sumado al aislamiento social, puede destruir la personalidad y constituye una forma de trato inhumano</w:t>
      </w:r>
      <w:r w:rsidRPr="008536ED">
        <w:rPr>
          <w:rStyle w:val="FootnoteReference"/>
          <w:rFonts w:asciiTheme="majorHAnsi" w:hAnsiTheme="majorHAnsi"/>
          <w:bCs/>
          <w:sz w:val="20"/>
          <w:szCs w:val="20"/>
          <w:lang w:val="es-ES"/>
        </w:rPr>
        <w:footnoteReference w:id="96"/>
      </w:r>
      <w:r>
        <w:rPr>
          <w:rFonts w:ascii="Cambria" w:hAnsi="Cambria"/>
          <w:sz w:val="20"/>
          <w:szCs w:val="20"/>
          <w:lang w:val="es-ES"/>
        </w:rPr>
        <w:t xml:space="preserve">. El Comité de Derechos Humanos, de las Naciones Unidas, ha expresado preocupación por la práctica de algunas cárceles de máxima seguridad de </w:t>
      </w:r>
      <w:r w:rsidRPr="008536ED">
        <w:rPr>
          <w:rFonts w:ascii="Cambria" w:hAnsi="Cambria"/>
          <w:sz w:val="20"/>
          <w:szCs w:val="20"/>
          <w:lang w:val="es-ES"/>
        </w:rPr>
        <w:t>Estados Unidos “</w:t>
      </w:r>
      <w:r w:rsidRPr="00B16940">
        <w:rPr>
          <w:rFonts w:ascii="Cambria" w:hAnsi="Cambria"/>
          <w:sz w:val="20"/>
          <w:szCs w:val="20"/>
          <w:lang w:val="es-ES"/>
        </w:rPr>
        <w:t>de mantener a los reclusos durante mucho tiempo en régimen de aislamiento sin permitirles salir de la celda más que cinco horas por semana, en condiciones generales de disciplina estricta en un entorno despersonalizado</w:t>
      </w:r>
      <w:r w:rsidRPr="008536ED">
        <w:rPr>
          <w:rFonts w:ascii="Cambria" w:hAnsi="Cambria"/>
          <w:sz w:val="20"/>
          <w:szCs w:val="20"/>
          <w:lang w:val="es-ES"/>
        </w:rPr>
        <w:t>”</w:t>
      </w:r>
      <w:r w:rsidRPr="008536ED">
        <w:rPr>
          <w:rStyle w:val="FootnoteReference"/>
          <w:rFonts w:asciiTheme="majorHAnsi" w:hAnsiTheme="majorHAnsi"/>
          <w:sz w:val="20"/>
          <w:szCs w:val="20"/>
          <w:lang w:val="es-ES"/>
        </w:rPr>
        <w:footnoteReference w:id="97"/>
      </w:r>
      <w:r>
        <w:rPr>
          <w:rFonts w:ascii="Cambria" w:hAnsi="Cambria"/>
          <w:sz w:val="20"/>
          <w:szCs w:val="20"/>
          <w:lang w:val="es-ES"/>
        </w:rPr>
        <w:t>.</w:t>
      </w:r>
      <w:r w:rsidRPr="008536ED">
        <w:rPr>
          <w:rStyle w:val="FootnoteReference"/>
          <w:rFonts w:asciiTheme="majorHAnsi" w:hAnsiTheme="majorHAnsi"/>
          <w:lang w:val="es-ES"/>
        </w:rPr>
        <w:t xml:space="preserve"> </w:t>
      </w:r>
      <w:r>
        <w:rPr>
          <w:rFonts w:ascii="Cambria" w:hAnsi="Cambria"/>
          <w:sz w:val="20"/>
          <w:szCs w:val="20"/>
          <w:lang w:val="es-ES"/>
        </w:rPr>
        <w:t>Por su parte, en un caso de pena de muerte en el cual las víctimas fueron mantenidas e</w:t>
      </w:r>
      <w:r w:rsidRPr="008536ED">
        <w:rPr>
          <w:rFonts w:ascii="Cambria" w:hAnsi="Cambria"/>
          <w:sz w:val="20"/>
          <w:szCs w:val="20"/>
          <w:lang w:val="es-ES"/>
        </w:rPr>
        <w:t xml:space="preserve">n </w:t>
      </w:r>
      <w:r>
        <w:rPr>
          <w:rFonts w:ascii="Cambria" w:hAnsi="Cambria"/>
          <w:sz w:val="20"/>
          <w:szCs w:val="20"/>
          <w:lang w:val="es-ES"/>
        </w:rPr>
        <w:t>régimen de aislamiento</w:t>
      </w:r>
      <w:r w:rsidRPr="008536ED">
        <w:rPr>
          <w:rFonts w:ascii="Cambria" w:hAnsi="Cambria"/>
          <w:sz w:val="20"/>
          <w:szCs w:val="20"/>
          <w:lang w:val="es-ES"/>
        </w:rPr>
        <w:t xml:space="preserve"> </w:t>
      </w:r>
      <w:r>
        <w:rPr>
          <w:rFonts w:ascii="Cambria" w:hAnsi="Cambria"/>
          <w:sz w:val="20"/>
          <w:szCs w:val="20"/>
          <w:lang w:val="es-ES"/>
        </w:rPr>
        <w:t>durante períodos prolongados</w:t>
      </w:r>
      <w:r w:rsidRPr="008536ED">
        <w:rPr>
          <w:rFonts w:ascii="Cambria" w:hAnsi="Cambria"/>
          <w:sz w:val="20"/>
          <w:szCs w:val="20"/>
          <w:lang w:val="es-ES"/>
        </w:rPr>
        <w:t xml:space="preserve">, la Comisión Interamericana </w:t>
      </w:r>
      <w:r>
        <w:rPr>
          <w:rFonts w:ascii="Cambria" w:hAnsi="Cambria"/>
          <w:sz w:val="20"/>
          <w:szCs w:val="20"/>
          <w:lang w:val="es-ES"/>
        </w:rPr>
        <w:t xml:space="preserve">dictaminó que el </w:t>
      </w:r>
      <w:r w:rsidRPr="008536ED">
        <w:rPr>
          <w:rFonts w:ascii="Cambria" w:hAnsi="Cambria"/>
          <w:sz w:val="20"/>
          <w:szCs w:val="20"/>
          <w:lang w:val="es-ES"/>
        </w:rPr>
        <w:t xml:space="preserve">Estado </w:t>
      </w:r>
      <w:r>
        <w:rPr>
          <w:rFonts w:ascii="Cambria" w:hAnsi="Cambria"/>
          <w:sz w:val="20"/>
          <w:szCs w:val="20"/>
          <w:lang w:val="es-ES"/>
        </w:rPr>
        <w:t>no había garantizado el respeto de la dignidad inherente al ser humano en cualquier circunstancia ni el derecho a no ser sometido a castigo o trato cruel, inhumano o degradante</w:t>
      </w:r>
      <w:r w:rsidRPr="008536ED">
        <w:rPr>
          <w:rStyle w:val="FootnoteReference"/>
          <w:rFonts w:asciiTheme="majorHAnsi" w:hAnsiTheme="majorHAnsi"/>
          <w:sz w:val="20"/>
          <w:szCs w:val="20"/>
          <w:lang w:val="es-ES"/>
        </w:rPr>
        <w:footnoteReference w:id="98"/>
      </w:r>
      <w:r>
        <w:rPr>
          <w:rFonts w:ascii="Cambria" w:hAnsi="Cambria"/>
          <w:sz w:val="20"/>
          <w:szCs w:val="20"/>
          <w:lang w:val="es-ES"/>
        </w:rPr>
        <w:t>.</w:t>
      </w:r>
    </w:p>
    <w:p w14:paraId="6F77314B"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lang w:val="es-ES"/>
        </w:rPr>
      </w:pPr>
    </w:p>
    <w:p w14:paraId="4AAAFC36"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lang w:val="es-ES"/>
        </w:rPr>
      </w:pPr>
      <w:r w:rsidRPr="008536ED">
        <w:rPr>
          <w:rFonts w:ascii="Cambria" w:hAnsi="Cambria"/>
          <w:sz w:val="20"/>
          <w:szCs w:val="20"/>
          <w:lang w:val="es-ES"/>
        </w:rPr>
        <w:t>La Comisión Interamericana re</w:t>
      </w:r>
      <w:r>
        <w:rPr>
          <w:rFonts w:ascii="Cambria" w:hAnsi="Cambria"/>
          <w:sz w:val="20"/>
          <w:szCs w:val="20"/>
          <w:lang w:val="es-ES"/>
        </w:rPr>
        <w:t>itera que todas las personas privadas de libertad</w:t>
      </w:r>
      <w:r w:rsidRPr="008536ED">
        <w:rPr>
          <w:rFonts w:ascii="Cambria" w:hAnsi="Cambria"/>
          <w:sz w:val="20"/>
          <w:szCs w:val="20"/>
          <w:lang w:val="es-ES"/>
        </w:rPr>
        <w:t xml:space="preserve"> </w:t>
      </w:r>
      <w:r>
        <w:rPr>
          <w:rFonts w:ascii="Cambria" w:hAnsi="Cambria"/>
          <w:sz w:val="20"/>
          <w:szCs w:val="20"/>
          <w:lang w:val="es-ES"/>
        </w:rPr>
        <w:t>deben recibir un trato h</w:t>
      </w:r>
      <w:r w:rsidRPr="008536ED">
        <w:rPr>
          <w:rFonts w:ascii="Cambria" w:hAnsi="Cambria"/>
          <w:sz w:val="20"/>
          <w:szCs w:val="20"/>
          <w:lang w:val="es-ES"/>
        </w:rPr>
        <w:t>uman</w:t>
      </w:r>
      <w:r>
        <w:rPr>
          <w:rFonts w:ascii="Cambria" w:hAnsi="Cambria"/>
          <w:sz w:val="20"/>
          <w:szCs w:val="20"/>
          <w:lang w:val="es-ES"/>
        </w:rPr>
        <w:t>o, en consonancia con el respeto de su dignidad inherente. Eso significa que las condiciones de reclusión de las personas condenadas a muerte deben ceñirse a las mismas normas internacionales que se aplican e</w:t>
      </w:r>
      <w:r w:rsidRPr="008536ED">
        <w:rPr>
          <w:rFonts w:ascii="Cambria" w:hAnsi="Cambria"/>
          <w:sz w:val="20"/>
          <w:szCs w:val="20"/>
          <w:lang w:val="es-ES"/>
        </w:rPr>
        <w:t xml:space="preserve">n general </w:t>
      </w:r>
      <w:r>
        <w:rPr>
          <w:rFonts w:ascii="Cambria" w:hAnsi="Cambria"/>
          <w:sz w:val="20"/>
          <w:szCs w:val="20"/>
          <w:lang w:val="es-ES"/>
        </w:rPr>
        <w:t>a las</w:t>
      </w:r>
      <w:r w:rsidRPr="008536ED">
        <w:rPr>
          <w:rFonts w:ascii="Cambria" w:hAnsi="Cambria"/>
          <w:sz w:val="20"/>
          <w:szCs w:val="20"/>
          <w:lang w:val="es-ES"/>
        </w:rPr>
        <w:t xml:space="preserve"> </w:t>
      </w:r>
      <w:r>
        <w:rPr>
          <w:rFonts w:ascii="Cambria" w:hAnsi="Cambria"/>
          <w:sz w:val="20"/>
          <w:szCs w:val="20"/>
          <w:lang w:val="es-ES"/>
        </w:rPr>
        <w:t>personas privadas de libertad</w:t>
      </w:r>
      <w:r w:rsidRPr="008536ED">
        <w:rPr>
          <w:rFonts w:ascii="Cambria" w:hAnsi="Cambria"/>
          <w:sz w:val="20"/>
          <w:szCs w:val="20"/>
          <w:lang w:val="es-ES"/>
        </w:rPr>
        <w:t xml:space="preserve">. </w:t>
      </w:r>
      <w:r>
        <w:rPr>
          <w:rFonts w:ascii="Cambria" w:hAnsi="Cambria"/>
          <w:sz w:val="20"/>
          <w:szCs w:val="20"/>
          <w:lang w:val="es-ES"/>
        </w:rPr>
        <w:t xml:space="preserve">En ese sentido, los deberes del </w:t>
      </w:r>
      <w:r w:rsidRPr="008536ED">
        <w:rPr>
          <w:rFonts w:ascii="Cambria" w:hAnsi="Cambria"/>
          <w:sz w:val="20"/>
          <w:szCs w:val="20"/>
          <w:lang w:val="es-ES"/>
        </w:rPr>
        <w:t xml:space="preserve">Estado </w:t>
      </w:r>
      <w:r>
        <w:rPr>
          <w:rFonts w:ascii="Cambria" w:hAnsi="Cambria"/>
          <w:sz w:val="20"/>
          <w:szCs w:val="20"/>
          <w:lang w:val="es-ES"/>
        </w:rPr>
        <w:t xml:space="preserve">de respetar y garantizar el </w:t>
      </w:r>
      <w:r>
        <w:rPr>
          <w:rFonts w:ascii="Cambria" w:hAnsi="Cambria"/>
          <w:sz w:val="20"/>
          <w:szCs w:val="20"/>
          <w:lang w:val="es-ES"/>
        </w:rPr>
        <w:lastRenderedPageBreak/>
        <w:t>derecho al trato humano de las personas que se encuentren en su jurisdicción se aplican independientemente de la índole de la conducta por la cual la persona en cuestión ha sido privada de libertad</w:t>
      </w:r>
      <w:r w:rsidRPr="008536ED">
        <w:rPr>
          <w:rStyle w:val="FootnoteReference"/>
          <w:rFonts w:asciiTheme="majorHAnsi" w:hAnsiTheme="majorHAnsi"/>
          <w:sz w:val="20"/>
          <w:szCs w:val="20"/>
          <w:lang w:val="es-ES"/>
        </w:rPr>
        <w:footnoteReference w:id="99"/>
      </w:r>
      <w:r>
        <w:rPr>
          <w:rFonts w:ascii="Cambria" w:hAnsi="Cambria"/>
          <w:sz w:val="20"/>
          <w:szCs w:val="20"/>
          <w:lang w:val="es-ES"/>
        </w:rPr>
        <w:t>.</w:t>
      </w:r>
    </w:p>
    <w:p w14:paraId="1C9A8819" w14:textId="77777777" w:rsidR="00953481" w:rsidRPr="00E222C3" w:rsidRDefault="00953481" w:rsidP="00953481">
      <w:pPr>
        <w:rPr>
          <w:rFonts w:asciiTheme="majorHAnsi" w:hAnsiTheme="majorHAnsi"/>
          <w:sz w:val="20"/>
          <w:szCs w:val="20"/>
          <w:bdr w:val="none" w:sz="0" w:space="0" w:color="auto" w:frame="1"/>
          <w:lang w:val="es-ES"/>
        </w:rPr>
      </w:pPr>
    </w:p>
    <w:p w14:paraId="6F63F0CF" w14:textId="77777777" w:rsidR="00953481" w:rsidRPr="008536ED" w:rsidRDefault="00953481" w:rsidP="00C341DD">
      <w:pPr>
        <w:pStyle w:val="NormalWeb"/>
        <w:numPr>
          <w:ilvl w:val="0"/>
          <w:numId w:val="55"/>
        </w:numPr>
        <w:shd w:val="clear" w:color="auto" w:fill="FFFFFF"/>
        <w:tabs>
          <w:tab w:val="left" w:pos="0"/>
          <w:tab w:val="left" w:pos="360"/>
          <w:tab w:val="left" w:pos="630"/>
          <w:tab w:val="left" w:pos="1440"/>
        </w:tabs>
        <w:suppressAutoHyphens/>
        <w:spacing w:before="0" w:beforeAutospacing="0" w:after="0" w:afterAutospacing="0"/>
        <w:ind w:left="0" w:firstLine="0"/>
        <w:jc w:val="both"/>
        <w:rPr>
          <w:rFonts w:asciiTheme="majorHAnsi" w:hAnsiTheme="majorHAnsi"/>
          <w:sz w:val="20"/>
          <w:szCs w:val="20"/>
          <w:lang w:val="es-ES"/>
        </w:rPr>
      </w:pPr>
      <w:r w:rsidRPr="008536ED">
        <w:rPr>
          <w:rFonts w:asciiTheme="majorHAnsi" w:hAnsiTheme="majorHAnsi"/>
          <w:sz w:val="20"/>
          <w:szCs w:val="20"/>
          <w:bdr w:val="none" w:sz="0" w:space="0" w:color="auto" w:frame="1"/>
          <w:lang w:val="es-ES"/>
        </w:rPr>
        <w:t xml:space="preserve">Según la información disponible, </w:t>
      </w:r>
      <w:r>
        <w:rPr>
          <w:rFonts w:asciiTheme="majorHAnsi" w:hAnsiTheme="majorHAnsi"/>
          <w:sz w:val="20"/>
          <w:szCs w:val="20"/>
          <w:bdr w:val="none" w:sz="0" w:space="0" w:color="auto" w:frame="1"/>
          <w:lang w:val="es-ES"/>
        </w:rPr>
        <w:t xml:space="preserve">hasta el </w:t>
      </w:r>
      <w:r w:rsidRPr="008536ED">
        <w:rPr>
          <w:rFonts w:asciiTheme="majorHAnsi" w:hAnsiTheme="majorHAnsi"/>
          <w:sz w:val="20"/>
          <w:szCs w:val="20"/>
          <w:lang w:val="es-ES"/>
        </w:rPr>
        <w:t>18</w:t>
      </w:r>
      <w:r>
        <w:rPr>
          <w:rFonts w:asciiTheme="majorHAnsi" w:hAnsiTheme="majorHAnsi"/>
          <w:sz w:val="20"/>
          <w:szCs w:val="20"/>
          <w:lang w:val="es-ES"/>
        </w:rPr>
        <w:t xml:space="preserve"> de julio de</w:t>
      </w:r>
      <w:r w:rsidRPr="008536ED">
        <w:rPr>
          <w:rFonts w:asciiTheme="majorHAnsi" w:hAnsiTheme="majorHAnsi"/>
          <w:sz w:val="20"/>
          <w:szCs w:val="20"/>
          <w:lang w:val="es-ES"/>
        </w:rPr>
        <w:t xml:space="preserve"> 2017, el señor </w:t>
      </w:r>
      <w:proofErr w:type="spellStart"/>
      <w:r w:rsidRPr="008536ED">
        <w:rPr>
          <w:rFonts w:asciiTheme="majorHAnsi" w:hAnsiTheme="majorHAnsi"/>
          <w:sz w:val="20"/>
          <w:szCs w:val="20"/>
          <w:lang w:val="es-ES"/>
        </w:rPr>
        <w:t>Rogovich</w:t>
      </w:r>
      <w:proofErr w:type="spellEnd"/>
      <w:r w:rsidRPr="008536ED">
        <w:rPr>
          <w:rFonts w:asciiTheme="majorHAnsi" w:hAnsiTheme="majorHAnsi"/>
          <w:sz w:val="20"/>
          <w:szCs w:val="20"/>
          <w:lang w:val="es-ES"/>
        </w:rPr>
        <w:t xml:space="preserve"> </w:t>
      </w:r>
      <w:r>
        <w:rPr>
          <w:rFonts w:asciiTheme="majorHAnsi" w:hAnsiTheme="majorHAnsi"/>
          <w:sz w:val="20"/>
          <w:szCs w:val="20"/>
          <w:lang w:val="es-ES"/>
        </w:rPr>
        <w:t>estuvo en régimen de aislamiento</w:t>
      </w:r>
      <w:r w:rsidRPr="008536ED">
        <w:rPr>
          <w:rFonts w:asciiTheme="majorHAnsi" w:hAnsiTheme="majorHAnsi"/>
          <w:sz w:val="20"/>
          <w:szCs w:val="20"/>
          <w:lang w:val="es-ES"/>
        </w:rPr>
        <w:t xml:space="preserve">, </w:t>
      </w:r>
      <w:r w:rsidRPr="00A91B5B">
        <w:rPr>
          <w:rFonts w:asciiTheme="majorHAnsi" w:hAnsiTheme="majorHAnsi"/>
          <w:sz w:val="20"/>
          <w:szCs w:val="20"/>
          <w:lang w:val="es-ES"/>
        </w:rPr>
        <w:t xml:space="preserve">en una celda sin ventana y sin luz natural, con la luz encendida incluso </w:t>
      </w:r>
      <w:r>
        <w:rPr>
          <w:rFonts w:asciiTheme="majorHAnsi" w:hAnsiTheme="majorHAnsi"/>
          <w:sz w:val="20"/>
          <w:szCs w:val="20"/>
          <w:lang w:val="es-ES"/>
        </w:rPr>
        <w:t>por la noche</w:t>
      </w:r>
      <w:r w:rsidRPr="00A91B5B">
        <w:rPr>
          <w:rFonts w:asciiTheme="majorHAnsi" w:hAnsiTheme="majorHAnsi"/>
          <w:sz w:val="20"/>
          <w:szCs w:val="20"/>
          <w:lang w:val="es-ES"/>
        </w:rPr>
        <w:t xml:space="preserve">. </w:t>
      </w:r>
      <w:r>
        <w:rPr>
          <w:rFonts w:asciiTheme="majorHAnsi" w:hAnsiTheme="majorHAnsi"/>
          <w:sz w:val="20"/>
          <w:szCs w:val="20"/>
          <w:lang w:val="es-ES"/>
        </w:rPr>
        <w:t>L</w:t>
      </w:r>
      <w:r w:rsidRPr="00A91B5B">
        <w:rPr>
          <w:rFonts w:asciiTheme="majorHAnsi" w:hAnsiTheme="majorHAnsi"/>
          <w:sz w:val="20"/>
          <w:szCs w:val="20"/>
          <w:lang w:val="es-ES"/>
        </w:rPr>
        <w:t xml:space="preserve">os </w:t>
      </w:r>
      <w:r>
        <w:rPr>
          <w:rFonts w:asciiTheme="majorHAnsi" w:hAnsiTheme="majorHAnsi"/>
          <w:sz w:val="20"/>
          <w:szCs w:val="20"/>
          <w:lang w:val="es-ES"/>
        </w:rPr>
        <w:t xml:space="preserve">internos </w:t>
      </w:r>
      <w:r w:rsidRPr="00A91B5B">
        <w:rPr>
          <w:rFonts w:asciiTheme="majorHAnsi" w:hAnsiTheme="majorHAnsi"/>
          <w:sz w:val="20"/>
          <w:szCs w:val="20"/>
          <w:lang w:val="es-ES"/>
        </w:rPr>
        <w:t>podían salir de la celda solo tres veces por semana durante dos horas como máximo</w:t>
      </w:r>
      <w:r w:rsidRPr="008536ED">
        <w:rPr>
          <w:rFonts w:asciiTheme="majorHAnsi" w:hAnsiTheme="majorHAnsi"/>
          <w:sz w:val="20"/>
          <w:szCs w:val="20"/>
          <w:lang w:val="es-ES"/>
        </w:rPr>
        <w:t xml:space="preserve">. </w:t>
      </w:r>
      <w:r>
        <w:rPr>
          <w:rFonts w:asciiTheme="majorHAnsi" w:hAnsiTheme="majorHAnsi"/>
          <w:sz w:val="20"/>
          <w:szCs w:val="20"/>
          <w:lang w:val="es-ES"/>
        </w:rPr>
        <w:t xml:space="preserve">Asimismo, según la información proporcionada, </w:t>
      </w:r>
      <w:r w:rsidRPr="00A91B5B">
        <w:rPr>
          <w:rFonts w:asciiTheme="majorHAnsi" w:hAnsiTheme="majorHAnsi"/>
          <w:sz w:val="20"/>
          <w:szCs w:val="20"/>
          <w:lang w:val="es-ES"/>
        </w:rPr>
        <w:t xml:space="preserve">en la Unidad </w:t>
      </w:r>
      <w:proofErr w:type="spellStart"/>
      <w:r w:rsidRPr="00A91B5B">
        <w:rPr>
          <w:rFonts w:asciiTheme="majorHAnsi" w:hAnsiTheme="majorHAnsi"/>
          <w:sz w:val="20"/>
          <w:szCs w:val="20"/>
          <w:lang w:val="es-ES"/>
        </w:rPr>
        <w:t>Eyman</w:t>
      </w:r>
      <w:proofErr w:type="spellEnd"/>
      <w:r w:rsidRPr="00A91B5B">
        <w:rPr>
          <w:rFonts w:asciiTheme="majorHAnsi" w:hAnsiTheme="majorHAnsi"/>
          <w:sz w:val="20"/>
          <w:szCs w:val="20"/>
          <w:lang w:val="es-ES"/>
        </w:rPr>
        <w:t xml:space="preserve"> del Complejo Penitenciario del Estado de Arizona </w:t>
      </w:r>
      <w:r>
        <w:rPr>
          <w:rFonts w:asciiTheme="majorHAnsi" w:hAnsiTheme="majorHAnsi"/>
          <w:sz w:val="20"/>
          <w:szCs w:val="20"/>
          <w:lang w:val="es-ES"/>
        </w:rPr>
        <w:t xml:space="preserve">no hay suficiente personal competente especializado en salud </w:t>
      </w:r>
      <w:r w:rsidRPr="008536ED">
        <w:rPr>
          <w:rFonts w:asciiTheme="majorHAnsi" w:hAnsiTheme="majorHAnsi"/>
          <w:sz w:val="20"/>
          <w:szCs w:val="20"/>
          <w:lang w:val="es-ES"/>
        </w:rPr>
        <w:t xml:space="preserve">mental </w:t>
      </w:r>
      <w:r>
        <w:rPr>
          <w:rFonts w:asciiTheme="majorHAnsi" w:hAnsiTheme="majorHAnsi"/>
          <w:sz w:val="20"/>
          <w:szCs w:val="20"/>
          <w:lang w:val="es-ES"/>
        </w:rPr>
        <w:t>y no se administran medicamentos regularmente</w:t>
      </w:r>
      <w:r w:rsidRPr="008536ED">
        <w:rPr>
          <w:rFonts w:asciiTheme="majorHAnsi" w:hAnsiTheme="majorHAnsi"/>
          <w:sz w:val="20"/>
          <w:szCs w:val="20"/>
          <w:lang w:val="es-ES"/>
        </w:rPr>
        <w:t>.</w:t>
      </w:r>
      <w:r>
        <w:rPr>
          <w:rFonts w:asciiTheme="majorHAnsi" w:hAnsiTheme="majorHAnsi"/>
          <w:sz w:val="20"/>
          <w:szCs w:val="20"/>
          <w:lang w:val="es-ES"/>
        </w:rPr>
        <w:t xml:space="preserve"> </w:t>
      </w:r>
    </w:p>
    <w:p w14:paraId="681A2B36" w14:textId="77777777" w:rsidR="00953481" w:rsidRPr="00400DC5" w:rsidRDefault="00953481" w:rsidP="00953481">
      <w:pPr>
        <w:rPr>
          <w:sz w:val="20"/>
          <w:szCs w:val="20"/>
          <w:lang w:val="es-ES"/>
        </w:rPr>
      </w:pPr>
    </w:p>
    <w:p w14:paraId="4EF893C1" w14:textId="77777777" w:rsidR="00953481" w:rsidRPr="008536ED" w:rsidRDefault="00953481" w:rsidP="00C341DD">
      <w:pPr>
        <w:pStyle w:val="NormalWeb"/>
        <w:numPr>
          <w:ilvl w:val="0"/>
          <w:numId w:val="55"/>
        </w:numPr>
        <w:shd w:val="clear" w:color="auto" w:fill="FFFFFF"/>
        <w:tabs>
          <w:tab w:val="left" w:pos="0"/>
          <w:tab w:val="left" w:pos="360"/>
          <w:tab w:val="left" w:pos="630"/>
          <w:tab w:val="left" w:pos="1440"/>
        </w:tabs>
        <w:suppressAutoHyphens/>
        <w:spacing w:before="0" w:beforeAutospacing="0" w:after="0" w:afterAutospacing="0"/>
        <w:ind w:left="0" w:firstLine="0"/>
        <w:jc w:val="both"/>
        <w:rPr>
          <w:rFonts w:asciiTheme="majorHAnsi" w:hAnsiTheme="majorHAnsi"/>
          <w:sz w:val="20"/>
          <w:szCs w:val="20"/>
          <w:lang w:val="es-ES"/>
        </w:rPr>
      </w:pPr>
      <w:r>
        <w:rPr>
          <w:rFonts w:ascii="Cambria" w:hAnsi="Cambria"/>
          <w:sz w:val="20"/>
          <w:szCs w:val="20"/>
          <w:lang w:val="es-ES"/>
        </w:rPr>
        <w:t>Por lo tanto, con base de la información disponible</w:t>
      </w:r>
      <w:r w:rsidRPr="008536ED">
        <w:rPr>
          <w:rFonts w:ascii="Cambria" w:hAnsi="Cambria"/>
          <w:sz w:val="20"/>
          <w:szCs w:val="20"/>
          <w:lang w:val="es-ES"/>
        </w:rPr>
        <w:t>, la CIDH consider</w:t>
      </w:r>
      <w:r>
        <w:rPr>
          <w:rFonts w:ascii="Cambria" w:hAnsi="Cambria"/>
          <w:sz w:val="20"/>
          <w:szCs w:val="20"/>
          <w:lang w:val="es-ES"/>
        </w:rPr>
        <w:t xml:space="preserve">a que, durante más de 20 años, </w:t>
      </w:r>
      <w:r w:rsidRPr="008536ED">
        <w:rPr>
          <w:rFonts w:ascii="Cambria" w:hAnsi="Cambria"/>
          <w:sz w:val="20"/>
          <w:szCs w:val="20"/>
          <w:lang w:val="es-ES"/>
        </w:rPr>
        <w:t xml:space="preserve">el señor </w:t>
      </w:r>
      <w:proofErr w:type="spellStart"/>
      <w:r w:rsidRPr="008536ED">
        <w:rPr>
          <w:rFonts w:ascii="Cambria" w:hAnsi="Cambria"/>
          <w:sz w:val="20"/>
          <w:szCs w:val="20"/>
          <w:lang w:val="es-ES"/>
        </w:rPr>
        <w:t>Rogovich</w:t>
      </w:r>
      <w:proofErr w:type="spellEnd"/>
      <w:r w:rsidRPr="008536ED">
        <w:rPr>
          <w:rFonts w:ascii="Cambria" w:hAnsi="Cambria"/>
          <w:sz w:val="20"/>
          <w:szCs w:val="20"/>
          <w:lang w:val="es-ES"/>
        </w:rPr>
        <w:t xml:space="preserve"> </w:t>
      </w:r>
      <w:r>
        <w:rPr>
          <w:rFonts w:ascii="Cambria" w:hAnsi="Cambria"/>
          <w:sz w:val="20"/>
          <w:szCs w:val="20"/>
          <w:lang w:val="es-ES"/>
        </w:rPr>
        <w:t>fue mantenido en régimen de aislamiento prolongado</w:t>
      </w:r>
      <w:r w:rsidRPr="008536ED">
        <w:rPr>
          <w:rFonts w:ascii="Cambria" w:hAnsi="Cambria"/>
          <w:sz w:val="20"/>
          <w:szCs w:val="20"/>
          <w:lang w:val="es-ES"/>
        </w:rPr>
        <w:t xml:space="preserve"> </w:t>
      </w:r>
      <w:r>
        <w:rPr>
          <w:rFonts w:ascii="Cambria" w:hAnsi="Cambria"/>
          <w:sz w:val="20"/>
          <w:szCs w:val="20"/>
          <w:lang w:val="es-ES"/>
        </w:rPr>
        <w:t xml:space="preserve">debido principalmente a que había sido condenado a muerte. De acuerdo con las normas internacionales de derechos humanos, </w:t>
      </w:r>
      <w:r w:rsidRPr="008536ED">
        <w:rPr>
          <w:rFonts w:ascii="Cambria" w:hAnsi="Cambria"/>
          <w:sz w:val="20"/>
          <w:szCs w:val="20"/>
          <w:lang w:val="es-ES"/>
        </w:rPr>
        <w:t>la Comisión Interamericana conclu</w:t>
      </w:r>
      <w:r>
        <w:rPr>
          <w:rFonts w:ascii="Cambria" w:hAnsi="Cambria"/>
          <w:sz w:val="20"/>
          <w:szCs w:val="20"/>
          <w:lang w:val="es-ES"/>
        </w:rPr>
        <w:t xml:space="preserve">ye que, al mantener a </w:t>
      </w:r>
      <w:r w:rsidRPr="008536ED">
        <w:rPr>
          <w:rFonts w:ascii="Cambria" w:hAnsi="Cambria"/>
          <w:sz w:val="20"/>
          <w:szCs w:val="20"/>
          <w:lang w:val="es-ES"/>
        </w:rPr>
        <w:t xml:space="preserve">la presunta víctima </w:t>
      </w:r>
      <w:r>
        <w:rPr>
          <w:rFonts w:ascii="Cambria" w:hAnsi="Cambria"/>
          <w:sz w:val="20"/>
          <w:szCs w:val="20"/>
          <w:lang w:val="es-ES"/>
        </w:rPr>
        <w:t>e</w:t>
      </w:r>
      <w:r w:rsidRPr="008536ED">
        <w:rPr>
          <w:rFonts w:ascii="Cambria" w:hAnsi="Cambria"/>
          <w:sz w:val="20"/>
          <w:szCs w:val="20"/>
          <w:lang w:val="es-ES"/>
        </w:rPr>
        <w:t xml:space="preserve">n </w:t>
      </w:r>
      <w:r>
        <w:rPr>
          <w:rFonts w:ascii="Cambria" w:hAnsi="Cambria"/>
          <w:sz w:val="20"/>
          <w:szCs w:val="20"/>
          <w:lang w:val="es-ES"/>
        </w:rPr>
        <w:t>régimen de aislamiento prolongado</w:t>
      </w:r>
      <w:r w:rsidRPr="008536ED">
        <w:rPr>
          <w:rFonts w:ascii="Cambria" w:hAnsi="Cambria"/>
          <w:sz w:val="20"/>
          <w:szCs w:val="20"/>
          <w:lang w:val="es-ES"/>
        </w:rPr>
        <w:t xml:space="preserve">, Estados Unidos </w:t>
      </w:r>
      <w:r>
        <w:rPr>
          <w:rFonts w:ascii="Cambria" w:hAnsi="Cambria"/>
          <w:sz w:val="20"/>
          <w:szCs w:val="20"/>
          <w:lang w:val="es-ES"/>
        </w:rPr>
        <w:t xml:space="preserve">la sometió a un trato inhumano durante su reclusión y le impuso un </w:t>
      </w:r>
      <w:r w:rsidRPr="00245319">
        <w:rPr>
          <w:rFonts w:ascii="Cambria" w:hAnsi="Cambria"/>
          <w:sz w:val="20"/>
          <w:szCs w:val="20"/>
          <w:lang w:val="es-ES"/>
        </w:rPr>
        <w:t>castigo cruel, infamante o inusitado</w:t>
      </w:r>
      <w:r w:rsidRPr="008536ED">
        <w:rPr>
          <w:rFonts w:ascii="Cambria" w:hAnsi="Cambria"/>
          <w:sz w:val="20"/>
          <w:szCs w:val="20"/>
          <w:lang w:val="es-ES"/>
        </w:rPr>
        <w:t xml:space="preserve">, </w:t>
      </w:r>
      <w:r>
        <w:rPr>
          <w:rFonts w:ascii="Cambria" w:hAnsi="Cambria"/>
          <w:sz w:val="20"/>
          <w:szCs w:val="20"/>
          <w:lang w:val="es-ES"/>
        </w:rPr>
        <w:t>e</w:t>
      </w:r>
      <w:r w:rsidRPr="008536ED">
        <w:rPr>
          <w:rFonts w:ascii="Cambria" w:hAnsi="Cambria"/>
          <w:sz w:val="20"/>
          <w:szCs w:val="20"/>
          <w:lang w:val="es-ES"/>
        </w:rPr>
        <w:t xml:space="preserve">n violación </w:t>
      </w:r>
      <w:r>
        <w:rPr>
          <w:rFonts w:ascii="Cambria" w:hAnsi="Cambria"/>
          <w:sz w:val="20"/>
          <w:szCs w:val="20"/>
          <w:lang w:val="es-ES"/>
        </w:rPr>
        <w:t xml:space="preserve">de los </w:t>
      </w:r>
      <w:r w:rsidRPr="008536ED">
        <w:rPr>
          <w:rFonts w:ascii="Cambria" w:hAnsi="Cambria"/>
          <w:sz w:val="20"/>
          <w:szCs w:val="20"/>
          <w:lang w:val="es-ES"/>
        </w:rPr>
        <w:t xml:space="preserve">artículos XXV </w:t>
      </w:r>
      <w:r>
        <w:rPr>
          <w:rFonts w:ascii="Cambria" w:hAnsi="Cambria"/>
          <w:sz w:val="20"/>
          <w:szCs w:val="20"/>
          <w:lang w:val="es-ES"/>
        </w:rPr>
        <w:t>y</w:t>
      </w:r>
      <w:r w:rsidRPr="008536ED">
        <w:rPr>
          <w:rFonts w:ascii="Cambria" w:hAnsi="Cambria"/>
          <w:sz w:val="20"/>
          <w:szCs w:val="20"/>
          <w:lang w:val="es-ES"/>
        </w:rPr>
        <w:t xml:space="preserve"> XXVI </w:t>
      </w:r>
      <w:r>
        <w:rPr>
          <w:rFonts w:ascii="Cambria" w:hAnsi="Cambria"/>
          <w:sz w:val="20"/>
          <w:szCs w:val="20"/>
          <w:lang w:val="es-ES"/>
        </w:rPr>
        <w:t xml:space="preserve">de la </w:t>
      </w:r>
      <w:r w:rsidRPr="008536ED">
        <w:rPr>
          <w:rFonts w:ascii="Cambria" w:hAnsi="Cambria"/>
          <w:sz w:val="20"/>
          <w:szCs w:val="20"/>
          <w:lang w:val="es-ES"/>
        </w:rPr>
        <w:t>Declaración Americana. A</w:t>
      </w:r>
      <w:r>
        <w:rPr>
          <w:rFonts w:ascii="Cambria" w:hAnsi="Cambria"/>
          <w:sz w:val="20"/>
          <w:szCs w:val="20"/>
          <w:lang w:val="es-ES"/>
        </w:rPr>
        <w:t>simismo, en vista del estado de salud mental d</w:t>
      </w:r>
      <w:r w:rsidRPr="008536ED">
        <w:rPr>
          <w:rFonts w:ascii="Cambria" w:hAnsi="Cambria"/>
          <w:sz w:val="20"/>
          <w:szCs w:val="20"/>
          <w:lang w:val="es-ES"/>
        </w:rPr>
        <w:t xml:space="preserve">el señor </w:t>
      </w:r>
      <w:proofErr w:type="spellStart"/>
      <w:r w:rsidRPr="008536ED">
        <w:rPr>
          <w:rFonts w:ascii="Cambria" w:hAnsi="Cambria"/>
          <w:sz w:val="20"/>
          <w:szCs w:val="20"/>
          <w:lang w:val="es-ES"/>
        </w:rPr>
        <w:t>Rogovich</w:t>
      </w:r>
      <w:proofErr w:type="spellEnd"/>
      <w:r>
        <w:rPr>
          <w:rFonts w:ascii="Cambria" w:hAnsi="Cambria"/>
          <w:sz w:val="20"/>
          <w:szCs w:val="20"/>
          <w:lang w:val="es-ES"/>
        </w:rPr>
        <w:t xml:space="preserve"> y la obligación mayor del </w:t>
      </w:r>
      <w:r w:rsidRPr="008536ED">
        <w:rPr>
          <w:rFonts w:ascii="Cambria" w:hAnsi="Cambria"/>
          <w:sz w:val="20"/>
          <w:szCs w:val="20"/>
          <w:lang w:val="es-ES"/>
        </w:rPr>
        <w:t xml:space="preserve">Estado </w:t>
      </w:r>
      <w:r>
        <w:rPr>
          <w:rFonts w:ascii="Cambria" w:hAnsi="Cambria"/>
          <w:sz w:val="20"/>
          <w:szCs w:val="20"/>
          <w:lang w:val="es-ES"/>
        </w:rPr>
        <w:t xml:space="preserve">con respecto a las personas que se encuentren bajo su custodia, la falta de atención médica adecuada y de medicamentos constituye una violación del artículo </w:t>
      </w:r>
      <w:r w:rsidRPr="008536ED">
        <w:rPr>
          <w:rFonts w:ascii="Cambria" w:hAnsi="Cambria"/>
          <w:sz w:val="20"/>
          <w:szCs w:val="20"/>
          <w:lang w:val="es-ES"/>
        </w:rPr>
        <w:t xml:space="preserve">XI </w:t>
      </w:r>
      <w:r>
        <w:rPr>
          <w:rFonts w:ascii="Cambria" w:hAnsi="Cambria"/>
          <w:sz w:val="20"/>
          <w:szCs w:val="20"/>
          <w:lang w:val="es-ES"/>
        </w:rPr>
        <w:t xml:space="preserve">de la </w:t>
      </w:r>
      <w:r w:rsidRPr="008536ED">
        <w:rPr>
          <w:rFonts w:ascii="Cambria" w:hAnsi="Cambria"/>
          <w:sz w:val="20"/>
          <w:szCs w:val="20"/>
          <w:lang w:val="es-ES"/>
        </w:rPr>
        <w:t>Declaración Americana.</w:t>
      </w:r>
    </w:p>
    <w:p w14:paraId="3149247D" w14:textId="77777777" w:rsidR="00953481" w:rsidRPr="00400DC5" w:rsidRDefault="00953481" w:rsidP="00953481">
      <w:pPr>
        <w:tabs>
          <w:tab w:val="left" w:pos="360"/>
        </w:tabs>
        <w:rPr>
          <w:rFonts w:asciiTheme="majorHAnsi" w:hAnsiTheme="majorHAnsi"/>
          <w:b/>
          <w:sz w:val="20"/>
          <w:szCs w:val="20"/>
          <w:lang w:val="es-ES"/>
        </w:rPr>
      </w:pPr>
    </w:p>
    <w:p w14:paraId="5E098CED" w14:textId="77777777" w:rsidR="00953481" w:rsidRPr="00953481" w:rsidRDefault="00953481" w:rsidP="00C341DD">
      <w:pPr>
        <w:pStyle w:val="Heading3"/>
        <w:keepLines/>
        <w:numPr>
          <w:ilvl w:val="3"/>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32" w:name="_Toc90283154"/>
      <w:r w:rsidRPr="00953481">
        <w:rPr>
          <w:rFonts w:asciiTheme="majorHAnsi" w:hAnsiTheme="majorHAnsi"/>
          <w:sz w:val="20"/>
          <w:szCs w:val="20"/>
          <w:lang w:val="es-ES"/>
        </w:rPr>
        <w:t>Método de ejecución</w:t>
      </w:r>
      <w:bookmarkEnd w:id="32"/>
    </w:p>
    <w:p w14:paraId="2F703ECF" w14:textId="77777777" w:rsidR="00953481" w:rsidRPr="008536ED" w:rsidRDefault="00953481" w:rsidP="00953481">
      <w:pPr>
        <w:pStyle w:val="ListParagraph"/>
        <w:tabs>
          <w:tab w:val="left" w:pos="360"/>
        </w:tabs>
        <w:ind w:left="0"/>
        <w:rPr>
          <w:b/>
          <w:sz w:val="20"/>
          <w:szCs w:val="20"/>
          <w:lang w:val="es-ES"/>
        </w:rPr>
      </w:pPr>
    </w:p>
    <w:p w14:paraId="00265575"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t>E</w:t>
      </w:r>
      <w:r w:rsidRPr="008536ED">
        <w:rPr>
          <w:rFonts w:ascii="Cambria" w:hAnsi="Cambria"/>
          <w:sz w:val="20"/>
          <w:szCs w:val="20"/>
          <w:lang w:val="es-ES"/>
        </w:rPr>
        <w:t xml:space="preserve">n </w:t>
      </w:r>
      <w:r>
        <w:rPr>
          <w:rFonts w:ascii="Cambria" w:hAnsi="Cambria"/>
          <w:sz w:val="20"/>
          <w:szCs w:val="20"/>
          <w:lang w:val="es-ES"/>
        </w:rPr>
        <w:t xml:space="preserve">los casos de delitos punibles con la pena de muerte, </w:t>
      </w:r>
      <w:r w:rsidRPr="008536ED">
        <w:rPr>
          <w:rFonts w:ascii="Cambria" w:hAnsi="Cambria"/>
          <w:sz w:val="20"/>
          <w:szCs w:val="20"/>
          <w:lang w:val="es-ES"/>
        </w:rPr>
        <w:t xml:space="preserve">el Estado </w:t>
      </w:r>
      <w:r>
        <w:rPr>
          <w:rFonts w:ascii="Cambria" w:hAnsi="Cambria"/>
          <w:sz w:val="20"/>
          <w:szCs w:val="20"/>
          <w:lang w:val="es-ES"/>
        </w:rPr>
        <w:t>tiene una obligación mayor</w:t>
      </w:r>
      <w:r w:rsidRPr="008536ED">
        <w:rPr>
          <w:rFonts w:ascii="Cambria" w:hAnsi="Cambria"/>
          <w:sz w:val="20"/>
          <w:szCs w:val="20"/>
          <w:lang w:val="es-ES"/>
        </w:rPr>
        <w:t xml:space="preserve"> </w:t>
      </w:r>
      <w:r>
        <w:rPr>
          <w:rFonts w:ascii="Cambria" w:hAnsi="Cambria"/>
          <w:sz w:val="20"/>
          <w:szCs w:val="20"/>
          <w:lang w:val="es-ES"/>
        </w:rPr>
        <w:t>de asegurar que la persona que ha sido condenada a muerte tenga acceso a toda la información pertinente sobre la forma en que va a morir</w:t>
      </w:r>
      <w:r w:rsidRPr="008536ED">
        <w:rPr>
          <w:rFonts w:ascii="Cambria" w:hAnsi="Cambria"/>
          <w:sz w:val="20"/>
          <w:szCs w:val="20"/>
          <w:lang w:val="es-ES"/>
        </w:rPr>
        <w:t xml:space="preserve">. </w:t>
      </w:r>
      <w:r>
        <w:rPr>
          <w:rFonts w:ascii="Cambria" w:hAnsi="Cambria"/>
          <w:sz w:val="20"/>
          <w:szCs w:val="20"/>
          <w:lang w:val="es-ES"/>
        </w:rPr>
        <w:t>E</w:t>
      </w:r>
      <w:r w:rsidRPr="008536ED">
        <w:rPr>
          <w:rFonts w:ascii="Cambria" w:hAnsi="Cambria"/>
          <w:sz w:val="20"/>
          <w:szCs w:val="20"/>
          <w:lang w:val="es-ES"/>
        </w:rPr>
        <w:t xml:space="preserve">n particular, </w:t>
      </w:r>
      <w:r>
        <w:rPr>
          <w:rFonts w:ascii="Cambria" w:hAnsi="Cambria"/>
          <w:sz w:val="20"/>
          <w:szCs w:val="20"/>
          <w:lang w:val="es-ES"/>
        </w:rPr>
        <w:t xml:space="preserve">el condenado debe tener acceso a información sobre los procedimientos exactos que se seguirán, así como los fármacos y las dosis que se usarán en los casos de ejecución por </w:t>
      </w:r>
      <w:r w:rsidRPr="008536ED">
        <w:rPr>
          <w:rFonts w:ascii="Cambria" w:hAnsi="Cambria"/>
          <w:sz w:val="20"/>
          <w:szCs w:val="20"/>
          <w:lang w:val="es-ES"/>
        </w:rPr>
        <w:t xml:space="preserve">inyección, </w:t>
      </w:r>
      <w:r>
        <w:rPr>
          <w:rFonts w:ascii="Cambria" w:hAnsi="Cambria"/>
          <w:sz w:val="20"/>
          <w:szCs w:val="20"/>
          <w:lang w:val="es-ES"/>
        </w:rPr>
        <w:t>la composición del equipo a cargo de la ejecución y su capacitación</w:t>
      </w:r>
      <w:r w:rsidRPr="008536ED">
        <w:rPr>
          <w:rStyle w:val="FootnoteReference"/>
          <w:rFonts w:asciiTheme="majorHAnsi" w:hAnsiTheme="majorHAnsi"/>
          <w:sz w:val="20"/>
          <w:szCs w:val="20"/>
          <w:lang w:val="es-ES"/>
        </w:rPr>
        <w:footnoteReference w:id="100"/>
      </w:r>
      <w:r>
        <w:rPr>
          <w:rFonts w:ascii="Cambria" w:hAnsi="Cambria"/>
          <w:sz w:val="20"/>
          <w:szCs w:val="20"/>
          <w:lang w:val="es-ES"/>
        </w:rPr>
        <w:t>.</w:t>
      </w:r>
      <w:r w:rsidRPr="008536ED">
        <w:rPr>
          <w:rFonts w:ascii="Cambria" w:hAnsi="Cambria"/>
          <w:sz w:val="20"/>
          <w:szCs w:val="20"/>
          <w:lang w:val="es-ES"/>
        </w:rPr>
        <w:t xml:space="preserve"> </w:t>
      </w:r>
    </w:p>
    <w:p w14:paraId="59A91D34"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47D23A78"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t xml:space="preserve">Toda persona a quien vaya a aplicarse </w:t>
      </w:r>
      <w:r w:rsidRPr="008536ED">
        <w:rPr>
          <w:rFonts w:ascii="Cambria" w:hAnsi="Cambria"/>
          <w:sz w:val="20"/>
          <w:szCs w:val="20"/>
          <w:lang w:val="es-ES"/>
        </w:rPr>
        <w:t xml:space="preserve">la pena de muerte </w:t>
      </w:r>
      <w:r>
        <w:rPr>
          <w:rFonts w:ascii="Cambria" w:hAnsi="Cambria"/>
          <w:sz w:val="20"/>
          <w:szCs w:val="20"/>
          <w:lang w:val="es-ES"/>
        </w:rPr>
        <w:t xml:space="preserve">debe tener la oportunidad de impugnar cada aspecto del procedimiento de la ejecución, y esa </w:t>
      </w:r>
      <w:r w:rsidRPr="008536ED">
        <w:rPr>
          <w:rFonts w:ascii="Cambria" w:hAnsi="Cambria"/>
          <w:sz w:val="20"/>
          <w:szCs w:val="20"/>
          <w:lang w:val="es-ES"/>
        </w:rPr>
        <w:t xml:space="preserve">información </w:t>
      </w:r>
      <w:r>
        <w:rPr>
          <w:rFonts w:ascii="Cambria" w:hAnsi="Cambria"/>
          <w:sz w:val="20"/>
          <w:szCs w:val="20"/>
          <w:lang w:val="es-ES"/>
        </w:rPr>
        <w:t>e</w:t>
      </w:r>
      <w:r w:rsidRPr="008536ED">
        <w:rPr>
          <w:rFonts w:ascii="Cambria" w:hAnsi="Cambria"/>
          <w:sz w:val="20"/>
          <w:szCs w:val="20"/>
          <w:lang w:val="es-ES"/>
        </w:rPr>
        <w:t>s necesar</w:t>
      </w:r>
      <w:r>
        <w:rPr>
          <w:rFonts w:ascii="Cambria" w:hAnsi="Cambria"/>
          <w:sz w:val="20"/>
          <w:szCs w:val="20"/>
          <w:lang w:val="es-ES"/>
        </w:rPr>
        <w:t xml:space="preserve">ia para la impugnación. </w:t>
      </w:r>
      <w:r w:rsidRPr="008536ED">
        <w:rPr>
          <w:rFonts w:ascii="Cambria" w:hAnsi="Cambria"/>
          <w:sz w:val="20"/>
          <w:szCs w:val="20"/>
          <w:lang w:val="es-ES"/>
        </w:rPr>
        <w:t xml:space="preserve">La CIDH </w:t>
      </w:r>
      <w:r>
        <w:rPr>
          <w:rFonts w:ascii="Cambria" w:hAnsi="Cambria"/>
          <w:sz w:val="20"/>
          <w:szCs w:val="20"/>
          <w:lang w:val="es-ES"/>
        </w:rPr>
        <w:t>observa en ese sentido que los requisitos del debido proceso no se limitan a la condena y a las</w:t>
      </w:r>
      <w:r w:rsidRPr="008536ED">
        <w:rPr>
          <w:rFonts w:ascii="Cambria" w:hAnsi="Cambria"/>
          <w:sz w:val="20"/>
          <w:szCs w:val="20"/>
          <w:lang w:val="es-ES"/>
        </w:rPr>
        <w:t xml:space="preserve"> actuaciones </w:t>
      </w:r>
      <w:proofErr w:type="spellStart"/>
      <w:r w:rsidRPr="008536ED">
        <w:rPr>
          <w:rFonts w:ascii="Cambria" w:hAnsi="Cambria"/>
          <w:sz w:val="20"/>
          <w:szCs w:val="20"/>
          <w:lang w:val="es-ES"/>
        </w:rPr>
        <w:t>poscondenatorias</w:t>
      </w:r>
      <w:proofErr w:type="spellEnd"/>
      <w:r w:rsidRPr="008536ED">
        <w:rPr>
          <w:rStyle w:val="FootnoteReference"/>
          <w:rFonts w:asciiTheme="majorHAnsi" w:hAnsiTheme="majorHAnsi"/>
          <w:sz w:val="20"/>
          <w:szCs w:val="20"/>
          <w:lang w:val="es-ES"/>
        </w:rPr>
        <w:footnoteReference w:id="101"/>
      </w:r>
      <w:r>
        <w:rPr>
          <w:rFonts w:ascii="Cambria" w:hAnsi="Cambria"/>
          <w:sz w:val="20"/>
          <w:szCs w:val="20"/>
          <w:lang w:val="es-ES"/>
        </w:rPr>
        <w:t>. Por lo tanto</w:t>
      </w:r>
      <w:r w:rsidRPr="008536ED">
        <w:rPr>
          <w:rFonts w:ascii="Cambria" w:hAnsi="Cambria"/>
          <w:sz w:val="20"/>
          <w:szCs w:val="20"/>
          <w:lang w:val="es-ES"/>
        </w:rPr>
        <w:t xml:space="preserve">, el Estado </w:t>
      </w:r>
      <w:r>
        <w:rPr>
          <w:rFonts w:ascii="Cambria" w:hAnsi="Cambria"/>
          <w:sz w:val="20"/>
          <w:szCs w:val="20"/>
          <w:lang w:val="es-ES"/>
        </w:rPr>
        <w:t xml:space="preserve">tiene el deber de informar de manera oportuna a la persona condenada a muerte sobre el fármaco y el </w:t>
      </w:r>
      <w:r w:rsidRPr="008536ED">
        <w:rPr>
          <w:rFonts w:ascii="Cambria" w:hAnsi="Cambria"/>
          <w:sz w:val="20"/>
          <w:szCs w:val="20"/>
          <w:lang w:val="es-ES"/>
        </w:rPr>
        <w:t xml:space="preserve">método de ejecución </w:t>
      </w:r>
      <w:r>
        <w:rPr>
          <w:rFonts w:ascii="Cambria" w:hAnsi="Cambria"/>
          <w:sz w:val="20"/>
          <w:szCs w:val="20"/>
          <w:lang w:val="es-ES"/>
        </w:rPr>
        <w:t xml:space="preserve">que se usarán, a fin de que no se le impida defender judicialmente el derecho a ser ejecutada sin un sufrimiento </w:t>
      </w:r>
      <w:r w:rsidRPr="008536ED">
        <w:rPr>
          <w:rFonts w:ascii="Cambria" w:hAnsi="Cambria"/>
          <w:sz w:val="20"/>
          <w:szCs w:val="20"/>
          <w:lang w:val="es-ES"/>
        </w:rPr>
        <w:t xml:space="preserve">cruel </w:t>
      </w:r>
      <w:r>
        <w:rPr>
          <w:rFonts w:ascii="Cambria" w:hAnsi="Cambria"/>
          <w:sz w:val="20"/>
          <w:szCs w:val="20"/>
          <w:lang w:val="es-ES"/>
        </w:rPr>
        <w:t>e inusitado</w:t>
      </w:r>
      <w:r w:rsidRPr="008536ED">
        <w:rPr>
          <w:rFonts w:ascii="Cambria" w:hAnsi="Cambria"/>
          <w:sz w:val="20"/>
          <w:szCs w:val="20"/>
          <w:lang w:val="es-ES"/>
        </w:rPr>
        <w:t>.</w:t>
      </w:r>
      <w:r>
        <w:rPr>
          <w:rFonts w:ascii="Cambria" w:hAnsi="Cambria"/>
          <w:sz w:val="20"/>
          <w:szCs w:val="20"/>
          <w:lang w:val="es-ES"/>
        </w:rPr>
        <w:t xml:space="preserve">  </w:t>
      </w:r>
    </w:p>
    <w:p w14:paraId="6719E901" w14:textId="77777777" w:rsidR="00953481" w:rsidRPr="00400DC5" w:rsidRDefault="00953481" w:rsidP="00953481">
      <w:pPr>
        <w:rPr>
          <w:sz w:val="20"/>
          <w:szCs w:val="20"/>
          <w:lang w:val="es-ES"/>
        </w:rPr>
      </w:pPr>
    </w:p>
    <w:p w14:paraId="680CBC47"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t>Asimismo</w:t>
      </w:r>
      <w:r w:rsidRPr="008536ED">
        <w:rPr>
          <w:rFonts w:ascii="Cambria" w:hAnsi="Cambria"/>
          <w:sz w:val="20"/>
          <w:szCs w:val="20"/>
          <w:lang w:val="es-ES"/>
        </w:rPr>
        <w:t xml:space="preserve">, la CIDH </w:t>
      </w:r>
      <w:r>
        <w:rPr>
          <w:rFonts w:ascii="Cambria" w:hAnsi="Cambria"/>
          <w:sz w:val="20"/>
          <w:szCs w:val="20"/>
          <w:lang w:val="es-ES"/>
        </w:rPr>
        <w:t>recalca el deber mayor y e</w:t>
      </w:r>
      <w:r w:rsidRPr="008536ED">
        <w:rPr>
          <w:rFonts w:ascii="Cambria" w:hAnsi="Cambria"/>
          <w:sz w:val="20"/>
          <w:szCs w:val="20"/>
          <w:lang w:val="es-ES"/>
        </w:rPr>
        <w:t xml:space="preserve">special del Estado </w:t>
      </w:r>
      <w:r>
        <w:rPr>
          <w:rFonts w:ascii="Cambria" w:hAnsi="Cambria"/>
          <w:sz w:val="20"/>
          <w:szCs w:val="20"/>
          <w:lang w:val="es-ES"/>
        </w:rPr>
        <w:t xml:space="preserve">de asegurar que el </w:t>
      </w:r>
      <w:r w:rsidRPr="008536ED">
        <w:rPr>
          <w:rFonts w:ascii="Cambria" w:hAnsi="Cambria"/>
          <w:sz w:val="20"/>
          <w:szCs w:val="20"/>
          <w:lang w:val="es-ES"/>
        </w:rPr>
        <w:t xml:space="preserve">método de ejecución </w:t>
      </w:r>
      <w:r>
        <w:rPr>
          <w:rFonts w:ascii="Cambria" w:hAnsi="Cambria"/>
          <w:sz w:val="20"/>
          <w:szCs w:val="20"/>
          <w:lang w:val="es-ES"/>
        </w:rPr>
        <w:t xml:space="preserve">no constituya un </w:t>
      </w:r>
      <w:r w:rsidRPr="008536ED">
        <w:rPr>
          <w:rFonts w:ascii="Cambria" w:hAnsi="Cambria"/>
          <w:sz w:val="20"/>
          <w:szCs w:val="20"/>
          <w:lang w:val="es-ES"/>
        </w:rPr>
        <w:t xml:space="preserve">castigo cruel, infamante o inusitado. </w:t>
      </w:r>
      <w:r>
        <w:rPr>
          <w:rFonts w:ascii="Cambria" w:hAnsi="Cambria"/>
          <w:sz w:val="20"/>
          <w:szCs w:val="20"/>
          <w:lang w:val="es-ES"/>
        </w:rPr>
        <w:t xml:space="preserve">En ese sentido, </w:t>
      </w:r>
      <w:r w:rsidRPr="00076B49">
        <w:rPr>
          <w:rFonts w:ascii="Cambria" w:hAnsi="Cambria"/>
          <w:sz w:val="20"/>
          <w:szCs w:val="20"/>
          <w:lang w:val="es-ES"/>
        </w:rPr>
        <w:t>el Relator Especial</w:t>
      </w:r>
      <w:r w:rsidRPr="00E708E1">
        <w:rPr>
          <w:rFonts w:ascii="Cambria" w:hAnsi="Cambria"/>
          <w:sz w:val="20"/>
          <w:szCs w:val="20"/>
          <w:lang w:val="es-ES"/>
        </w:rPr>
        <w:t xml:space="preserve"> de las Naciones Unidas</w:t>
      </w:r>
      <w:r w:rsidRPr="00076B49">
        <w:rPr>
          <w:rFonts w:ascii="Cambria" w:hAnsi="Cambria"/>
          <w:sz w:val="20"/>
          <w:szCs w:val="20"/>
          <w:lang w:val="es-ES"/>
        </w:rPr>
        <w:t xml:space="preserve"> sobre la tortura y otros tratos o penas crueles, inhumanos o degradantes</w:t>
      </w:r>
      <w:r>
        <w:rPr>
          <w:rFonts w:ascii="Cambria" w:hAnsi="Cambria"/>
          <w:sz w:val="20"/>
          <w:szCs w:val="20"/>
          <w:lang w:val="es-ES"/>
        </w:rPr>
        <w:t xml:space="preserve"> señaló que se considera que varios métodos de ejecución constituyen </w:t>
      </w:r>
      <w:r w:rsidRPr="008536ED">
        <w:rPr>
          <w:rFonts w:ascii="Cambria" w:hAnsi="Cambria" w:cs="TimesNewRomanPS"/>
          <w:color w:val="231F20"/>
          <w:sz w:val="20"/>
          <w:szCs w:val="20"/>
          <w:lang w:val="es-ES"/>
        </w:rPr>
        <w:t>tortur</w:t>
      </w:r>
      <w:r>
        <w:rPr>
          <w:rFonts w:ascii="Cambria" w:hAnsi="Cambria" w:cs="TimesNewRomanPS"/>
          <w:color w:val="231F20"/>
          <w:sz w:val="20"/>
          <w:szCs w:val="20"/>
          <w:lang w:val="es-ES"/>
        </w:rPr>
        <w:t>a</w:t>
      </w:r>
      <w:r w:rsidRPr="008536ED">
        <w:rPr>
          <w:rFonts w:ascii="Cambria" w:hAnsi="Cambria" w:cs="TimesNewRomanPS"/>
          <w:color w:val="231F20"/>
          <w:sz w:val="20"/>
          <w:szCs w:val="20"/>
          <w:lang w:val="es-ES"/>
        </w:rPr>
        <w:t xml:space="preserve"> o </w:t>
      </w:r>
      <w:r w:rsidRPr="00076B49">
        <w:rPr>
          <w:rFonts w:ascii="Cambria" w:hAnsi="Cambria" w:cs="TimesNewRomanPS"/>
          <w:color w:val="231F20"/>
          <w:sz w:val="20"/>
          <w:szCs w:val="20"/>
          <w:lang w:val="es-ES"/>
        </w:rPr>
        <w:t>trato cruel, inhumano o degradante</w:t>
      </w:r>
      <w:r w:rsidRPr="008536ED">
        <w:rPr>
          <w:rFonts w:ascii="Cambria" w:hAnsi="Cambria" w:cs="TimesNewRomanPS"/>
          <w:color w:val="231F20"/>
          <w:sz w:val="20"/>
          <w:szCs w:val="20"/>
          <w:lang w:val="es-ES"/>
        </w:rPr>
        <w:t xml:space="preserve">, </w:t>
      </w:r>
      <w:r>
        <w:rPr>
          <w:rFonts w:ascii="Cambria" w:hAnsi="Cambria" w:cs="TimesNewRomanPS"/>
          <w:color w:val="231F20"/>
          <w:sz w:val="20"/>
          <w:szCs w:val="20"/>
          <w:lang w:val="es-ES"/>
        </w:rPr>
        <w:t>lo cual, sumado a la tendencia creciente a revisar todos los métodos de ejecución a fin de determinar si pueden ocasionar gran dolor y sufrimiento</w:t>
      </w:r>
      <w:r w:rsidRPr="008536ED">
        <w:rPr>
          <w:rFonts w:ascii="Cambria" w:hAnsi="Cambria" w:cs="TimesNewRomanPS"/>
          <w:color w:val="231F20"/>
          <w:sz w:val="20"/>
          <w:szCs w:val="20"/>
          <w:lang w:val="es-ES"/>
        </w:rPr>
        <w:t xml:space="preserve">, </w:t>
      </w:r>
      <w:r>
        <w:rPr>
          <w:rFonts w:ascii="Cambria" w:hAnsi="Cambria" w:cs="TimesNewRomanPS"/>
          <w:color w:val="231F20"/>
          <w:sz w:val="20"/>
          <w:szCs w:val="20"/>
          <w:lang w:val="es-ES"/>
        </w:rPr>
        <w:t xml:space="preserve">pone de relieve la dificultad creciente con la cual un Estado puede imponer </w:t>
      </w:r>
      <w:r w:rsidRPr="008536ED">
        <w:rPr>
          <w:rFonts w:ascii="Cambria" w:hAnsi="Cambria" w:cs="TimesNewRomanPS"/>
          <w:color w:val="231F20"/>
          <w:sz w:val="20"/>
          <w:szCs w:val="20"/>
          <w:lang w:val="es-ES"/>
        </w:rPr>
        <w:t xml:space="preserve">la pena de muerte </w:t>
      </w:r>
      <w:r>
        <w:rPr>
          <w:rFonts w:ascii="Cambria" w:hAnsi="Cambria" w:cs="TimesNewRomanPS"/>
          <w:color w:val="231F20"/>
          <w:sz w:val="20"/>
          <w:szCs w:val="20"/>
          <w:lang w:val="es-ES"/>
        </w:rPr>
        <w:t>sin violar el derecho internacional</w:t>
      </w:r>
      <w:r w:rsidRPr="008536ED">
        <w:rPr>
          <w:rStyle w:val="FootnoteReference"/>
          <w:rFonts w:asciiTheme="majorHAnsi" w:hAnsiTheme="majorHAnsi"/>
          <w:sz w:val="20"/>
          <w:szCs w:val="20"/>
          <w:lang w:val="es-ES"/>
        </w:rPr>
        <w:footnoteReference w:id="102"/>
      </w:r>
      <w:r>
        <w:rPr>
          <w:rFonts w:ascii="Cambria" w:hAnsi="Cambria" w:cs="TimesNewRomanPS"/>
          <w:color w:val="231F20"/>
          <w:sz w:val="20"/>
          <w:szCs w:val="20"/>
          <w:lang w:val="es-ES"/>
        </w:rPr>
        <w:t>.</w:t>
      </w:r>
    </w:p>
    <w:p w14:paraId="4B9FE5BB" w14:textId="77777777" w:rsidR="00953481" w:rsidRPr="00400DC5" w:rsidRDefault="00953481" w:rsidP="00953481">
      <w:pPr>
        <w:rPr>
          <w:sz w:val="20"/>
          <w:szCs w:val="20"/>
          <w:lang w:val="es-ES"/>
        </w:rPr>
      </w:pPr>
    </w:p>
    <w:p w14:paraId="503D0D07"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sidRPr="008536ED">
        <w:rPr>
          <w:rFonts w:ascii="Cambria" w:hAnsi="Cambria"/>
          <w:sz w:val="20"/>
          <w:szCs w:val="20"/>
          <w:lang w:val="es-ES"/>
        </w:rPr>
        <w:t xml:space="preserve">La CIDH </w:t>
      </w:r>
      <w:r>
        <w:rPr>
          <w:rFonts w:ascii="Cambria" w:hAnsi="Cambria"/>
          <w:sz w:val="20"/>
          <w:szCs w:val="20"/>
          <w:lang w:val="es-ES"/>
        </w:rPr>
        <w:t xml:space="preserve">observa asimismo que el Comité contra la Tortura, de las Naciones Unidas, </w:t>
      </w:r>
      <w:r w:rsidRPr="008536ED">
        <w:rPr>
          <w:rFonts w:ascii="Cambria" w:hAnsi="Cambria"/>
          <w:sz w:val="20"/>
          <w:szCs w:val="20"/>
          <w:lang w:val="es-ES"/>
        </w:rPr>
        <w:t>rec</w:t>
      </w:r>
      <w:r>
        <w:rPr>
          <w:rFonts w:ascii="Cambria" w:hAnsi="Cambria"/>
          <w:sz w:val="20"/>
          <w:szCs w:val="20"/>
          <w:lang w:val="es-ES"/>
        </w:rPr>
        <w:t xml:space="preserve">ibió información fidedigna de que las ejecuciones que tienen lugar en </w:t>
      </w:r>
      <w:r w:rsidRPr="008536ED">
        <w:rPr>
          <w:rFonts w:ascii="Cambria" w:hAnsi="Cambria"/>
          <w:sz w:val="20"/>
          <w:szCs w:val="20"/>
          <w:lang w:val="es-ES"/>
        </w:rPr>
        <w:t xml:space="preserve">Estados Unidos </w:t>
      </w:r>
      <w:r>
        <w:rPr>
          <w:rFonts w:ascii="Cambria" w:hAnsi="Cambria"/>
          <w:sz w:val="20"/>
          <w:szCs w:val="20"/>
          <w:lang w:val="es-ES"/>
        </w:rPr>
        <w:t xml:space="preserve">pueden estar acompañadas de gran dolor y sufrimiento y solicitó al </w:t>
      </w:r>
      <w:r w:rsidRPr="008536ED">
        <w:rPr>
          <w:rFonts w:ascii="Cambria" w:hAnsi="Cambria"/>
          <w:sz w:val="20"/>
          <w:szCs w:val="20"/>
          <w:lang w:val="es-ES"/>
        </w:rPr>
        <w:t xml:space="preserve">Estado </w:t>
      </w:r>
      <w:r>
        <w:rPr>
          <w:rFonts w:ascii="Cambria" w:hAnsi="Cambria"/>
          <w:sz w:val="20"/>
          <w:szCs w:val="20"/>
          <w:lang w:val="es-ES"/>
        </w:rPr>
        <w:t>que examinara</w:t>
      </w:r>
      <w:r w:rsidRPr="008536ED">
        <w:rPr>
          <w:rFonts w:ascii="Cambria" w:hAnsi="Cambria"/>
          <w:sz w:val="20"/>
          <w:szCs w:val="20"/>
          <w:lang w:val="es-ES"/>
        </w:rPr>
        <w:t xml:space="preserve"> “</w:t>
      </w:r>
      <w:r w:rsidRPr="009973CC">
        <w:rPr>
          <w:rFonts w:ascii="Cambria" w:hAnsi="Cambria"/>
          <w:sz w:val="20"/>
          <w:szCs w:val="20"/>
          <w:lang w:val="es-ES"/>
        </w:rPr>
        <w:t>atentamente las técnicas de ejecución, especialmente la inyección letal, a fin de no causar un dolor o sufrimiento grave</w:t>
      </w:r>
      <w:r w:rsidRPr="008536ED">
        <w:rPr>
          <w:rFonts w:ascii="Cambria" w:hAnsi="Cambria"/>
          <w:sz w:val="20"/>
          <w:szCs w:val="20"/>
          <w:lang w:val="es-ES"/>
        </w:rPr>
        <w:t>”</w:t>
      </w:r>
      <w:r w:rsidRPr="008536ED">
        <w:rPr>
          <w:rStyle w:val="FootnoteReference"/>
          <w:rFonts w:asciiTheme="majorHAnsi" w:hAnsiTheme="majorHAnsi"/>
          <w:sz w:val="20"/>
          <w:szCs w:val="20"/>
          <w:lang w:val="es-ES"/>
        </w:rPr>
        <w:footnoteReference w:id="103"/>
      </w:r>
      <w:r>
        <w:rPr>
          <w:rFonts w:ascii="Cambria" w:hAnsi="Cambria"/>
          <w:sz w:val="20"/>
          <w:szCs w:val="20"/>
          <w:lang w:val="es-ES"/>
        </w:rPr>
        <w:t>.</w:t>
      </w:r>
    </w:p>
    <w:p w14:paraId="51299411" w14:textId="77777777" w:rsidR="00953481" w:rsidRPr="00400DC5" w:rsidRDefault="00953481" w:rsidP="00953481">
      <w:pPr>
        <w:rPr>
          <w:sz w:val="20"/>
          <w:szCs w:val="20"/>
          <w:lang w:val="es-ES"/>
        </w:rPr>
      </w:pPr>
    </w:p>
    <w:p w14:paraId="432237CD"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lastRenderedPageBreak/>
        <w:t>De acuerdo con el protocolo actual</w:t>
      </w:r>
      <w:r w:rsidRPr="008536ED">
        <w:rPr>
          <w:rFonts w:ascii="Cambria" w:hAnsi="Cambria"/>
          <w:sz w:val="20"/>
          <w:szCs w:val="20"/>
          <w:lang w:val="es-ES"/>
        </w:rPr>
        <w:t xml:space="preserve">, </w:t>
      </w:r>
      <w:r>
        <w:rPr>
          <w:rFonts w:ascii="Cambria" w:hAnsi="Cambria"/>
          <w:sz w:val="20"/>
          <w:szCs w:val="20"/>
          <w:lang w:val="es-ES"/>
        </w:rPr>
        <w:t xml:space="preserve">el </w:t>
      </w:r>
      <w:proofErr w:type="gramStart"/>
      <w:r w:rsidRPr="008536ED">
        <w:rPr>
          <w:rFonts w:ascii="Cambria" w:hAnsi="Cambria"/>
          <w:sz w:val="20"/>
          <w:szCs w:val="20"/>
          <w:lang w:val="es-ES"/>
        </w:rPr>
        <w:t>Director</w:t>
      </w:r>
      <w:proofErr w:type="gramEnd"/>
      <w:r w:rsidRPr="008536ED">
        <w:rPr>
          <w:rFonts w:ascii="Cambria" w:hAnsi="Cambria"/>
          <w:sz w:val="20"/>
          <w:szCs w:val="20"/>
          <w:lang w:val="es-ES"/>
        </w:rPr>
        <w:t xml:space="preserve"> </w:t>
      </w:r>
      <w:r>
        <w:rPr>
          <w:rFonts w:ascii="Cambria" w:hAnsi="Cambria"/>
          <w:sz w:val="20"/>
          <w:szCs w:val="20"/>
          <w:lang w:val="es-ES"/>
        </w:rPr>
        <w:t xml:space="preserve">del </w:t>
      </w:r>
      <w:r w:rsidRPr="008536ED">
        <w:rPr>
          <w:rFonts w:ascii="Cambria" w:hAnsi="Cambria"/>
          <w:sz w:val="20"/>
          <w:szCs w:val="20"/>
          <w:lang w:val="es-ES"/>
        </w:rPr>
        <w:t xml:space="preserve">Departamento Correccional de Arizona </w:t>
      </w:r>
      <w:r>
        <w:rPr>
          <w:rFonts w:ascii="Cambria" w:hAnsi="Cambria"/>
          <w:sz w:val="20"/>
          <w:szCs w:val="20"/>
          <w:lang w:val="es-ES"/>
        </w:rPr>
        <w:t>tiene plena discreción</w:t>
      </w:r>
      <w:r w:rsidRPr="008536ED">
        <w:rPr>
          <w:rFonts w:ascii="Cambria" w:hAnsi="Cambria"/>
          <w:sz w:val="20"/>
          <w:szCs w:val="20"/>
          <w:lang w:val="es-ES"/>
        </w:rPr>
        <w:t xml:space="preserve"> </w:t>
      </w:r>
      <w:r>
        <w:rPr>
          <w:rFonts w:ascii="Cambria" w:hAnsi="Cambria"/>
          <w:sz w:val="20"/>
          <w:szCs w:val="20"/>
          <w:lang w:val="es-ES"/>
        </w:rPr>
        <w:t>para decidir qué fármaco se utilizará en las ejecuciones programadas</w:t>
      </w:r>
      <w:r w:rsidRPr="008536ED">
        <w:rPr>
          <w:rFonts w:ascii="Cambria" w:hAnsi="Cambria"/>
          <w:sz w:val="20"/>
          <w:szCs w:val="20"/>
          <w:lang w:val="es-ES"/>
        </w:rPr>
        <w:t xml:space="preserve">, </w:t>
      </w:r>
      <w:r>
        <w:rPr>
          <w:rFonts w:ascii="Cambria" w:hAnsi="Cambria"/>
          <w:sz w:val="20"/>
          <w:szCs w:val="20"/>
          <w:lang w:val="es-ES"/>
        </w:rPr>
        <w:t xml:space="preserve">lo cual dependerá de la disponibilidad de </w:t>
      </w:r>
      <w:r w:rsidRPr="008536ED">
        <w:rPr>
          <w:rFonts w:ascii="Cambria" w:hAnsi="Cambria"/>
          <w:sz w:val="20"/>
          <w:szCs w:val="20"/>
          <w:lang w:val="es-ES"/>
        </w:rPr>
        <w:t xml:space="preserve">pentobarbital o pentotal sódico </w:t>
      </w:r>
      <w:r w:rsidRPr="00076B49">
        <w:rPr>
          <w:rFonts w:ascii="Cambria" w:hAnsi="Cambria"/>
          <w:sz w:val="20"/>
          <w:szCs w:val="20"/>
          <w:lang w:val="es-ES"/>
        </w:rPr>
        <w:t xml:space="preserve">en cantidad y de calidad suficiente para </w:t>
      </w:r>
      <w:r>
        <w:rPr>
          <w:rFonts w:ascii="Cambria" w:hAnsi="Cambria"/>
          <w:sz w:val="20"/>
          <w:szCs w:val="20"/>
          <w:lang w:val="es-ES"/>
        </w:rPr>
        <w:t>aplicar con éxito</w:t>
      </w:r>
      <w:r w:rsidRPr="00076B49">
        <w:rPr>
          <w:rFonts w:ascii="Cambria" w:hAnsi="Cambria"/>
          <w:sz w:val="20"/>
          <w:szCs w:val="20"/>
          <w:lang w:val="es-ES"/>
        </w:rPr>
        <w:t xml:space="preserve"> el protocolo de un solo fármaco</w:t>
      </w:r>
      <w:r w:rsidRPr="008536ED">
        <w:rPr>
          <w:rFonts w:ascii="Cambria" w:hAnsi="Cambria"/>
          <w:sz w:val="20"/>
          <w:szCs w:val="20"/>
          <w:lang w:val="es-ES"/>
        </w:rPr>
        <w:t>. A</w:t>
      </w:r>
      <w:r>
        <w:rPr>
          <w:rFonts w:ascii="Cambria" w:hAnsi="Cambria"/>
          <w:sz w:val="20"/>
          <w:szCs w:val="20"/>
          <w:lang w:val="es-ES"/>
        </w:rPr>
        <w:t xml:space="preserve">l momento de la aprobación del presente informe, no existe información sobre la fecha en que se reanudarían las ejecuciones en </w:t>
      </w:r>
      <w:r w:rsidRPr="008536ED">
        <w:rPr>
          <w:rFonts w:ascii="Cambria" w:hAnsi="Cambria"/>
          <w:sz w:val="20"/>
          <w:szCs w:val="20"/>
          <w:lang w:val="es-ES"/>
        </w:rPr>
        <w:t xml:space="preserve">Arizona </w:t>
      </w:r>
      <w:r>
        <w:rPr>
          <w:rFonts w:ascii="Cambria" w:hAnsi="Cambria"/>
          <w:sz w:val="20"/>
          <w:szCs w:val="20"/>
          <w:lang w:val="es-ES"/>
        </w:rPr>
        <w:t xml:space="preserve">tras una interrupción de cinco años provocada por una ejecución que, según los críticos, fue fallida. Tampoco hay información sobre la proveniencia de los fármacos que se usarán, la composición del </w:t>
      </w:r>
      <w:r w:rsidRPr="005013EC">
        <w:rPr>
          <w:rFonts w:ascii="Cambria" w:hAnsi="Cambria"/>
          <w:sz w:val="20"/>
          <w:szCs w:val="20"/>
          <w:lang w:val="es-ES"/>
        </w:rPr>
        <w:t>equipo a cargo de la ejecución y su capacitación</w:t>
      </w:r>
      <w:r w:rsidRPr="008536ED">
        <w:rPr>
          <w:rFonts w:ascii="Cambria" w:hAnsi="Cambria"/>
          <w:sz w:val="20"/>
          <w:szCs w:val="20"/>
          <w:lang w:val="es-ES"/>
        </w:rPr>
        <w:t xml:space="preserve">. </w:t>
      </w:r>
    </w:p>
    <w:p w14:paraId="12C39555" w14:textId="77777777" w:rsidR="00953481" w:rsidRPr="00076B49" w:rsidRDefault="00953481" w:rsidP="00953481">
      <w:pPr>
        <w:rPr>
          <w:sz w:val="20"/>
          <w:szCs w:val="20"/>
          <w:lang w:val="es-ES"/>
        </w:rPr>
      </w:pPr>
    </w:p>
    <w:p w14:paraId="744499E5"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t xml:space="preserve">Sobre la base de las consideraciones precedentes y en vista de la incertidumbre que rodea la aplicación de la pena de muerte en </w:t>
      </w:r>
      <w:r w:rsidRPr="008536ED">
        <w:rPr>
          <w:rFonts w:ascii="Cambria" w:hAnsi="Cambria"/>
          <w:sz w:val="20"/>
          <w:szCs w:val="20"/>
          <w:lang w:val="es-ES"/>
        </w:rPr>
        <w:t>Arizona, la CIDH conclu</w:t>
      </w:r>
      <w:r>
        <w:rPr>
          <w:rFonts w:ascii="Cambria" w:hAnsi="Cambria"/>
          <w:sz w:val="20"/>
          <w:szCs w:val="20"/>
          <w:lang w:val="es-ES"/>
        </w:rPr>
        <w:t xml:space="preserve">ye que </w:t>
      </w:r>
      <w:r w:rsidRPr="008536ED">
        <w:rPr>
          <w:rFonts w:ascii="Cambria" w:hAnsi="Cambria"/>
          <w:sz w:val="20"/>
          <w:szCs w:val="20"/>
          <w:lang w:val="es-ES"/>
        </w:rPr>
        <w:t xml:space="preserve">el Estado </w:t>
      </w:r>
      <w:r>
        <w:rPr>
          <w:rFonts w:ascii="Cambria" w:hAnsi="Cambria"/>
          <w:sz w:val="20"/>
          <w:szCs w:val="20"/>
          <w:lang w:val="es-ES"/>
        </w:rPr>
        <w:t>está exponiendo a</w:t>
      </w:r>
      <w:r w:rsidRPr="008536ED">
        <w:rPr>
          <w:rFonts w:ascii="Cambria" w:hAnsi="Cambria"/>
          <w:sz w:val="20"/>
          <w:szCs w:val="20"/>
          <w:lang w:val="es-ES"/>
        </w:rPr>
        <w:t xml:space="preserve">l señor </w:t>
      </w:r>
      <w:proofErr w:type="spellStart"/>
      <w:r w:rsidRPr="008536ED">
        <w:rPr>
          <w:rFonts w:ascii="Cambria" w:hAnsi="Cambria"/>
          <w:sz w:val="20"/>
          <w:szCs w:val="20"/>
          <w:lang w:val="es-ES"/>
        </w:rPr>
        <w:t>Rogovich</w:t>
      </w:r>
      <w:proofErr w:type="spellEnd"/>
      <w:r w:rsidRPr="008536ED">
        <w:rPr>
          <w:rFonts w:ascii="Cambria" w:hAnsi="Cambria"/>
          <w:sz w:val="20"/>
          <w:szCs w:val="20"/>
          <w:lang w:val="es-ES"/>
        </w:rPr>
        <w:t xml:space="preserve"> </w:t>
      </w:r>
      <w:r>
        <w:rPr>
          <w:rFonts w:ascii="Cambria" w:hAnsi="Cambria"/>
          <w:sz w:val="20"/>
          <w:szCs w:val="20"/>
          <w:lang w:val="es-ES"/>
        </w:rPr>
        <w:t xml:space="preserve">a un estado de angustia y temor que constituye una violación de su derecho a un trato humano y a que no se le imponga un </w:t>
      </w:r>
      <w:r w:rsidRPr="008536ED">
        <w:rPr>
          <w:rFonts w:ascii="Cambria" w:hAnsi="Cambria"/>
          <w:sz w:val="20"/>
          <w:szCs w:val="20"/>
          <w:lang w:val="es-ES"/>
        </w:rPr>
        <w:t xml:space="preserve">castigo cruel, infamante o inusitado </w:t>
      </w:r>
      <w:r>
        <w:rPr>
          <w:rFonts w:ascii="Cambria" w:hAnsi="Cambria"/>
          <w:sz w:val="20"/>
          <w:szCs w:val="20"/>
          <w:lang w:val="es-ES"/>
        </w:rPr>
        <w:t xml:space="preserve">enunciado en los </w:t>
      </w:r>
      <w:r w:rsidRPr="008536ED">
        <w:rPr>
          <w:rFonts w:ascii="Cambria" w:hAnsi="Cambria"/>
          <w:sz w:val="20"/>
          <w:szCs w:val="20"/>
          <w:lang w:val="es-ES"/>
        </w:rPr>
        <w:t xml:space="preserve">artículos XXV </w:t>
      </w:r>
      <w:r>
        <w:rPr>
          <w:rFonts w:ascii="Cambria" w:hAnsi="Cambria"/>
          <w:sz w:val="20"/>
          <w:szCs w:val="20"/>
          <w:lang w:val="es-ES"/>
        </w:rPr>
        <w:t>y</w:t>
      </w:r>
      <w:r w:rsidRPr="008536ED">
        <w:rPr>
          <w:rFonts w:ascii="Cambria" w:hAnsi="Cambria"/>
          <w:sz w:val="20"/>
          <w:szCs w:val="20"/>
          <w:lang w:val="es-ES"/>
        </w:rPr>
        <w:t xml:space="preserve"> XXVI de la Declaración. </w:t>
      </w:r>
    </w:p>
    <w:p w14:paraId="06D0D2FE" w14:textId="77777777" w:rsidR="00953481" w:rsidRPr="00400DC5" w:rsidRDefault="00953481" w:rsidP="00953481">
      <w:pPr>
        <w:tabs>
          <w:tab w:val="left" w:pos="360"/>
        </w:tabs>
        <w:rPr>
          <w:sz w:val="20"/>
          <w:szCs w:val="20"/>
          <w:lang w:val="es-ES"/>
        </w:rPr>
      </w:pPr>
    </w:p>
    <w:p w14:paraId="143B03DD" w14:textId="77777777" w:rsidR="00953481" w:rsidRPr="00953481" w:rsidRDefault="00953481" w:rsidP="00C341DD">
      <w:pPr>
        <w:pStyle w:val="Heading3"/>
        <w:keepLines/>
        <w:numPr>
          <w:ilvl w:val="3"/>
          <w:numId w:val="53"/>
        </w:numPr>
        <w:pBdr>
          <w:top w:val="nil"/>
          <w:left w:val="nil"/>
          <w:bottom w:val="nil"/>
          <w:right w:val="nil"/>
          <w:between w:val="nil"/>
          <w:bar w:val="nil"/>
        </w:pBdr>
        <w:spacing w:before="0" w:after="0"/>
        <w:ind w:left="360"/>
        <w:jc w:val="both"/>
        <w:rPr>
          <w:rFonts w:asciiTheme="majorHAnsi" w:hAnsiTheme="majorHAnsi"/>
          <w:sz w:val="20"/>
          <w:szCs w:val="20"/>
          <w:lang w:val="es-ES"/>
        </w:rPr>
      </w:pPr>
      <w:bookmarkStart w:id="33" w:name="_Toc90283155"/>
      <w:r w:rsidRPr="00953481">
        <w:rPr>
          <w:rFonts w:asciiTheme="majorHAnsi" w:hAnsiTheme="majorHAnsi"/>
          <w:sz w:val="20"/>
          <w:szCs w:val="20"/>
          <w:lang w:val="es-ES"/>
        </w:rPr>
        <w:t>La privación de la libertad en el corredor de la muerte y el derecho de protección contra un castigo cruel, infamante o inusitado</w:t>
      </w:r>
      <w:bookmarkEnd w:id="33"/>
    </w:p>
    <w:p w14:paraId="370FE17E" w14:textId="77777777" w:rsidR="00953481" w:rsidRPr="00953481" w:rsidRDefault="00953481" w:rsidP="00953481">
      <w:pPr>
        <w:pStyle w:val="ListParagraph"/>
        <w:keepNext/>
        <w:keepLines/>
        <w:tabs>
          <w:tab w:val="left" w:pos="360"/>
        </w:tabs>
        <w:ind w:left="0"/>
        <w:rPr>
          <w:rFonts w:asciiTheme="majorHAnsi" w:hAnsiTheme="majorHAnsi"/>
          <w:b/>
          <w:sz w:val="20"/>
          <w:szCs w:val="20"/>
          <w:lang w:val="es-ES"/>
        </w:rPr>
      </w:pPr>
    </w:p>
    <w:p w14:paraId="774A7F0E" w14:textId="77777777" w:rsidR="00953481" w:rsidRPr="005364B3" w:rsidRDefault="00953481" w:rsidP="00C341DD">
      <w:pPr>
        <w:pStyle w:val="NormalWeb"/>
        <w:keepNext/>
        <w:keepLines/>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szCs w:val="20"/>
          <w:lang w:val="es-ES"/>
        </w:rPr>
        <w:t>Tanto en el derecho internacional de los derechos humanos como en el derecho comparado</w:t>
      </w:r>
      <w:r w:rsidRPr="007A12AE">
        <w:rPr>
          <w:lang w:val="es-ES"/>
        </w:rPr>
        <w:t xml:space="preserve"> </w:t>
      </w:r>
      <w:r w:rsidRPr="00E57608">
        <w:rPr>
          <w:rFonts w:ascii="Cambria" w:hAnsi="Cambria"/>
          <w:sz w:val="20"/>
          <w:szCs w:val="20"/>
          <w:lang w:val="es-ES"/>
        </w:rPr>
        <w:t>se ha desarrollado a lo largo de décadas</w:t>
      </w:r>
      <w:r>
        <w:rPr>
          <w:rFonts w:ascii="Cambria" w:hAnsi="Cambria"/>
          <w:sz w:val="20"/>
          <w:szCs w:val="20"/>
          <w:lang w:val="es-ES"/>
        </w:rPr>
        <w:t xml:space="preserve"> el tema de la privación prolongada de la libertad </w:t>
      </w:r>
      <w:r w:rsidRPr="008536ED">
        <w:rPr>
          <w:rFonts w:ascii="Cambria" w:hAnsi="Cambria"/>
          <w:sz w:val="20"/>
          <w:szCs w:val="20"/>
          <w:lang w:val="es-ES"/>
        </w:rPr>
        <w:t xml:space="preserve">en el corredor de la muerte, </w:t>
      </w:r>
      <w:r>
        <w:rPr>
          <w:rFonts w:ascii="Cambria" w:hAnsi="Cambria"/>
          <w:sz w:val="20"/>
          <w:szCs w:val="20"/>
          <w:lang w:val="es-ES"/>
        </w:rPr>
        <w:t xml:space="preserve">conocida como </w:t>
      </w:r>
      <w:r w:rsidRPr="008536ED">
        <w:rPr>
          <w:rFonts w:ascii="Cambria" w:hAnsi="Cambria"/>
          <w:sz w:val="20"/>
          <w:szCs w:val="20"/>
          <w:lang w:val="es-ES"/>
        </w:rPr>
        <w:t>“</w:t>
      </w:r>
      <w:r>
        <w:rPr>
          <w:rFonts w:ascii="Cambria" w:hAnsi="Cambria"/>
          <w:sz w:val="20"/>
          <w:szCs w:val="20"/>
          <w:lang w:val="es-ES"/>
        </w:rPr>
        <w:t>fenómeno del corredor de la muerte</w:t>
      </w:r>
      <w:r w:rsidRPr="008536ED">
        <w:rPr>
          <w:rFonts w:ascii="Cambria" w:hAnsi="Cambria"/>
          <w:sz w:val="20"/>
          <w:szCs w:val="20"/>
          <w:lang w:val="es-ES"/>
        </w:rPr>
        <w:t>”</w:t>
      </w:r>
      <w:r>
        <w:rPr>
          <w:rFonts w:ascii="Cambria" w:hAnsi="Cambria"/>
          <w:sz w:val="20"/>
          <w:szCs w:val="20"/>
          <w:lang w:val="es-ES"/>
        </w:rPr>
        <w:t>,</w:t>
      </w:r>
      <w:r w:rsidRPr="008536ED">
        <w:rPr>
          <w:rFonts w:ascii="Cambria" w:hAnsi="Cambria"/>
          <w:sz w:val="20"/>
          <w:szCs w:val="20"/>
          <w:lang w:val="es-ES"/>
        </w:rPr>
        <w:t xml:space="preserve"> </w:t>
      </w:r>
      <w:r w:rsidRPr="00E57608">
        <w:rPr>
          <w:rFonts w:ascii="Cambria" w:hAnsi="Cambria"/>
          <w:sz w:val="20"/>
          <w:szCs w:val="20"/>
          <w:lang w:val="es-ES"/>
        </w:rPr>
        <w:t>a la luz de la prohibición del trato cruel, inhumano y degradante dispuesta en las constituciones y en muchos instrumentos internacionales, entre ellos la</w:t>
      </w:r>
      <w:r w:rsidRPr="008536ED">
        <w:rPr>
          <w:rFonts w:ascii="Cambria" w:hAnsi="Cambria"/>
          <w:sz w:val="20"/>
          <w:szCs w:val="20"/>
          <w:lang w:val="es-ES"/>
        </w:rPr>
        <w:t xml:space="preserve"> Declaración Americana (artículos XXV </w:t>
      </w:r>
      <w:r>
        <w:rPr>
          <w:rFonts w:ascii="Cambria" w:hAnsi="Cambria"/>
          <w:sz w:val="20"/>
          <w:szCs w:val="20"/>
          <w:lang w:val="es-ES"/>
        </w:rPr>
        <w:t>y</w:t>
      </w:r>
      <w:r w:rsidRPr="008536ED">
        <w:rPr>
          <w:rFonts w:ascii="Cambria" w:hAnsi="Cambria"/>
          <w:sz w:val="20"/>
          <w:szCs w:val="20"/>
          <w:lang w:val="es-ES"/>
        </w:rPr>
        <w:t xml:space="preserve"> XXVI)</w:t>
      </w:r>
      <w:r w:rsidRPr="008536ED">
        <w:rPr>
          <w:rFonts w:ascii="Cambria" w:eastAsia="Arial Unicode MS" w:hAnsi="Cambria"/>
          <w:sz w:val="20"/>
          <w:bdr w:val="nil"/>
          <w:vertAlign w:val="superscript"/>
          <w:lang w:val="es-ES"/>
        </w:rPr>
        <w:footnoteReference w:id="104"/>
      </w:r>
      <w:r>
        <w:rPr>
          <w:rFonts w:ascii="Cambria" w:hAnsi="Cambria"/>
          <w:sz w:val="20"/>
          <w:szCs w:val="20"/>
          <w:lang w:val="es-ES"/>
        </w:rPr>
        <w:t>.</w:t>
      </w:r>
      <w:r w:rsidRPr="008536ED">
        <w:rPr>
          <w:rFonts w:ascii="Cambria" w:eastAsia="Arial Unicode MS" w:hAnsi="Cambria"/>
          <w:sz w:val="20"/>
          <w:bdr w:val="nil"/>
          <w:vertAlign w:val="superscript"/>
          <w:lang w:val="es-ES"/>
        </w:rPr>
        <w:t xml:space="preserve"> </w:t>
      </w:r>
      <w:r w:rsidRPr="00E57608">
        <w:rPr>
          <w:rFonts w:ascii="Cambria" w:hAnsi="Cambria"/>
          <w:sz w:val="20"/>
          <w:szCs w:val="20"/>
          <w:lang w:val="es-ES"/>
        </w:rPr>
        <w:t xml:space="preserve">En vista de esas normas, en el caso Russell </w:t>
      </w:r>
      <w:proofErr w:type="spellStart"/>
      <w:r w:rsidRPr="00E57608">
        <w:rPr>
          <w:rFonts w:ascii="Cambria" w:hAnsi="Cambria"/>
          <w:sz w:val="20"/>
          <w:szCs w:val="20"/>
          <w:lang w:val="es-ES"/>
        </w:rPr>
        <w:t>Bucklew</w:t>
      </w:r>
      <w:proofErr w:type="spellEnd"/>
      <w:r w:rsidRPr="00E57608">
        <w:rPr>
          <w:rFonts w:ascii="Cambria" w:hAnsi="Cambria"/>
          <w:sz w:val="20"/>
          <w:szCs w:val="20"/>
          <w:lang w:val="es-ES"/>
        </w:rPr>
        <w:t>, la CIDH señaló que</w:t>
      </w:r>
      <w:r w:rsidRPr="005364B3">
        <w:rPr>
          <w:rFonts w:ascii="Cambria" w:hAnsi="Cambria"/>
          <w:sz w:val="20"/>
          <w:szCs w:val="20"/>
          <w:lang w:val="es-ES"/>
        </w:rPr>
        <w:t xml:space="preserve"> “</w:t>
      </w:r>
      <w:r w:rsidRPr="007A12AE">
        <w:rPr>
          <w:rFonts w:ascii="Cambria" w:hAnsi="Cambria"/>
          <w:sz w:val="20"/>
          <w:szCs w:val="20"/>
          <w:lang w:val="es-ES"/>
        </w:rPr>
        <w:t>[e]</w:t>
      </w:r>
      <w:r w:rsidRPr="005364B3">
        <w:rPr>
          <w:rFonts w:ascii="Cambria" w:hAnsi="Cambria"/>
          <w:sz w:val="20"/>
          <w:szCs w:val="20"/>
          <w:lang w:val="es-ES"/>
        </w:rPr>
        <w:t>l hecho de pasar 20 años en el corredor de la muerte es, por cualquier razón, excesivo e inhumano”</w:t>
      </w:r>
      <w:r w:rsidRPr="005364B3">
        <w:rPr>
          <w:rFonts w:ascii="Cambria" w:eastAsia="Arial Unicode MS" w:hAnsi="Cambria"/>
          <w:sz w:val="20"/>
          <w:bdr w:val="nil"/>
          <w:vertAlign w:val="superscript"/>
          <w:lang w:val="es-ES"/>
        </w:rPr>
        <w:footnoteReference w:id="105"/>
      </w:r>
      <w:r>
        <w:rPr>
          <w:rFonts w:ascii="Cambria" w:hAnsi="Cambria"/>
          <w:sz w:val="20"/>
          <w:szCs w:val="20"/>
          <w:lang w:val="es-ES"/>
        </w:rPr>
        <w:t>.</w:t>
      </w:r>
    </w:p>
    <w:p w14:paraId="7FF92595" w14:textId="77777777" w:rsidR="00953481" w:rsidRPr="008536ED" w:rsidRDefault="00953481" w:rsidP="00953481">
      <w:pPr>
        <w:pStyle w:val="NormalWeb"/>
        <w:shd w:val="clear" w:color="auto" w:fill="FFFFFF"/>
        <w:tabs>
          <w:tab w:val="left" w:pos="360"/>
        </w:tabs>
        <w:spacing w:before="0" w:beforeAutospacing="0" w:after="0" w:afterAutospacing="0"/>
        <w:jc w:val="both"/>
        <w:rPr>
          <w:rFonts w:ascii="Cambria" w:hAnsi="Cambria"/>
          <w:sz w:val="20"/>
          <w:szCs w:val="20"/>
          <w:lang w:val="es-ES"/>
        </w:rPr>
      </w:pPr>
    </w:p>
    <w:p w14:paraId="1423BBBE"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lang w:val="es-ES"/>
        </w:rPr>
        <w:t>En lo que se refiere específicamente al régimen de aislamiento prolongado</w:t>
      </w:r>
      <w:r w:rsidRPr="008536ED">
        <w:rPr>
          <w:rFonts w:ascii="Cambria" w:hAnsi="Cambria"/>
          <w:sz w:val="20"/>
          <w:lang w:val="es-ES"/>
        </w:rPr>
        <w:t xml:space="preserve"> en el corredor de la muerte, la Comisión Interamericana ha</w:t>
      </w:r>
      <w:r>
        <w:rPr>
          <w:rFonts w:ascii="Cambria" w:hAnsi="Cambria"/>
          <w:sz w:val="20"/>
          <w:lang w:val="es-ES"/>
        </w:rPr>
        <w:t xml:space="preserve"> determinado que la privación de libertad en ciertas condiciones</w:t>
      </w:r>
      <w:r w:rsidRPr="008536ED">
        <w:rPr>
          <w:rFonts w:ascii="Cambria" w:hAnsi="Cambria"/>
          <w:sz w:val="20"/>
          <w:lang w:val="es-ES"/>
        </w:rPr>
        <w:t xml:space="preserve"> en el corredor de la muerte, inclu</w:t>
      </w:r>
      <w:r>
        <w:rPr>
          <w:rFonts w:ascii="Cambria" w:hAnsi="Cambria"/>
          <w:sz w:val="20"/>
          <w:lang w:val="es-ES"/>
        </w:rPr>
        <w:t>ido el</w:t>
      </w:r>
      <w:r w:rsidRPr="008536ED">
        <w:rPr>
          <w:rFonts w:ascii="Cambria" w:hAnsi="Cambria"/>
          <w:sz w:val="20"/>
          <w:lang w:val="es-ES"/>
        </w:rPr>
        <w:t xml:space="preserve"> </w:t>
      </w:r>
      <w:r>
        <w:rPr>
          <w:rFonts w:ascii="Cambria" w:hAnsi="Cambria"/>
          <w:sz w:val="20"/>
          <w:lang w:val="es-ES"/>
        </w:rPr>
        <w:t>régimen de aislamiento</w:t>
      </w:r>
      <w:r w:rsidRPr="008536ED">
        <w:rPr>
          <w:rFonts w:ascii="Cambria" w:hAnsi="Cambria"/>
          <w:sz w:val="20"/>
          <w:lang w:val="es-ES"/>
        </w:rPr>
        <w:t xml:space="preserve"> </w:t>
      </w:r>
      <w:r>
        <w:rPr>
          <w:rFonts w:ascii="Cambria" w:hAnsi="Cambria"/>
          <w:sz w:val="20"/>
          <w:lang w:val="es-ES"/>
        </w:rPr>
        <w:t>durante cuatro años, constituyó un trato inhumano</w:t>
      </w:r>
      <w:r w:rsidRPr="008536ED">
        <w:rPr>
          <w:rFonts w:ascii="Cambria" w:eastAsia="Arial Unicode MS" w:hAnsi="Cambria"/>
          <w:sz w:val="20"/>
          <w:bdr w:val="nil"/>
          <w:vertAlign w:val="superscript"/>
          <w:lang w:val="es-ES"/>
        </w:rPr>
        <w:footnoteReference w:id="106"/>
      </w:r>
      <w:r>
        <w:rPr>
          <w:rFonts w:ascii="Cambria" w:hAnsi="Cambria"/>
          <w:sz w:val="20"/>
          <w:lang w:val="es-ES"/>
        </w:rPr>
        <w:t>.</w:t>
      </w:r>
      <w:r>
        <w:rPr>
          <w:rFonts w:ascii="Cambria" w:eastAsia="Arial Unicode MS" w:hAnsi="Cambria"/>
          <w:sz w:val="20"/>
          <w:bdr w:val="nil"/>
          <w:vertAlign w:val="superscript"/>
          <w:lang w:val="es-ES"/>
        </w:rPr>
        <w:t xml:space="preserve"> </w:t>
      </w:r>
      <w:r>
        <w:rPr>
          <w:rFonts w:ascii="Cambria" w:hAnsi="Cambria"/>
          <w:sz w:val="20"/>
          <w:lang w:val="es-ES"/>
        </w:rPr>
        <w:t xml:space="preserve"> </w:t>
      </w:r>
    </w:p>
    <w:p w14:paraId="39E6302E" w14:textId="77777777" w:rsidR="00953481" w:rsidRPr="00A367DE" w:rsidRDefault="00953481" w:rsidP="00953481">
      <w:pPr>
        <w:rPr>
          <w:sz w:val="20"/>
          <w:lang w:val="es-ES"/>
        </w:rPr>
      </w:pPr>
    </w:p>
    <w:p w14:paraId="4ED32B7A"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lang w:val="es-ES"/>
        </w:rPr>
      </w:pPr>
      <w:r>
        <w:rPr>
          <w:rFonts w:ascii="Cambria" w:hAnsi="Cambria"/>
          <w:sz w:val="20"/>
          <w:lang w:val="es-ES"/>
        </w:rPr>
        <w:t>El Relator Especial de las Naciones Unidas sobre la tortura ha señalado lo siguiente</w:t>
      </w:r>
      <w:r w:rsidRPr="008536ED">
        <w:rPr>
          <w:rFonts w:ascii="Cambria" w:hAnsi="Cambria"/>
          <w:sz w:val="20"/>
          <w:lang w:val="es-ES"/>
        </w:rPr>
        <w:t xml:space="preserve">: </w:t>
      </w:r>
    </w:p>
    <w:p w14:paraId="1637CE33" w14:textId="77777777" w:rsidR="00953481" w:rsidRPr="008536ED" w:rsidRDefault="00953481" w:rsidP="00953481">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jc w:val="both"/>
        <w:rPr>
          <w:rFonts w:ascii="Cambria" w:hAnsi="Cambria"/>
          <w:b/>
          <w:bCs/>
          <w:sz w:val="20"/>
          <w:lang w:val="es-ES"/>
        </w:rPr>
      </w:pPr>
    </w:p>
    <w:p w14:paraId="75EE3D10" w14:textId="77777777" w:rsidR="00953481" w:rsidRPr="005364B3" w:rsidRDefault="00953481" w:rsidP="00953481">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lang w:val="es-ES"/>
        </w:rPr>
      </w:pPr>
      <w:r w:rsidRPr="005364B3">
        <w:rPr>
          <w:rFonts w:ascii="Cambria" w:eastAsia="Times New Roman" w:hAnsi="Cambria"/>
          <w:sz w:val="18"/>
          <w:szCs w:val="18"/>
          <w:lang w:val="es-ES"/>
        </w:rPr>
        <w:t xml:space="preserve">Las personas recluidas en régimen de aislamiento padecen formas extremas de privación sensorial, ansiedad y exclusión, que exceden, </w:t>
      </w:r>
      <w:proofErr w:type="gramStart"/>
      <w:r w:rsidRPr="005364B3">
        <w:rPr>
          <w:rFonts w:ascii="Cambria" w:eastAsia="Times New Roman" w:hAnsi="Cambria"/>
          <w:sz w:val="18"/>
          <w:szCs w:val="18"/>
          <w:lang w:val="es-ES"/>
        </w:rPr>
        <w:t>sin lugar a dudas</w:t>
      </w:r>
      <w:proofErr w:type="gramEnd"/>
      <w:r w:rsidRPr="005364B3">
        <w:rPr>
          <w:rFonts w:ascii="Cambria" w:eastAsia="Times New Roman" w:hAnsi="Cambria"/>
          <w:sz w:val="18"/>
          <w:szCs w:val="18"/>
          <w:lang w:val="es-ES"/>
        </w:rPr>
        <w:t>, las condiciones legales de privación de la libertad. La reclusión en régimen de aislamiento, en combinación con la idea de una muerte inminente y la incertidumbre acerca de si la ejecución tendrá o no lugar, y cuándo, contribuye al riesgo de daño mental y físico irreparable y sufrimiento infligidos al recluso. La reclusión en régimen de aislamiento utilizada en el pabellón de condenados a muerte es, por definición, de duración prolongada e indefinida y constituye, por ende, un trato o pena cruel, inhumano o degradante, o incluso tortura</w:t>
      </w:r>
      <w:r w:rsidRPr="005364B3">
        <w:rPr>
          <w:rFonts w:ascii="Cambria" w:eastAsia="Times New Roman" w:hAnsi="Cambria"/>
          <w:sz w:val="18"/>
          <w:szCs w:val="18"/>
          <w:vertAlign w:val="superscript"/>
          <w:lang w:val="es-ES"/>
        </w:rPr>
        <w:footnoteReference w:id="107"/>
      </w:r>
      <w:r w:rsidRPr="005364B3">
        <w:rPr>
          <w:rFonts w:ascii="Cambria" w:eastAsia="Times New Roman" w:hAnsi="Cambria"/>
          <w:sz w:val="18"/>
          <w:szCs w:val="18"/>
          <w:lang w:val="es-ES"/>
        </w:rPr>
        <w:t>.</w:t>
      </w:r>
    </w:p>
    <w:p w14:paraId="4FA9740A"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14:paraId="32D58CC2" w14:textId="77777777" w:rsidR="00953481" w:rsidRPr="008536ED" w:rsidRDefault="00953481" w:rsidP="00C341DD">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lang w:val="es-ES"/>
        </w:rPr>
      </w:pPr>
      <w:r>
        <w:rPr>
          <w:rFonts w:ascii="Cambria" w:hAnsi="Cambria"/>
          <w:sz w:val="20"/>
          <w:lang w:val="es-ES"/>
        </w:rPr>
        <w:t>Como se ha probado en este informe</w:t>
      </w:r>
      <w:r w:rsidRPr="008536ED">
        <w:rPr>
          <w:rFonts w:ascii="Cambria" w:hAnsi="Cambria"/>
          <w:sz w:val="20"/>
          <w:lang w:val="es-ES"/>
        </w:rPr>
        <w:t xml:space="preserve">, el señor </w:t>
      </w:r>
      <w:proofErr w:type="spellStart"/>
      <w:r w:rsidRPr="008536ED">
        <w:rPr>
          <w:rFonts w:ascii="Cambria" w:hAnsi="Cambria"/>
          <w:sz w:val="20"/>
          <w:lang w:val="es-ES"/>
        </w:rPr>
        <w:t>Rogovich</w:t>
      </w:r>
      <w:proofErr w:type="spellEnd"/>
      <w:r w:rsidRPr="008536ED">
        <w:rPr>
          <w:rFonts w:ascii="Cambria" w:hAnsi="Cambria"/>
          <w:sz w:val="20"/>
          <w:lang w:val="es-ES"/>
        </w:rPr>
        <w:t xml:space="preserve"> </w:t>
      </w:r>
      <w:r>
        <w:rPr>
          <w:rFonts w:ascii="Cambria" w:hAnsi="Cambria"/>
          <w:sz w:val="20"/>
          <w:lang w:val="es-ES"/>
        </w:rPr>
        <w:t xml:space="preserve">lleva 27 años privado de libertad </w:t>
      </w:r>
      <w:r w:rsidRPr="008536ED">
        <w:rPr>
          <w:rFonts w:ascii="Cambria" w:hAnsi="Cambria"/>
          <w:sz w:val="20"/>
          <w:lang w:val="es-ES"/>
        </w:rPr>
        <w:t xml:space="preserve">en el corredor de la muerte. La Comisión </w:t>
      </w:r>
      <w:r>
        <w:rPr>
          <w:rFonts w:ascii="Cambria" w:hAnsi="Cambria"/>
          <w:sz w:val="20"/>
          <w:lang w:val="es-ES"/>
        </w:rPr>
        <w:t xml:space="preserve">observa que el mero hecho de pasar </w:t>
      </w:r>
      <w:r w:rsidRPr="008536ED">
        <w:rPr>
          <w:rFonts w:ascii="Cambria" w:hAnsi="Cambria"/>
          <w:sz w:val="20"/>
          <w:lang w:val="es-ES"/>
        </w:rPr>
        <w:t xml:space="preserve">27 </w:t>
      </w:r>
      <w:r>
        <w:rPr>
          <w:rFonts w:ascii="Cambria" w:hAnsi="Cambria"/>
          <w:sz w:val="20"/>
          <w:lang w:val="es-ES"/>
        </w:rPr>
        <w:t xml:space="preserve">años </w:t>
      </w:r>
      <w:r w:rsidRPr="008536ED">
        <w:rPr>
          <w:rFonts w:ascii="Cambria" w:hAnsi="Cambria"/>
          <w:sz w:val="20"/>
          <w:lang w:val="es-ES"/>
        </w:rPr>
        <w:t xml:space="preserve">en el corredor de la muerte </w:t>
      </w:r>
      <w:r w:rsidRPr="00E57608">
        <w:rPr>
          <w:rFonts w:ascii="Cambria" w:hAnsi="Cambria"/>
          <w:sz w:val="20"/>
          <w:lang w:val="es-ES"/>
        </w:rPr>
        <w:t>es, desde todo punto de vista, excesivo e inhumano, con el agravante del estado mental del señor</w:t>
      </w:r>
      <w:r w:rsidRPr="008536ED">
        <w:rPr>
          <w:rFonts w:ascii="Cambria" w:hAnsi="Cambria"/>
          <w:sz w:val="20"/>
          <w:lang w:val="es-ES"/>
        </w:rPr>
        <w:t xml:space="preserve"> </w:t>
      </w:r>
      <w:proofErr w:type="spellStart"/>
      <w:r w:rsidRPr="008536ED">
        <w:rPr>
          <w:rFonts w:ascii="Cambria" w:hAnsi="Cambria"/>
          <w:sz w:val="20"/>
          <w:lang w:val="es-ES"/>
        </w:rPr>
        <w:t>Rogovich</w:t>
      </w:r>
      <w:proofErr w:type="spellEnd"/>
      <w:r w:rsidRPr="007A12AE">
        <w:rPr>
          <w:lang w:val="es-ES"/>
        </w:rPr>
        <w:t xml:space="preserve"> </w:t>
      </w:r>
      <w:r w:rsidRPr="00E57608">
        <w:rPr>
          <w:rFonts w:ascii="Cambria" w:hAnsi="Cambria"/>
          <w:sz w:val="20"/>
          <w:lang w:val="es-ES"/>
        </w:rPr>
        <w:t>y la expectativa prolongada de la ejecución</w:t>
      </w:r>
      <w:r w:rsidRPr="008536ED">
        <w:rPr>
          <w:rFonts w:ascii="Cambria" w:hAnsi="Cambria"/>
          <w:sz w:val="20"/>
          <w:lang w:val="es-ES"/>
        </w:rPr>
        <w:t xml:space="preserve">. La CIDH </w:t>
      </w:r>
      <w:r>
        <w:rPr>
          <w:rFonts w:ascii="Cambria" w:hAnsi="Cambria"/>
          <w:sz w:val="20"/>
          <w:lang w:val="es-ES"/>
        </w:rPr>
        <w:t xml:space="preserve">observa en ese sentido que </w:t>
      </w:r>
      <w:r w:rsidRPr="008536ED">
        <w:rPr>
          <w:rFonts w:ascii="Cambria" w:hAnsi="Cambria"/>
          <w:sz w:val="20"/>
          <w:lang w:val="es-ES"/>
        </w:rPr>
        <w:t xml:space="preserve">el señor </w:t>
      </w:r>
      <w:proofErr w:type="spellStart"/>
      <w:r w:rsidRPr="008536ED">
        <w:rPr>
          <w:rFonts w:ascii="Cambria" w:hAnsi="Cambria"/>
          <w:sz w:val="20"/>
          <w:lang w:val="es-ES"/>
        </w:rPr>
        <w:t>Rogovich</w:t>
      </w:r>
      <w:proofErr w:type="spellEnd"/>
      <w:r w:rsidRPr="008536ED">
        <w:rPr>
          <w:rFonts w:ascii="Cambria" w:hAnsi="Cambria"/>
          <w:sz w:val="20"/>
          <w:lang w:val="es-ES"/>
        </w:rPr>
        <w:t xml:space="preserve"> </w:t>
      </w:r>
      <w:r>
        <w:rPr>
          <w:rFonts w:ascii="Cambria" w:hAnsi="Cambria"/>
          <w:sz w:val="20"/>
          <w:lang w:val="es-ES"/>
        </w:rPr>
        <w:t xml:space="preserve">estuvo más de </w:t>
      </w:r>
      <w:r w:rsidRPr="008536ED">
        <w:rPr>
          <w:rFonts w:asciiTheme="majorHAnsi" w:hAnsiTheme="majorHAnsi"/>
          <w:sz w:val="20"/>
          <w:szCs w:val="20"/>
          <w:lang w:val="es-ES"/>
        </w:rPr>
        <w:t xml:space="preserve">20 </w:t>
      </w:r>
      <w:r>
        <w:rPr>
          <w:rFonts w:asciiTheme="majorHAnsi" w:hAnsiTheme="majorHAnsi"/>
          <w:sz w:val="20"/>
          <w:szCs w:val="20"/>
          <w:lang w:val="es-ES"/>
        </w:rPr>
        <w:t>años e</w:t>
      </w:r>
      <w:r w:rsidRPr="008536ED">
        <w:rPr>
          <w:rFonts w:asciiTheme="majorHAnsi" w:hAnsiTheme="majorHAnsi"/>
          <w:sz w:val="20"/>
          <w:szCs w:val="20"/>
          <w:lang w:val="es-ES"/>
        </w:rPr>
        <w:t xml:space="preserve">n </w:t>
      </w:r>
      <w:r>
        <w:rPr>
          <w:rFonts w:asciiTheme="majorHAnsi" w:hAnsiTheme="majorHAnsi"/>
          <w:sz w:val="20"/>
          <w:szCs w:val="20"/>
          <w:lang w:val="es-ES"/>
        </w:rPr>
        <w:t>régimen de aislamiento</w:t>
      </w:r>
      <w:r w:rsidRPr="008536ED">
        <w:rPr>
          <w:rFonts w:asciiTheme="majorHAnsi" w:hAnsiTheme="majorHAnsi"/>
          <w:sz w:val="20"/>
          <w:szCs w:val="20"/>
          <w:lang w:val="es-ES"/>
        </w:rPr>
        <w:t xml:space="preserve">, </w:t>
      </w:r>
      <w:r w:rsidRPr="00E57608">
        <w:rPr>
          <w:rFonts w:asciiTheme="majorHAnsi" w:hAnsiTheme="majorHAnsi"/>
          <w:sz w:val="20"/>
          <w:szCs w:val="20"/>
          <w:lang w:val="es-ES"/>
        </w:rPr>
        <w:t xml:space="preserve">en una celda sin ventana y sin luz natural, con la luz encendida incluso </w:t>
      </w:r>
      <w:r>
        <w:rPr>
          <w:rFonts w:asciiTheme="majorHAnsi" w:hAnsiTheme="majorHAnsi"/>
          <w:sz w:val="20"/>
          <w:szCs w:val="20"/>
          <w:lang w:val="es-ES"/>
        </w:rPr>
        <w:t>por la noche, y que l</w:t>
      </w:r>
      <w:r w:rsidRPr="00E57608">
        <w:rPr>
          <w:rFonts w:asciiTheme="majorHAnsi" w:hAnsiTheme="majorHAnsi"/>
          <w:sz w:val="20"/>
          <w:szCs w:val="20"/>
          <w:lang w:val="es-ES"/>
        </w:rPr>
        <w:t xml:space="preserve">os </w:t>
      </w:r>
      <w:r>
        <w:rPr>
          <w:rFonts w:asciiTheme="majorHAnsi" w:hAnsiTheme="majorHAnsi"/>
          <w:sz w:val="20"/>
          <w:szCs w:val="20"/>
          <w:lang w:val="es-ES"/>
        </w:rPr>
        <w:t>internos</w:t>
      </w:r>
      <w:r w:rsidRPr="00E57608">
        <w:rPr>
          <w:rFonts w:asciiTheme="majorHAnsi" w:hAnsiTheme="majorHAnsi"/>
          <w:sz w:val="20"/>
          <w:szCs w:val="20"/>
          <w:lang w:val="es-ES"/>
        </w:rPr>
        <w:t xml:space="preserve"> podían salir de la celda solo tres veces por semana durante dos horas como máximo</w:t>
      </w:r>
      <w:r w:rsidRPr="008536ED">
        <w:rPr>
          <w:rFonts w:ascii="Cambria" w:hAnsi="Cambria"/>
          <w:sz w:val="20"/>
          <w:lang w:val="es-ES"/>
        </w:rPr>
        <w:t xml:space="preserve">. </w:t>
      </w:r>
      <w:r>
        <w:rPr>
          <w:rFonts w:ascii="Cambria" w:hAnsi="Cambria"/>
          <w:sz w:val="20"/>
          <w:lang w:val="es-ES"/>
        </w:rPr>
        <w:t>Por consiguiente</w:t>
      </w:r>
      <w:r w:rsidRPr="008536ED">
        <w:rPr>
          <w:rFonts w:ascii="Cambria" w:hAnsi="Cambria"/>
          <w:sz w:val="20"/>
          <w:lang w:val="es-ES"/>
        </w:rPr>
        <w:t xml:space="preserve">, Estados Unidos </w:t>
      </w:r>
      <w:r>
        <w:rPr>
          <w:rFonts w:ascii="Cambria" w:hAnsi="Cambria"/>
          <w:sz w:val="20"/>
          <w:lang w:val="es-ES"/>
        </w:rPr>
        <w:t>e</w:t>
      </w:r>
      <w:r w:rsidRPr="008536ED">
        <w:rPr>
          <w:rFonts w:ascii="Cambria" w:hAnsi="Cambria"/>
          <w:sz w:val="20"/>
          <w:lang w:val="es-ES"/>
        </w:rPr>
        <w:t>s respons</w:t>
      </w:r>
      <w:r>
        <w:rPr>
          <w:rFonts w:ascii="Cambria" w:hAnsi="Cambria"/>
          <w:sz w:val="20"/>
          <w:lang w:val="es-ES"/>
        </w:rPr>
        <w:t>a</w:t>
      </w:r>
      <w:r w:rsidRPr="008536ED">
        <w:rPr>
          <w:rFonts w:ascii="Cambria" w:hAnsi="Cambria"/>
          <w:sz w:val="20"/>
          <w:lang w:val="es-ES"/>
        </w:rPr>
        <w:t xml:space="preserve">ble </w:t>
      </w:r>
      <w:r>
        <w:rPr>
          <w:rFonts w:ascii="Cambria" w:hAnsi="Cambria"/>
          <w:sz w:val="20"/>
          <w:lang w:val="es-ES"/>
        </w:rPr>
        <w:t xml:space="preserve">de la violación del derecho a un trato </w:t>
      </w:r>
      <w:r w:rsidRPr="008536ED">
        <w:rPr>
          <w:rFonts w:ascii="Cambria" w:hAnsi="Cambria"/>
          <w:sz w:val="20"/>
          <w:lang w:val="es-ES"/>
        </w:rPr>
        <w:t>human</w:t>
      </w:r>
      <w:r>
        <w:rPr>
          <w:rFonts w:ascii="Cambria" w:hAnsi="Cambria"/>
          <w:sz w:val="20"/>
          <w:lang w:val="es-ES"/>
        </w:rPr>
        <w:t xml:space="preserve">o y a no recibir un </w:t>
      </w:r>
      <w:r w:rsidRPr="008536ED">
        <w:rPr>
          <w:rFonts w:ascii="Cambria" w:hAnsi="Cambria"/>
          <w:sz w:val="20"/>
          <w:lang w:val="es-ES"/>
        </w:rPr>
        <w:t>castigo cruel, infamante o inusitado</w:t>
      </w:r>
      <w:r>
        <w:rPr>
          <w:rFonts w:ascii="Cambria" w:hAnsi="Cambria"/>
          <w:sz w:val="20"/>
          <w:lang w:val="es-ES"/>
        </w:rPr>
        <w:t>, enunciado en los</w:t>
      </w:r>
      <w:r w:rsidRPr="008536ED">
        <w:rPr>
          <w:rFonts w:ascii="Cambria" w:hAnsi="Cambria"/>
          <w:sz w:val="20"/>
          <w:lang w:val="es-ES"/>
        </w:rPr>
        <w:t xml:space="preserve"> artículos XXV </w:t>
      </w:r>
      <w:r>
        <w:rPr>
          <w:rFonts w:ascii="Cambria" w:hAnsi="Cambria"/>
          <w:sz w:val="20"/>
          <w:lang w:val="es-ES"/>
        </w:rPr>
        <w:t>y</w:t>
      </w:r>
      <w:r w:rsidRPr="008536ED">
        <w:rPr>
          <w:rFonts w:ascii="Cambria" w:hAnsi="Cambria"/>
          <w:sz w:val="20"/>
          <w:lang w:val="es-ES"/>
        </w:rPr>
        <w:t xml:space="preserve"> XXVI </w:t>
      </w:r>
      <w:r>
        <w:rPr>
          <w:rFonts w:ascii="Cambria" w:hAnsi="Cambria"/>
          <w:sz w:val="20"/>
          <w:lang w:val="es-ES"/>
        </w:rPr>
        <w:t xml:space="preserve">de la </w:t>
      </w:r>
      <w:r w:rsidRPr="008536ED">
        <w:rPr>
          <w:rFonts w:ascii="Cambria" w:hAnsi="Cambria"/>
          <w:sz w:val="20"/>
          <w:lang w:val="es-ES"/>
        </w:rPr>
        <w:t>Declaración Americana</w:t>
      </w:r>
      <w:r>
        <w:rPr>
          <w:rFonts w:ascii="Cambria" w:hAnsi="Cambria"/>
          <w:sz w:val="20"/>
          <w:lang w:val="es-ES"/>
        </w:rPr>
        <w:t xml:space="preserve">, en perjuicio del señor </w:t>
      </w:r>
      <w:proofErr w:type="spellStart"/>
      <w:r>
        <w:rPr>
          <w:rFonts w:ascii="Cambria" w:hAnsi="Cambria"/>
          <w:sz w:val="20"/>
          <w:lang w:val="es-ES"/>
        </w:rPr>
        <w:t>Rogovich</w:t>
      </w:r>
      <w:proofErr w:type="spellEnd"/>
      <w:r>
        <w:rPr>
          <w:rFonts w:ascii="Cambria" w:hAnsi="Cambria"/>
          <w:sz w:val="20"/>
          <w:lang w:val="es-ES"/>
        </w:rPr>
        <w:t>.</w:t>
      </w:r>
    </w:p>
    <w:p w14:paraId="4585C23F" w14:textId="77777777" w:rsidR="00953481" w:rsidRPr="00953481" w:rsidRDefault="00953481" w:rsidP="00953481">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14:paraId="3779C793" w14:textId="77777777" w:rsidR="00953481" w:rsidRPr="00953481" w:rsidRDefault="00953481" w:rsidP="00C341DD">
      <w:pPr>
        <w:pStyle w:val="Heading2"/>
        <w:keepLines/>
        <w:numPr>
          <w:ilvl w:val="0"/>
          <w:numId w:val="61"/>
        </w:numPr>
        <w:pBdr>
          <w:top w:val="nil"/>
          <w:left w:val="nil"/>
          <w:bottom w:val="nil"/>
          <w:right w:val="nil"/>
          <w:between w:val="nil"/>
          <w:bar w:val="nil"/>
        </w:pBdr>
        <w:tabs>
          <w:tab w:val="left" w:pos="360"/>
        </w:tabs>
        <w:spacing w:before="0" w:after="0"/>
        <w:ind w:left="360"/>
        <w:jc w:val="both"/>
        <w:rPr>
          <w:rFonts w:asciiTheme="majorHAnsi" w:hAnsiTheme="majorHAnsi"/>
          <w:i w:val="0"/>
          <w:sz w:val="20"/>
          <w:szCs w:val="20"/>
          <w:lang w:val="es-ES"/>
        </w:rPr>
      </w:pPr>
      <w:bookmarkStart w:id="34" w:name="_Toc90283156"/>
      <w:r w:rsidRPr="00953481">
        <w:rPr>
          <w:rFonts w:asciiTheme="majorHAnsi" w:hAnsiTheme="majorHAnsi"/>
          <w:i w:val="0"/>
          <w:sz w:val="20"/>
          <w:szCs w:val="20"/>
          <w:lang w:val="es-ES"/>
        </w:rPr>
        <w:lastRenderedPageBreak/>
        <w:t>El derecho a la vida</w:t>
      </w:r>
      <w:r w:rsidRPr="00953481">
        <w:rPr>
          <w:rStyle w:val="FootnoteReference"/>
          <w:rFonts w:asciiTheme="majorHAnsi" w:hAnsiTheme="majorHAnsi"/>
          <w:i w:val="0"/>
          <w:sz w:val="20"/>
          <w:szCs w:val="20"/>
          <w:lang w:val="es-ES"/>
        </w:rPr>
        <w:footnoteReference w:id="108"/>
      </w:r>
      <w:r w:rsidRPr="00953481">
        <w:rPr>
          <w:rFonts w:asciiTheme="majorHAnsi" w:hAnsiTheme="majorHAnsi"/>
          <w:i w:val="0"/>
          <w:sz w:val="20"/>
          <w:szCs w:val="20"/>
          <w:lang w:val="es-ES"/>
        </w:rPr>
        <w:t xml:space="preserve"> y a la protección contra un castigo cruel, infamante o inusitado con respecto a la eventual ejecución de Pete Carl </w:t>
      </w:r>
      <w:proofErr w:type="spellStart"/>
      <w:r w:rsidRPr="00953481">
        <w:rPr>
          <w:rFonts w:asciiTheme="majorHAnsi" w:hAnsiTheme="majorHAnsi"/>
          <w:i w:val="0"/>
          <w:sz w:val="20"/>
          <w:szCs w:val="20"/>
          <w:lang w:val="es-ES"/>
        </w:rPr>
        <w:t>Rogovich</w:t>
      </w:r>
      <w:bookmarkEnd w:id="34"/>
      <w:proofErr w:type="spellEnd"/>
      <w:r w:rsidRPr="00953481">
        <w:rPr>
          <w:rFonts w:asciiTheme="majorHAnsi" w:hAnsiTheme="majorHAnsi"/>
          <w:i w:val="0"/>
          <w:sz w:val="20"/>
          <w:szCs w:val="20"/>
          <w:lang w:val="es-ES"/>
        </w:rPr>
        <w:t xml:space="preserve"> </w:t>
      </w:r>
    </w:p>
    <w:p w14:paraId="55EA2054" w14:textId="77777777" w:rsidR="00953481" w:rsidRPr="008536ED" w:rsidRDefault="00953481" w:rsidP="00953481">
      <w:pPr>
        <w:rPr>
          <w:rFonts w:asciiTheme="majorHAnsi" w:hAnsiTheme="majorHAnsi"/>
          <w:sz w:val="20"/>
          <w:szCs w:val="20"/>
          <w:lang w:val="es-ES"/>
        </w:rPr>
      </w:pPr>
    </w:p>
    <w:p w14:paraId="11E70CC3"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Pr>
          <w:rFonts w:ascii="Cambria" w:hAnsi="Cambria"/>
          <w:sz w:val="20"/>
          <w:szCs w:val="20"/>
          <w:lang w:val="es-ES"/>
        </w:rPr>
        <w:t>Como ya se indicó</w:t>
      </w:r>
      <w:r w:rsidRPr="008536ED">
        <w:rPr>
          <w:rFonts w:ascii="Cambria" w:hAnsi="Cambria"/>
          <w:sz w:val="20"/>
          <w:szCs w:val="20"/>
          <w:lang w:val="es-ES"/>
        </w:rPr>
        <w:t>, la Comisión Interamericana consider</w:t>
      </w:r>
      <w:r>
        <w:rPr>
          <w:rFonts w:ascii="Cambria" w:hAnsi="Cambria"/>
          <w:sz w:val="20"/>
          <w:szCs w:val="20"/>
          <w:lang w:val="es-ES"/>
        </w:rPr>
        <w:t>a que incumbe a los tribunales nacionales, y no a</w:t>
      </w:r>
      <w:r w:rsidRPr="008536ED">
        <w:rPr>
          <w:rFonts w:ascii="Cambria" w:hAnsi="Cambria"/>
          <w:sz w:val="20"/>
          <w:szCs w:val="20"/>
          <w:lang w:val="es-ES"/>
        </w:rPr>
        <w:t xml:space="preserve"> la Comisión, interpret</w:t>
      </w:r>
      <w:r>
        <w:rPr>
          <w:rFonts w:ascii="Cambria" w:hAnsi="Cambria"/>
          <w:sz w:val="20"/>
          <w:szCs w:val="20"/>
          <w:lang w:val="es-ES"/>
        </w:rPr>
        <w:t>ar y aplicar el derecho interno. No obstante</w:t>
      </w:r>
      <w:r w:rsidRPr="008536ED">
        <w:rPr>
          <w:rFonts w:ascii="Cambria" w:hAnsi="Cambria"/>
          <w:sz w:val="20"/>
          <w:szCs w:val="20"/>
          <w:lang w:val="es-ES"/>
        </w:rPr>
        <w:t xml:space="preserve">, la CIDH </w:t>
      </w:r>
      <w:r>
        <w:rPr>
          <w:rFonts w:ascii="Cambria" w:hAnsi="Cambria"/>
          <w:sz w:val="20"/>
          <w:szCs w:val="20"/>
          <w:lang w:val="es-ES"/>
        </w:rPr>
        <w:t xml:space="preserve">debe asegurar que la privación de la vida como consecuencia de la imposición de la </w:t>
      </w:r>
      <w:r w:rsidRPr="008536ED">
        <w:rPr>
          <w:rFonts w:ascii="Cambria" w:hAnsi="Cambria"/>
          <w:sz w:val="20"/>
          <w:szCs w:val="20"/>
          <w:lang w:val="es-ES"/>
        </w:rPr>
        <w:t xml:space="preserve">pena de muerte </w:t>
      </w:r>
      <w:r>
        <w:rPr>
          <w:rFonts w:ascii="Cambria" w:hAnsi="Cambria"/>
          <w:sz w:val="20"/>
          <w:szCs w:val="20"/>
          <w:lang w:val="es-ES"/>
        </w:rPr>
        <w:t xml:space="preserve">se ciña en todos los casos a los requisitos de la </w:t>
      </w:r>
      <w:r w:rsidRPr="008536ED">
        <w:rPr>
          <w:rFonts w:ascii="Cambria" w:hAnsi="Cambria"/>
          <w:sz w:val="20"/>
          <w:szCs w:val="20"/>
          <w:lang w:val="es-ES"/>
        </w:rPr>
        <w:t>Declaración Americana</w:t>
      </w:r>
      <w:r w:rsidRPr="008536ED">
        <w:rPr>
          <w:rStyle w:val="FootnoteReference"/>
          <w:rFonts w:ascii="Cambria" w:hAnsi="Cambria"/>
          <w:sz w:val="20"/>
          <w:szCs w:val="20"/>
          <w:lang w:val="es-ES"/>
        </w:rPr>
        <w:footnoteReference w:id="109"/>
      </w:r>
      <w:r>
        <w:rPr>
          <w:rFonts w:ascii="Cambria" w:hAnsi="Cambria"/>
          <w:sz w:val="20"/>
          <w:szCs w:val="20"/>
          <w:lang w:val="es-ES"/>
        </w:rPr>
        <w:t>.</w:t>
      </w:r>
    </w:p>
    <w:p w14:paraId="67E14AF0" w14:textId="77777777" w:rsidR="00953481" w:rsidRPr="00A367DE"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p>
    <w:p w14:paraId="4904B892"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Pr>
          <w:rFonts w:ascii="Cambria" w:hAnsi="Cambria"/>
          <w:sz w:val="20"/>
          <w:szCs w:val="20"/>
          <w:lang w:val="es-ES"/>
        </w:rPr>
        <w:t xml:space="preserve">A lo largo de este informe, </w:t>
      </w:r>
      <w:r w:rsidRPr="008536ED">
        <w:rPr>
          <w:rFonts w:ascii="Cambria" w:hAnsi="Cambria"/>
          <w:sz w:val="20"/>
          <w:szCs w:val="20"/>
          <w:lang w:val="es-ES"/>
        </w:rPr>
        <w:t xml:space="preserve">la Comisión </w:t>
      </w:r>
      <w:r>
        <w:rPr>
          <w:rFonts w:ascii="Cambria" w:hAnsi="Cambria"/>
          <w:sz w:val="20"/>
          <w:szCs w:val="20"/>
          <w:lang w:val="es-ES"/>
        </w:rPr>
        <w:t xml:space="preserve">comprobó, entre otras cosas, que </w:t>
      </w:r>
      <w:r w:rsidRPr="008536ED">
        <w:rPr>
          <w:rFonts w:ascii="Cambria" w:hAnsi="Cambria"/>
          <w:sz w:val="20"/>
          <w:szCs w:val="20"/>
          <w:lang w:val="es-ES"/>
        </w:rPr>
        <w:t xml:space="preserve">el señor </w:t>
      </w:r>
      <w:proofErr w:type="spellStart"/>
      <w:r w:rsidRPr="008536ED">
        <w:rPr>
          <w:rFonts w:ascii="Cambria" w:hAnsi="Cambria"/>
          <w:sz w:val="20"/>
          <w:szCs w:val="20"/>
          <w:lang w:val="es-ES"/>
        </w:rPr>
        <w:t>Rogovich</w:t>
      </w:r>
      <w:proofErr w:type="spellEnd"/>
      <w:r w:rsidRPr="008536ED">
        <w:rPr>
          <w:rFonts w:ascii="Cambria" w:hAnsi="Cambria"/>
          <w:sz w:val="20"/>
          <w:szCs w:val="20"/>
          <w:lang w:val="es-ES"/>
        </w:rPr>
        <w:t xml:space="preserve"> </w:t>
      </w:r>
      <w:r>
        <w:rPr>
          <w:rFonts w:ascii="Cambria" w:hAnsi="Cambria"/>
          <w:sz w:val="20"/>
          <w:szCs w:val="20"/>
          <w:lang w:val="es-ES"/>
        </w:rPr>
        <w:t xml:space="preserve">no contó con asistencia letrada </w:t>
      </w:r>
      <w:r w:rsidRPr="008536ED">
        <w:rPr>
          <w:rFonts w:ascii="Cambria" w:hAnsi="Cambria"/>
          <w:sz w:val="20"/>
          <w:szCs w:val="20"/>
          <w:lang w:val="es-ES"/>
        </w:rPr>
        <w:t>ade</w:t>
      </w:r>
      <w:r>
        <w:rPr>
          <w:rFonts w:ascii="Cambria" w:hAnsi="Cambria"/>
          <w:sz w:val="20"/>
          <w:szCs w:val="20"/>
          <w:lang w:val="es-ES"/>
        </w:rPr>
        <w:t>c</w:t>
      </w:r>
      <w:r w:rsidRPr="008536ED">
        <w:rPr>
          <w:rFonts w:ascii="Cambria" w:hAnsi="Cambria"/>
          <w:sz w:val="20"/>
          <w:szCs w:val="20"/>
          <w:lang w:val="es-ES"/>
        </w:rPr>
        <w:t>ua</w:t>
      </w:r>
      <w:r>
        <w:rPr>
          <w:rFonts w:ascii="Cambria" w:hAnsi="Cambria"/>
          <w:sz w:val="20"/>
          <w:szCs w:val="20"/>
          <w:lang w:val="es-ES"/>
        </w:rPr>
        <w:t xml:space="preserve">da en la apelación, no se hizo una revisión minuciosa de su condena, hay dudas respecto a su capacidad procesal, y los </w:t>
      </w:r>
      <w:r w:rsidRPr="008536ED">
        <w:rPr>
          <w:rFonts w:ascii="Cambria" w:hAnsi="Cambria"/>
          <w:sz w:val="20"/>
          <w:szCs w:val="20"/>
          <w:lang w:val="es-ES"/>
        </w:rPr>
        <w:t xml:space="preserve">27 </w:t>
      </w:r>
      <w:r>
        <w:rPr>
          <w:rFonts w:ascii="Cambria" w:hAnsi="Cambria"/>
          <w:sz w:val="20"/>
          <w:szCs w:val="20"/>
          <w:lang w:val="es-ES"/>
        </w:rPr>
        <w:t xml:space="preserve">años que estuvo en el </w:t>
      </w:r>
      <w:r w:rsidRPr="008536ED">
        <w:rPr>
          <w:rFonts w:ascii="Cambria" w:hAnsi="Cambria"/>
          <w:sz w:val="20"/>
          <w:szCs w:val="20"/>
          <w:lang w:val="es-ES"/>
        </w:rPr>
        <w:t>corredor de la muerte constitu</w:t>
      </w:r>
      <w:r>
        <w:rPr>
          <w:rFonts w:ascii="Cambria" w:hAnsi="Cambria"/>
          <w:sz w:val="20"/>
          <w:szCs w:val="20"/>
          <w:lang w:val="es-ES"/>
        </w:rPr>
        <w:t xml:space="preserve">yen un trato </w:t>
      </w:r>
      <w:r w:rsidRPr="008536ED">
        <w:rPr>
          <w:rFonts w:ascii="Cambria" w:hAnsi="Cambria"/>
          <w:sz w:val="20"/>
          <w:szCs w:val="20"/>
          <w:lang w:val="es-ES"/>
        </w:rPr>
        <w:t xml:space="preserve">cruel </w:t>
      </w:r>
      <w:r>
        <w:rPr>
          <w:rFonts w:ascii="Cambria" w:hAnsi="Cambria"/>
          <w:sz w:val="20"/>
          <w:szCs w:val="20"/>
          <w:lang w:val="es-ES"/>
        </w:rPr>
        <w:t>e</w:t>
      </w:r>
      <w:r w:rsidRPr="008536ED">
        <w:rPr>
          <w:rFonts w:ascii="Cambria" w:hAnsi="Cambria"/>
          <w:sz w:val="20"/>
          <w:szCs w:val="20"/>
          <w:lang w:val="es-ES"/>
        </w:rPr>
        <w:t xml:space="preserve"> inhuman</w:t>
      </w:r>
      <w:r>
        <w:rPr>
          <w:rFonts w:ascii="Cambria" w:hAnsi="Cambria"/>
          <w:sz w:val="20"/>
          <w:szCs w:val="20"/>
          <w:lang w:val="es-ES"/>
        </w:rPr>
        <w:t>o</w:t>
      </w:r>
      <w:r w:rsidRPr="008536ED">
        <w:rPr>
          <w:rFonts w:ascii="Cambria" w:hAnsi="Cambria"/>
          <w:sz w:val="20"/>
          <w:szCs w:val="20"/>
          <w:lang w:val="es-ES"/>
        </w:rPr>
        <w:t>.</w:t>
      </w:r>
    </w:p>
    <w:p w14:paraId="55299BA5" w14:textId="77777777" w:rsidR="00953481" w:rsidRPr="00A367DE" w:rsidRDefault="00953481" w:rsidP="00953481">
      <w:pPr>
        <w:rPr>
          <w:sz w:val="20"/>
          <w:szCs w:val="20"/>
          <w:lang w:val="es-ES"/>
        </w:rPr>
      </w:pPr>
    </w:p>
    <w:p w14:paraId="3844E448"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Pr>
          <w:rFonts w:ascii="Cambria" w:hAnsi="Cambria"/>
          <w:sz w:val="20"/>
          <w:szCs w:val="20"/>
          <w:lang w:val="es-ES"/>
        </w:rPr>
        <w:t>En tales circunstancias</w:t>
      </w:r>
      <w:r w:rsidRPr="008536ED">
        <w:rPr>
          <w:rFonts w:ascii="Cambria" w:hAnsi="Cambria"/>
          <w:sz w:val="20"/>
          <w:szCs w:val="20"/>
          <w:lang w:val="es-ES"/>
        </w:rPr>
        <w:t>, la CIDH ha</w:t>
      </w:r>
      <w:r>
        <w:rPr>
          <w:rFonts w:ascii="Cambria" w:hAnsi="Cambria"/>
          <w:sz w:val="20"/>
          <w:szCs w:val="20"/>
          <w:lang w:val="es-ES"/>
        </w:rPr>
        <w:t xml:space="preserve"> afirmado que ejecutar a una persona al cabo de procedimientos que violaron sus derechos sería un acto sumamente grave que constituiría una violación deliberada del </w:t>
      </w:r>
      <w:r w:rsidRPr="008536ED">
        <w:rPr>
          <w:rFonts w:ascii="Cambria" w:hAnsi="Cambria"/>
          <w:sz w:val="20"/>
          <w:szCs w:val="20"/>
          <w:lang w:val="es-ES"/>
        </w:rPr>
        <w:t>derecho a la vida e</w:t>
      </w:r>
      <w:r>
        <w:rPr>
          <w:rFonts w:ascii="Cambria" w:hAnsi="Cambria"/>
          <w:sz w:val="20"/>
          <w:szCs w:val="20"/>
          <w:lang w:val="es-ES"/>
        </w:rPr>
        <w:t>nunciado en el artículo</w:t>
      </w:r>
      <w:r w:rsidRPr="008536ED">
        <w:rPr>
          <w:rFonts w:ascii="Cambria" w:hAnsi="Cambria"/>
          <w:sz w:val="20"/>
          <w:szCs w:val="20"/>
          <w:lang w:val="es-ES"/>
        </w:rPr>
        <w:t xml:space="preserve"> I </w:t>
      </w:r>
      <w:r>
        <w:rPr>
          <w:rFonts w:ascii="Cambria" w:hAnsi="Cambria"/>
          <w:sz w:val="20"/>
          <w:szCs w:val="20"/>
          <w:lang w:val="es-ES"/>
        </w:rPr>
        <w:t xml:space="preserve">de la </w:t>
      </w:r>
      <w:r w:rsidRPr="008536ED">
        <w:rPr>
          <w:rFonts w:ascii="Cambria" w:hAnsi="Cambria"/>
          <w:sz w:val="20"/>
          <w:szCs w:val="20"/>
          <w:lang w:val="es-ES"/>
        </w:rPr>
        <w:t>Declaración Americana</w:t>
      </w:r>
      <w:r w:rsidRPr="008536ED">
        <w:rPr>
          <w:rStyle w:val="FootnoteReference"/>
          <w:rFonts w:ascii="Cambria" w:hAnsi="Cambria"/>
          <w:sz w:val="20"/>
          <w:szCs w:val="20"/>
          <w:lang w:val="es-ES"/>
        </w:rPr>
        <w:footnoteReference w:id="110"/>
      </w:r>
      <w:r>
        <w:rPr>
          <w:rFonts w:ascii="Cambria" w:hAnsi="Cambria"/>
          <w:sz w:val="20"/>
          <w:szCs w:val="20"/>
          <w:lang w:val="es-ES"/>
        </w:rPr>
        <w:t>. Asimismo</w:t>
      </w:r>
      <w:r w:rsidRPr="008536ED">
        <w:rPr>
          <w:rFonts w:ascii="Cambria" w:hAnsi="Cambria"/>
          <w:sz w:val="20"/>
          <w:szCs w:val="20"/>
          <w:lang w:val="es-ES"/>
        </w:rPr>
        <w:t xml:space="preserve">, </w:t>
      </w:r>
      <w:r>
        <w:rPr>
          <w:rFonts w:ascii="Cambria" w:hAnsi="Cambria"/>
          <w:sz w:val="20"/>
          <w:szCs w:val="20"/>
          <w:lang w:val="es-ES"/>
        </w:rPr>
        <w:t>sobre la base de las conclusiones relativas a la privación de libertad</w:t>
      </w:r>
      <w:r w:rsidRPr="008536ED">
        <w:rPr>
          <w:rFonts w:ascii="Cambria" w:hAnsi="Cambria"/>
          <w:sz w:val="20"/>
          <w:szCs w:val="20"/>
          <w:lang w:val="es-ES"/>
        </w:rPr>
        <w:t xml:space="preserve"> en el corredor de la muerte, </w:t>
      </w:r>
      <w:r>
        <w:rPr>
          <w:rFonts w:ascii="Cambria" w:hAnsi="Cambria"/>
          <w:sz w:val="20"/>
          <w:szCs w:val="20"/>
          <w:lang w:val="es-ES"/>
        </w:rPr>
        <w:t xml:space="preserve">la </w:t>
      </w:r>
      <w:r w:rsidRPr="008536ED">
        <w:rPr>
          <w:rFonts w:ascii="Cambria" w:hAnsi="Cambria"/>
          <w:sz w:val="20"/>
          <w:szCs w:val="20"/>
          <w:lang w:val="es-ES"/>
        </w:rPr>
        <w:t>eventual e</w:t>
      </w:r>
      <w:r>
        <w:rPr>
          <w:rFonts w:ascii="Cambria" w:hAnsi="Cambria"/>
          <w:sz w:val="20"/>
          <w:szCs w:val="20"/>
          <w:lang w:val="es-ES"/>
        </w:rPr>
        <w:t>jecución d</w:t>
      </w:r>
      <w:r w:rsidRPr="008536ED">
        <w:rPr>
          <w:rFonts w:ascii="Cambria" w:hAnsi="Cambria"/>
          <w:sz w:val="20"/>
          <w:szCs w:val="20"/>
          <w:lang w:val="es-ES"/>
        </w:rPr>
        <w:t xml:space="preserve">el señor </w:t>
      </w:r>
      <w:proofErr w:type="spellStart"/>
      <w:r w:rsidRPr="008536ED">
        <w:rPr>
          <w:rFonts w:ascii="Cambria" w:hAnsi="Cambria"/>
          <w:sz w:val="20"/>
          <w:szCs w:val="20"/>
          <w:lang w:val="es-ES"/>
        </w:rPr>
        <w:t>Rogovich</w:t>
      </w:r>
      <w:proofErr w:type="spellEnd"/>
      <w:r w:rsidRPr="008536ED">
        <w:rPr>
          <w:rFonts w:ascii="Cambria" w:hAnsi="Cambria"/>
          <w:sz w:val="20"/>
          <w:szCs w:val="20"/>
          <w:lang w:val="es-ES"/>
        </w:rPr>
        <w:t xml:space="preserve"> </w:t>
      </w:r>
      <w:r>
        <w:rPr>
          <w:rFonts w:ascii="Cambria" w:hAnsi="Cambria"/>
          <w:sz w:val="20"/>
          <w:szCs w:val="20"/>
          <w:lang w:val="es-ES"/>
        </w:rPr>
        <w:t>constituiría, desde todo punto de vista,</w:t>
      </w:r>
      <w:r w:rsidRPr="008536ED">
        <w:rPr>
          <w:rFonts w:ascii="Cambria" w:hAnsi="Cambria"/>
          <w:sz w:val="20"/>
          <w:szCs w:val="20"/>
          <w:lang w:val="es-ES"/>
        </w:rPr>
        <w:t xml:space="preserve"> </w:t>
      </w:r>
      <w:r>
        <w:rPr>
          <w:rFonts w:ascii="Cambria" w:hAnsi="Cambria"/>
          <w:sz w:val="20"/>
          <w:szCs w:val="20"/>
          <w:lang w:val="es-ES"/>
        </w:rPr>
        <w:t xml:space="preserve">una violación del derecho a la protección contra un </w:t>
      </w:r>
      <w:r w:rsidRPr="008536ED">
        <w:rPr>
          <w:rFonts w:ascii="Cambria" w:hAnsi="Cambria"/>
          <w:sz w:val="20"/>
          <w:szCs w:val="20"/>
          <w:lang w:val="es-ES"/>
        </w:rPr>
        <w:t xml:space="preserve">castigo cruel, infamante o inusitado. </w:t>
      </w:r>
      <w:r>
        <w:rPr>
          <w:rFonts w:ascii="Cambria" w:hAnsi="Cambria"/>
          <w:sz w:val="20"/>
          <w:szCs w:val="20"/>
          <w:lang w:val="es-ES"/>
        </w:rPr>
        <w:t>En vista de lo que antecede y teniendo en cuenta las determinaciones formuladas a lo largo de este informe</w:t>
      </w:r>
      <w:r w:rsidRPr="008536ED">
        <w:rPr>
          <w:rFonts w:ascii="Cambria" w:hAnsi="Cambria"/>
          <w:sz w:val="20"/>
          <w:szCs w:val="20"/>
          <w:lang w:val="es-ES"/>
        </w:rPr>
        <w:t>, la CIDH conclu</w:t>
      </w:r>
      <w:r>
        <w:rPr>
          <w:rFonts w:ascii="Cambria" w:hAnsi="Cambria"/>
          <w:sz w:val="20"/>
          <w:szCs w:val="20"/>
          <w:lang w:val="es-ES"/>
        </w:rPr>
        <w:t>ye que la ejecución d</w:t>
      </w:r>
      <w:r w:rsidRPr="008536ED">
        <w:rPr>
          <w:rFonts w:ascii="Cambria" w:hAnsi="Cambria"/>
          <w:sz w:val="20"/>
          <w:szCs w:val="20"/>
          <w:lang w:val="es-ES"/>
        </w:rPr>
        <w:t xml:space="preserve">el señor </w:t>
      </w:r>
      <w:proofErr w:type="spellStart"/>
      <w:r w:rsidRPr="008536ED">
        <w:rPr>
          <w:rFonts w:ascii="Cambria" w:hAnsi="Cambria"/>
          <w:sz w:val="20"/>
          <w:szCs w:val="20"/>
          <w:lang w:val="es-ES"/>
        </w:rPr>
        <w:t>Rogovich</w:t>
      </w:r>
      <w:proofErr w:type="spellEnd"/>
      <w:r w:rsidRPr="008536ED">
        <w:rPr>
          <w:rFonts w:ascii="Cambria" w:hAnsi="Cambria"/>
          <w:sz w:val="20"/>
          <w:szCs w:val="20"/>
          <w:lang w:val="es-ES"/>
        </w:rPr>
        <w:t xml:space="preserve"> </w:t>
      </w:r>
      <w:r>
        <w:rPr>
          <w:rFonts w:ascii="Cambria" w:hAnsi="Cambria"/>
          <w:sz w:val="20"/>
          <w:szCs w:val="20"/>
          <w:lang w:val="es-ES"/>
        </w:rPr>
        <w:t xml:space="preserve">constituiría una grave violación del </w:t>
      </w:r>
      <w:r w:rsidRPr="008536ED">
        <w:rPr>
          <w:rFonts w:ascii="Cambria" w:hAnsi="Cambria"/>
          <w:sz w:val="20"/>
          <w:szCs w:val="20"/>
          <w:lang w:val="es-ES"/>
        </w:rPr>
        <w:t xml:space="preserve">derecho a la vida </w:t>
      </w:r>
      <w:r>
        <w:rPr>
          <w:rFonts w:ascii="Cambria" w:hAnsi="Cambria"/>
          <w:sz w:val="20"/>
          <w:szCs w:val="20"/>
          <w:lang w:val="es-ES"/>
        </w:rPr>
        <w:t>enunciado en el</w:t>
      </w:r>
      <w:r w:rsidRPr="008536ED">
        <w:rPr>
          <w:rFonts w:ascii="Cambria" w:hAnsi="Cambria"/>
          <w:sz w:val="20"/>
          <w:szCs w:val="20"/>
          <w:lang w:val="es-ES"/>
        </w:rPr>
        <w:t xml:space="preserve"> artículo I </w:t>
      </w:r>
      <w:r>
        <w:rPr>
          <w:rFonts w:ascii="Cambria" w:hAnsi="Cambria"/>
          <w:sz w:val="20"/>
          <w:szCs w:val="20"/>
          <w:lang w:val="es-ES"/>
        </w:rPr>
        <w:t xml:space="preserve">de la </w:t>
      </w:r>
      <w:r w:rsidRPr="008536ED">
        <w:rPr>
          <w:rFonts w:ascii="Cambria" w:hAnsi="Cambria"/>
          <w:sz w:val="20"/>
          <w:szCs w:val="20"/>
          <w:lang w:val="es-ES"/>
        </w:rPr>
        <w:t>Declaración Americana.</w:t>
      </w:r>
    </w:p>
    <w:p w14:paraId="44690041" w14:textId="77777777" w:rsidR="003D16AC" w:rsidRPr="0099456A" w:rsidRDefault="003D16AC" w:rsidP="003D16A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0B3BA8EA" w14:textId="039097BB" w:rsidR="003D16AC" w:rsidRPr="006D19DD" w:rsidRDefault="003D16AC" w:rsidP="003D16AC">
      <w:pPr>
        <w:pStyle w:val="Heading1"/>
        <w:tabs>
          <w:tab w:val="left" w:pos="360"/>
        </w:tabs>
        <w:spacing w:before="0"/>
        <w:ind w:left="0" w:firstLine="0"/>
        <w:rPr>
          <w:color w:val="auto"/>
          <w:sz w:val="20"/>
          <w:szCs w:val="20"/>
          <w:lang w:val="es-ES_tradnl"/>
        </w:rPr>
      </w:pPr>
      <w:bookmarkStart w:id="35" w:name="_Toc87434319"/>
      <w:bookmarkStart w:id="36" w:name="_Toc87519108"/>
      <w:bookmarkStart w:id="37" w:name="_Toc90283157"/>
      <w:r w:rsidRPr="006D19DD">
        <w:rPr>
          <w:color w:val="auto"/>
          <w:sz w:val="20"/>
          <w:szCs w:val="20"/>
          <w:lang w:val="es-ES_tradnl"/>
        </w:rPr>
        <w:t xml:space="preserve">INFORME </w:t>
      </w:r>
      <w:proofErr w:type="spellStart"/>
      <w:r w:rsidRPr="006D19DD">
        <w:rPr>
          <w:color w:val="auto"/>
          <w:sz w:val="20"/>
          <w:szCs w:val="20"/>
          <w:lang w:val="es-ES_tradnl"/>
        </w:rPr>
        <w:t>Nº</w:t>
      </w:r>
      <w:proofErr w:type="spellEnd"/>
      <w:r w:rsidRPr="006D19DD">
        <w:rPr>
          <w:color w:val="auto"/>
          <w:sz w:val="20"/>
          <w:szCs w:val="20"/>
          <w:lang w:val="es-ES_tradnl"/>
        </w:rPr>
        <w:t xml:space="preserve"> 154/19 E INFORMACIÓN SOBRE EL CUMPLIMIENTO</w:t>
      </w:r>
      <w:bookmarkEnd w:id="35"/>
      <w:bookmarkEnd w:id="36"/>
      <w:bookmarkEnd w:id="37"/>
    </w:p>
    <w:p w14:paraId="0ACBD0AF" w14:textId="77777777" w:rsidR="003D16AC" w:rsidRPr="006D19DD" w:rsidRDefault="003D16AC" w:rsidP="003D16AC">
      <w:pPr>
        <w:rPr>
          <w:lang w:val="es-ES_tradnl"/>
        </w:rPr>
      </w:pPr>
    </w:p>
    <w:p w14:paraId="48117B7A" w14:textId="22B9839B" w:rsidR="003D16AC" w:rsidRPr="006D19DD" w:rsidRDefault="003D16AC" w:rsidP="003D16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color w:val="000000" w:themeColor="text1"/>
          <w:sz w:val="20"/>
          <w:szCs w:val="20"/>
          <w:lang w:val="es-ES_tradnl"/>
        </w:rPr>
      </w:pPr>
      <w:r w:rsidRPr="006D19DD">
        <w:rPr>
          <w:rFonts w:ascii="Cambria" w:hAnsi="Cambria"/>
          <w:sz w:val="20"/>
          <w:szCs w:val="20"/>
          <w:lang w:val="es-ES"/>
        </w:rPr>
        <w:t>El</w:t>
      </w:r>
      <w:r w:rsidRPr="006D19DD">
        <w:rPr>
          <w:rFonts w:asciiTheme="majorHAnsi" w:hAnsiTheme="majorHAnsi"/>
          <w:color w:val="000000" w:themeColor="text1"/>
          <w:sz w:val="20"/>
          <w:szCs w:val="20"/>
          <w:lang w:val="es-ES_tradnl"/>
        </w:rPr>
        <w:t xml:space="preserve"> 28 de septiembre de 2019, la Comisión aprobó el Informe No. 154/19 sobre </w:t>
      </w:r>
      <w:r w:rsidR="0094710B" w:rsidRPr="006D19DD">
        <w:rPr>
          <w:rFonts w:asciiTheme="majorHAnsi" w:hAnsiTheme="majorHAnsi"/>
          <w:color w:val="000000" w:themeColor="text1"/>
          <w:sz w:val="20"/>
          <w:szCs w:val="20"/>
          <w:lang w:val="es-ES_tradnl"/>
        </w:rPr>
        <w:t>la admisibilidad y el</w:t>
      </w:r>
      <w:r w:rsidRPr="006D19DD">
        <w:rPr>
          <w:rFonts w:asciiTheme="majorHAnsi" w:hAnsiTheme="majorHAnsi"/>
          <w:color w:val="000000" w:themeColor="text1"/>
          <w:sz w:val="20"/>
          <w:szCs w:val="20"/>
          <w:lang w:val="es-ES_tradnl"/>
        </w:rPr>
        <w:t xml:space="preserve"> fondo del presente caso, que comprende los párrafos 1 a 99 supra, y emitió las siguientes recomendaciones al Estado:</w:t>
      </w:r>
    </w:p>
    <w:p w14:paraId="45F661BE" w14:textId="2CA82EA3" w:rsidR="00953481" w:rsidRDefault="00953481" w:rsidP="00953481">
      <w:pPr>
        <w:rPr>
          <w:rFonts w:asciiTheme="majorHAnsi" w:hAnsiTheme="majorHAnsi"/>
          <w:sz w:val="20"/>
          <w:szCs w:val="20"/>
          <w:lang w:val="es-ES"/>
        </w:rPr>
      </w:pPr>
    </w:p>
    <w:p w14:paraId="0CAA0DD0" w14:textId="77777777" w:rsidR="003D16AC" w:rsidRPr="008536ED" w:rsidRDefault="003D16AC" w:rsidP="003D16A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8536ED">
        <w:rPr>
          <w:rFonts w:eastAsia="Times New Roman" w:cs="Tahoma"/>
          <w:sz w:val="20"/>
          <w:szCs w:val="20"/>
          <w:bdr w:val="none" w:sz="0" w:space="0" w:color="auto" w:frame="1"/>
          <w:lang w:val="es-ES"/>
        </w:rPr>
        <w:t xml:space="preserve">Que otorgue a </w:t>
      </w:r>
      <w:r w:rsidRPr="008536ED">
        <w:rPr>
          <w:rFonts w:asciiTheme="majorHAnsi" w:hAnsiTheme="majorHAnsi"/>
          <w:color w:val="000000" w:themeColor="text1"/>
          <w:sz w:val="20"/>
          <w:szCs w:val="20"/>
          <w:lang w:val="es-ES"/>
        </w:rPr>
        <w:t xml:space="preserve">Pete Carl </w:t>
      </w:r>
      <w:proofErr w:type="spellStart"/>
      <w:r w:rsidRPr="008536ED">
        <w:rPr>
          <w:rFonts w:asciiTheme="majorHAnsi" w:hAnsiTheme="majorHAnsi"/>
          <w:color w:val="000000" w:themeColor="text1"/>
          <w:sz w:val="20"/>
          <w:szCs w:val="20"/>
          <w:lang w:val="es-ES"/>
        </w:rPr>
        <w:t>Rogovich</w:t>
      </w:r>
      <w:proofErr w:type="spellEnd"/>
      <w:r w:rsidRPr="008536ED">
        <w:rPr>
          <w:rFonts w:eastAsia="Times New Roman" w:cs="Tahoma"/>
          <w:sz w:val="20"/>
          <w:szCs w:val="20"/>
          <w:bdr w:val="none" w:sz="0" w:space="0" w:color="auto" w:frame="1"/>
          <w:lang w:val="es-ES"/>
        </w:rPr>
        <w:t xml:space="preserve"> </w:t>
      </w:r>
      <w:r w:rsidRPr="00F6493E">
        <w:rPr>
          <w:rFonts w:eastAsia="Times New Roman" w:cs="Tahoma"/>
          <w:sz w:val="20"/>
          <w:szCs w:val="20"/>
          <w:bdr w:val="none" w:sz="0" w:space="0" w:color="auto" w:frame="1"/>
          <w:lang w:val="es-ES"/>
        </w:rPr>
        <w:t>una reparación eficaz</w:t>
      </w:r>
      <w:r w:rsidRPr="008536ED">
        <w:rPr>
          <w:rFonts w:eastAsia="Times New Roman" w:cs="Tahoma"/>
          <w:sz w:val="20"/>
          <w:szCs w:val="20"/>
          <w:bdr w:val="none" w:sz="0" w:space="0" w:color="auto" w:frame="1"/>
          <w:lang w:val="es-ES"/>
        </w:rPr>
        <w:t xml:space="preserve">, incluida la revisión de su juicio y su sentencia, de conformidad con las garantías del derecho de justicia y el derecho a proceso regular establecidas en los artículos XVIII, XXV y XXVI de la Declaración Americana, así como una indemnización pecuniaria. </w:t>
      </w:r>
      <w:r>
        <w:rPr>
          <w:rFonts w:eastAsia="Times New Roman" w:cs="Tahoma"/>
          <w:sz w:val="20"/>
          <w:szCs w:val="20"/>
          <w:bdr w:val="none" w:sz="0" w:space="0" w:color="auto" w:frame="1"/>
          <w:lang w:val="es-ES"/>
        </w:rPr>
        <w:t xml:space="preserve">Teniendo en cuenta las conclusiones de </w:t>
      </w:r>
      <w:r w:rsidRPr="008536ED">
        <w:rPr>
          <w:rFonts w:cs="Arial"/>
          <w:color w:val="auto"/>
          <w:sz w:val="20"/>
          <w:szCs w:val="20"/>
          <w:lang w:val="es-ES"/>
        </w:rPr>
        <w:t xml:space="preserve">la CIDH </w:t>
      </w:r>
      <w:r>
        <w:rPr>
          <w:rFonts w:cs="Arial"/>
          <w:color w:val="auto"/>
          <w:sz w:val="20"/>
          <w:szCs w:val="20"/>
          <w:lang w:val="es-ES"/>
        </w:rPr>
        <w:t xml:space="preserve">respecto al tiempo que </w:t>
      </w:r>
      <w:r w:rsidRPr="008536ED">
        <w:rPr>
          <w:rFonts w:asciiTheme="majorHAnsi" w:hAnsiTheme="majorHAnsi"/>
          <w:color w:val="000000" w:themeColor="text1"/>
          <w:sz w:val="20"/>
          <w:szCs w:val="20"/>
          <w:lang w:val="es-ES"/>
        </w:rPr>
        <w:t xml:space="preserve">Pete Carl </w:t>
      </w:r>
      <w:proofErr w:type="spellStart"/>
      <w:r w:rsidRPr="008536ED">
        <w:rPr>
          <w:rFonts w:asciiTheme="majorHAnsi" w:hAnsiTheme="majorHAnsi"/>
          <w:color w:val="000000" w:themeColor="text1"/>
          <w:sz w:val="20"/>
          <w:szCs w:val="20"/>
          <w:lang w:val="es-ES"/>
        </w:rPr>
        <w:t>Rogovich</w:t>
      </w:r>
      <w:proofErr w:type="spellEnd"/>
      <w:r w:rsidRPr="008536ED">
        <w:rPr>
          <w:rFonts w:eastAsia="Times New Roman" w:cs="Tahoma"/>
          <w:sz w:val="20"/>
          <w:szCs w:val="20"/>
          <w:bdr w:val="none" w:sz="0" w:space="0" w:color="auto" w:frame="1"/>
          <w:lang w:val="es-ES"/>
        </w:rPr>
        <w:t xml:space="preserve"> </w:t>
      </w:r>
      <w:r w:rsidRPr="008536ED">
        <w:rPr>
          <w:rFonts w:cs="Arial"/>
          <w:color w:val="auto"/>
          <w:sz w:val="20"/>
          <w:szCs w:val="20"/>
          <w:lang w:val="es-ES"/>
        </w:rPr>
        <w:t>ha</w:t>
      </w:r>
      <w:r>
        <w:rPr>
          <w:rFonts w:cs="Arial"/>
          <w:color w:val="auto"/>
          <w:sz w:val="20"/>
          <w:szCs w:val="20"/>
          <w:lang w:val="es-ES"/>
        </w:rPr>
        <w:t xml:space="preserve"> estado en </w:t>
      </w:r>
      <w:r w:rsidRPr="008536ED">
        <w:rPr>
          <w:rFonts w:cs="Arial"/>
          <w:color w:val="auto"/>
          <w:sz w:val="20"/>
          <w:szCs w:val="20"/>
          <w:lang w:val="es-ES"/>
        </w:rPr>
        <w:t>el corredor de la muerte, la Comisión recom</w:t>
      </w:r>
      <w:r>
        <w:rPr>
          <w:rFonts w:cs="Arial"/>
          <w:color w:val="auto"/>
          <w:sz w:val="20"/>
          <w:szCs w:val="20"/>
          <w:lang w:val="es-ES"/>
        </w:rPr>
        <w:t>ienda que se le conmute la pena</w:t>
      </w:r>
      <w:r w:rsidRPr="008536ED">
        <w:rPr>
          <w:rFonts w:eastAsia="Times New Roman" w:cs="Tahoma"/>
          <w:sz w:val="20"/>
          <w:szCs w:val="20"/>
          <w:bdr w:val="none" w:sz="0" w:space="0" w:color="auto" w:frame="1"/>
          <w:lang w:val="es-ES"/>
        </w:rPr>
        <w:t>.</w:t>
      </w:r>
    </w:p>
    <w:p w14:paraId="72E099D5" w14:textId="77777777" w:rsidR="003D16AC" w:rsidRPr="00400DC5" w:rsidRDefault="003D16AC" w:rsidP="003D16A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p>
    <w:p w14:paraId="2D7A8634" w14:textId="77777777" w:rsidR="003D16AC" w:rsidRPr="008536ED" w:rsidRDefault="003D16AC" w:rsidP="003D16A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8536ED">
        <w:rPr>
          <w:sz w:val="20"/>
          <w:lang w:val="es-ES"/>
        </w:rPr>
        <w:t xml:space="preserve">Que revise sus leyes, procedimientos y prácticas a fin de que las personas acusadas de delitos punibles con la pena de muerte sean juzgadas y, de ser declaradas culpables, sean sentenciadas de conformidad con los derechos establecidos en la Declaración Americana, incluidos sus artículos XVIII, XXV y XXVI y, en particular, que ninguna persona que tenga una discapacidad mental o intelectual </w:t>
      </w:r>
      <w:r>
        <w:rPr>
          <w:sz w:val="20"/>
          <w:lang w:val="es-ES"/>
        </w:rPr>
        <w:t>a</w:t>
      </w:r>
      <w:r w:rsidRPr="008536ED">
        <w:rPr>
          <w:sz w:val="20"/>
          <w:lang w:val="es-ES"/>
        </w:rPr>
        <w:t>l momento de la comisión del delito o de la aplicación de la pena de muerte reciba la pena de muerte o sea ejecutada.</w:t>
      </w:r>
      <w:r w:rsidRPr="008536ED">
        <w:rPr>
          <w:rFonts w:eastAsia="Times New Roman" w:cs="Tahoma"/>
          <w:sz w:val="20"/>
          <w:szCs w:val="20"/>
          <w:bdr w:val="none" w:sz="0" w:space="0" w:color="auto"/>
          <w:lang w:val="es-ES"/>
        </w:rPr>
        <w:t xml:space="preserve"> </w:t>
      </w:r>
    </w:p>
    <w:p w14:paraId="507B3C40" w14:textId="77777777" w:rsidR="003D16AC" w:rsidRPr="00400DC5" w:rsidRDefault="003D16AC" w:rsidP="003D16AC">
      <w:pPr>
        <w:rPr>
          <w:sz w:val="20"/>
          <w:szCs w:val="20"/>
          <w:bdr w:val="none" w:sz="0" w:space="0" w:color="auto" w:frame="1"/>
          <w:lang w:val="es-ES"/>
        </w:rPr>
      </w:pPr>
    </w:p>
    <w:p w14:paraId="22C34868" w14:textId="77777777" w:rsidR="003D16AC" w:rsidRPr="008536ED" w:rsidRDefault="003D16AC" w:rsidP="003D16A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Pr>
          <w:sz w:val="20"/>
          <w:szCs w:val="20"/>
          <w:bdr w:val="none" w:sz="0" w:space="0" w:color="auto" w:frame="1"/>
          <w:lang w:val="es-ES"/>
        </w:rPr>
        <w:t>Que asegure que la defensa</w:t>
      </w:r>
      <w:r w:rsidRPr="008536ED">
        <w:rPr>
          <w:sz w:val="20"/>
          <w:szCs w:val="20"/>
          <w:bdr w:val="none" w:sz="0" w:space="0" w:color="auto" w:frame="1"/>
          <w:lang w:val="es-ES"/>
        </w:rPr>
        <w:t xml:space="preserve"> </w:t>
      </w:r>
      <w:r>
        <w:rPr>
          <w:sz w:val="20"/>
          <w:szCs w:val="20"/>
          <w:bdr w:val="none" w:sz="0" w:space="0" w:color="auto" w:frame="1"/>
          <w:lang w:val="es-ES"/>
        </w:rPr>
        <w:t>de oficio proporcione asistencia letrada adecuada en los casos de delitos punibles con la pena de muerte</w:t>
      </w:r>
      <w:r w:rsidRPr="008536ED">
        <w:rPr>
          <w:sz w:val="20"/>
          <w:szCs w:val="20"/>
          <w:bdr w:val="none" w:sz="0" w:space="0" w:color="auto" w:frame="1"/>
          <w:lang w:val="es-ES"/>
        </w:rPr>
        <w:t xml:space="preserve">. </w:t>
      </w:r>
    </w:p>
    <w:p w14:paraId="6BAFB3AA" w14:textId="77777777" w:rsidR="003D16AC" w:rsidRPr="00400DC5" w:rsidRDefault="003D16AC" w:rsidP="003D16AC">
      <w:pPr>
        <w:rPr>
          <w:rFonts w:eastAsia="Times New Roman" w:cs="Tahoma"/>
          <w:sz w:val="20"/>
          <w:szCs w:val="20"/>
          <w:bdr w:val="none" w:sz="0" w:space="0" w:color="auto" w:frame="1"/>
          <w:lang w:val="es-ES"/>
        </w:rPr>
      </w:pPr>
    </w:p>
    <w:p w14:paraId="4E8C7831" w14:textId="77777777" w:rsidR="003D16AC" w:rsidRPr="008536ED" w:rsidRDefault="003D16AC" w:rsidP="003D16A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Pr>
          <w:rFonts w:eastAsia="Times New Roman" w:cs="Tahoma"/>
          <w:sz w:val="20"/>
          <w:szCs w:val="20"/>
          <w:bdr w:val="none" w:sz="0" w:space="0" w:color="auto" w:frame="1"/>
          <w:lang w:val="es-ES"/>
        </w:rPr>
        <w:t xml:space="preserve">Que asegure que las condiciones </w:t>
      </w:r>
      <w:r w:rsidRPr="008536ED">
        <w:rPr>
          <w:rFonts w:eastAsia="Times New Roman" w:cs="Tahoma"/>
          <w:sz w:val="20"/>
          <w:szCs w:val="20"/>
          <w:bdr w:val="none" w:sz="0" w:space="0" w:color="auto" w:frame="1"/>
          <w:lang w:val="es-ES"/>
        </w:rPr>
        <w:t xml:space="preserve">en el corredor de la muerte </w:t>
      </w:r>
      <w:r>
        <w:rPr>
          <w:rFonts w:eastAsia="Times New Roman" w:cs="Tahoma"/>
          <w:sz w:val="20"/>
          <w:szCs w:val="20"/>
          <w:bdr w:val="none" w:sz="0" w:space="0" w:color="auto" w:frame="1"/>
          <w:lang w:val="es-ES"/>
        </w:rPr>
        <w:t>sean</w:t>
      </w:r>
      <w:r w:rsidRPr="008536ED">
        <w:rPr>
          <w:rFonts w:eastAsia="Times New Roman" w:cs="Tahoma"/>
          <w:sz w:val="20"/>
          <w:szCs w:val="20"/>
          <w:bdr w:val="none" w:sz="0" w:space="0" w:color="auto" w:frame="1"/>
          <w:lang w:val="es-ES"/>
        </w:rPr>
        <w:t xml:space="preserve"> compatible</w:t>
      </w:r>
      <w:r>
        <w:rPr>
          <w:rFonts w:eastAsia="Times New Roman" w:cs="Tahoma"/>
          <w:sz w:val="20"/>
          <w:szCs w:val="20"/>
          <w:bdr w:val="none" w:sz="0" w:space="0" w:color="auto" w:frame="1"/>
          <w:lang w:val="es-ES"/>
        </w:rPr>
        <w:t>s con los estándares internacionales de derechos humanos y que el régimen de aislamiento</w:t>
      </w:r>
      <w:r w:rsidRPr="008536ED">
        <w:rPr>
          <w:rFonts w:eastAsia="Times New Roman" w:cs="Tahoma"/>
          <w:sz w:val="20"/>
          <w:szCs w:val="20"/>
          <w:bdr w:val="none" w:sz="0" w:space="0" w:color="auto" w:frame="1"/>
          <w:lang w:val="es-ES"/>
        </w:rPr>
        <w:t xml:space="preserve"> </w:t>
      </w:r>
      <w:r>
        <w:rPr>
          <w:rFonts w:eastAsia="Times New Roman" w:cs="Tahoma"/>
          <w:sz w:val="20"/>
          <w:szCs w:val="20"/>
          <w:bdr w:val="none" w:sz="0" w:space="0" w:color="auto" w:frame="1"/>
          <w:lang w:val="es-ES"/>
        </w:rPr>
        <w:t>se use solo en circunstancias excepcionales y durante el menor tiempo posible</w:t>
      </w:r>
      <w:r w:rsidRPr="008536ED">
        <w:rPr>
          <w:rFonts w:eastAsia="Times New Roman" w:cs="Tahoma"/>
          <w:sz w:val="20"/>
          <w:szCs w:val="20"/>
          <w:bdr w:val="none" w:sz="0" w:space="0" w:color="auto" w:frame="1"/>
          <w:lang w:val="es-ES"/>
        </w:rPr>
        <w:t>.</w:t>
      </w:r>
    </w:p>
    <w:p w14:paraId="7DEBDE51" w14:textId="77777777" w:rsidR="003D16AC" w:rsidRPr="00400DC5" w:rsidRDefault="003D16AC" w:rsidP="003D16AC">
      <w:pPr>
        <w:rPr>
          <w:rFonts w:eastAsia="Times New Roman" w:cs="Tahoma"/>
          <w:sz w:val="20"/>
          <w:szCs w:val="20"/>
          <w:bdr w:val="none" w:sz="0" w:space="0" w:color="auto"/>
          <w:lang w:val="es-ES"/>
        </w:rPr>
      </w:pPr>
    </w:p>
    <w:p w14:paraId="5CBCC68E" w14:textId="77777777" w:rsidR="003D16AC" w:rsidRPr="00953481" w:rsidRDefault="003D16AC" w:rsidP="003D16A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F6493E">
        <w:rPr>
          <w:rFonts w:eastAsia="Times New Roman" w:cs="Tahoma"/>
          <w:sz w:val="20"/>
          <w:szCs w:val="20"/>
          <w:bdr w:val="none" w:sz="0" w:space="0" w:color="auto"/>
          <w:lang w:val="es-ES"/>
        </w:rPr>
        <w:t>Que revise sus leyes, procedimientos y prácticas a fin de asegurar que</w:t>
      </w:r>
      <w:r w:rsidRPr="008536ED">
        <w:rPr>
          <w:rFonts w:eastAsia="Times New Roman" w:cs="Tahoma"/>
          <w:sz w:val="20"/>
          <w:szCs w:val="20"/>
          <w:bdr w:val="none" w:sz="0" w:space="0" w:color="auto"/>
          <w:lang w:val="es-ES"/>
        </w:rPr>
        <w:t xml:space="preserve"> </w:t>
      </w:r>
      <w:r>
        <w:rPr>
          <w:rFonts w:eastAsia="Times New Roman" w:cs="Tahoma"/>
          <w:sz w:val="20"/>
          <w:szCs w:val="20"/>
          <w:bdr w:val="none" w:sz="0" w:space="0" w:color="auto"/>
          <w:lang w:val="es-ES"/>
        </w:rPr>
        <w:t xml:space="preserve">las personas condenadas a </w:t>
      </w:r>
      <w:r w:rsidRPr="008536ED">
        <w:rPr>
          <w:rFonts w:eastAsia="Times New Roman" w:cs="Tahoma"/>
          <w:sz w:val="20"/>
          <w:szCs w:val="20"/>
          <w:bdr w:val="none" w:sz="0" w:space="0" w:color="auto"/>
          <w:lang w:val="es-ES"/>
        </w:rPr>
        <w:t xml:space="preserve">muerte </w:t>
      </w:r>
      <w:r>
        <w:rPr>
          <w:rFonts w:eastAsia="Times New Roman" w:cs="Tahoma"/>
          <w:sz w:val="20"/>
          <w:szCs w:val="20"/>
          <w:bdr w:val="none" w:sz="0" w:space="0" w:color="auto"/>
          <w:lang w:val="es-ES"/>
        </w:rPr>
        <w:t>tengan acceso a recursos</w:t>
      </w:r>
      <w:r w:rsidRPr="008536ED">
        <w:rPr>
          <w:rFonts w:eastAsia="Times New Roman" w:cs="Tahoma"/>
          <w:sz w:val="20"/>
          <w:szCs w:val="20"/>
          <w:bdr w:val="none" w:sz="0" w:space="0" w:color="auto"/>
          <w:lang w:val="es-ES"/>
        </w:rPr>
        <w:t xml:space="preserve"> judicial</w:t>
      </w:r>
      <w:r>
        <w:rPr>
          <w:rFonts w:eastAsia="Times New Roman" w:cs="Tahoma"/>
          <w:sz w:val="20"/>
          <w:szCs w:val="20"/>
          <w:bdr w:val="none" w:sz="0" w:space="0" w:color="auto"/>
          <w:lang w:val="es-ES"/>
        </w:rPr>
        <w:t xml:space="preserve">es efectivos para impugnar el posible efecto del </w:t>
      </w:r>
      <w:r w:rsidRPr="008536ED">
        <w:rPr>
          <w:rFonts w:eastAsia="Times New Roman" w:cs="Tahoma"/>
          <w:sz w:val="20"/>
          <w:szCs w:val="20"/>
          <w:bdr w:val="none" w:sz="0" w:space="0" w:color="auto"/>
          <w:lang w:val="es-ES"/>
        </w:rPr>
        <w:t xml:space="preserve">método de ejecución </w:t>
      </w:r>
      <w:r>
        <w:rPr>
          <w:rFonts w:eastAsia="Times New Roman" w:cs="Tahoma"/>
          <w:sz w:val="20"/>
          <w:szCs w:val="20"/>
          <w:bdr w:val="none" w:sz="0" w:space="0" w:color="auto"/>
          <w:lang w:val="es-ES"/>
        </w:rPr>
        <w:t>en sus derechos</w:t>
      </w:r>
      <w:r w:rsidRPr="008536ED">
        <w:rPr>
          <w:rFonts w:eastAsia="Times New Roman" w:cs="Tahoma"/>
          <w:sz w:val="20"/>
          <w:szCs w:val="20"/>
          <w:bdr w:val="none" w:sz="0" w:space="0" w:color="auto"/>
          <w:lang w:val="es-ES"/>
        </w:rPr>
        <w:t xml:space="preserve"> fundamental</w:t>
      </w:r>
      <w:r>
        <w:rPr>
          <w:rFonts w:eastAsia="Times New Roman" w:cs="Tahoma"/>
          <w:sz w:val="20"/>
          <w:szCs w:val="20"/>
          <w:bdr w:val="none" w:sz="0" w:space="0" w:color="auto"/>
          <w:lang w:val="es-ES"/>
        </w:rPr>
        <w:t>es de conformidad con los estándares enunciados en el presente informe de fondo.</w:t>
      </w:r>
    </w:p>
    <w:p w14:paraId="511A1C9D" w14:textId="77777777" w:rsidR="003D16AC" w:rsidRPr="00953481" w:rsidRDefault="003D16AC" w:rsidP="003D16AC">
      <w:pPr>
        <w:pStyle w:val="ListParagraph"/>
        <w:rPr>
          <w:rFonts w:asciiTheme="majorHAnsi" w:hAnsiTheme="majorHAnsi"/>
          <w:sz w:val="20"/>
          <w:lang w:val="es-ES"/>
        </w:rPr>
      </w:pPr>
    </w:p>
    <w:p w14:paraId="71C88381" w14:textId="77777777" w:rsidR="003D16AC" w:rsidRPr="003D16AC" w:rsidRDefault="003D16AC" w:rsidP="003D16A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3D16AC">
        <w:rPr>
          <w:rFonts w:eastAsia="Times New Roman" w:cs="Tahoma"/>
          <w:sz w:val="20"/>
          <w:szCs w:val="20"/>
          <w:bdr w:val="none" w:sz="0" w:space="0" w:color="auto"/>
          <w:lang w:val="es-ES"/>
        </w:rPr>
        <w:lastRenderedPageBreak/>
        <w:t>Que</w:t>
      </w:r>
      <w:r w:rsidRPr="00C341DD">
        <w:rPr>
          <w:rFonts w:asciiTheme="majorHAnsi" w:hAnsiTheme="majorHAnsi"/>
          <w:sz w:val="20"/>
          <w:lang w:val="es-ES"/>
        </w:rPr>
        <w:t xml:space="preserve"> imponga una moratoria de las ejecuciones de personas condenas a muerte, en vista de las violaciones de la Declaración Americana que la CIDH ha observado en el caso de autos y en otros relacionados con la aplicación de la pena de muerte</w:t>
      </w:r>
      <w:r w:rsidRPr="008536ED">
        <w:rPr>
          <w:rStyle w:val="FootnoteReference"/>
          <w:sz w:val="20"/>
          <w:lang w:val="es-ES"/>
        </w:rPr>
        <w:footnoteReference w:id="111"/>
      </w:r>
      <w:r w:rsidRPr="00C341DD">
        <w:rPr>
          <w:rFonts w:asciiTheme="majorHAnsi" w:hAnsiTheme="majorHAnsi"/>
          <w:sz w:val="20"/>
          <w:lang w:val="es-ES"/>
        </w:rPr>
        <w:t>.</w:t>
      </w:r>
    </w:p>
    <w:p w14:paraId="58BDCE55" w14:textId="77777777" w:rsidR="003D16AC" w:rsidRPr="002D3AEB" w:rsidRDefault="003D16AC" w:rsidP="003D16A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14:paraId="04A16F0B" w14:textId="69879C6D" w:rsidR="003D16AC" w:rsidRPr="0014729E" w:rsidRDefault="003D16AC" w:rsidP="003D16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color w:val="000000" w:themeColor="text1"/>
          <w:sz w:val="20"/>
          <w:szCs w:val="20"/>
          <w:lang w:val="es-SV"/>
        </w:rPr>
      </w:pPr>
      <w:r w:rsidRPr="006D19DD">
        <w:rPr>
          <w:rFonts w:asciiTheme="majorHAnsi" w:hAnsiTheme="majorHAnsi"/>
          <w:color w:val="000000" w:themeColor="text1"/>
          <w:sz w:val="20"/>
          <w:szCs w:val="20"/>
          <w:lang w:val="es-SV"/>
        </w:rPr>
        <w:t xml:space="preserve">El 2 de </w:t>
      </w:r>
      <w:r w:rsidR="00734060" w:rsidRPr="006D19DD">
        <w:rPr>
          <w:rFonts w:asciiTheme="majorHAnsi" w:hAnsiTheme="majorHAnsi"/>
          <w:color w:val="000000" w:themeColor="text1"/>
          <w:sz w:val="20"/>
          <w:szCs w:val="20"/>
          <w:lang w:val="es-SV"/>
        </w:rPr>
        <w:t>diciembre</w:t>
      </w:r>
      <w:r w:rsidRPr="006D19DD">
        <w:rPr>
          <w:rFonts w:asciiTheme="majorHAnsi" w:hAnsiTheme="majorHAnsi"/>
          <w:color w:val="000000" w:themeColor="text1"/>
          <w:sz w:val="20"/>
          <w:szCs w:val="20"/>
          <w:lang w:val="es-SV"/>
        </w:rPr>
        <w:t xml:space="preserve"> de 2020 la CIDH transmitió el informe al Estado con un plazo de dos meses para informar a la Comisión sobre las medidas adoptadas para cumplir con sus recomendaciones. Hasta la fecha, la Comisión no ha recibido ninguna </w:t>
      </w:r>
      <w:r w:rsidRPr="0014729E">
        <w:rPr>
          <w:rFonts w:asciiTheme="majorHAnsi" w:hAnsiTheme="majorHAnsi"/>
          <w:color w:val="000000" w:themeColor="text1"/>
          <w:sz w:val="20"/>
          <w:szCs w:val="20"/>
          <w:lang w:val="es-SV"/>
        </w:rPr>
        <w:t>respuesta de Estados Unidos en relación con el informe No. 154/19.</w:t>
      </w:r>
    </w:p>
    <w:p w14:paraId="2AA7798A" w14:textId="77777777" w:rsidR="006D19DD" w:rsidRPr="0014729E" w:rsidRDefault="006D19DD" w:rsidP="006D19DD">
      <w:pPr>
        <w:tabs>
          <w:tab w:val="left" w:pos="0"/>
          <w:tab w:val="left" w:pos="360"/>
        </w:tabs>
        <w:jc w:val="both"/>
        <w:rPr>
          <w:rFonts w:ascii="Cambria" w:hAnsi="Cambria"/>
          <w:color w:val="000000"/>
          <w:sz w:val="20"/>
          <w:szCs w:val="20"/>
          <w:lang w:val="es-ES_tradnl"/>
        </w:rPr>
      </w:pPr>
    </w:p>
    <w:p w14:paraId="75EE78C6" w14:textId="415FD931" w:rsidR="006D19DD" w:rsidRPr="0014729E" w:rsidRDefault="006D19DD" w:rsidP="006D19DD">
      <w:pPr>
        <w:pStyle w:val="Heading1"/>
        <w:tabs>
          <w:tab w:val="left" w:pos="360"/>
        </w:tabs>
        <w:spacing w:before="0"/>
        <w:ind w:hanging="720"/>
        <w:rPr>
          <w:color w:val="auto"/>
          <w:sz w:val="20"/>
          <w:szCs w:val="20"/>
          <w:lang w:val="es-ES"/>
        </w:rPr>
      </w:pPr>
      <w:bookmarkStart w:id="38" w:name="_Toc26552694"/>
      <w:bookmarkStart w:id="39" w:name="_Toc87522750"/>
      <w:bookmarkStart w:id="40" w:name="_Toc90117848"/>
      <w:bookmarkStart w:id="41" w:name="_Toc90283158"/>
      <w:r w:rsidRPr="0014729E">
        <w:rPr>
          <w:color w:val="auto"/>
          <w:sz w:val="20"/>
          <w:szCs w:val="20"/>
          <w:lang w:val="es-ES"/>
        </w:rPr>
        <w:t>ACCIONES POSTERIORES AL INFORME No. 329/</w:t>
      </w:r>
      <w:bookmarkEnd w:id="38"/>
      <w:r w:rsidRPr="0014729E">
        <w:rPr>
          <w:color w:val="auto"/>
          <w:sz w:val="20"/>
          <w:szCs w:val="20"/>
          <w:lang w:val="es-ES"/>
        </w:rPr>
        <w:t>2</w:t>
      </w:r>
      <w:bookmarkEnd w:id="39"/>
      <w:r w:rsidRPr="0014729E">
        <w:rPr>
          <w:color w:val="auto"/>
          <w:sz w:val="20"/>
          <w:szCs w:val="20"/>
          <w:lang w:val="es-ES"/>
        </w:rPr>
        <w:t>1</w:t>
      </w:r>
      <w:bookmarkEnd w:id="40"/>
      <w:bookmarkEnd w:id="41"/>
    </w:p>
    <w:p w14:paraId="589C355F" w14:textId="77777777" w:rsidR="006D19DD" w:rsidRPr="0014729E" w:rsidRDefault="006D19DD" w:rsidP="006D19DD">
      <w:pPr>
        <w:tabs>
          <w:tab w:val="left" w:pos="0"/>
          <w:tab w:val="left" w:pos="360"/>
        </w:tabs>
        <w:jc w:val="both"/>
        <w:rPr>
          <w:lang w:val="es-AR"/>
        </w:rPr>
      </w:pPr>
    </w:p>
    <w:p w14:paraId="7BB857A6" w14:textId="26D6D316" w:rsidR="006D19DD" w:rsidRPr="0014729E" w:rsidRDefault="006D19DD" w:rsidP="000254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lang w:val="es-UY"/>
        </w:rPr>
      </w:pPr>
      <w:r w:rsidRPr="0014729E">
        <w:rPr>
          <w:rFonts w:ascii="Cambria" w:hAnsi="Cambria"/>
          <w:color w:val="000000"/>
          <w:sz w:val="20"/>
          <w:szCs w:val="20"/>
          <w:lang w:val="es-ES_tradnl"/>
        </w:rPr>
        <w:t>El</w:t>
      </w:r>
      <w:r w:rsidRPr="0014729E">
        <w:rPr>
          <w:rFonts w:ascii="Cambria" w:hAnsi="Cambria"/>
          <w:sz w:val="20"/>
          <w:szCs w:val="20"/>
          <w:lang w:val="es-UY"/>
        </w:rPr>
        <w:t xml:space="preserve"> 19 de noviembre de 2021, la Comisión aprobó el Informe de Fondo (Final) No. 329/21, que abarca los párrafos 1 a 101 </w:t>
      </w:r>
      <w:r w:rsidRPr="0014729E">
        <w:rPr>
          <w:rFonts w:ascii="Cambria" w:hAnsi="Cambria"/>
          <w:i/>
          <w:sz w:val="20"/>
          <w:szCs w:val="20"/>
          <w:lang w:val="es-UY"/>
        </w:rPr>
        <w:t>supra</w:t>
      </w:r>
      <w:r w:rsidRPr="0014729E">
        <w:rPr>
          <w:rFonts w:ascii="Cambria" w:hAnsi="Cambria"/>
          <w:sz w:val="20"/>
          <w:szCs w:val="20"/>
          <w:lang w:val="es-UY"/>
        </w:rPr>
        <w:t>, y emitió sus conclusiones y recomendaciones finales al Estado. El 29 de noviembre de 2021, la Comisión transmitió el informe al Estado y a los peticionarios con un plazo de tres semanas para informar a la Comisión Interamericana sobre las medidas adoptadas para dar cumplimiento a sus recomendaciones. Hasta la fecha, la CIDH no ha recibido respuesta de los Estados Unidos ni de los peticionarios en relación con el Informe 329/21.</w:t>
      </w:r>
    </w:p>
    <w:p w14:paraId="74B04DD9" w14:textId="77777777" w:rsidR="006D19DD" w:rsidRPr="008536ED" w:rsidRDefault="006D19DD" w:rsidP="00953481">
      <w:pPr>
        <w:rPr>
          <w:rFonts w:asciiTheme="majorHAnsi" w:hAnsiTheme="majorHAnsi"/>
          <w:sz w:val="20"/>
          <w:szCs w:val="20"/>
          <w:lang w:val="es-ES"/>
        </w:rPr>
      </w:pPr>
    </w:p>
    <w:p w14:paraId="181089B9" w14:textId="558D52E8" w:rsidR="00953481" w:rsidRPr="008536ED" w:rsidRDefault="00953481" w:rsidP="00953481">
      <w:pPr>
        <w:pStyle w:val="Heading1"/>
        <w:tabs>
          <w:tab w:val="left" w:pos="360"/>
        </w:tabs>
        <w:spacing w:before="0"/>
        <w:ind w:hanging="720"/>
        <w:rPr>
          <w:color w:val="auto"/>
          <w:sz w:val="20"/>
          <w:szCs w:val="20"/>
          <w:lang w:val="es-ES"/>
        </w:rPr>
      </w:pPr>
      <w:bookmarkStart w:id="42" w:name="_Toc90283159"/>
      <w:r w:rsidRPr="008536ED">
        <w:rPr>
          <w:color w:val="auto"/>
          <w:sz w:val="20"/>
          <w:szCs w:val="20"/>
          <w:lang w:val="es-ES"/>
        </w:rPr>
        <w:t>CONCLUSIONES Y RECOMENDACIONES</w:t>
      </w:r>
      <w:r w:rsidR="003D16AC">
        <w:rPr>
          <w:color w:val="auto"/>
          <w:sz w:val="20"/>
          <w:szCs w:val="20"/>
          <w:lang w:val="es-ES"/>
        </w:rPr>
        <w:t xml:space="preserve"> </w:t>
      </w:r>
      <w:r w:rsidR="003D16AC" w:rsidRPr="006D19DD">
        <w:rPr>
          <w:color w:val="auto"/>
          <w:sz w:val="20"/>
          <w:szCs w:val="20"/>
          <w:lang w:val="es-ES"/>
        </w:rPr>
        <w:t>FINALES</w:t>
      </w:r>
      <w:bookmarkEnd w:id="42"/>
    </w:p>
    <w:p w14:paraId="4D802D90" w14:textId="77777777" w:rsidR="00953481" w:rsidRPr="00A367DE" w:rsidRDefault="00953481" w:rsidP="00953481">
      <w:pPr>
        <w:rPr>
          <w:rFonts w:asciiTheme="majorHAnsi" w:hAnsiTheme="majorHAnsi"/>
          <w:sz w:val="20"/>
          <w:szCs w:val="20"/>
          <w:lang w:val="es-ES"/>
        </w:rPr>
      </w:pPr>
    </w:p>
    <w:p w14:paraId="4960BF5C" w14:textId="77777777" w:rsidR="00953481" w:rsidRPr="008536ED" w:rsidRDefault="00953481" w:rsidP="00C341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lang w:val="es-ES"/>
        </w:rPr>
      </w:pPr>
      <w:r w:rsidRPr="008536ED">
        <w:rPr>
          <w:rFonts w:asciiTheme="majorHAnsi" w:hAnsiTheme="majorHAnsi"/>
          <w:color w:val="000000" w:themeColor="text1"/>
          <w:sz w:val="20"/>
          <w:szCs w:val="20"/>
          <w:lang w:val="es-ES"/>
        </w:rPr>
        <w:t>Sobre la base de las determinaciones de hecho y de derecho, la Comisión Interamericana concluye que el Estado es responsable de la violación de los artículos</w:t>
      </w:r>
      <w:r>
        <w:rPr>
          <w:rFonts w:asciiTheme="majorHAnsi" w:hAnsiTheme="majorHAnsi"/>
          <w:color w:val="000000" w:themeColor="text1"/>
          <w:sz w:val="20"/>
          <w:szCs w:val="20"/>
          <w:lang w:val="es-ES"/>
        </w:rPr>
        <w:t xml:space="preserve"> </w:t>
      </w:r>
      <w:r w:rsidRPr="008536ED">
        <w:rPr>
          <w:rFonts w:asciiTheme="majorHAnsi" w:hAnsiTheme="majorHAnsi"/>
          <w:color w:val="000000" w:themeColor="text1"/>
          <w:sz w:val="20"/>
          <w:szCs w:val="20"/>
          <w:lang w:val="es-ES"/>
        </w:rPr>
        <w:t>I (</w:t>
      </w:r>
      <w:r>
        <w:rPr>
          <w:rFonts w:asciiTheme="majorHAnsi" w:hAnsiTheme="majorHAnsi"/>
          <w:color w:val="000000" w:themeColor="text1"/>
          <w:sz w:val="20"/>
          <w:szCs w:val="20"/>
          <w:lang w:val="es-ES"/>
        </w:rPr>
        <w:t>d</w:t>
      </w:r>
      <w:r w:rsidRPr="002F2057">
        <w:rPr>
          <w:rFonts w:asciiTheme="majorHAnsi" w:hAnsiTheme="majorHAnsi"/>
          <w:color w:val="000000" w:themeColor="text1"/>
          <w:sz w:val="20"/>
          <w:szCs w:val="20"/>
          <w:lang w:val="es-ES"/>
        </w:rPr>
        <w:t>erecho a la vida, a la libertad, a la seguridad e integridad de la persona</w:t>
      </w:r>
      <w:r w:rsidRPr="008536ED">
        <w:rPr>
          <w:rFonts w:asciiTheme="majorHAnsi" w:hAnsiTheme="majorHAnsi"/>
          <w:color w:val="000000" w:themeColor="text1"/>
          <w:sz w:val="20"/>
          <w:szCs w:val="20"/>
          <w:lang w:val="es-ES"/>
        </w:rPr>
        <w:t>), XI (</w:t>
      </w:r>
      <w:r>
        <w:rPr>
          <w:rFonts w:asciiTheme="majorHAnsi" w:hAnsiTheme="majorHAnsi"/>
          <w:color w:val="000000" w:themeColor="text1"/>
          <w:sz w:val="20"/>
          <w:szCs w:val="20"/>
          <w:lang w:val="es-ES"/>
        </w:rPr>
        <w:t>d</w:t>
      </w:r>
      <w:r w:rsidRPr="002F2057">
        <w:rPr>
          <w:rFonts w:asciiTheme="majorHAnsi" w:hAnsiTheme="majorHAnsi"/>
          <w:color w:val="000000" w:themeColor="text1"/>
          <w:sz w:val="20"/>
          <w:szCs w:val="20"/>
          <w:lang w:val="es-ES"/>
        </w:rPr>
        <w:t>erecho a la preservación de la salud</w:t>
      </w:r>
      <w:r w:rsidRPr="008536ED">
        <w:rPr>
          <w:rFonts w:asciiTheme="majorHAnsi" w:hAnsiTheme="majorHAnsi"/>
          <w:color w:val="000000" w:themeColor="text1"/>
          <w:sz w:val="20"/>
          <w:szCs w:val="20"/>
          <w:lang w:val="es-ES"/>
        </w:rPr>
        <w:t>), XVIII (</w:t>
      </w:r>
      <w:r>
        <w:rPr>
          <w:rFonts w:asciiTheme="majorHAnsi" w:hAnsiTheme="majorHAnsi"/>
          <w:color w:val="000000" w:themeColor="text1"/>
          <w:sz w:val="20"/>
          <w:szCs w:val="20"/>
          <w:lang w:val="es-ES"/>
        </w:rPr>
        <w:t>derecho de justicia</w:t>
      </w:r>
      <w:r w:rsidRPr="008536ED">
        <w:rPr>
          <w:rFonts w:asciiTheme="majorHAnsi" w:hAnsiTheme="majorHAnsi"/>
          <w:color w:val="000000" w:themeColor="text1"/>
          <w:sz w:val="20"/>
          <w:szCs w:val="20"/>
          <w:lang w:val="es-ES"/>
        </w:rPr>
        <w:t>), XXV (</w:t>
      </w:r>
      <w:r>
        <w:rPr>
          <w:rFonts w:asciiTheme="majorHAnsi" w:hAnsiTheme="majorHAnsi"/>
          <w:color w:val="000000" w:themeColor="text1"/>
          <w:sz w:val="20"/>
          <w:szCs w:val="20"/>
          <w:lang w:val="es-ES"/>
        </w:rPr>
        <w:t>d</w:t>
      </w:r>
      <w:r w:rsidRPr="002F2057">
        <w:rPr>
          <w:rFonts w:asciiTheme="majorHAnsi" w:hAnsiTheme="majorHAnsi"/>
          <w:color w:val="000000" w:themeColor="text1"/>
          <w:sz w:val="20"/>
          <w:szCs w:val="20"/>
          <w:lang w:val="es-ES"/>
        </w:rPr>
        <w:t>erecho de protección contra la detención arbitraria</w:t>
      </w:r>
      <w:r w:rsidRPr="008536ED">
        <w:rPr>
          <w:rFonts w:asciiTheme="majorHAnsi" w:hAnsiTheme="majorHAnsi"/>
          <w:color w:val="000000" w:themeColor="text1"/>
          <w:sz w:val="20"/>
          <w:szCs w:val="20"/>
          <w:lang w:val="es-ES"/>
        </w:rPr>
        <w:t>)</w:t>
      </w:r>
      <w:r>
        <w:rPr>
          <w:rFonts w:asciiTheme="majorHAnsi" w:hAnsiTheme="majorHAnsi"/>
          <w:color w:val="000000" w:themeColor="text1"/>
          <w:sz w:val="20"/>
          <w:szCs w:val="20"/>
          <w:lang w:val="es-ES"/>
        </w:rPr>
        <w:t xml:space="preserve"> y </w:t>
      </w:r>
      <w:r w:rsidRPr="008536ED">
        <w:rPr>
          <w:rFonts w:asciiTheme="majorHAnsi" w:hAnsiTheme="majorHAnsi"/>
          <w:color w:val="000000" w:themeColor="text1"/>
          <w:sz w:val="20"/>
          <w:szCs w:val="20"/>
          <w:lang w:val="es-ES"/>
        </w:rPr>
        <w:t>XXVI (d</w:t>
      </w:r>
      <w:r>
        <w:rPr>
          <w:rFonts w:asciiTheme="majorHAnsi" w:hAnsiTheme="majorHAnsi"/>
          <w:color w:val="000000" w:themeColor="text1"/>
          <w:sz w:val="20"/>
          <w:szCs w:val="20"/>
          <w:lang w:val="es-ES"/>
        </w:rPr>
        <w:t>erecho a proceso regular</w:t>
      </w:r>
      <w:r w:rsidRPr="008536ED">
        <w:rPr>
          <w:rFonts w:asciiTheme="majorHAnsi" w:hAnsiTheme="majorHAnsi"/>
          <w:color w:val="000000" w:themeColor="text1"/>
          <w:sz w:val="20"/>
          <w:szCs w:val="20"/>
          <w:lang w:val="es-ES"/>
        </w:rPr>
        <w:t xml:space="preserve">) </w:t>
      </w:r>
      <w:r>
        <w:rPr>
          <w:rFonts w:asciiTheme="majorHAnsi" w:hAnsiTheme="majorHAnsi"/>
          <w:color w:val="000000" w:themeColor="text1"/>
          <w:sz w:val="20"/>
          <w:szCs w:val="20"/>
          <w:lang w:val="es-ES"/>
        </w:rPr>
        <w:t xml:space="preserve">de la </w:t>
      </w:r>
      <w:r w:rsidRPr="008536ED">
        <w:rPr>
          <w:rFonts w:asciiTheme="majorHAnsi" w:hAnsiTheme="majorHAnsi"/>
          <w:color w:val="000000" w:themeColor="text1"/>
          <w:sz w:val="20"/>
          <w:szCs w:val="20"/>
          <w:lang w:val="es-ES"/>
        </w:rPr>
        <w:t xml:space="preserve">Declaración Americana. </w:t>
      </w:r>
    </w:p>
    <w:p w14:paraId="1F9A024B" w14:textId="77777777" w:rsidR="00953481" w:rsidRPr="008536ED"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hAnsi="Cambria"/>
          <w:sz w:val="20"/>
          <w:szCs w:val="20"/>
          <w:lang w:val="es-ES"/>
        </w:rPr>
      </w:pPr>
    </w:p>
    <w:p w14:paraId="7256B0DD" w14:textId="686C7662" w:rsidR="00953481" w:rsidRPr="008536ED" w:rsidRDefault="00953481" w:rsidP="00953481">
      <w:pPr>
        <w:tabs>
          <w:tab w:val="left" w:pos="360"/>
        </w:tabs>
        <w:jc w:val="both"/>
        <w:rPr>
          <w:rFonts w:ascii="Cambria" w:hAnsi="Cambria"/>
          <w:b/>
          <w:sz w:val="20"/>
          <w:szCs w:val="20"/>
          <w:lang w:val="es-ES"/>
        </w:rPr>
      </w:pPr>
      <w:r w:rsidRPr="008536ED">
        <w:rPr>
          <w:rFonts w:ascii="Cambria" w:hAnsi="Cambria"/>
          <w:b/>
          <w:sz w:val="20"/>
          <w:szCs w:val="20"/>
          <w:lang w:val="es-ES"/>
        </w:rPr>
        <w:t xml:space="preserve">LA COMISIÓN INTERAMERICANA DE DERECHOS HUMANOS </w:t>
      </w:r>
      <w:r w:rsidRPr="006D19DD">
        <w:rPr>
          <w:rFonts w:ascii="Cambria" w:hAnsi="Cambria"/>
          <w:b/>
          <w:sz w:val="20"/>
          <w:szCs w:val="20"/>
          <w:lang w:val="es-ES"/>
        </w:rPr>
        <w:t>RE</w:t>
      </w:r>
      <w:r w:rsidR="003D16AC" w:rsidRPr="006D19DD">
        <w:rPr>
          <w:rFonts w:ascii="Cambria" w:hAnsi="Cambria"/>
          <w:b/>
          <w:sz w:val="20"/>
          <w:szCs w:val="20"/>
          <w:lang w:val="es-ES"/>
        </w:rPr>
        <w:t>ITERA</w:t>
      </w:r>
      <w:r w:rsidRPr="008536ED">
        <w:rPr>
          <w:rFonts w:ascii="Cambria" w:hAnsi="Cambria"/>
          <w:b/>
          <w:sz w:val="20"/>
          <w:szCs w:val="20"/>
          <w:lang w:val="es-ES"/>
        </w:rPr>
        <w:t xml:space="preserve"> A ESTADOS UNIDOS DE AMÉRICA:</w:t>
      </w:r>
    </w:p>
    <w:p w14:paraId="02CC0247" w14:textId="77777777" w:rsidR="00953481" w:rsidRPr="00400DC5" w:rsidRDefault="00953481" w:rsidP="00953481">
      <w:pPr>
        <w:rPr>
          <w:sz w:val="20"/>
          <w:szCs w:val="20"/>
          <w:lang w:val="es-ES"/>
        </w:rPr>
      </w:pPr>
    </w:p>
    <w:p w14:paraId="67801829" w14:textId="77777777" w:rsidR="00953481" w:rsidRPr="008536ED" w:rsidRDefault="00953481" w:rsidP="00C341D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8536ED">
        <w:rPr>
          <w:rFonts w:eastAsia="Times New Roman" w:cs="Tahoma"/>
          <w:sz w:val="20"/>
          <w:szCs w:val="20"/>
          <w:bdr w:val="none" w:sz="0" w:space="0" w:color="auto" w:frame="1"/>
          <w:lang w:val="es-ES"/>
        </w:rPr>
        <w:t xml:space="preserve">Que otorgue a </w:t>
      </w:r>
      <w:r w:rsidRPr="008536ED">
        <w:rPr>
          <w:rFonts w:asciiTheme="majorHAnsi" w:hAnsiTheme="majorHAnsi"/>
          <w:color w:val="000000" w:themeColor="text1"/>
          <w:sz w:val="20"/>
          <w:szCs w:val="20"/>
          <w:lang w:val="es-ES"/>
        </w:rPr>
        <w:t xml:space="preserve">Pete Carl </w:t>
      </w:r>
      <w:proofErr w:type="spellStart"/>
      <w:r w:rsidRPr="008536ED">
        <w:rPr>
          <w:rFonts w:asciiTheme="majorHAnsi" w:hAnsiTheme="majorHAnsi"/>
          <w:color w:val="000000" w:themeColor="text1"/>
          <w:sz w:val="20"/>
          <w:szCs w:val="20"/>
          <w:lang w:val="es-ES"/>
        </w:rPr>
        <w:t>Rogovich</w:t>
      </w:r>
      <w:proofErr w:type="spellEnd"/>
      <w:r w:rsidRPr="008536ED">
        <w:rPr>
          <w:rFonts w:eastAsia="Times New Roman" w:cs="Tahoma"/>
          <w:sz w:val="20"/>
          <w:szCs w:val="20"/>
          <w:bdr w:val="none" w:sz="0" w:space="0" w:color="auto" w:frame="1"/>
          <w:lang w:val="es-ES"/>
        </w:rPr>
        <w:t xml:space="preserve"> </w:t>
      </w:r>
      <w:r w:rsidRPr="00F6493E">
        <w:rPr>
          <w:rFonts w:eastAsia="Times New Roman" w:cs="Tahoma"/>
          <w:sz w:val="20"/>
          <w:szCs w:val="20"/>
          <w:bdr w:val="none" w:sz="0" w:space="0" w:color="auto" w:frame="1"/>
          <w:lang w:val="es-ES"/>
        </w:rPr>
        <w:t>una reparación eficaz</w:t>
      </w:r>
      <w:r w:rsidRPr="008536ED">
        <w:rPr>
          <w:rFonts w:eastAsia="Times New Roman" w:cs="Tahoma"/>
          <w:sz w:val="20"/>
          <w:szCs w:val="20"/>
          <w:bdr w:val="none" w:sz="0" w:space="0" w:color="auto" w:frame="1"/>
          <w:lang w:val="es-ES"/>
        </w:rPr>
        <w:t xml:space="preserve">, incluida la revisión de su juicio y su sentencia, de conformidad con las garantías del derecho de justicia y el derecho a proceso regular establecidas en los artículos XVIII, XXV y XXVI de la Declaración Americana, así como una indemnización pecuniaria. </w:t>
      </w:r>
      <w:r>
        <w:rPr>
          <w:rFonts w:eastAsia="Times New Roman" w:cs="Tahoma"/>
          <w:sz w:val="20"/>
          <w:szCs w:val="20"/>
          <w:bdr w:val="none" w:sz="0" w:space="0" w:color="auto" w:frame="1"/>
          <w:lang w:val="es-ES"/>
        </w:rPr>
        <w:t xml:space="preserve">Teniendo en cuenta las conclusiones de </w:t>
      </w:r>
      <w:r w:rsidRPr="008536ED">
        <w:rPr>
          <w:rFonts w:cs="Arial"/>
          <w:color w:val="auto"/>
          <w:sz w:val="20"/>
          <w:szCs w:val="20"/>
          <w:lang w:val="es-ES"/>
        </w:rPr>
        <w:t xml:space="preserve">la CIDH </w:t>
      </w:r>
      <w:r>
        <w:rPr>
          <w:rFonts w:cs="Arial"/>
          <w:color w:val="auto"/>
          <w:sz w:val="20"/>
          <w:szCs w:val="20"/>
          <w:lang w:val="es-ES"/>
        </w:rPr>
        <w:t xml:space="preserve">respecto al tiempo que </w:t>
      </w:r>
      <w:r w:rsidRPr="008536ED">
        <w:rPr>
          <w:rFonts w:asciiTheme="majorHAnsi" w:hAnsiTheme="majorHAnsi"/>
          <w:color w:val="000000" w:themeColor="text1"/>
          <w:sz w:val="20"/>
          <w:szCs w:val="20"/>
          <w:lang w:val="es-ES"/>
        </w:rPr>
        <w:t xml:space="preserve">Pete Carl </w:t>
      </w:r>
      <w:proofErr w:type="spellStart"/>
      <w:r w:rsidRPr="008536ED">
        <w:rPr>
          <w:rFonts w:asciiTheme="majorHAnsi" w:hAnsiTheme="majorHAnsi"/>
          <w:color w:val="000000" w:themeColor="text1"/>
          <w:sz w:val="20"/>
          <w:szCs w:val="20"/>
          <w:lang w:val="es-ES"/>
        </w:rPr>
        <w:t>Rogovich</w:t>
      </w:r>
      <w:proofErr w:type="spellEnd"/>
      <w:r w:rsidRPr="008536ED">
        <w:rPr>
          <w:rFonts w:eastAsia="Times New Roman" w:cs="Tahoma"/>
          <w:sz w:val="20"/>
          <w:szCs w:val="20"/>
          <w:bdr w:val="none" w:sz="0" w:space="0" w:color="auto" w:frame="1"/>
          <w:lang w:val="es-ES"/>
        </w:rPr>
        <w:t xml:space="preserve"> </w:t>
      </w:r>
      <w:r w:rsidRPr="008536ED">
        <w:rPr>
          <w:rFonts w:cs="Arial"/>
          <w:color w:val="auto"/>
          <w:sz w:val="20"/>
          <w:szCs w:val="20"/>
          <w:lang w:val="es-ES"/>
        </w:rPr>
        <w:t>ha</w:t>
      </w:r>
      <w:r>
        <w:rPr>
          <w:rFonts w:cs="Arial"/>
          <w:color w:val="auto"/>
          <w:sz w:val="20"/>
          <w:szCs w:val="20"/>
          <w:lang w:val="es-ES"/>
        </w:rPr>
        <w:t xml:space="preserve"> estado en </w:t>
      </w:r>
      <w:r w:rsidRPr="008536ED">
        <w:rPr>
          <w:rFonts w:cs="Arial"/>
          <w:color w:val="auto"/>
          <w:sz w:val="20"/>
          <w:szCs w:val="20"/>
          <w:lang w:val="es-ES"/>
        </w:rPr>
        <w:t>el corredor de la muerte, la Comisión recom</w:t>
      </w:r>
      <w:r>
        <w:rPr>
          <w:rFonts w:cs="Arial"/>
          <w:color w:val="auto"/>
          <w:sz w:val="20"/>
          <w:szCs w:val="20"/>
          <w:lang w:val="es-ES"/>
        </w:rPr>
        <w:t>ienda que se le conmute la pena</w:t>
      </w:r>
      <w:r w:rsidRPr="008536ED">
        <w:rPr>
          <w:rFonts w:eastAsia="Times New Roman" w:cs="Tahoma"/>
          <w:sz w:val="20"/>
          <w:szCs w:val="20"/>
          <w:bdr w:val="none" w:sz="0" w:space="0" w:color="auto" w:frame="1"/>
          <w:lang w:val="es-ES"/>
        </w:rPr>
        <w:t>.</w:t>
      </w:r>
    </w:p>
    <w:p w14:paraId="382BC9D8" w14:textId="77777777" w:rsidR="00953481" w:rsidRPr="00400DC5" w:rsidRDefault="00953481" w:rsidP="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p>
    <w:p w14:paraId="02EB31FF" w14:textId="77777777" w:rsidR="00953481" w:rsidRPr="008536ED" w:rsidRDefault="00953481" w:rsidP="00C341D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8536ED">
        <w:rPr>
          <w:sz w:val="20"/>
          <w:lang w:val="es-ES"/>
        </w:rPr>
        <w:t xml:space="preserve">Que revise sus leyes, procedimientos y prácticas a fin de que las personas acusadas de delitos punibles con la pena de muerte sean juzgadas y, de ser declaradas culpables, sean sentenciadas de conformidad con los derechos establecidos en la Declaración Americana, incluidos sus artículos XVIII, XXV y XXVI y, en particular, que ninguna persona que tenga una discapacidad mental o intelectual </w:t>
      </w:r>
      <w:r>
        <w:rPr>
          <w:sz w:val="20"/>
          <w:lang w:val="es-ES"/>
        </w:rPr>
        <w:t>a</w:t>
      </w:r>
      <w:r w:rsidRPr="008536ED">
        <w:rPr>
          <w:sz w:val="20"/>
          <w:lang w:val="es-ES"/>
        </w:rPr>
        <w:t>l momento de la comisión del delito o de la aplicación de la pena de muerte reciba la pena de muerte o sea ejecutada.</w:t>
      </w:r>
      <w:r w:rsidRPr="008536ED">
        <w:rPr>
          <w:rFonts w:eastAsia="Times New Roman" w:cs="Tahoma"/>
          <w:sz w:val="20"/>
          <w:szCs w:val="20"/>
          <w:bdr w:val="none" w:sz="0" w:space="0" w:color="auto"/>
          <w:lang w:val="es-ES"/>
        </w:rPr>
        <w:t xml:space="preserve"> </w:t>
      </w:r>
    </w:p>
    <w:p w14:paraId="13E9C4E7" w14:textId="77777777" w:rsidR="00953481" w:rsidRPr="00400DC5" w:rsidRDefault="00953481" w:rsidP="00953481">
      <w:pPr>
        <w:rPr>
          <w:sz w:val="20"/>
          <w:szCs w:val="20"/>
          <w:bdr w:val="none" w:sz="0" w:space="0" w:color="auto" w:frame="1"/>
          <w:lang w:val="es-ES"/>
        </w:rPr>
      </w:pPr>
    </w:p>
    <w:p w14:paraId="0A338D6B" w14:textId="77777777" w:rsidR="00953481" w:rsidRPr="008536ED" w:rsidRDefault="00953481" w:rsidP="00C341D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Pr>
          <w:sz w:val="20"/>
          <w:szCs w:val="20"/>
          <w:bdr w:val="none" w:sz="0" w:space="0" w:color="auto" w:frame="1"/>
          <w:lang w:val="es-ES"/>
        </w:rPr>
        <w:t>Que asegure que la defensa</w:t>
      </w:r>
      <w:r w:rsidRPr="008536ED">
        <w:rPr>
          <w:sz w:val="20"/>
          <w:szCs w:val="20"/>
          <w:bdr w:val="none" w:sz="0" w:space="0" w:color="auto" w:frame="1"/>
          <w:lang w:val="es-ES"/>
        </w:rPr>
        <w:t xml:space="preserve"> </w:t>
      </w:r>
      <w:r>
        <w:rPr>
          <w:sz w:val="20"/>
          <w:szCs w:val="20"/>
          <w:bdr w:val="none" w:sz="0" w:space="0" w:color="auto" w:frame="1"/>
          <w:lang w:val="es-ES"/>
        </w:rPr>
        <w:t>de oficio proporcione asistencia letrada adecuada en los casos de delitos punibles con la pena de muerte</w:t>
      </w:r>
      <w:r w:rsidRPr="008536ED">
        <w:rPr>
          <w:sz w:val="20"/>
          <w:szCs w:val="20"/>
          <w:bdr w:val="none" w:sz="0" w:space="0" w:color="auto" w:frame="1"/>
          <w:lang w:val="es-ES"/>
        </w:rPr>
        <w:t xml:space="preserve">. </w:t>
      </w:r>
    </w:p>
    <w:p w14:paraId="76C4EE86" w14:textId="77777777" w:rsidR="00953481" w:rsidRPr="00400DC5" w:rsidRDefault="00953481" w:rsidP="00953481">
      <w:pPr>
        <w:rPr>
          <w:rFonts w:eastAsia="Times New Roman" w:cs="Tahoma"/>
          <w:sz w:val="20"/>
          <w:szCs w:val="20"/>
          <w:bdr w:val="none" w:sz="0" w:space="0" w:color="auto"/>
          <w:lang w:val="es-ES"/>
        </w:rPr>
      </w:pPr>
    </w:p>
    <w:p w14:paraId="7BFF94C5" w14:textId="77777777" w:rsidR="00953481" w:rsidRPr="008536ED" w:rsidRDefault="00953481" w:rsidP="00C341D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Pr>
          <w:rFonts w:eastAsia="Times New Roman" w:cs="Tahoma"/>
          <w:sz w:val="20"/>
          <w:szCs w:val="20"/>
          <w:bdr w:val="none" w:sz="0" w:space="0" w:color="auto"/>
          <w:lang w:val="es-ES"/>
        </w:rPr>
        <w:t>Q</w:t>
      </w:r>
      <w:r w:rsidRPr="00F6493E">
        <w:rPr>
          <w:rFonts w:eastAsia="Times New Roman" w:cs="Tahoma"/>
          <w:sz w:val="20"/>
          <w:szCs w:val="20"/>
          <w:bdr w:val="none" w:sz="0" w:space="0" w:color="auto"/>
          <w:lang w:val="es-ES"/>
        </w:rPr>
        <w:t xml:space="preserve">ue </w:t>
      </w:r>
      <w:r w:rsidRPr="00F6493E">
        <w:rPr>
          <w:sz w:val="20"/>
          <w:szCs w:val="20"/>
          <w:bdr w:val="none" w:sz="0" w:space="0" w:color="auto" w:frame="1"/>
          <w:lang w:val="es-ES"/>
        </w:rPr>
        <w:t>revise</w:t>
      </w:r>
      <w:r w:rsidRPr="00F6493E">
        <w:rPr>
          <w:rFonts w:eastAsia="Times New Roman" w:cs="Tahoma"/>
          <w:sz w:val="20"/>
          <w:szCs w:val="20"/>
          <w:bdr w:val="none" w:sz="0" w:space="0" w:color="auto"/>
          <w:lang w:val="es-ES"/>
        </w:rPr>
        <w:t xml:space="preserve"> sus leyes, procedimientos y prácticas a fin de asegurar que</w:t>
      </w:r>
      <w:r w:rsidRPr="008536ED">
        <w:rPr>
          <w:rFonts w:eastAsia="Times New Roman" w:cs="Tahoma"/>
          <w:sz w:val="20"/>
          <w:szCs w:val="20"/>
          <w:bdr w:val="none" w:sz="0" w:space="0" w:color="auto"/>
          <w:lang w:val="es-ES"/>
        </w:rPr>
        <w:t xml:space="preserve"> </w:t>
      </w:r>
      <w:r>
        <w:rPr>
          <w:rFonts w:eastAsia="Times New Roman" w:cs="Tahoma"/>
          <w:sz w:val="20"/>
          <w:szCs w:val="20"/>
          <w:bdr w:val="none" w:sz="0" w:space="0" w:color="auto"/>
          <w:lang w:val="es-ES"/>
        </w:rPr>
        <w:t xml:space="preserve">la imposición de la pena de muerte y las </w:t>
      </w:r>
      <w:r w:rsidRPr="008536ED">
        <w:rPr>
          <w:rFonts w:eastAsia="Times New Roman" w:cs="Tahoma"/>
          <w:sz w:val="20"/>
          <w:szCs w:val="20"/>
          <w:bdr w:val="none" w:sz="0" w:space="0" w:color="auto"/>
          <w:lang w:val="es-ES"/>
        </w:rPr>
        <w:t xml:space="preserve">actuaciones </w:t>
      </w:r>
      <w:proofErr w:type="spellStart"/>
      <w:r w:rsidRPr="008536ED">
        <w:rPr>
          <w:rFonts w:eastAsia="Times New Roman" w:cs="Tahoma"/>
          <w:sz w:val="20"/>
          <w:szCs w:val="20"/>
          <w:bdr w:val="none" w:sz="0" w:space="0" w:color="auto"/>
          <w:lang w:val="es-ES"/>
        </w:rPr>
        <w:t>poscondenatorias</w:t>
      </w:r>
      <w:proofErr w:type="spellEnd"/>
      <w:r w:rsidRPr="008536ED">
        <w:rPr>
          <w:rFonts w:eastAsia="Times New Roman" w:cs="Tahoma"/>
          <w:sz w:val="20"/>
          <w:szCs w:val="20"/>
          <w:bdr w:val="none" w:sz="0" w:space="0" w:color="auto"/>
          <w:lang w:val="es-ES"/>
        </w:rPr>
        <w:t xml:space="preserve"> </w:t>
      </w:r>
      <w:r>
        <w:rPr>
          <w:rFonts w:eastAsia="Times New Roman" w:cs="Tahoma"/>
          <w:sz w:val="20"/>
          <w:szCs w:val="20"/>
          <w:bdr w:val="none" w:sz="0" w:space="0" w:color="auto"/>
          <w:lang w:val="es-ES"/>
        </w:rPr>
        <w:t xml:space="preserve">respeten plenamente el </w:t>
      </w:r>
      <w:r w:rsidRPr="008536ED">
        <w:rPr>
          <w:rFonts w:eastAsia="Times New Roman" w:cs="Tahoma"/>
          <w:sz w:val="20"/>
          <w:szCs w:val="20"/>
          <w:bdr w:val="none" w:sz="0" w:space="0" w:color="auto"/>
          <w:lang w:val="es-ES"/>
        </w:rPr>
        <w:t xml:space="preserve">derecho a un juicio sin dilaciones indebidas. </w:t>
      </w:r>
    </w:p>
    <w:p w14:paraId="16FB40C8" w14:textId="77777777" w:rsidR="00953481" w:rsidRPr="00400DC5" w:rsidRDefault="00953481" w:rsidP="00953481">
      <w:pPr>
        <w:rPr>
          <w:rFonts w:eastAsia="Times New Roman" w:cs="Tahoma"/>
          <w:sz w:val="20"/>
          <w:szCs w:val="20"/>
          <w:bdr w:val="none" w:sz="0" w:space="0" w:color="auto" w:frame="1"/>
          <w:lang w:val="es-ES"/>
        </w:rPr>
      </w:pPr>
    </w:p>
    <w:p w14:paraId="3FF0EBD5" w14:textId="77777777" w:rsidR="00953481" w:rsidRPr="008536ED" w:rsidRDefault="00953481" w:rsidP="00C341D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Pr>
          <w:rFonts w:eastAsia="Times New Roman" w:cs="Tahoma"/>
          <w:sz w:val="20"/>
          <w:szCs w:val="20"/>
          <w:bdr w:val="none" w:sz="0" w:space="0" w:color="auto" w:frame="1"/>
          <w:lang w:val="es-ES"/>
        </w:rPr>
        <w:t xml:space="preserve">Que asegure que las condiciones </w:t>
      </w:r>
      <w:r w:rsidRPr="008536ED">
        <w:rPr>
          <w:rFonts w:eastAsia="Times New Roman" w:cs="Tahoma"/>
          <w:sz w:val="20"/>
          <w:szCs w:val="20"/>
          <w:bdr w:val="none" w:sz="0" w:space="0" w:color="auto" w:frame="1"/>
          <w:lang w:val="es-ES"/>
        </w:rPr>
        <w:t xml:space="preserve">en el corredor de la muerte </w:t>
      </w:r>
      <w:r>
        <w:rPr>
          <w:rFonts w:eastAsia="Times New Roman" w:cs="Tahoma"/>
          <w:sz w:val="20"/>
          <w:szCs w:val="20"/>
          <w:bdr w:val="none" w:sz="0" w:space="0" w:color="auto" w:frame="1"/>
          <w:lang w:val="es-ES"/>
        </w:rPr>
        <w:t>sean</w:t>
      </w:r>
      <w:r w:rsidRPr="008536ED">
        <w:rPr>
          <w:rFonts w:eastAsia="Times New Roman" w:cs="Tahoma"/>
          <w:sz w:val="20"/>
          <w:szCs w:val="20"/>
          <w:bdr w:val="none" w:sz="0" w:space="0" w:color="auto" w:frame="1"/>
          <w:lang w:val="es-ES"/>
        </w:rPr>
        <w:t xml:space="preserve"> compatible</w:t>
      </w:r>
      <w:r>
        <w:rPr>
          <w:rFonts w:eastAsia="Times New Roman" w:cs="Tahoma"/>
          <w:sz w:val="20"/>
          <w:szCs w:val="20"/>
          <w:bdr w:val="none" w:sz="0" w:space="0" w:color="auto" w:frame="1"/>
          <w:lang w:val="es-ES"/>
        </w:rPr>
        <w:t>s con los estándares internacionales de derechos humanos y que el régimen de aislamiento</w:t>
      </w:r>
      <w:r w:rsidRPr="008536ED">
        <w:rPr>
          <w:rFonts w:eastAsia="Times New Roman" w:cs="Tahoma"/>
          <w:sz w:val="20"/>
          <w:szCs w:val="20"/>
          <w:bdr w:val="none" w:sz="0" w:space="0" w:color="auto" w:frame="1"/>
          <w:lang w:val="es-ES"/>
        </w:rPr>
        <w:t xml:space="preserve"> </w:t>
      </w:r>
      <w:r>
        <w:rPr>
          <w:rFonts w:eastAsia="Times New Roman" w:cs="Tahoma"/>
          <w:sz w:val="20"/>
          <w:szCs w:val="20"/>
          <w:bdr w:val="none" w:sz="0" w:space="0" w:color="auto" w:frame="1"/>
          <w:lang w:val="es-ES"/>
        </w:rPr>
        <w:t>se use solo en circunstancias excepcionales y durante el menor tiempo posible</w:t>
      </w:r>
      <w:r w:rsidRPr="008536ED">
        <w:rPr>
          <w:rFonts w:eastAsia="Times New Roman" w:cs="Tahoma"/>
          <w:sz w:val="20"/>
          <w:szCs w:val="20"/>
          <w:bdr w:val="none" w:sz="0" w:space="0" w:color="auto" w:frame="1"/>
          <w:lang w:val="es-ES"/>
        </w:rPr>
        <w:t>.</w:t>
      </w:r>
    </w:p>
    <w:p w14:paraId="1894268B" w14:textId="77777777" w:rsidR="00953481" w:rsidRPr="00400DC5" w:rsidRDefault="00953481" w:rsidP="00953481">
      <w:pPr>
        <w:rPr>
          <w:rFonts w:eastAsia="Times New Roman" w:cs="Tahoma"/>
          <w:sz w:val="20"/>
          <w:szCs w:val="20"/>
          <w:bdr w:val="none" w:sz="0" w:space="0" w:color="auto"/>
          <w:lang w:val="es-ES"/>
        </w:rPr>
      </w:pPr>
    </w:p>
    <w:p w14:paraId="06976603" w14:textId="77777777" w:rsidR="00953481" w:rsidRPr="00953481" w:rsidRDefault="00953481" w:rsidP="00C341D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F6493E">
        <w:rPr>
          <w:rFonts w:eastAsia="Times New Roman" w:cs="Tahoma"/>
          <w:sz w:val="20"/>
          <w:szCs w:val="20"/>
          <w:bdr w:val="none" w:sz="0" w:space="0" w:color="auto"/>
          <w:lang w:val="es-ES"/>
        </w:rPr>
        <w:t>Que revise sus leyes, procedimientos y prácticas a fin de asegurar que</w:t>
      </w:r>
      <w:r w:rsidRPr="008536ED">
        <w:rPr>
          <w:rFonts w:eastAsia="Times New Roman" w:cs="Tahoma"/>
          <w:sz w:val="20"/>
          <w:szCs w:val="20"/>
          <w:bdr w:val="none" w:sz="0" w:space="0" w:color="auto"/>
          <w:lang w:val="es-ES"/>
        </w:rPr>
        <w:t xml:space="preserve"> </w:t>
      </w:r>
      <w:r>
        <w:rPr>
          <w:rFonts w:eastAsia="Times New Roman" w:cs="Tahoma"/>
          <w:sz w:val="20"/>
          <w:szCs w:val="20"/>
          <w:bdr w:val="none" w:sz="0" w:space="0" w:color="auto"/>
          <w:lang w:val="es-ES"/>
        </w:rPr>
        <w:t xml:space="preserve">las personas condenadas a </w:t>
      </w:r>
      <w:r w:rsidRPr="008536ED">
        <w:rPr>
          <w:rFonts w:eastAsia="Times New Roman" w:cs="Tahoma"/>
          <w:sz w:val="20"/>
          <w:szCs w:val="20"/>
          <w:bdr w:val="none" w:sz="0" w:space="0" w:color="auto"/>
          <w:lang w:val="es-ES"/>
        </w:rPr>
        <w:t xml:space="preserve">muerte </w:t>
      </w:r>
      <w:r>
        <w:rPr>
          <w:rFonts w:eastAsia="Times New Roman" w:cs="Tahoma"/>
          <w:sz w:val="20"/>
          <w:szCs w:val="20"/>
          <w:bdr w:val="none" w:sz="0" w:space="0" w:color="auto"/>
          <w:lang w:val="es-ES"/>
        </w:rPr>
        <w:t>tengan acceso a recursos</w:t>
      </w:r>
      <w:r w:rsidRPr="008536ED">
        <w:rPr>
          <w:rFonts w:eastAsia="Times New Roman" w:cs="Tahoma"/>
          <w:sz w:val="20"/>
          <w:szCs w:val="20"/>
          <w:bdr w:val="none" w:sz="0" w:space="0" w:color="auto"/>
          <w:lang w:val="es-ES"/>
        </w:rPr>
        <w:t xml:space="preserve"> judicial</w:t>
      </w:r>
      <w:r>
        <w:rPr>
          <w:rFonts w:eastAsia="Times New Roman" w:cs="Tahoma"/>
          <w:sz w:val="20"/>
          <w:szCs w:val="20"/>
          <w:bdr w:val="none" w:sz="0" w:space="0" w:color="auto"/>
          <w:lang w:val="es-ES"/>
        </w:rPr>
        <w:t xml:space="preserve">es efectivos para impugnar el posible efecto del </w:t>
      </w:r>
      <w:r w:rsidRPr="008536ED">
        <w:rPr>
          <w:rFonts w:eastAsia="Times New Roman" w:cs="Tahoma"/>
          <w:sz w:val="20"/>
          <w:szCs w:val="20"/>
          <w:bdr w:val="none" w:sz="0" w:space="0" w:color="auto"/>
          <w:lang w:val="es-ES"/>
        </w:rPr>
        <w:t xml:space="preserve">método de ejecución </w:t>
      </w:r>
      <w:r>
        <w:rPr>
          <w:rFonts w:eastAsia="Times New Roman" w:cs="Tahoma"/>
          <w:sz w:val="20"/>
          <w:szCs w:val="20"/>
          <w:bdr w:val="none" w:sz="0" w:space="0" w:color="auto"/>
          <w:lang w:val="es-ES"/>
        </w:rPr>
        <w:t>en sus derechos</w:t>
      </w:r>
      <w:r w:rsidRPr="008536ED">
        <w:rPr>
          <w:rFonts w:eastAsia="Times New Roman" w:cs="Tahoma"/>
          <w:sz w:val="20"/>
          <w:szCs w:val="20"/>
          <w:bdr w:val="none" w:sz="0" w:space="0" w:color="auto"/>
          <w:lang w:val="es-ES"/>
        </w:rPr>
        <w:t xml:space="preserve"> fundamental</w:t>
      </w:r>
      <w:r>
        <w:rPr>
          <w:rFonts w:eastAsia="Times New Roman" w:cs="Tahoma"/>
          <w:sz w:val="20"/>
          <w:szCs w:val="20"/>
          <w:bdr w:val="none" w:sz="0" w:space="0" w:color="auto"/>
          <w:lang w:val="es-ES"/>
        </w:rPr>
        <w:t>es de conformidad con los estándares enunciados en el presente informe de fondo.</w:t>
      </w:r>
    </w:p>
    <w:p w14:paraId="79312773" w14:textId="77777777" w:rsidR="00953481" w:rsidRPr="00953481" w:rsidRDefault="00953481" w:rsidP="00953481">
      <w:pPr>
        <w:pStyle w:val="ListParagraph"/>
        <w:rPr>
          <w:rFonts w:asciiTheme="majorHAnsi" w:hAnsiTheme="majorHAnsi"/>
          <w:sz w:val="20"/>
          <w:lang w:val="es-ES"/>
        </w:rPr>
      </w:pPr>
    </w:p>
    <w:p w14:paraId="6DC366FA" w14:textId="1E055EAD" w:rsidR="008D768D" w:rsidRPr="003D16AC" w:rsidRDefault="00953481" w:rsidP="003D16AC">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3D16AC">
        <w:rPr>
          <w:rFonts w:eastAsia="Times New Roman" w:cs="Tahoma"/>
          <w:sz w:val="20"/>
          <w:szCs w:val="20"/>
          <w:bdr w:val="none" w:sz="0" w:space="0" w:color="auto"/>
          <w:lang w:val="es-ES"/>
        </w:rPr>
        <w:t>Que</w:t>
      </w:r>
      <w:r w:rsidRPr="00C341DD">
        <w:rPr>
          <w:rFonts w:asciiTheme="majorHAnsi" w:hAnsiTheme="majorHAnsi"/>
          <w:sz w:val="20"/>
          <w:lang w:val="es-ES"/>
        </w:rPr>
        <w:t xml:space="preserve"> imponga una moratoria de las ejecuciones de personas condenas a muerte, en vista de las violaciones de la Declaración Americana que la CIDH ha observado en el caso de autos y en otros relacionados con la aplicación de la pena de muerte</w:t>
      </w:r>
      <w:r w:rsidRPr="008536ED">
        <w:rPr>
          <w:rStyle w:val="FootnoteReference"/>
          <w:sz w:val="20"/>
          <w:lang w:val="es-ES"/>
        </w:rPr>
        <w:footnoteReference w:id="112"/>
      </w:r>
      <w:r w:rsidRPr="00C341DD">
        <w:rPr>
          <w:rFonts w:asciiTheme="majorHAnsi" w:hAnsiTheme="majorHAnsi"/>
          <w:sz w:val="20"/>
          <w:lang w:val="es-ES"/>
        </w:rPr>
        <w:t>.</w:t>
      </w:r>
    </w:p>
    <w:p w14:paraId="67C8F8D7" w14:textId="77777777" w:rsidR="006D19DD" w:rsidRPr="00D006F7" w:rsidRDefault="006D19DD" w:rsidP="006D19DD">
      <w:pPr>
        <w:jc w:val="both"/>
        <w:rPr>
          <w:rFonts w:ascii="Cambria" w:eastAsia="Times New Roman" w:hAnsi="Cambria" w:cs="Tahoma"/>
          <w:color w:val="000000"/>
          <w:sz w:val="20"/>
          <w:szCs w:val="20"/>
          <w:u w:color="000000"/>
          <w:bdr w:val="none" w:sz="0" w:space="0" w:color="auto" w:frame="1"/>
          <w:lang w:val="es-ES_tradnl" w:eastAsia="es-ES"/>
        </w:rPr>
      </w:pPr>
    </w:p>
    <w:p w14:paraId="23FF4F56" w14:textId="77777777" w:rsidR="006D19DD" w:rsidRPr="0014729E" w:rsidRDefault="006D19DD" w:rsidP="006D19DD">
      <w:pPr>
        <w:pStyle w:val="Heading1"/>
        <w:tabs>
          <w:tab w:val="left" w:pos="360"/>
        </w:tabs>
        <w:spacing w:before="0"/>
        <w:ind w:hanging="720"/>
        <w:rPr>
          <w:color w:val="auto"/>
          <w:sz w:val="20"/>
          <w:szCs w:val="20"/>
          <w:lang w:val="es-ES"/>
        </w:rPr>
      </w:pPr>
      <w:bookmarkStart w:id="43" w:name="_Toc26552696"/>
      <w:bookmarkStart w:id="44" w:name="_Toc87522752"/>
      <w:bookmarkStart w:id="45" w:name="_Toc90117850"/>
      <w:bookmarkStart w:id="46" w:name="_Toc90283160"/>
      <w:r w:rsidRPr="0014729E">
        <w:rPr>
          <w:color w:val="auto"/>
          <w:sz w:val="20"/>
          <w:szCs w:val="20"/>
          <w:lang w:val="es-ES"/>
        </w:rPr>
        <w:t>PUBLICACIÓN</w:t>
      </w:r>
      <w:bookmarkEnd w:id="43"/>
      <w:bookmarkEnd w:id="44"/>
      <w:bookmarkEnd w:id="45"/>
      <w:bookmarkEnd w:id="46"/>
    </w:p>
    <w:p w14:paraId="14935A0E" w14:textId="77777777" w:rsidR="006D19DD" w:rsidRPr="0014729E" w:rsidRDefault="006D19DD" w:rsidP="006D19DD">
      <w:pPr>
        <w:ind w:left="360"/>
        <w:jc w:val="both"/>
        <w:rPr>
          <w:lang w:val="es-UY"/>
        </w:rPr>
      </w:pPr>
    </w:p>
    <w:p w14:paraId="73F28D52" w14:textId="77777777" w:rsidR="006D19DD" w:rsidRPr="0014729E" w:rsidRDefault="006D19DD" w:rsidP="000254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sz w:val="20"/>
          <w:szCs w:val="20"/>
          <w:lang w:val="es-AR"/>
        </w:rPr>
      </w:pPr>
      <w:r w:rsidRPr="0014729E">
        <w:rPr>
          <w:rFonts w:ascii="Cambria" w:hAnsi="Cambria"/>
          <w:color w:val="000000"/>
          <w:sz w:val="20"/>
          <w:szCs w:val="20"/>
          <w:lang w:val="es-ES_tradnl"/>
        </w:rPr>
        <w:t>En</w:t>
      </w:r>
      <w:r w:rsidRPr="0014729E">
        <w:rPr>
          <w:rFonts w:ascii="Cambria" w:hAnsi="Cambria"/>
          <w:color w:val="000000"/>
          <w:sz w:val="20"/>
          <w:szCs w:val="20"/>
          <w:lang w:val="es-AR"/>
        </w:rPr>
        <w:t xml:space="preserve">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4F0DC2BA" w14:textId="673B65B2" w:rsidR="003D16AC" w:rsidRDefault="003D16AC" w:rsidP="003D16A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center" w:pos="5400"/>
        </w:tabs>
        <w:suppressAutoHyphens/>
        <w:spacing w:line="276" w:lineRule="auto"/>
        <w:jc w:val="both"/>
        <w:rPr>
          <w:rFonts w:eastAsia="Times New Roman" w:cs="Tahoma"/>
          <w:sz w:val="20"/>
          <w:szCs w:val="20"/>
          <w:bdr w:val="none" w:sz="0" w:space="0" w:color="auto" w:frame="1"/>
          <w:lang w:val="es-ES"/>
        </w:rPr>
      </w:pPr>
    </w:p>
    <w:p w14:paraId="18CF7ED2" w14:textId="77777777" w:rsidR="00F807AF" w:rsidRDefault="00F807AF" w:rsidP="00F807AF">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eastAsia="Trebuchet MS" w:hAnsi="Cambria" w:cs="Calibri"/>
          <w:color w:val="201F1E"/>
          <w:spacing w:val="-2"/>
          <w:sz w:val="20"/>
          <w:szCs w:val="20"/>
          <w:bdr w:val="none" w:sz="0" w:space="0" w:color="auto" w:frame="1"/>
          <w:lang w:val="es-CL"/>
        </w:rPr>
        <w:t xml:space="preserve"> 31 días del mes de diciembre de 2021. </w:t>
      </w:r>
      <w:r>
        <w:rPr>
          <w:rFonts w:ascii="Cambria" w:hAnsi="Cambria" w:cs="Calibri"/>
          <w:color w:val="201F1E"/>
          <w:spacing w:val="-2"/>
          <w:sz w:val="20"/>
          <w:szCs w:val="20"/>
          <w:bdr w:val="none" w:sz="0" w:space="0" w:color="auto" w:frame="1"/>
          <w:lang w:val="es-CL"/>
        </w:rPr>
        <w:t xml:space="preserve">(Firmado): Antonia Urrejola Noguera, Presidenta; Julissa Mantilla Falcón, Primera Vicepresidenta; </w:t>
      </w:r>
      <w:proofErr w:type="spellStart"/>
      <w:r>
        <w:rPr>
          <w:rFonts w:ascii="Cambria" w:hAnsi="Cambria" w:cs="Calibri"/>
          <w:color w:val="201F1E"/>
          <w:spacing w:val="-2"/>
          <w:sz w:val="20"/>
          <w:szCs w:val="20"/>
          <w:bdr w:val="none" w:sz="0" w:space="0" w:color="auto" w:frame="1"/>
          <w:lang w:val="es-CL"/>
        </w:rPr>
        <w:t>Flávia</w:t>
      </w:r>
      <w:proofErr w:type="spellEnd"/>
      <w:r>
        <w:rPr>
          <w:rFonts w:ascii="Cambria" w:hAnsi="Cambria" w:cs="Calibri"/>
          <w:color w:val="201F1E"/>
          <w:spacing w:val="-2"/>
          <w:sz w:val="20"/>
          <w:szCs w:val="20"/>
          <w:bdr w:val="none" w:sz="0" w:space="0" w:color="auto" w:frame="1"/>
          <w:lang w:val="es-CL"/>
        </w:rPr>
        <w:t xml:space="preserve"> </w:t>
      </w:r>
      <w:proofErr w:type="spellStart"/>
      <w:r>
        <w:rPr>
          <w:rFonts w:ascii="Cambria" w:hAnsi="Cambria" w:cs="Calibri"/>
          <w:color w:val="201F1E"/>
          <w:spacing w:val="-2"/>
          <w:sz w:val="20"/>
          <w:szCs w:val="20"/>
          <w:bdr w:val="none" w:sz="0" w:space="0" w:color="auto" w:frame="1"/>
          <w:lang w:val="es-CL"/>
        </w:rPr>
        <w:t>Piovesan</w:t>
      </w:r>
      <w:proofErr w:type="spellEnd"/>
      <w:r>
        <w:rPr>
          <w:rFonts w:ascii="Cambria" w:hAnsi="Cambria" w:cs="Calibri"/>
          <w:color w:val="201F1E"/>
          <w:spacing w:val="-2"/>
          <w:sz w:val="20"/>
          <w:szCs w:val="20"/>
          <w:bdr w:val="none" w:sz="0" w:space="0" w:color="auto" w:frame="1"/>
          <w:lang w:val="es-CL"/>
        </w:rPr>
        <w:t xml:space="preserve">, Segunda Vicepresidenta; </w:t>
      </w:r>
      <w:proofErr w:type="spellStart"/>
      <w:r>
        <w:rPr>
          <w:rFonts w:ascii="Cambria" w:hAnsi="Cambria" w:cs="Calibri"/>
          <w:color w:val="201F1E"/>
          <w:spacing w:val="-2"/>
          <w:sz w:val="20"/>
          <w:szCs w:val="20"/>
          <w:bdr w:val="none" w:sz="0" w:space="0" w:color="auto" w:frame="1"/>
          <w:lang w:val="es-CL"/>
        </w:rPr>
        <w:t>Margarette</w:t>
      </w:r>
      <w:proofErr w:type="spellEnd"/>
      <w:r>
        <w:rPr>
          <w:rFonts w:ascii="Cambria" w:hAnsi="Cambria" w:cs="Calibri"/>
          <w:color w:val="201F1E"/>
          <w:spacing w:val="-2"/>
          <w:sz w:val="20"/>
          <w:szCs w:val="20"/>
          <w:bdr w:val="none" w:sz="0" w:space="0" w:color="auto" w:frame="1"/>
          <w:lang w:val="es-CL"/>
        </w:rPr>
        <w:t xml:space="preserve"> May </w:t>
      </w:r>
      <w:proofErr w:type="spellStart"/>
      <w:r>
        <w:rPr>
          <w:rFonts w:ascii="Cambria" w:hAnsi="Cambria" w:cs="Calibri"/>
          <w:color w:val="201F1E"/>
          <w:spacing w:val="-2"/>
          <w:sz w:val="20"/>
          <w:szCs w:val="20"/>
          <w:bdr w:val="none" w:sz="0" w:space="0" w:color="auto" w:frame="1"/>
          <w:lang w:val="es-CL"/>
        </w:rPr>
        <w:t>Macaulay</w:t>
      </w:r>
      <w:proofErr w:type="spellEnd"/>
      <w:r>
        <w:rPr>
          <w:rFonts w:ascii="Cambria" w:hAnsi="Cambria" w:cs="Calibri"/>
          <w:color w:val="201F1E"/>
          <w:spacing w:val="-2"/>
          <w:sz w:val="20"/>
          <w:szCs w:val="20"/>
          <w:bdr w:val="none" w:sz="0" w:space="0" w:color="auto" w:frame="1"/>
          <w:lang w:val="es-CL"/>
        </w:rPr>
        <w:t xml:space="preserve">, Esmeralda E. Arosemena de </w:t>
      </w:r>
      <w:proofErr w:type="spellStart"/>
      <w:r>
        <w:rPr>
          <w:rFonts w:ascii="Cambria" w:hAnsi="Cambria" w:cs="Calibri"/>
          <w:color w:val="201F1E"/>
          <w:spacing w:val="-2"/>
          <w:sz w:val="20"/>
          <w:szCs w:val="20"/>
          <w:bdr w:val="none" w:sz="0" w:space="0" w:color="auto" w:frame="1"/>
          <w:lang w:val="es-CL"/>
        </w:rPr>
        <w:t>Troitiño</w:t>
      </w:r>
      <w:proofErr w:type="spellEnd"/>
      <w:r>
        <w:rPr>
          <w:rFonts w:ascii="Cambria" w:hAnsi="Cambria" w:cs="Calibri"/>
          <w:color w:val="201F1E"/>
          <w:spacing w:val="-2"/>
          <w:sz w:val="20"/>
          <w:szCs w:val="20"/>
          <w:bdr w:val="none" w:sz="0" w:space="0" w:color="auto" w:frame="1"/>
          <w:lang w:val="es-CL"/>
        </w:rPr>
        <w:t xml:space="preserve">, Joel Hernández </w:t>
      </w:r>
      <w:proofErr w:type="spellStart"/>
      <w:r>
        <w:rPr>
          <w:rFonts w:ascii="Cambria" w:hAnsi="Cambria" w:cs="Calibri"/>
          <w:color w:val="201F1E"/>
          <w:spacing w:val="-2"/>
          <w:sz w:val="20"/>
          <w:szCs w:val="20"/>
          <w:bdr w:val="none" w:sz="0" w:space="0" w:color="auto" w:frame="1"/>
          <w:lang w:val="es-CL"/>
        </w:rPr>
        <w:t>Gracía</w:t>
      </w:r>
      <w:proofErr w:type="spellEnd"/>
      <w:r>
        <w:rPr>
          <w:rFonts w:ascii="Cambria" w:hAnsi="Cambria" w:cs="Calibri"/>
          <w:color w:val="201F1E"/>
          <w:spacing w:val="-2"/>
          <w:sz w:val="20"/>
          <w:szCs w:val="20"/>
          <w:bdr w:val="none" w:sz="0" w:space="0" w:color="auto" w:frame="1"/>
          <w:lang w:val="es-CL"/>
        </w:rPr>
        <w:t xml:space="preserve"> y Edgar Stuardo </w:t>
      </w:r>
      <w:proofErr w:type="spellStart"/>
      <w:r>
        <w:rPr>
          <w:rFonts w:ascii="Cambria" w:hAnsi="Cambria" w:cs="Calibri"/>
          <w:color w:val="201F1E"/>
          <w:spacing w:val="-2"/>
          <w:sz w:val="20"/>
          <w:szCs w:val="20"/>
          <w:bdr w:val="none" w:sz="0" w:space="0" w:color="auto" w:frame="1"/>
          <w:lang w:val="es-CL"/>
        </w:rPr>
        <w:t>Ralón</w:t>
      </w:r>
      <w:proofErr w:type="spellEnd"/>
      <w:r>
        <w:rPr>
          <w:rFonts w:ascii="Cambria" w:hAnsi="Cambria" w:cs="Calibri"/>
          <w:color w:val="201F1E"/>
          <w:spacing w:val="-2"/>
          <w:sz w:val="20"/>
          <w:szCs w:val="20"/>
          <w:bdr w:val="none" w:sz="0" w:space="0" w:color="auto" w:frame="1"/>
          <w:lang w:val="es-CL"/>
        </w:rPr>
        <w:t xml:space="preserve"> Orellana, Miembros de la Comisión.</w:t>
      </w:r>
    </w:p>
    <w:p w14:paraId="6B410DEF" w14:textId="77777777" w:rsidR="00F807AF" w:rsidRDefault="00F807AF" w:rsidP="00F807AF">
      <w:pPr>
        <w:pStyle w:val="xparrafos"/>
        <w:spacing w:before="0" w:beforeAutospacing="0" w:after="0" w:afterAutospacing="0"/>
        <w:jc w:val="both"/>
        <w:rPr>
          <w:rFonts w:ascii="Cambria" w:hAnsi="Cambria"/>
          <w:color w:val="000000"/>
          <w:sz w:val="20"/>
          <w:szCs w:val="20"/>
        </w:rPr>
      </w:pPr>
    </w:p>
    <w:sectPr w:rsidR="00F807A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D283" w14:textId="77777777" w:rsidR="005D64AE" w:rsidRDefault="005D64AE">
      <w:r>
        <w:separator/>
      </w:r>
    </w:p>
  </w:endnote>
  <w:endnote w:type="continuationSeparator" w:id="0">
    <w:p w14:paraId="1D3F2778" w14:textId="77777777" w:rsidR="005D64AE" w:rsidRDefault="005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TE27CA0E8t00">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63C9E33" w14:textId="77777777" w:rsidR="009206FF" w:rsidRPr="00934A2C" w:rsidRDefault="009206F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3E8DEBDC" w14:textId="77777777" w:rsidR="009206FF" w:rsidRDefault="00920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9DC0" w14:textId="77777777" w:rsidR="009206FF" w:rsidRPr="00934A2C" w:rsidRDefault="009206FF">
    <w:pPr>
      <w:pStyle w:val="Footer"/>
      <w:jc w:val="center"/>
      <w:rPr>
        <w:sz w:val="16"/>
        <w:szCs w:val="22"/>
      </w:rPr>
    </w:pPr>
  </w:p>
  <w:p w14:paraId="54A575B6" w14:textId="77777777" w:rsidR="009206FF" w:rsidRDefault="0092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DA54" w14:textId="77777777" w:rsidR="005D64AE" w:rsidRPr="000F35ED" w:rsidRDefault="005D64A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EFCF40" w14:textId="77777777" w:rsidR="005D64AE" w:rsidRPr="000F35ED" w:rsidRDefault="005D64AE" w:rsidP="000F35ED">
      <w:pPr>
        <w:rPr>
          <w:rFonts w:asciiTheme="majorHAnsi" w:hAnsiTheme="majorHAnsi"/>
          <w:sz w:val="16"/>
          <w:szCs w:val="16"/>
        </w:rPr>
      </w:pPr>
      <w:r w:rsidRPr="000F35ED">
        <w:rPr>
          <w:rFonts w:asciiTheme="majorHAnsi" w:hAnsiTheme="majorHAnsi"/>
          <w:sz w:val="16"/>
          <w:szCs w:val="16"/>
        </w:rPr>
        <w:separator/>
      </w:r>
    </w:p>
    <w:p w14:paraId="3FEE8DC3" w14:textId="77777777" w:rsidR="005D64AE" w:rsidRPr="000F35ED" w:rsidRDefault="005D64A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98A1A84" w14:textId="77777777" w:rsidR="005D64AE" w:rsidRPr="000F35ED" w:rsidRDefault="005D64A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5853D92"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El 4 de marzo de 2014, la CIDH otorgó medidas cautelares a favor del señor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de conformidad con el artículo 25.1 de su Reglamento y solicitó a Estados Unidos que tomara las medidas necesarias para preservar la vida y la integridad física del señor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a fin de no obstaculizar la tramitación de su caso ante el sistema interamericano.</w:t>
      </w:r>
    </w:p>
  </w:footnote>
  <w:footnote w:id="3">
    <w:p w14:paraId="1397F0B2"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El 25 de febrero de 2016, la peticionaria informó que Sarah Stone ya no trabajaba más en esa oficina y que los defensores del señor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serían las señoras </w:t>
      </w:r>
      <w:proofErr w:type="spellStart"/>
      <w:r w:rsidRPr="00B4645B">
        <w:rPr>
          <w:rFonts w:asciiTheme="majorHAnsi" w:hAnsiTheme="majorHAnsi"/>
          <w:sz w:val="16"/>
          <w:szCs w:val="16"/>
          <w:lang w:val="es-ES"/>
        </w:rPr>
        <w:t>Therese</w:t>
      </w:r>
      <w:proofErr w:type="spellEnd"/>
      <w:r w:rsidRPr="00B4645B">
        <w:rPr>
          <w:rFonts w:asciiTheme="majorHAnsi" w:hAnsiTheme="majorHAnsi"/>
          <w:sz w:val="16"/>
          <w:szCs w:val="16"/>
          <w:lang w:val="es-ES"/>
        </w:rPr>
        <w:t xml:space="preserve"> Michelle Day, de la Defensoría Pública Federal de Arizona, y </w:t>
      </w:r>
      <w:proofErr w:type="spellStart"/>
      <w:r w:rsidRPr="00B4645B">
        <w:rPr>
          <w:rFonts w:asciiTheme="majorHAnsi" w:hAnsiTheme="majorHAnsi"/>
          <w:sz w:val="16"/>
          <w:szCs w:val="16"/>
          <w:lang w:val="es-ES"/>
        </w:rPr>
        <w:t>Julianne</w:t>
      </w:r>
      <w:proofErr w:type="spellEnd"/>
      <w:r w:rsidRPr="00B4645B">
        <w:rPr>
          <w:rFonts w:asciiTheme="majorHAnsi" w:hAnsiTheme="majorHAnsi"/>
          <w:sz w:val="16"/>
          <w:szCs w:val="16"/>
          <w:lang w:val="es-ES"/>
        </w:rPr>
        <w:t xml:space="preserve"> Hill, de </w:t>
      </w:r>
      <w:proofErr w:type="spellStart"/>
      <w:r w:rsidRPr="00B4645B">
        <w:rPr>
          <w:rFonts w:asciiTheme="majorHAnsi" w:hAnsiTheme="majorHAnsi"/>
          <w:sz w:val="16"/>
          <w:szCs w:val="16"/>
          <w:lang w:val="es-ES"/>
        </w:rPr>
        <w:t>Reprieve</w:t>
      </w:r>
      <w:proofErr w:type="spellEnd"/>
      <w:r w:rsidRPr="00B4645B">
        <w:rPr>
          <w:rFonts w:asciiTheme="majorHAnsi" w:hAnsiTheme="majorHAnsi"/>
          <w:sz w:val="16"/>
          <w:szCs w:val="16"/>
          <w:lang w:val="es-ES"/>
        </w:rPr>
        <w:t xml:space="preserve">. </w:t>
      </w:r>
    </w:p>
  </w:footnote>
  <w:footnote w:id="4">
    <w:p w14:paraId="46F98A72"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color w:val="auto"/>
          <w:sz w:val="16"/>
          <w:szCs w:val="16"/>
          <w:lang w:val="es-ES"/>
        </w:rPr>
        <w:footnoteRef/>
      </w:r>
      <w:r w:rsidRPr="00B4645B">
        <w:rPr>
          <w:rStyle w:val="FootnoteReference"/>
          <w:rFonts w:asciiTheme="majorHAnsi" w:hAnsiTheme="majorHAnsi"/>
          <w:color w:val="auto"/>
          <w:sz w:val="16"/>
          <w:szCs w:val="16"/>
          <w:lang w:val="es-ES"/>
        </w:rPr>
        <w:t xml:space="preserve"> </w:t>
      </w:r>
      <w:r w:rsidRPr="00B4645B">
        <w:rPr>
          <w:rFonts w:asciiTheme="majorHAnsi" w:hAnsiTheme="majorHAnsi"/>
          <w:color w:val="auto"/>
          <w:sz w:val="16"/>
          <w:szCs w:val="16"/>
          <w:lang w:val="es-ES"/>
        </w:rPr>
        <w:t xml:space="preserve">CIDH. Informe No. 54/14, Petición 684-14. Admisibilidad. </w:t>
      </w:r>
      <w:r w:rsidRPr="007A12AE">
        <w:rPr>
          <w:rFonts w:asciiTheme="majorHAnsi" w:hAnsiTheme="majorHAnsi"/>
          <w:color w:val="auto"/>
          <w:sz w:val="16"/>
          <w:szCs w:val="16"/>
        </w:rPr>
        <w:t xml:space="preserve">Russel </w:t>
      </w:r>
      <w:proofErr w:type="spellStart"/>
      <w:r w:rsidRPr="007A12AE">
        <w:rPr>
          <w:rFonts w:asciiTheme="majorHAnsi" w:hAnsiTheme="majorHAnsi"/>
          <w:color w:val="auto"/>
          <w:sz w:val="16"/>
          <w:szCs w:val="16"/>
        </w:rPr>
        <w:t>Bucklew</w:t>
      </w:r>
      <w:proofErr w:type="spellEnd"/>
      <w:r w:rsidRPr="007A12AE">
        <w:rPr>
          <w:rFonts w:asciiTheme="majorHAnsi" w:hAnsiTheme="majorHAnsi"/>
          <w:color w:val="auto"/>
          <w:sz w:val="16"/>
          <w:szCs w:val="16"/>
        </w:rPr>
        <w:t xml:space="preserve"> y Charles Warner. </w:t>
      </w:r>
      <w:r w:rsidRPr="00B4645B">
        <w:rPr>
          <w:rFonts w:asciiTheme="majorHAnsi" w:hAnsiTheme="majorHAnsi"/>
          <w:color w:val="auto"/>
          <w:sz w:val="16"/>
          <w:szCs w:val="16"/>
          <w:lang w:val="es-ES"/>
        </w:rPr>
        <w:t>Estados Unidos. 21 de julio de 2014, párr. 29.</w:t>
      </w:r>
    </w:p>
  </w:footnote>
  <w:footnote w:id="5">
    <w:p w14:paraId="6E411094"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color w:val="auto"/>
          <w:sz w:val="16"/>
          <w:szCs w:val="16"/>
          <w:lang w:val="es-ES"/>
        </w:rPr>
        <w:footnoteRef/>
      </w:r>
      <w:r w:rsidRPr="00B4645B">
        <w:rPr>
          <w:rStyle w:val="FootnoteReference"/>
          <w:rFonts w:asciiTheme="majorHAnsi" w:hAnsiTheme="majorHAnsi"/>
          <w:color w:val="auto"/>
          <w:sz w:val="16"/>
          <w:szCs w:val="16"/>
          <w:lang w:val="es-ES"/>
        </w:rPr>
        <w:t xml:space="preserve"> </w:t>
      </w:r>
      <w:r w:rsidRPr="00B4645B">
        <w:rPr>
          <w:rFonts w:asciiTheme="majorHAnsi" w:hAnsiTheme="majorHAnsi"/>
          <w:color w:val="auto"/>
          <w:sz w:val="16"/>
          <w:szCs w:val="16"/>
          <w:lang w:val="es-ES"/>
        </w:rPr>
        <w:t xml:space="preserve">CIDH. Informe No. 54/14, Petición 684-14. Admisibilidad. Russel </w:t>
      </w:r>
      <w:proofErr w:type="spellStart"/>
      <w:r w:rsidRPr="00B4645B">
        <w:rPr>
          <w:rFonts w:asciiTheme="majorHAnsi" w:hAnsiTheme="majorHAnsi"/>
          <w:color w:val="auto"/>
          <w:sz w:val="16"/>
          <w:szCs w:val="16"/>
          <w:lang w:val="es-ES"/>
        </w:rPr>
        <w:t>Bucklew</w:t>
      </w:r>
      <w:proofErr w:type="spellEnd"/>
      <w:r w:rsidRPr="00B4645B">
        <w:rPr>
          <w:rFonts w:asciiTheme="majorHAnsi" w:hAnsiTheme="majorHAnsi"/>
          <w:color w:val="auto"/>
          <w:sz w:val="16"/>
          <w:szCs w:val="16"/>
          <w:lang w:val="es-ES"/>
        </w:rPr>
        <w:t xml:space="preserve"> y Charles Warner. Estados Unidos. 21 de julio de 2014, párr. 29.</w:t>
      </w:r>
    </w:p>
  </w:footnote>
  <w:footnote w:id="6">
    <w:p w14:paraId="5125DD73"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CIDH. Informe No. 108/00. Caso 11.753. Admisibilidad. Ramón Martínez Villareal. Estados Unidos. 4 de diciembre de 2000, párr. 60.</w:t>
      </w:r>
    </w:p>
  </w:footnote>
  <w:footnote w:id="7">
    <w:p w14:paraId="34AD5CF8"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cs="Arial"/>
          <w:sz w:val="16"/>
          <w:szCs w:val="16"/>
          <w:lang w:val="es-ES"/>
        </w:rPr>
        <w:footnoteRef/>
      </w:r>
      <w:r w:rsidRPr="00B4645B">
        <w:rPr>
          <w:rStyle w:val="FootnoteReference"/>
          <w:rFonts w:asciiTheme="majorHAnsi" w:hAnsiTheme="majorHAnsi" w:cs="Arial"/>
          <w:sz w:val="16"/>
          <w:szCs w:val="16"/>
          <w:lang w:val="es-ES"/>
        </w:rPr>
        <w:t xml:space="preserve"> </w:t>
      </w:r>
      <w:r w:rsidRPr="00B4645B">
        <w:rPr>
          <w:rFonts w:asciiTheme="majorHAnsi" w:hAnsiTheme="majorHAnsi"/>
          <w:sz w:val="16"/>
          <w:szCs w:val="16"/>
          <w:lang w:val="es-ES"/>
        </w:rPr>
        <w:t xml:space="preserve">Ley Antiterrorista y de Efectiva Aplicación de la Pena de Muerte de 1996, Pub. L. No. 104-132, 110 </w:t>
      </w:r>
      <w:proofErr w:type="spellStart"/>
      <w:r w:rsidRPr="00B4645B">
        <w:rPr>
          <w:rFonts w:asciiTheme="majorHAnsi" w:hAnsiTheme="majorHAnsi"/>
          <w:sz w:val="16"/>
          <w:szCs w:val="16"/>
          <w:lang w:val="es-ES"/>
        </w:rPr>
        <w:t>Stat</w:t>
      </w:r>
      <w:proofErr w:type="spellEnd"/>
      <w:r w:rsidRPr="00B4645B">
        <w:rPr>
          <w:rFonts w:asciiTheme="majorHAnsi" w:hAnsiTheme="majorHAnsi"/>
          <w:sz w:val="16"/>
          <w:szCs w:val="16"/>
          <w:lang w:val="es-ES"/>
        </w:rPr>
        <w:t>. 1214.</w:t>
      </w:r>
    </w:p>
  </w:footnote>
  <w:footnote w:id="8">
    <w:p w14:paraId="79D467EA"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7A12AE">
        <w:rPr>
          <w:rFonts w:asciiTheme="majorHAnsi" w:hAnsiTheme="majorHAnsi"/>
          <w:sz w:val="16"/>
          <w:szCs w:val="16"/>
        </w:rPr>
        <w:t xml:space="preserve"> Arizona Administrative Code. Board of Executive Clemency. </w:t>
      </w:r>
      <w:proofErr w:type="spellStart"/>
      <w:r w:rsidRPr="00B4645B">
        <w:rPr>
          <w:rFonts w:asciiTheme="majorHAnsi" w:hAnsiTheme="majorHAnsi"/>
          <w:sz w:val="16"/>
          <w:szCs w:val="16"/>
          <w:lang w:val="es-ES"/>
        </w:rPr>
        <w:t>Title</w:t>
      </w:r>
      <w:proofErr w:type="spellEnd"/>
      <w:r w:rsidRPr="00B4645B">
        <w:rPr>
          <w:rFonts w:asciiTheme="majorHAnsi" w:hAnsiTheme="majorHAnsi"/>
          <w:sz w:val="16"/>
          <w:szCs w:val="16"/>
          <w:lang w:val="es-ES"/>
        </w:rPr>
        <w:t xml:space="preserve"> 5. </w:t>
      </w:r>
      <w:proofErr w:type="spellStart"/>
      <w:r w:rsidRPr="00B4645B">
        <w:rPr>
          <w:rFonts w:asciiTheme="majorHAnsi" w:hAnsiTheme="majorHAnsi"/>
          <w:sz w:val="16"/>
          <w:szCs w:val="16"/>
          <w:lang w:val="es-ES"/>
        </w:rPr>
        <w:t>Corrections</w:t>
      </w:r>
      <w:proofErr w:type="spellEnd"/>
      <w:r w:rsidRPr="00B4645B">
        <w:rPr>
          <w:rFonts w:asciiTheme="majorHAnsi" w:hAnsiTheme="majorHAnsi"/>
          <w:sz w:val="16"/>
          <w:szCs w:val="16"/>
          <w:lang w:val="es-ES"/>
        </w:rPr>
        <w:t xml:space="preserve">. Se encuentra en </w:t>
      </w:r>
      <w:hyperlink r:id="rId1" w:history="1">
        <w:r w:rsidRPr="00B4645B">
          <w:rPr>
            <w:rStyle w:val="Hyperlink"/>
            <w:rFonts w:asciiTheme="majorHAnsi" w:hAnsiTheme="majorHAnsi"/>
            <w:sz w:val="16"/>
            <w:szCs w:val="16"/>
            <w:u w:val="none"/>
            <w:lang w:val="es-ES"/>
          </w:rPr>
          <w:t>https://apps.azsos.gov/public_services/Title_05/5-04.pdf</w:t>
        </w:r>
      </w:hyperlink>
      <w:r w:rsidRPr="00B4645B">
        <w:rPr>
          <w:rFonts w:asciiTheme="majorHAnsi" w:hAnsiTheme="majorHAnsi"/>
          <w:sz w:val="16"/>
          <w:szCs w:val="16"/>
          <w:lang w:val="es-ES"/>
        </w:rPr>
        <w:t>. Último acceso: 30 de julio de 2019.</w:t>
      </w:r>
    </w:p>
  </w:footnote>
  <w:footnote w:id="9">
    <w:p w14:paraId="64A36355"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7A12AE">
        <w:rPr>
          <w:rFonts w:asciiTheme="majorHAnsi" w:hAnsiTheme="majorHAnsi"/>
          <w:sz w:val="16"/>
          <w:szCs w:val="16"/>
          <w:lang w:val="pt-BR"/>
        </w:rPr>
        <w:t xml:space="preserve"> </w:t>
      </w:r>
      <w:r w:rsidRPr="007A12AE">
        <w:rPr>
          <w:rFonts w:asciiTheme="majorHAnsi" w:hAnsiTheme="majorHAnsi"/>
          <w:sz w:val="16"/>
          <w:szCs w:val="16"/>
          <w:lang w:val="pt-BR"/>
        </w:rPr>
        <w:t xml:space="preserve">State v. Rogovich. Corte Suprema de Arizona. </w:t>
      </w:r>
      <w:r w:rsidRPr="00B4645B">
        <w:rPr>
          <w:rFonts w:asciiTheme="majorHAnsi" w:hAnsiTheme="majorHAnsi"/>
          <w:sz w:val="16"/>
          <w:szCs w:val="16"/>
          <w:lang w:val="es-ES"/>
        </w:rPr>
        <w:t>No. CR-95-0288-AP. 4 de febrero de 1997.</w:t>
      </w:r>
    </w:p>
  </w:footnote>
  <w:footnote w:id="10">
    <w:p w14:paraId="6B26A04C"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8. Interrogatorio de William </w:t>
      </w:r>
      <w:proofErr w:type="spellStart"/>
      <w:r w:rsidRPr="00B4645B">
        <w:rPr>
          <w:rFonts w:asciiTheme="majorHAnsi" w:hAnsiTheme="majorHAnsi"/>
          <w:sz w:val="16"/>
          <w:szCs w:val="16"/>
          <w:lang w:val="es-ES"/>
        </w:rPr>
        <w:t>Prather</w:t>
      </w:r>
      <w:proofErr w:type="spellEnd"/>
      <w:r w:rsidRPr="00B4645B">
        <w:rPr>
          <w:rFonts w:asciiTheme="majorHAnsi" w:hAnsiTheme="majorHAnsi"/>
          <w:sz w:val="16"/>
          <w:szCs w:val="16"/>
          <w:lang w:val="es-ES"/>
        </w:rPr>
        <w:t>, ayudante del alguacil. Apéndice 1, presentado con la petición original de la peticionaria el 19 de febrero de 2014.</w:t>
      </w:r>
    </w:p>
  </w:footnote>
  <w:footnote w:id="11">
    <w:p w14:paraId="43E07D71"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8. Interrogatorio del señor Charles </w:t>
      </w:r>
      <w:proofErr w:type="spellStart"/>
      <w:r w:rsidRPr="00B4645B">
        <w:rPr>
          <w:rFonts w:asciiTheme="majorHAnsi" w:hAnsiTheme="majorHAnsi"/>
          <w:sz w:val="16"/>
          <w:szCs w:val="16"/>
          <w:lang w:val="es-ES"/>
        </w:rPr>
        <w:t>Hodges</w:t>
      </w:r>
      <w:proofErr w:type="spellEnd"/>
      <w:r w:rsidRPr="00B4645B">
        <w:rPr>
          <w:rFonts w:asciiTheme="majorHAnsi" w:hAnsiTheme="majorHAnsi"/>
          <w:sz w:val="16"/>
          <w:szCs w:val="16"/>
          <w:lang w:val="es-ES"/>
        </w:rPr>
        <w:t xml:space="preserve">. Apéndice 1, presentado con la petición original de la peticionaria el 19 de febrero de 2014. </w:t>
      </w:r>
    </w:p>
  </w:footnote>
  <w:footnote w:id="12">
    <w:p w14:paraId="16393F61"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8. Interrogatorio del señor Charles </w:t>
      </w:r>
      <w:proofErr w:type="spellStart"/>
      <w:r w:rsidRPr="00B4645B">
        <w:rPr>
          <w:rFonts w:asciiTheme="majorHAnsi" w:hAnsiTheme="majorHAnsi"/>
          <w:sz w:val="16"/>
          <w:szCs w:val="16"/>
          <w:lang w:val="es-ES"/>
        </w:rPr>
        <w:t>Hodges</w:t>
      </w:r>
      <w:proofErr w:type="spellEnd"/>
      <w:r w:rsidRPr="00B4645B">
        <w:rPr>
          <w:rFonts w:asciiTheme="majorHAnsi" w:hAnsiTheme="majorHAnsi"/>
          <w:sz w:val="16"/>
          <w:szCs w:val="16"/>
          <w:lang w:val="es-ES"/>
        </w:rPr>
        <w:t>. Apéndice 1, presentado con la petición original de la peticionaria el 19 de febrero de 2014.</w:t>
      </w:r>
    </w:p>
  </w:footnote>
  <w:footnote w:id="13">
    <w:p w14:paraId="2D413239"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Información adicional sobre el lugar de detención de la peticionaria. Correspondencia recibida el 20 de febrero de 2014. </w:t>
      </w:r>
    </w:p>
  </w:footnote>
  <w:footnote w:id="14">
    <w:p w14:paraId="39308136"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11. Repreguntas del doctor Michael Brad </w:t>
      </w:r>
      <w:proofErr w:type="spellStart"/>
      <w:r w:rsidRPr="00B4645B">
        <w:rPr>
          <w:rFonts w:asciiTheme="majorHAnsi" w:hAnsiTheme="majorHAnsi"/>
          <w:sz w:val="16"/>
          <w:szCs w:val="16"/>
          <w:lang w:val="es-ES"/>
        </w:rPr>
        <w:t>Bayless</w:t>
      </w:r>
      <w:proofErr w:type="spellEnd"/>
      <w:r w:rsidRPr="00B4645B">
        <w:rPr>
          <w:rFonts w:asciiTheme="majorHAnsi" w:hAnsiTheme="majorHAnsi"/>
          <w:sz w:val="16"/>
          <w:szCs w:val="16"/>
          <w:lang w:val="es-ES"/>
        </w:rPr>
        <w:t>. Apéndice 1, presentado con la petición original de la peticionaria el 19 de febrero de 2014.</w:t>
      </w:r>
    </w:p>
  </w:footnote>
  <w:footnote w:id="15">
    <w:p w14:paraId="14D9B98E"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11. Repreguntas del doctor Michael Brad </w:t>
      </w:r>
      <w:proofErr w:type="spellStart"/>
      <w:r w:rsidRPr="00B4645B">
        <w:rPr>
          <w:rFonts w:asciiTheme="majorHAnsi" w:hAnsiTheme="majorHAnsi"/>
          <w:sz w:val="16"/>
          <w:szCs w:val="16"/>
          <w:lang w:val="es-ES"/>
        </w:rPr>
        <w:t>Bayless</w:t>
      </w:r>
      <w:proofErr w:type="spellEnd"/>
      <w:r w:rsidRPr="00B4645B">
        <w:rPr>
          <w:rFonts w:asciiTheme="majorHAnsi" w:hAnsiTheme="majorHAnsi"/>
          <w:sz w:val="16"/>
          <w:szCs w:val="16"/>
          <w:lang w:val="es-ES"/>
        </w:rPr>
        <w:t>. Apéndice 1, presentado con la petición original de la peticionaria el 19 de febrero de 2014.</w:t>
      </w:r>
    </w:p>
  </w:footnote>
  <w:footnote w:id="16">
    <w:p w14:paraId="7FB03441"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11. Repreguntas del doctor Michael Brad </w:t>
      </w:r>
      <w:proofErr w:type="spellStart"/>
      <w:r w:rsidRPr="00B4645B">
        <w:rPr>
          <w:rFonts w:asciiTheme="majorHAnsi" w:hAnsiTheme="majorHAnsi"/>
          <w:sz w:val="16"/>
          <w:szCs w:val="16"/>
          <w:lang w:val="es-ES"/>
        </w:rPr>
        <w:t>Bayless</w:t>
      </w:r>
      <w:proofErr w:type="spellEnd"/>
      <w:r w:rsidRPr="00B4645B">
        <w:rPr>
          <w:rFonts w:asciiTheme="majorHAnsi" w:hAnsiTheme="majorHAnsi"/>
          <w:sz w:val="16"/>
          <w:szCs w:val="16"/>
          <w:lang w:val="es-ES"/>
        </w:rPr>
        <w:t>. Apéndice 1, presentado con la petición original de la peticionaria el 19 de febrero de 2014.</w:t>
      </w:r>
    </w:p>
  </w:footnote>
  <w:footnote w:id="17">
    <w:p w14:paraId="25D1A03E"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11. Repreguntas del doctor Michael Brad </w:t>
      </w:r>
      <w:proofErr w:type="spellStart"/>
      <w:r w:rsidRPr="00B4645B">
        <w:rPr>
          <w:rFonts w:asciiTheme="majorHAnsi" w:hAnsiTheme="majorHAnsi"/>
          <w:sz w:val="16"/>
          <w:szCs w:val="16"/>
          <w:lang w:val="es-ES"/>
        </w:rPr>
        <w:t>Bayless</w:t>
      </w:r>
      <w:proofErr w:type="spellEnd"/>
      <w:r w:rsidRPr="00B4645B">
        <w:rPr>
          <w:rFonts w:asciiTheme="majorHAnsi" w:hAnsiTheme="majorHAnsi"/>
          <w:sz w:val="16"/>
          <w:szCs w:val="16"/>
          <w:lang w:val="es-ES"/>
        </w:rPr>
        <w:t>. Apéndice 1, presentado con la petición original de la peticionaria el 19 de febrero de 2014.</w:t>
      </w:r>
    </w:p>
  </w:footnote>
  <w:footnote w:id="18">
    <w:p w14:paraId="75FD4376"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11. Repreguntas del doctor Michael Brad </w:t>
      </w:r>
      <w:proofErr w:type="spellStart"/>
      <w:r w:rsidRPr="00B4645B">
        <w:rPr>
          <w:rFonts w:asciiTheme="majorHAnsi" w:hAnsiTheme="majorHAnsi"/>
          <w:sz w:val="16"/>
          <w:szCs w:val="16"/>
          <w:lang w:val="es-ES"/>
        </w:rPr>
        <w:t>Bayless</w:t>
      </w:r>
      <w:proofErr w:type="spellEnd"/>
      <w:r w:rsidRPr="00B4645B">
        <w:rPr>
          <w:rFonts w:asciiTheme="majorHAnsi" w:hAnsiTheme="majorHAnsi"/>
          <w:sz w:val="16"/>
          <w:szCs w:val="16"/>
          <w:lang w:val="es-ES"/>
        </w:rPr>
        <w:t>. Apéndice 1, presentado con la petición original de la peticionaria el 19 de febrero de 2014.</w:t>
      </w:r>
    </w:p>
  </w:footnote>
  <w:footnote w:id="19">
    <w:p w14:paraId="1011F703"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Vol. 11. Repreguntas del doctor Michael Brad </w:t>
      </w:r>
      <w:proofErr w:type="spellStart"/>
      <w:r w:rsidRPr="00B4645B">
        <w:rPr>
          <w:rFonts w:asciiTheme="majorHAnsi" w:hAnsiTheme="majorHAnsi"/>
          <w:sz w:val="16"/>
          <w:szCs w:val="16"/>
          <w:lang w:val="es-ES"/>
        </w:rPr>
        <w:t>Bayless</w:t>
      </w:r>
      <w:proofErr w:type="spellEnd"/>
      <w:r w:rsidRPr="00B4645B">
        <w:rPr>
          <w:rFonts w:asciiTheme="majorHAnsi" w:hAnsiTheme="majorHAnsi"/>
          <w:sz w:val="16"/>
          <w:szCs w:val="16"/>
          <w:lang w:val="es-ES"/>
        </w:rPr>
        <w:t>. Apéndice 1, presentado con la petición original de la peticionaria el 19 de febrero de 2014.</w:t>
      </w:r>
    </w:p>
  </w:footnote>
  <w:footnote w:id="20">
    <w:p w14:paraId="1C3DEC5C" w14:textId="77777777" w:rsidR="009206FF" w:rsidRPr="00B4645B" w:rsidRDefault="009206FF" w:rsidP="00953481">
      <w:pPr>
        <w:pStyle w:val="FootnoteText"/>
        <w:jc w:val="both"/>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Arizona v.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Trial </w:t>
      </w:r>
      <w:proofErr w:type="spellStart"/>
      <w:r w:rsidRPr="00B4645B">
        <w:rPr>
          <w:rFonts w:asciiTheme="majorHAnsi" w:hAnsiTheme="majorHAnsi"/>
          <w:sz w:val="16"/>
          <w:szCs w:val="16"/>
          <w:lang w:val="es-ES"/>
        </w:rPr>
        <w:t>Tr</w:t>
      </w:r>
      <w:proofErr w:type="spellEnd"/>
      <w:r w:rsidRPr="00B4645B">
        <w:rPr>
          <w:rFonts w:asciiTheme="majorHAnsi" w:hAnsiTheme="majorHAnsi"/>
          <w:sz w:val="16"/>
          <w:szCs w:val="16"/>
          <w:lang w:val="es-ES"/>
        </w:rPr>
        <w:t xml:space="preserve">. </w:t>
      </w:r>
      <w:proofErr w:type="spellStart"/>
      <w:r w:rsidRPr="00B4645B">
        <w:rPr>
          <w:rFonts w:asciiTheme="majorHAnsi" w:hAnsiTheme="majorHAnsi"/>
          <w:sz w:val="16"/>
          <w:szCs w:val="16"/>
          <w:lang w:val="es-ES"/>
        </w:rPr>
        <w:t>Vol</w:t>
      </w:r>
      <w:proofErr w:type="spellEnd"/>
      <w:r w:rsidRPr="00B4645B">
        <w:rPr>
          <w:rFonts w:asciiTheme="majorHAnsi" w:hAnsiTheme="majorHAnsi"/>
          <w:sz w:val="16"/>
          <w:szCs w:val="16"/>
          <w:lang w:val="es-ES"/>
        </w:rPr>
        <w:t xml:space="preserve"> 9. Interrogatorio del doctor Marc Stuart Walter. Apéndice 1, presentado con la petición original de la peticionaria el 19 de febrero de 2014.</w:t>
      </w:r>
    </w:p>
  </w:footnote>
  <w:footnote w:id="21">
    <w:p w14:paraId="0EA136BA" w14:textId="77777777" w:rsidR="009206FF" w:rsidRPr="00B4645B" w:rsidRDefault="009206FF" w:rsidP="00953481">
      <w:pPr>
        <w:pStyle w:val="FootnoteText"/>
        <w:jc w:val="both"/>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Informe de la evaluación psiquiátrica de Pete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realizada por el doctor Barry </w:t>
      </w:r>
      <w:proofErr w:type="spellStart"/>
      <w:r w:rsidRPr="00B4645B">
        <w:rPr>
          <w:rFonts w:asciiTheme="majorHAnsi" w:hAnsiTheme="majorHAnsi"/>
          <w:sz w:val="16"/>
          <w:szCs w:val="16"/>
          <w:lang w:val="es-ES"/>
        </w:rPr>
        <w:t>Morenz</w:t>
      </w:r>
      <w:proofErr w:type="spellEnd"/>
      <w:r w:rsidRPr="00B4645B">
        <w:rPr>
          <w:rFonts w:asciiTheme="majorHAnsi" w:hAnsiTheme="majorHAnsi"/>
          <w:sz w:val="16"/>
          <w:szCs w:val="16"/>
          <w:lang w:val="es-ES"/>
        </w:rPr>
        <w:t>, 9 de julio de 2003, pág. 5. Apéndice 3, presentado con las observaciones adicionales de la peticionaria sobre el fondo el 11 de mayo de 2018.</w:t>
      </w:r>
    </w:p>
  </w:footnote>
  <w:footnote w:id="22">
    <w:p w14:paraId="59BD44FA" w14:textId="77777777" w:rsidR="009206FF" w:rsidRPr="00B4645B" w:rsidRDefault="009206FF" w:rsidP="00953481">
      <w:pPr>
        <w:pStyle w:val="FootnoteText"/>
        <w:jc w:val="both"/>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7A12AE">
        <w:rPr>
          <w:rFonts w:asciiTheme="majorHAnsi" w:hAnsiTheme="majorHAnsi"/>
          <w:sz w:val="16"/>
          <w:szCs w:val="16"/>
        </w:rPr>
        <w:t xml:space="preserve"> Maricopa County Correctional Health Services. </w:t>
      </w:r>
      <w:r w:rsidRPr="00B4645B">
        <w:rPr>
          <w:rFonts w:asciiTheme="majorHAnsi" w:hAnsiTheme="majorHAnsi"/>
          <w:sz w:val="16"/>
          <w:szCs w:val="16"/>
          <w:lang w:val="es-ES"/>
        </w:rPr>
        <w:t>Lista de los medicamentos administrados del 20 de febrero de 1994 al 10 de junio de 1994. Apéndice 7, presentado con las observaciones adicionales de la peticionaria sobre el fondo el 11 de mayo de 2018.</w:t>
      </w:r>
    </w:p>
  </w:footnote>
  <w:footnote w:id="23">
    <w:p w14:paraId="4D0C08A1" w14:textId="77777777" w:rsidR="009206FF" w:rsidRPr="00B4645B" w:rsidRDefault="009206FF" w:rsidP="00953481">
      <w:pPr>
        <w:pStyle w:val="FootnoteText"/>
        <w:jc w:val="both"/>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Extractos de la primera petición enmendada de hábeas corpus presentada al Tribunal de Distrito de Estados Unidos para el Distrito de Arizona en el caso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v. Stewart et al. Apéndice 6, presentado con las observaciones adicionales de la peticionaria sobre el fondo el 11 de mayo de 2018.</w:t>
      </w:r>
    </w:p>
  </w:footnote>
  <w:footnote w:id="24">
    <w:p w14:paraId="61B3F236" w14:textId="77777777" w:rsidR="009206FF" w:rsidRPr="00B4645B" w:rsidRDefault="009206FF" w:rsidP="00953481">
      <w:pPr>
        <w:pStyle w:val="FootnoteText"/>
        <w:jc w:val="both"/>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Escrito de apertura del apelante presentado al Tribunal Federal de Apelaciones para el Noveno Circuito. Apéndice 3, presentado con la petición original de la peticionaria el 19 de febrero de 2014.</w:t>
      </w:r>
    </w:p>
  </w:footnote>
  <w:footnote w:id="25">
    <w:p w14:paraId="4F5FE6C5" w14:textId="77777777" w:rsidR="009206FF" w:rsidRPr="00B4645B" w:rsidRDefault="009206FF" w:rsidP="00953481">
      <w:pPr>
        <w:pStyle w:val="FootnoteText"/>
        <w:jc w:val="both"/>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Extractos de la primera petición enmendada de hábeas corpus presentada al Tribunal de Distrito de Estados Unidos para el Distrito de Arizona en el caso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v. Stewart et al. Apéndice 6, presentado con las observaciones adicionales de la peticionaria sobre el fondo el 11 de mayo de 2018.</w:t>
      </w:r>
    </w:p>
  </w:footnote>
  <w:footnote w:id="26">
    <w:p w14:paraId="2D24F5A6" w14:textId="77777777" w:rsidR="009206FF" w:rsidRPr="00B4645B" w:rsidRDefault="009206FF" w:rsidP="00953481">
      <w:pPr>
        <w:pStyle w:val="FootnoteText"/>
        <w:jc w:val="both"/>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Respuesta del Estado del 25 de febrero de 2016, pág. 3.</w:t>
      </w:r>
    </w:p>
  </w:footnote>
  <w:footnote w:id="27">
    <w:p w14:paraId="7DF0B239"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EF72C2">
        <w:rPr>
          <w:rFonts w:asciiTheme="majorHAnsi" w:hAnsiTheme="majorHAnsi"/>
          <w:sz w:val="16"/>
          <w:szCs w:val="16"/>
          <w:lang w:val="es-US"/>
        </w:rPr>
        <w:t xml:space="preserve"> Supreme </w:t>
      </w:r>
      <w:proofErr w:type="spellStart"/>
      <w:r w:rsidRPr="00EF72C2">
        <w:rPr>
          <w:rFonts w:asciiTheme="majorHAnsi" w:hAnsiTheme="majorHAnsi"/>
          <w:sz w:val="16"/>
          <w:szCs w:val="16"/>
          <w:lang w:val="es-US"/>
        </w:rPr>
        <w:t>Court</w:t>
      </w:r>
      <w:proofErr w:type="spellEnd"/>
      <w:r w:rsidRPr="00EF72C2">
        <w:rPr>
          <w:rFonts w:asciiTheme="majorHAnsi" w:hAnsiTheme="majorHAnsi"/>
          <w:sz w:val="16"/>
          <w:szCs w:val="16"/>
          <w:lang w:val="es-US"/>
        </w:rPr>
        <w:t xml:space="preserve"> of </w:t>
      </w:r>
      <w:proofErr w:type="spellStart"/>
      <w:r w:rsidRPr="00EF72C2">
        <w:rPr>
          <w:rFonts w:asciiTheme="majorHAnsi" w:hAnsiTheme="majorHAnsi"/>
          <w:sz w:val="16"/>
          <w:szCs w:val="16"/>
          <w:lang w:val="es-US"/>
        </w:rPr>
        <w:t>the</w:t>
      </w:r>
      <w:proofErr w:type="spellEnd"/>
      <w:r w:rsidRPr="00EF72C2">
        <w:rPr>
          <w:rFonts w:asciiTheme="majorHAnsi" w:hAnsiTheme="majorHAnsi"/>
          <w:sz w:val="16"/>
          <w:szCs w:val="16"/>
          <w:lang w:val="es-US"/>
        </w:rPr>
        <w:t xml:space="preserve"> Estados Unidos. </w:t>
      </w:r>
      <w:proofErr w:type="spellStart"/>
      <w:r w:rsidRPr="00EF72C2">
        <w:rPr>
          <w:rFonts w:asciiTheme="majorHAnsi" w:hAnsiTheme="majorHAnsi"/>
          <w:sz w:val="16"/>
          <w:szCs w:val="16"/>
          <w:lang w:val="es-US"/>
        </w:rPr>
        <w:t>Rogovich</w:t>
      </w:r>
      <w:proofErr w:type="spellEnd"/>
      <w:r w:rsidRPr="00EF72C2">
        <w:rPr>
          <w:rFonts w:asciiTheme="majorHAnsi" w:hAnsiTheme="majorHAnsi"/>
          <w:sz w:val="16"/>
          <w:szCs w:val="16"/>
          <w:lang w:val="es-US"/>
        </w:rPr>
        <w:t xml:space="preserve"> v. Arizona. 522 U.S. 829. </w:t>
      </w:r>
      <w:r w:rsidRPr="00B4645B">
        <w:rPr>
          <w:rFonts w:asciiTheme="majorHAnsi" w:hAnsiTheme="majorHAnsi"/>
          <w:sz w:val="16"/>
          <w:szCs w:val="16"/>
          <w:lang w:val="es-ES"/>
        </w:rPr>
        <w:t xml:space="preserve">No. 96-9012. Se encuentra en </w:t>
      </w:r>
      <w:hyperlink r:id="rId2" w:history="1">
        <w:r w:rsidRPr="00B4645B">
          <w:rPr>
            <w:rStyle w:val="Hyperlink"/>
            <w:rFonts w:asciiTheme="majorHAnsi" w:hAnsiTheme="majorHAnsi"/>
            <w:sz w:val="16"/>
            <w:szCs w:val="16"/>
            <w:lang w:val="es-ES"/>
          </w:rPr>
          <w:t>https://cite.caso.law/us/522/829/11491468/</w:t>
        </w:r>
      </w:hyperlink>
      <w:r w:rsidRPr="00B4645B">
        <w:rPr>
          <w:rFonts w:asciiTheme="majorHAnsi" w:hAnsiTheme="majorHAnsi"/>
          <w:sz w:val="16"/>
          <w:szCs w:val="16"/>
          <w:lang w:val="es-ES"/>
        </w:rPr>
        <w:t>. Último acceso: 30 de julio de 2019.</w:t>
      </w:r>
    </w:p>
  </w:footnote>
  <w:footnote w:id="28">
    <w:p w14:paraId="15F23B82"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Escrito de apertura del apelante presentado al Tribunal Federal de Apelaciones para el Noveno Circuito. Apéndice 3, presentado con la petición original de la peticionaria el 19 de febrero de 2014.</w:t>
      </w:r>
    </w:p>
  </w:footnote>
  <w:footnote w:id="29">
    <w:p w14:paraId="08E19504"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Extractos de la primera petición enmendada de hábeas corpus presentada al Tribunal de Distrito de Estados Unidos para el Distrito de Arizona en el caso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v. Stewart et al. Apéndice 6, presentado con las observaciones adicionales de la peticionaria sobre el fondo el 11 de mayo de 2018.</w:t>
      </w:r>
    </w:p>
  </w:footnote>
  <w:footnote w:id="30">
    <w:p w14:paraId="511E6310"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Escrito de apertura del apelante presentado al Tribunal Federal de Apelaciones para el Noveno Circuito. Apéndice 3, presentado con la petición original de la peticionaria el 19 de febrero de 2014.</w:t>
      </w:r>
    </w:p>
  </w:footnote>
  <w:footnote w:id="31">
    <w:p w14:paraId="15CB47E3"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Transcripción de la audiencia de consulta del 9 de junio de 2003 sobre la medicación en lo que respecta a la primera petición enmendada de hábeas corpus (4 de junio de 2001). Apéndice 5, presentado con la petición original de la peticionaria el 19 de febrero de 2014.</w:t>
      </w:r>
    </w:p>
  </w:footnote>
  <w:footnote w:id="32">
    <w:p w14:paraId="32919899"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Escrito de apertura del apelante presentado al Tribunal Federal de Apelaciones para el Noveno Circuito. Apéndice 3, presentado con la petición original de la peticionaria el 19 de febrero de 2014.</w:t>
      </w:r>
    </w:p>
  </w:footnote>
  <w:footnote w:id="33">
    <w:p w14:paraId="1697E3DA"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Informe de la evaluación psiquiátrica de Pete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realizada por el doctor Barry </w:t>
      </w:r>
      <w:proofErr w:type="spellStart"/>
      <w:r w:rsidRPr="00B4645B">
        <w:rPr>
          <w:rFonts w:asciiTheme="majorHAnsi" w:hAnsiTheme="majorHAnsi"/>
          <w:sz w:val="16"/>
          <w:szCs w:val="16"/>
          <w:lang w:val="es-ES"/>
        </w:rPr>
        <w:t>Morenz</w:t>
      </w:r>
      <w:proofErr w:type="spellEnd"/>
      <w:r w:rsidRPr="00B4645B">
        <w:rPr>
          <w:rFonts w:asciiTheme="majorHAnsi" w:hAnsiTheme="majorHAnsi"/>
          <w:sz w:val="16"/>
          <w:szCs w:val="16"/>
          <w:lang w:val="es-ES"/>
        </w:rPr>
        <w:t>, 9 de julio de 2003, pág. 5. Apéndice 3, presentado con las observaciones adicionales de la peticionaria sobre el fondo el 11 de mayo de 2018.</w:t>
      </w:r>
    </w:p>
  </w:footnote>
  <w:footnote w:id="34">
    <w:p w14:paraId="5C0CD37F"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Memorando en apoyo al recurso de reparación </w:t>
      </w:r>
      <w:proofErr w:type="spellStart"/>
      <w:r w:rsidRPr="00B4645B">
        <w:rPr>
          <w:rFonts w:asciiTheme="majorHAnsi" w:hAnsiTheme="majorHAnsi"/>
          <w:sz w:val="16"/>
          <w:szCs w:val="16"/>
          <w:lang w:val="es-ES"/>
        </w:rPr>
        <w:t>poscondenatoria</w:t>
      </w:r>
      <w:proofErr w:type="spellEnd"/>
      <w:r w:rsidRPr="00B4645B">
        <w:rPr>
          <w:rFonts w:asciiTheme="majorHAnsi" w:hAnsiTheme="majorHAnsi"/>
          <w:sz w:val="16"/>
          <w:szCs w:val="16"/>
          <w:lang w:val="es-ES"/>
        </w:rPr>
        <w:t xml:space="preserve"> interpuesto ante el Tribunal Superior de Arizona, Condado de </w:t>
      </w:r>
      <w:proofErr w:type="spellStart"/>
      <w:r w:rsidRPr="00B4645B">
        <w:rPr>
          <w:rFonts w:asciiTheme="majorHAnsi" w:hAnsiTheme="majorHAnsi"/>
          <w:sz w:val="16"/>
          <w:szCs w:val="16"/>
          <w:lang w:val="es-ES"/>
        </w:rPr>
        <w:t>Maricopa</w:t>
      </w:r>
      <w:proofErr w:type="spellEnd"/>
      <w:r w:rsidRPr="00B4645B">
        <w:rPr>
          <w:rFonts w:asciiTheme="majorHAnsi" w:hAnsiTheme="majorHAnsi"/>
          <w:sz w:val="16"/>
          <w:szCs w:val="16"/>
          <w:lang w:val="es-ES"/>
        </w:rPr>
        <w:t xml:space="preserve">, en el caso Estado de Arizona vs. Pete Carl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Apéndice 5, presentado con las observaciones adicionales de la peticionaria sobre el fondo el 11 de mayo de 2018.</w:t>
      </w:r>
    </w:p>
  </w:footnote>
  <w:footnote w:id="35">
    <w:p w14:paraId="731A9CE7"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Observaciones adicionales sobre el fondo presentadas por la peticionaria el 11 de mayo de 2018, págs. 3 y 4.</w:t>
      </w:r>
    </w:p>
  </w:footnote>
  <w:footnote w:id="36">
    <w:p w14:paraId="5F024E17"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Informe de la evaluación psiquiátrica de Pete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realizada por el doctor Barry </w:t>
      </w:r>
      <w:proofErr w:type="spellStart"/>
      <w:r w:rsidRPr="00B4645B">
        <w:rPr>
          <w:rFonts w:asciiTheme="majorHAnsi" w:hAnsiTheme="majorHAnsi"/>
          <w:sz w:val="16"/>
          <w:szCs w:val="16"/>
          <w:lang w:val="es-ES"/>
        </w:rPr>
        <w:t>Morenz</w:t>
      </w:r>
      <w:proofErr w:type="spellEnd"/>
      <w:r w:rsidRPr="00B4645B">
        <w:rPr>
          <w:rFonts w:asciiTheme="majorHAnsi" w:hAnsiTheme="majorHAnsi"/>
          <w:sz w:val="16"/>
          <w:szCs w:val="16"/>
          <w:lang w:val="es-ES"/>
        </w:rPr>
        <w:t>, 9 de julio de 2003, pág. 5. Apéndice 3, presentado con las observaciones adicionales de la peticionaria sobre el fondo el 11 de mayo de 2018.</w:t>
      </w:r>
    </w:p>
  </w:footnote>
  <w:footnote w:id="37">
    <w:p w14:paraId="767AB214"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Petición original de la peticionaria del 19 de febrero de 2014, pág. 9. Respuesta del Estado del 25 de febrero de 2016, pág. 4.</w:t>
      </w:r>
    </w:p>
  </w:footnote>
  <w:footnote w:id="38">
    <w:p w14:paraId="5C0E8E6B" w14:textId="77777777" w:rsidR="009206FF" w:rsidRPr="00B4645B" w:rsidRDefault="009206FF" w:rsidP="00953481">
      <w:pPr>
        <w:rPr>
          <w:sz w:val="16"/>
          <w:szCs w:val="16"/>
          <w:lang w:val="es-ES"/>
        </w:rPr>
      </w:pPr>
      <w:r w:rsidRPr="00B4645B">
        <w:rPr>
          <w:rStyle w:val="FootnoteReference"/>
          <w:rFonts w:asciiTheme="majorHAnsi" w:eastAsia="Calibri" w:hAnsiTheme="majorHAnsi"/>
          <w:color w:val="000000"/>
          <w:sz w:val="16"/>
          <w:szCs w:val="16"/>
          <w:u w:color="000000"/>
          <w:lang w:val="es-ES" w:eastAsia="es-ES"/>
        </w:rPr>
        <w:footnoteRef/>
      </w:r>
      <w:r w:rsidRPr="00B4645B">
        <w:rPr>
          <w:rStyle w:val="FootnoteReference"/>
          <w:rFonts w:asciiTheme="majorHAnsi" w:eastAsia="Calibri" w:hAnsiTheme="majorHAnsi"/>
          <w:color w:val="000000"/>
          <w:sz w:val="16"/>
          <w:szCs w:val="16"/>
          <w:u w:color="000000"/>
          <w:lang w:val="es-ES" w:eastAsia="es-ES"/>
        </w:rPr>
        <w:t xml:space="preserve"> </w:t>
      </w:r>
      <w:r w:rsidRPr="00B4645B">
        <w:rPr>
          <w:rFonts w:asciiTheme="majorHAnsi" w:eastAsia="Calibri" w:hAnsiTheme="majorHAnsi"/>
          <w:color w:val="000000"/>
          <w:sz w:val="16"/>
          <w:szCs w:val="16"/>
          <w:u w:color="000000"/>
          <w:lang w:val="es-ES" w:eastAsia="es-ES"/>
        </w:rPr>
        <w:t>S</w:t>
      </w:r>
      <w:r w:rsidRPr="00B4645B">
        <w:rPr>
          <w:rFonts w:ascii="Cambria" w:hAnsi="Cambria"/>
          <w:sz w:val="16"/>
          <w:szCs w:val="16"/>
          <w:lang w:val="es-ES"/>
        </w:rPr>
        <w:t>olicitud de medida cautelar, reparación por mandato judicial y sentencia declaratoria. Apéndice 5, presentado con la petición original de la peticionaria el 19 de febrero de 2014.</w:t>
      </w:r>
    </w:p>
  </w:footnote>
  <w:footnote w:id="39">
    <w:p w14:paraId="357A811A"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Petición original de la peticionaria del 19 de febrero de 2014, pág. 45.</w:t>
      </w:r>
    </w:p>
  </w:footnote>
  <w:footnote w:id="40">
    <w:p w14:paraId="37B7A14E"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Adenda al informe de la evaluación psiquiátrica de Pete </w:t>
      </w:r>
      <w:proofErr w:type="spellStart"/>
      <w:r w:rsidRPr="00B4645B">
        <w:rPr>
          <w:rFonts w:asciiTheme="majorHAnsi" w:hAnsiTheme="majorHAnsi"/>
          <w:sz w:val="16"/>
          <w:szCs w:val="16"/>
          <w:lang w:val="es-ES"/>
        </w:rPr>
        <w:t>Rogovich</w:t>
      </w:r>
      <w:proofErr w:type="spellEnd"/>
      <w:r w:rsidRPr="00B4645B">
        <w:rPr>
          <w:rFonts w:asciiTheme="majorHAnsi" w:hAnsiTheme="majorHAnsi"/>
          <w:sz w:val="16"/>
          <w:szCs w:val="16"/>
          <w:lang w:val="es-ES"/>
        </w:rPr>
        <w:t xml:space="preserve"> realizada por el doctor Barry </w:t>
      </w:r>
      <w:proofErr w:type="spellStart"/>
      <w:r w:rsidRPr="00B4645B">
        <w:rPr>
          <w:rFonts w:asciiTheme="majorHAnsi" w:hAnsiTheme="majorHAnsi"/>
          <w:sz w:val="16"/>
          <w:szCs w:val="16"/>
          <w:lang w:val="es-ES"/>
        </w:rPr>
        <w:t>Morenz</w:t>
      </w:r>
      <w:proofErr w:type="spellEnd"/>
      <w:r w:rsidRPr="00B4645B">
        <w:rPr>
          <w:rFonts w:asciiTheme="majorHAnsi" w:hAnsiTheme="majorHAnsi"/>
          <w:sz w:val="16"/>
          <w:szCs w:val="16"/>
          <w:lang w:val="es-ES"/>
        </w:rPr>
        <w:t>, págs. 3 y 4. Apéndice 4, presentado con las observaciones adicionales de la peticionaria sobre el fondo el 11 de mayo de 2018.</w:t>
      </w:r>
    </w:p>
  </w:footnote>
  <w:footnote w:id="41">
    <w:p w14:paraId="1AB40587"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Declaración de Todd R. Wilcox, 4/11/2016. Anexo E, presentado el 25 de mayo de 2017 con las observaciones de la peticionaria sobre la respuesta del Estado. </w:t>
      </w:r>
    </w:p>
  </w:footnote>
  <w:footnote w:id="42">
    <w:p w14:paraId="0744DDDE"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Declaración de Pablo Stewart, 4/11/2016. Anexo F, presentado el 25 de mayo de 2017 con las observaciones de la peticionaria sobre la respuesta del Estado.</w:t>
      </w:r>
    </w:p>
  </w:footnote>
  <w:footnote w:id="43">
    <w:p w14:paraId="78004E9C"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Declaración de Todd R. Wilcox, 4/11/2016. Anexo E, presentado el 25 de mayo de 2017 con las observaciones de la peticionaria sobre la respuesta del Estado.</w:t>
      </w:r>
    </w:p>
  </w:footnote>
  <w:footnote w:id="44">
    <w:p w14:paraId="3ED4A305"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Declaración de Pablo Stewart, 4/11/2016. Anexo F, presentado el 25 de mayo de 2017 con las observaciones de la peticionaria sobre la respuesta del Estado, pág. 249.</w:t>
      </w:r>
    </w:p>
  </w:footnote>
  <w:footnote w:id="45">
    <w:p w14:paraId="7E7EC377"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7A12AE">
        <w:rPr>
          <w:rFonts w:asciiTheme="majorHAnsi" w:hAnsiTheme="majorHAnsi"/>
          <w:sz w:val="16"/>
          <w:szCs w:val="16"/>
        </w:rPr>
        <w:t xml:space="preserve"> Arizona Department of Corrections. Department Order Manual. </w:t>
      </w:r>
      <w:r w:rsidRPr="00B4645B">
        <w:rPr>
          <w:rFonts w:asciiTheme="majorHAnsi" w:hAnsiTheme="majorHAnsi"/>
          <w:sz w:val="16"/>
          <w:szCs w:val="16"/>
          <w:lang w:val="es-ES"/>
        </w:rPr>
        <w:t xml:space="preserve">13 de junio de 2017. Se encuentra en </w:t>
      </w:r>
      <w:hyperlink r:id="rId3" w:history="1">
        <w:r w:rsidRPr="00B4645B">
          <w:rPr>
            <w:rStyle w:val="Hyperlink"/>
            <w:rFonts w:asciiTheme="majorHAnsi" w:hAnsiTheme="majorHAnsi"/>
            <w:sz w:val="16"/>
            <w:szCs w:val="16"/>
            <w:lang w:val="es-ES"/>
          </w:rPr>
          <w:t>https://files.deathpenaltyinfo.org/legacy/files/pdf/ExecutionProtocols/ArizonaProtocol_06.17.17.pdf</w:t>
        </w:r>
      </w:hyperlink>
      <w:r w:rsidRPr="00B4645B">
        <w:rPr>
          <w:rFonts w:asciiTheme="majorHAnsi" w:hAnsiTheme="majorHAnsi"/>
          <w:sz w:val="16"/>
          <w:szCs w:val="16"/>
          <w:lang w:val="es-ES"/>
        </w:rPr>
        <w:t>. Último acceso: 30 de julio de 2019.</w:t>
      </w:r>
    </w:p>
  </w:footnote>
  <w:footnote w:id="46">
    <w:p w14:paraId="601DA576"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EF72C2">
        <w:rPr>
          <w:rFonts w:asciiTheme="majorHAnsi" w:hAnsiTheme="majorHAnsi"/>
          <w:sz w:val="16"/>
          <w:szCs w:val="16"/>
          <w:lang w:val="es-US"/>
        </w:rPr>
        <w:t xml:space="preserve"> </w:t>
      </w:r>
      <w:proofErr w:type="spellStart"/>
      <w:r w:rsidRPr="00EF72C2">
        <w:rPr>
          <w:rFonts w:asciiTheme="majorHAnsi" w:hAnsiTheme="majorHAnsi"/>
          <w:sz w:val="16"/>
          <w:szCs w:val="16"/>
          <w:lang w:val="es-US"/>
        </w:rPr>
        <w:t>Death</w:t>
      </w:r>
      <w:proofErr w:type="spellEnd"/>
      <w:r w:rsidRPr="00EF72C2">
        <w:rPr>
          <w:rFonts w:asciiTheme="majorHAnsi" w:hAnsiTheme="majorHAnsi"/>
          <w:sz w:val="16"/>
          <w:szCs w:val="16"/>
          <w:lang w:val="es-US"/>
        </w:rPr>
        <w:t xml:space="preserve"> </w:t>
      </w:r>
      <w:proofErr w:type="spellStart"/>
      <w:r w:rsidRPr="00EF72C2">
        <w:rPr>
          <w:rFonts w:asciiTheme="majorHAnsi" w:hAnsiTheme="majorHAnsi"/>
          <w:sz w:val="16"/>
          <w:szCs w:val="16"/>
          <w:lang w:val="es-US"/>
        </w:rPr>
        <w:t>Penalty</w:t>
      </w:r>
      <w:proofErr w:type="spellEnd"/>
      <w:r w:rsidRPr="00EF72C2">
        <w:rPr>
          <w:rFonts w:asciiTheme="majorHAnsi" w:hAnsiTheme="majorHAnsi"/>
          <w:sz w:val="16"/>
          <w:szCs w:val="16"/>
          <w:lang w:val="es-US"/>
        </w:rPr>
        <w:t xml:space="preserve"> </w:t>
      </w:r>
      <w:proofErr w:type="spellStart"/>
      <w:r w:rsidRPr="00EF72C2">
        <w:rPr>
          <w:rFonts w:asciiTheme="majorHAnsi" w:hAnsiTheme="majorHAnsi"/>
          <w:sz w:val="16"/>
          <w:szCs w:val="16"/>
          <w:lang w:val="es-US"/>
        </w:rPr>
        <w:t>Information</w:t>
      </w:r>
      <w:proofErr w:type="spellEnd"/>
      <w:r w:rsidRPr="00EF72C2">
        <w:rPr>
          <w:rFonts w:asciiTheme="majorHAnsi" w:hAnsiTheme="majorHAnsi"/>
          <w:sz w:val="16"/>
          <w:szCs w:val="16"/>
          <w:lang w:val="es-US"/>
        </w:rPr>
        <w:t xml:space="preserve"> Center. Arizona. </w:t>
      </w:r>
      <w:r w:rsidRPr="00B4645B">
        <w:rPr>
          <w:rFonts w:asciiTheme="majorHAnsi" w:hAnsiTheme="majorHAnsi"/>
          <w:sz w:val="16"/>
          <w:szCs w:val="16"/>
          <w:lang w:val="es-ES"/>
        </w:rPr>
        <w:t xml:space="preserve">Se encuentra en </w:t>
      </w:r>
      <w:hyperlink r:id="rId4" w:history="1">
        <w:r w:rsidRPr="00B4645B">
          <w:rPr>
            <w:rStyle w:val="Hyperlink"/>
            <w:rFonts w:asciiTheme="majorHAnsi" w:hAnsiTheme="majorHAnsi"/>
            <w:sz w:val="16"/>
            <w:szCs w:val="16"/>
            <w:lang w:val="es-ES"/>
          </w:rPr>
          <w:t>https://deathpenaltyinfo.org/state-and-federal-info/state-by-state/arizona</w:t>
        </w:r>
      </w:hyperlink>
      <w:r w:rsidRPr="00B4645B">
        <w:rPr>
          <w:rFonts w:asciiTheme="majorHAnsi" w:hAnsiTheme="majorHAnsi"/>
          <w:sz w:val="16"/>
          <w:szCs w:val="16"/>
          <w:lang w:val="es-ES"/>
        </w:rPr>
        <w:t xml:space="preserve">. </w:t>
      </w:r>
      <w:r w:rsidRPr="007A12AE">
        <w:rPr>
          <w:rFonts w:asciiTheme="majorHAnsi" w:hAnsiTheme="majorHAnsi"/>
          <w:sz w:val="16"/>
          <w:szCs w:val="16"/>
        </w:rPr>
        <w:t xml:space="preserve">Último </w:t>
      </w:r>
      <w:proofErr w:type="spellStart"/>
      <w:r w:rsidRPr="007A12AE">
        <w:rPr>
          <w:rFonts w:asciiTheme="majorHAnsi" w:hAnsiTheme="majorHAnsi"/>
          <w:sz w:val="16"/>
          <w:szCs w:val="16"/>
        </w:rPr>
        <w:t>acceso</w:t>
      </w:r>
      <w:proofErr w:type="spellEnd"/>
      <w:r w:rsidRPr="007A12AE">
        <w:rPr>
          <w:rFonts w:asciiTheme="majorHAnsi" w:hAnsiTheme="majorHAnsi"/>
          <w:sz w:val="16"/>
          <w:szCs w:val="16"/>
        </w:rPr>
        <w:t xml:space="preserve">: 6 de </w:t>
      </w:r>
      <w:proofErr w:type="spellStart"/>
      <w:r w:rsidRPr="007A12AE">
        <w:rPr>
          <w:rFonts w:asciiTheme="majorHAnsi" w:hAnsiTheme="majorHAnsi"/>
          <w:sz w:val="16"/>
          <w:szCs w:val="16"/>
        </w:rPr>
        <w:t>agosto</w:t>
      </w:r>
      <w:proofErr w:type="spellEnd"/>
      <w:r w:rsidRPr="007A12AE">
        <w:rPr>
          <w:rFonts w:asciiTheme="majorHAnsi" w:hAnsiTheme="majorHAnsi"/>
          <w:sz w:val="16"/>
          <w:szCs w:val="16"/>
        </w:rPr>
        <w:t xml:space="preserve"> de 2019. CBS News. </w:t>
      </w:r>
      <w:r w:rsidRPr="007A12AE">
        <w:rPr>
          <w:rFonts w:asciiTheme="majorHAnsi" w:hAnsiTheme="majorHAnsi"/>
          <w:i/>
          <w:sz w:val="16"/>
          <w:szCs w:val="16"/>
        </w:rPr>
        <w:t>Arizona to resume executions for first time since 2014 lawsuit over alleged botched lethal injection</w:t>
      </w:r>
      <w:r w:rsidRPr="007A12AE">
        <w:rPr>
          <w:rFonts w:asciiTheme="majorHAnsi" w:hAnsiTheme="majorHAnsi"/>
          <w:sz w:val="16"/>
          <w:szCs w:val="16"/>
        </w:rPr>
        <w:t xml:space="preserve">. </w:t>
      </w:r>
      <w:r w:rsidRPr="00B4645B">
        <w:rPr>
          <w:rFonts w:asciiTheme="majorHAnsi" w:hAnsiTheme="majorHAnsi"/>
          <w:sz w:val="16"/>
          <w:szCs w:val="16"/>
          <w:lang w:val="es-ES"/>
        </w:rPr>
        <w:t xml:space="preserve">26 de julio de 2019. Se encuentra en </w:t>
      </w:r>
      <w:hyperlink r:id="rId5" w:history="1">
        <w:r w:rsidRPr="00B4645B">
          <w:rPr>
            <w:rStyle w:val="Hyperlink"/>
            <w:rFonts w:asciiTheme="majorHAnsi" w:hAnsiTheme="majorHAnsi"/>
            <w:sz w:val="16"/>
            <w:szCs w:val="16"/>
            <w:lang w:val="es-ES"/>
          </w:rPr>
          <w:t>https://www.cbsnews.com/news/arizona-to-resume-executions-for-first-time-since-2014-lawsuit-announced-today-2019-07-26/</w:t>
        </w:r>
      </w:hyperlink>
      <w:r w:rsidRPr="00B4645B">
        <w:rPr>
          <w:rFonts w:asciiTheme="majorHAnsi" w:hAnsiTheme="majorHAnsi"/>
          <w:sz w:val="16"/>
          <w:szCs w:val="16"/>
          <w:lang w:val="es-ES"/>
        </w:rPr>
        <w:t>. Último acceso: 6 de agosto de 2019.</w:t>
      </w:r>
    </w:p>
  </w:footnote>
  <w:footnote w:id="47">
    <w:p w14:paraId="6C619C2C" w14:textId="77777777" w:rsidR="009206FF" w:rsidRPr="00B4645B" w:rsidRDefault="009206FF" w:rsidP="00953481">
      <w:pPr>
        <w:pStyle w:val="FootnoteText"/>
        <w:rPr>
          <w:rFonts w:asciiTheme="majorHAnsi" w:hAnsiTheme="majorHAnsi"/>
          <w:color w:val="auto"/>
          <w:sz w:val="16"/>
          <w:szCs w:val="16"/>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Véanse, por ejemplo, Corte IDH. Opinión Consultiva OC-16/99 (1 de octubre de 1999). </w:t>
      </w:r>
      <w:r w:rsidRPr="00B4645B">
        <w:rPr>
          <w:rFonts w:asciiTheme="majorHAnsi" w:hAnsiTheme="majorHAnsi"/>
          <w:i/>
          <w:iCs/>
          <w:color w:val="auto"/>
          <w:sz w:val="16"/>
          <w:szCs w:val="16"/>
          <w:lang w:val="es-ES"/>
        </w:rPr>
        <w:t>El derecho a la información sobre la asistencia consular en el marco de las garantías del debido proceso legal</w:t>
      </w:r>
      <w:r w:rsidRPr="00B4645B">
        <w:rPr>
          <w:rFonts w:asciiTheme="majorHAnsi" w:hAnsiTheme="majorHAnsi"/>
          <w:color w:val="auto"/>
          <w:sz w:val="16"/>
          <w:szCs w:val="16"/>
          <w:lang w:val="es-ES"/>
        </w:rPr>
        <w:t xml:space="preserve">, párr. 136; Comité de Derechos Humanos de las Naciones Unidas. </w:t>
      </w:r>
      <w:proofErr w:type="spellStart"/>
      <w:r w:rsidRPr="00B4645B">
        <w:rPr>
          <w:rFonts w:asciiTheme="majorHAnsi" w:hAnsiTheme="majorHAnsi"/>
          <w:i/>
          <w:iCs/>
          <w:color w:val="auto"/>
          <w:sz w:val="16"/>
          <w:szCs w:val="16"/>
          <w:lang w:val="es-ES"/>
        </w:rPr>
        <w:t>Baboheram-Adhin</w:t>
      </w:r>
      <w:proofErr w:type="spellEnd"/>
      <w:r w:rsidRPr="00B4645B">
        <w:rPr>
          <w:rFonts w:asciiTheme="majorHAnsi" w:hAnsiTheme="majorHAnsi"/>
          <w:i/>
          <w:iCs/>
          <w:color w:val="auto"/>
          <w:sz w:val="16"/>
          <w:szCs w:val="16"/>
          <w:lang w:val="es-ES"/>
        </w:rPr>
        <w:t xml:space="preserve"> et al. v. </w:t>
      </w:r>
      <w:proofErr w:type="spellStart"/>
      <w:r w:rsidRPr="00B4645B">
        <w:rPr>
          <w:rFonts w:asciiTheme="majorHAnsi" w:hAnsiTheme="majorHAnsi"/>
          <w:i/>
          <w:iCs/>
          <w:color w:val="auto"/>
          <w:sz w:val="16"/>
          <w:szCs w:val="16"/>
          <w:lang w:val="es-ES"/>
        </w:rPr>
        <w:t>Suriname</w:t>
      </w:r>
      <w:proofErr w:type="spellEnd"/>
      <w:r w:rsidRPr="00B4645B">
        <w:rPr>
          <w:rFonts w:asciiTheme="majorHAnsi" w:hAnsiTheme="majorHAnsi"/>
          <w:i/>
          <w:iCs/>
          <w:color w:val="auto"/>
          <w:sz w:val="16"/>
          <w:szCs w:val="16"/>
          <w:lang w:val="es-ES"/>
        </w:rPr>
        <w:t xml:space="preserve">. </w:t>
      </w:r>
      <w:r w:rsidRPr="00B4645B">
        <w:rPr>
          <w:rFonts w:asciiTheme="majorHAnsi" w:hAnsiTheme="majorHAnsi"/>
          <w:color w:val="auto"/>
          <w:sz w:val="16"/>
          <w:szCs w:val="16"/>
          <w:lang w:val="es-ES"/>
        </w:rPr>
        <w:t xml:space="preserve">Comunicaciones Nos. 148-154/1983, adoptadas el 4 de abril de 1985, párr. 14.3; </w:t>
      </w:r>
      <w:r w:rsidRPr="00B4645B">
        <w:rPr>
          <w:rFonts w:asciiTheme="majorHAnsi" w:hAnsiTheme="majorHAnsi"/>
          <w:i/>
          <w:iCs/>
          <w:color w:val="auto"/>
          <w:sz w:val="16"/>
          <w:szCs w:val="16"/>
          <w:lang w:val="es-ES"/>
        </w:rPr>
        <w:t xml:space="preserve">Cuestión de la violación de los derechos humanos y las libertades fundamentales en cualquier parte del mundo, especialmente en los países y territorios coloniales y dependientes. Ejecuciones extrajudiciales, sumarias o arbitrarias. Informe del Relator Especial, Sr. Bacre Waly </w:t>
      </w:r>
      <w:proofErr w:type="spellStart"/>
      <w:r w:rsidRPr="00B4645B">
        <w:rPr>
          <w:rFonts w:asciiTheme="majorHAnsi" w:hAnsiTheme="majorHAnsi"/>
          <w:i/>
          <w:iCs/>
          <w:color w:val="auto"/>
          <w:sz w:val="16"/>
          <w:szCs w:val="16"/>
          <w:lang w:val="es-ES"/>
        </w:rPr>
        <w:t>Ndiaye</w:t>
      </w:r>
      <w:proofErr w:type="spellEnd"/>
      <w:r w:rsidRPr="00B4645B">
        <w:rPr>
          <w:rFonts w:asciiTheme="majorHAnsi" w:hAnsiTheme="majorHAnsi"/>
          <w:i/>
          <w:iCs/>
          <w:color w:val="auto"/>
          <w:sz w:val="16"/>
          <w:szCs w:val="16"/>
          <w:lang w:val="es-ES"/>
        </w:rPr>
        <w:t>, presentado en cumplimiento de la resolución 1994/82 de la Comisión de Derechos Humanos.</w:t>
      </w:r>
      <w:r w:rsidRPr="00B4645B">
        <w:rPr>
          <w:rFonts w:asciiTheme="majorHAnsi" w:hAnsiTheme="majorHAnsi"/>
          <w:iCs/>
          <w:color w:val="auto"/>
          <w:sz w:val="16"/>
          <w:szCs w:val="16"/>
          <w:lang w:val="es-ES"/>
        </w:rPr>
        <w:t xml:space="preserve"> UN Doc. E/CN.4/1995/61 (14 de diciembre de 1994</w:t>
      </w:r>
      <w:r w:rsidRPr="00B4645B">
        <w:rPr>
          <w:rFonts w:asciiTheme="majorHAnsi" w:hAnsiTheme="majorHAnsi"/>
          <w:color w:val="auto"/>
          <w:sz w:val="16"/>
          <w:szCs w:val="16"/>
          <w:lang w:val="es-ES"/>
        </w:rPr>
        <w:t>), párr. 378.</w:t>
      </w:r>
    </w:p>
  </w:footnote>
  <w:footnote w:id="48">
    <w:p w14:paraId="77B12AEF" w14:textId="77777777" w:rsidR="009206FF" w:rsidRPr="00B4645B" w:rsidRDefault="009206FF" w:rsidP="00953481">
      <w:pPr>
        <w:pStyle w:val="FootnoteText"/>
        <w:rPr>
          <w:rFonts w:asciiTheme="majorHAnsi" w:hAnsiTheme="majorHAnsi"/>
          <w:color w:val="auto"/>
          <w:sz w:val="16"/>
          <w:szCs w:val="16"/>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CIDH. Informe No. 57/96. </w:t>
      </w:r>
      <w:r w:rsidRPr="00B4645B">
        <w:rPr>
          <w:rFonts w:asciiTheme="majorHAnsi" w:hAnsiTheme="majorHAnsi"/>
          <w:iCs/>
          <w:color w:val="auto"/>
          <w:sz w:val="16"/>
          <w:szCs w:val="16"/>
          <w:lang w:val="es-ES"/>
        </w:rPr>
        <w:t xml:space="preserve">Andrews. Estados Unidos. Informe Anual </w:t>
      </w:r>
      <w:r w:rsidRPr="00B4645B">
        <w:rPr>
          <w:rFonts w:asciiTheme="majorHAnsi" w:hAnsiTheme="majorHAnsi"/>
          <w:color w:val="auto"/>
          <w:sz w:val="16"/>
          <w:szCs w:val="16"/>
          <w:lang w:val="es-ES"/>
        </w:rPr>
        <w:t xml:space="preserve">1997, </w:t>
      </w:r>
      <w:proofErr w:type="spellStart"/>
      <w:r w:rsidRPr="00B4645B">
        <w:rPr>
          <w:rFonts w:asciiTheme="majorHAnsi" w:hAnsiTheme="majorHAnsi"/>
          <w:color w:val="auto"/>
          <w:sz w:val="16"/>
          <w:szCs w:val="16"/>
          <w:lang w:val="es-ES"/>
        </w:rPr>
        <w:t>párrs</w:t>
      </w:r>
      <w:proofErr w:type="spellEnd"/>
      <w:r w:rsidRPr="00B4645B">
        <w:rPr>
          <w:rFonts w:asciiTheme="majorHAnsi" w:hAnsiTheme="majorHAnsi"/>
          <w:color w:val="auto"/>
          <w:sz w:val="16"/>
          <w:szCs w:val="16"/>
          <w:lang w:val="es-ES"/>
        </w:rPr>
        <w:t xml:space="preserve">. 170 y 171; Informe No. 38/00. </w:t>
      </w:r>
      <w:proofErr w:type="spellStart"/>
      <w:r w:rsidRPr="00B4645B">
        <w:rPr>
          <w:rFonts w:asciiTheme="majorHAnsi" w:hAnsiTheme="majorHAnsi"/>
          <w:color w:val="auto"/>
          <w:sz w:val="16"/>
          <w:szCs w:val="16"/>
          <w:lang w:val="es-ES"/>
        </w:rPr>
        <w:t>Baptiste</w:t>
      </w:r>
      <w:proofErr w:type="spellEnd"/>
      <w:r w:rsidRPr="00B4645B">
        <w:rPr>
          <w:rFonts w:asciiTheme="majorHAnsi" w:hAnsiTheme="majorHAnsi"/>
          <w:color w:val="auto"/>
          <w:sz w:val="16"/>
          <w:szCs w:val="16"/>
          <w:lang w:val="es-ES"/>
        </w:rPr>
        <w:t xml:space="preserve">. </w:t>
      </w:r>
      <w:proofErr w:type="spellStart"/>
      <w:r w:rsidRPr="00B4645B">
        <w:rPr>
          <w:rFonts w:asciiTheme="majorHAnsi" w:hAnsiTheme="majorHAnsi"/>
          <w:color w:val="auto"/>
          <w:sz w:val="16"/>
          <w:szCs w:val="16"/>
          <w:lang w:val="es-ES"/>
        </w:rPr>
        <w:t>Grenada</w:t>
      </w:r>
      <w:proofErr w:type="spellEnd"/>
      <w:r w:rsidRPr="00B4645B">
        <w:rPr>
          <w:rFonts w:asciiTheme="majorHAnsi" w:hAnsiTheme="majorHAnsi"/>
          <w:color w:val="auto"/>
          <w:sz w:val="16"/>
          <w:szCs w:val="16"/>
          <w:lang w:val="es-ES"/>
        </w:rPr>
        <w:t xml:space="preserve">. Informe Anual 1999, </w:t>
      </w:r>
      <w:proofErr w:type="spellStart"/>
      <w:r w:rsidRPr="00B4645B">
        <w:rPr>
          <w:rFonts w:asciiTheme="majorHAnsi" w:hAnsiTheme="majorHAnsi"/>
          <w:color w:val="auto"/>
          <w:sz w:val="16"/>
          <w:szCs w:val="16"/>
          <w:lang w:val="es-ES"/>
        </w:rPr>
        <w:t>párrs</w:t>
      </w:r>
      <w:proofErr w:type="spellEnd"/>
      <w:r w:rsidRPr="00B4645B">
        <w:rPr>
          <w:rFonts w:asciiTheme="majorHAnsi" w:hAnsiTheme="majorHAnsi"/>
          <w:color w:val="auto"/>
          <w:sz w:val="16"/>
          <w:szCs w:val="16"/>
          <w:lang w:val="es-ES"/>
        </w:rPr>
        <w:t xml:space="preserve">. 64 a 66; Informe No. 41/00. McKenzie y otros. Jamaica. Informe Anual 1999, </w:t>
      </w:r>
      <w:proofErr w:type="spellStart"/>
      <w:r w:rsidRPr="00B4645B">
        <w:rPr>
          <w:rFonts w:asciiTheme="majorHAnsi" w:hAnsiTheme="majorHAnsi"/>
          <w:color w:val="auto"/>
          <w:sz w:val="16"/>
          <w:szCs w:val="16"/>
          <w:lang w:val="es-ES"/>
        </w:rPr>
        <w:t>párrs</w:t>
      </w:r>
      <w:proofErr w:type="spellEnd"/>
      <w:r w:rsidRPr="00B4645B">
        <w:rPr>
          <w:rFonts w:asciiTheme="majorHAnsi" w:hAnsiTheme="majorHAnsi"/>
          <w:color w:val="auto"/>
          <w:sz w:val="16"/>
          <w:szCs w:val="16"/>
          <w:lang w:val="es-ES"/>
        </w:rPr>
        <w:t>. 169 a 171.</w:t>
      </w:r>
    </w:p>
  </w:footnote>
  <w:footnote w:id="49">
    <w:p w14:paraId="62C902D7" w14:textId="77777777" w:rsidR="009206FF" w:rsidRPr="00B4645B" w:rsidRDefault="009206FF" w:rsidP="00953481">
      <w:pPr>
        <w:autoSpaceDE w:val="0"/>
        <w:autoSpaceDN w:val="0"/>
        <w:adjustRightInd w:val="0"/>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CIDH. </w:t>
      </w:r>
      <w:r w:rsidRPr="00B4645B">
        <w:rPr>
          <w:rFonts w:asciiTheme="majorHAnsi" w:hAnsiTheme="majorHAnsi"/>
          <w:i/>
          <w:sz w:val="16"/>
          <w:szCs w:val="16"/>
          <w:lang w:val="es-ES"/>
        </w:rPr>
        <w:t>La pena de muerte en el Sistema Interamericano de Derechos Humanos: de restricciones a abolición.</w:t>
      </w:r>
      <w:r w:rsidRPr="00B4645B">
        <w:rPr>
          <w:rFonts w:asciiTheme="majorHAnsi" w:hAnsiTheme="majorHAnsi"/>
          <w:sz w:val="16"/>
          <w:szCs w:val="16"/>
          <w:lang w:val="es-ES"/>
        </w:rPr>
        <w:t xml:space="preserve"> </w:t>
      </w:r>
      <w:r w:rsidRPr="00B4645B">
        <w:rPr>
          <w:rFonts w:asciiTheme="majorHAnsi" w:hAnsiTheme="majorHAnsi" w:cs="Calibri"/>
          <w:sz w:val="16"/>
          <w:szCs w:val="16"/>
          <w:lang w:val="es-ES"/>
        </w:rPr>
        <w:t>OEA/</w:t>
      </w:r>
      <w:proofErr w:type="spellStart"/>
      <w:r w:rsidRPr="00B4645B">
        <w:rPr>
          <w:rFonts w:asciiTheme="majorHAnsi" w:hAnsiTheme="majorHAnsi" w:cs="Calibri"/>
          <w:sz w:val="16"/>
          <w:szCs w:val="16"/>
          <w:lang w:val="es-ES"/>
        </w:rPr>
        <w:t>Ser.L</w:t>
      </w:r>
      <w:proofErr w:type="spellEnd"/>
      <w:r w:rsidRPr="00B4645B">
        <w:rPr>
          <w:rFonts w:asciiTheme="majorHAnsi" w:hAnsiTheme="majorHAnsi" w:cs="Calibri"/>
          <w:sz w:val="16"/>
          <w:szCs w:val="16"/>
          <w:lang w:val="es-ES"/>
        </w:rPr>
        <w:t xml:space="preserve">/V/II.Doc. 68, 31 de diciembre de 2011, párr. </w:t>
      </w:r>
      <w:r w:rsidRPr="00B4645B">
        <w:rPr>
          <w:rFonts w:asciiTheme="majorHAnsi" w:hAnsiTheme="majorHAnsi"/>
          <w:sz w:val="16"/>
          <w:szCs w:val="16"/>
          <w:lang w:val="es-ES"/>
        </w:rPr>
        <w:t>41.</w:t>
      </w:r>
    </w:p>
  </w:footnote>
  <w:footnote w:id="50">
    <w:p w14:paraId="547EE139" w14:textId="77777777" w:rsidR="009206FF" w:rsidRPr="00B4645B" w:rsidRDefault="009206FF" w:rsidP="00953481">
      <w:pPr>
        <w:autoSpaceDE w:val="0"/>
        <w:autoSpaceDN w:val="0"/>
        <w:adjustRightInd w:val="0"/>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CIDH. Informe No. 78/07, Caso 12.265. Fondo (Publicación). Chad Roger Goodman. Bahamas. 15 de octubre de 2007, párr. 34.</w:t>
      </w:r>
    </w:p>
  </w:footnote>
  <w:footnote w:id="51">
    <w:p w14:paraId="22932FDC" w14:textId="77777777" w:rsidR="009206FF" w:rsidRPr="00B4645B" w:rsidRDefault="009206FF" w:rsidP="00953481">
      <w:pPr>
        <w:pStyle w:val="FootnoteText"/>
        <w:rPr>
          <w:rFonts w:asciiTheme="majorHAnsi" w:hAnsiTheme="majorHAnsi" w:cs="Times New Roman"/>
          <w:color w:val="auto"/>
          <w:sz w:val="16"/>
          <w:szCs w:val="16"/>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CIDH. Informe No. 44/14, Caso 12.873. Fondo (Publicación). Edgar Tamayo Arias. Estados Unidos. 17 de julio de 2014, párr. 214.</w:t>
      </w:r>
    </w:p>
  </w:footnote>
  <w:footnote w:id="52">
    <w:p w14:paraId="039FD0D6"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El artículo </w:t>
      </w:r>
      <w:r w:rsidRPr="00B4645B">
        <w:rPr>
          <w:rFonts w:asciiTheme="majorHAnsi" w:eastAsia="Arial Unicode MS" w:hAnsiTheme="majorHAnsi" w:cs="Times New Roman"/>
          <w:color w:val="auto"/>
          <w:sz w:val="16"/>
          <w:szCs w:val="16"/>
          <w:lang w:val="es-ES" w:eastAsia="en-US"/>
        </w:rPr>
        <w:t>XVIII de la Declaración Americana dice: “</w:t>
      </w:r>
      <w:r w:rsidRPr="00B4645B">
        <w:rPr>
          <w:rFonts w:asciiTheme="majorHAnsi" w:hAnsiTheme="majorHAnsi"/>
          <w:sz w:val="16"/>
          <w:szCs w:val="16"/>
          <w:lang w:val="es-E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53">
    <w:p w14:paraId="251B40EA" w14:textId="77777777" w:rsidR="009206FF" w:rsidRPr="00B4645B" w:rsidRDefault="009206FF" w:rsidP="00953481">
      <w:pPr>
        <w:pStyle w:val="FootnoteText"/>
        <w:rPr>
          <w:sz w:val="16"/>
          <w:szCs w:val="16"/>
          <w:lang w:val="es-ES"/>
        </w:rPr>
      </w:pPr>
      <w:r w:rsidRPr="00B4645B">
        <w:rPr>
          <w:rStyle w:val="FootnoteReference"/>
          <w:rFonts w:asciiTheme="majorHAnsi" w:hAnsiTheme="majorHAnsi"/>
          <w:sz w:val="16"/>
          <w:szCs w:val="16"/>
          <w:lang w:val="es-ES"/>
        </w:rPr>
        <w:footnoteRef/>
      </w:r>
      <w:r w:rsidRPr="00B4645B">
        <w:rPr>
          <w:rStyle w:val="FootnoteReference"/>
          <w:rFonts w:asciiTheme="majorHAnsi" w:hAnsiTheme="majorHAnsi"/>
          <w:sz w:val="16"/>
          <w:szCs w:val="16"/>
          <w:lang w:val="es-ES"/>
        </w:rPr>
        <w:t xml:space="preserve"> </w:t>
      </w:r>
      <w:r w:rsidRPr="00B4645B">
        <w:rPr>
          <w:rFonts w:asciiTheme="majorHAnsi" w:hAnsiTheme="majorHAnsi"/>
          <w:sz w:val="16"/>
          <w:szCs w:val="16"/>
          <w:lang w:val="es-ES"/>
        </w:rPr>
        <w:t xml:space="preserve">El artículo </w:t>
      </w:r>
      <w:r w:rsidRPr="00B4645B">
        <w:rPr>
          <w:rFonts w:asciiTheme="majorHAnsi" w:eastAsia="Arial Unicode MS" w:hAnsiTheme="majorHAnsi" w:cs="Times New Roman"/>
          <w:color w:val="auto"/>
          <w:sz w:val="16"/>
          <w:szCs w:val="16"/>
          <w:lang w:val="es-ES" w:eastAsia="en-US"/>
        </w:rPr>
        <w:t>XXIV de la Declaración Americana dice: “</w:t>
      </w:r>
      <w:r w:rsidRPr="00B4645B">
        <w:rPr>
          <w:rFonts w:asciiTheme="majorHAnsi" w:hAnsiTheme="majorHAnsi"/>
          <w:sz w:val="16"/>
          <w:szCs w:val="16"/>
          <w:lang w:val="es-ES"/>
        </w:rPr>
        <w:t>Toda persona tiene derecho de presentar peticiones respetuosas a cualquiera autoridad competente, ya sea por motivo de interés general, ya de interés particular, y el de obtener pronta resolución”.</w:t>
      </w:r>
    </w:p>
  </w:footnote>
  <w:footnote w:id="54">
    <w:p w14:paraId="21961A11"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El artículo </w:t>
      </w:r>
      <w:r w:rsidRPr="00B4645B">
        <w:rPr>
          <w:rFonts w:asciiTheme="majorHAnsi" w:eastAsia="Arial Unicode MS" w:hAnsiTheme="majorHAnsi" w:cs="Times New Roman"/>
          <w:color w:val="auto"/>
          <w:sz w:val="16"/>
          <w:szCs w:val="16"/>
          <w:lang w:val="es-ES" w:eastAsia="en-US"/>
        </w:rPr>
        <w:t xml:space="preserve">XXVI </w:t>
      </w:r>
      <w:r w:rsidRPr="00B4645B">
        <w:rPr>
          <w:rFonts w:asciiTheme="majorHAnsi" w:hAnsiTheme="majorHAnsi"/>
          <w:sz w:val="16"/>
          <w:szCs w:val="16"/>
          <w:lang w:val="es-ES"/>
        </w:rPr>
        <w:t>de la Declaración Americana dice</w:t>
      </w:r>
      <w:r w:rsidRPr="00B4645B">
        <w:rPr>
          <w:rFonts w:asciiTheme="majorHAnsi" w:eastAsia="Arial Unicode MS" w:hAnsiTheme="majorHAnsi" w:cs="Times New Roman"/>
          <w:color w:val="auto"/>
          <w:sz w:val="16"/>
          <w:szCs w:val="16"/>
          <w:lang w:val="es-ES" w:eastAsia="en-US"/>
        </w:rPr>
        <w:t>:</w:t>
      </w:r>
      <w:r w:rsidRPr="00B4645B">
        <w:rPr>
          <w:rStyle w:val="FootnoteReference"/>
          <w:rFonts w:asciiTheme="majorHAnsi" w:hAnsiTheme="majorHAnsi"/>
          <w:sz w:val="16"/>
          <w:szCs w:val="16"/>
          <w:lang w:val="es-ES"/>
        </w:rPr>
        <w:t xml:space="preserve"> </w:t>
      </w:r>
      <w:r w:rsidRPr="00B4645B">
        <w:rPr>
          <w:rFonts w:asciiTheme="majorHAnsi" w:hAnsiTheme="majorHAnsi"/>
          <w:sz w:val="16"/>
          <w:szCs w:val="16"/>
          <w:lang w:val="es-ES"/>
        </w:rPr>
        <w:t>“Se presume que todo acusado es inocente, hasta que se pruebe que es culpable.</w:t>
      </w:r>
    </w:p>
    <w:p w14:paraId="1672B57A" w14:textId="77777777" w:rsidR="009206FF" w:rsidRPr="00B4645B" w:rsidRDefault="009206FF" w:rsidP="00953481">
      <w:pPr>
        <w:pStyle w:val="FootnoteText"/>
        <w:rPr>
          <w:sz w:val="16"/>
          <w:szCs w:val="16"/>
          <w:lang w:val="es-ES"/>
        </w:rPr>
      </w:pPr>
      <w:r w:rsidRPr="00B4645B">
        <w:rPr>
          <w:rFonts w:asciiTheme="majorHAnsi" w:hAnsiTheme="majorHAnsi"/>
          <w:sz w:val="16"/>
          <w:szCs w:val="16"/>
          <w:lang w:val="es-ES"/>
        </w:rPr>
        <w:t>Toda persona acusada de delito tiene derecho a ser oída en forma imparcial y pública, a ser juzgada por tribunales anteriormente establecidos de acuerdo con leyes preexistentes y a que no se le imponga penas crueles, infamantes o inusitadas”.</w:t>
      </w:r>
    </w:p>
  </w:footnote>
  <w:footnote w:id="55">
    <w:p w14:paraId="49A8BEBE" w14:textId="77777777" w:rsidR="009206FF" w:rsidRPr="00B4645B" w:rsidRDefault="009206FF" w:rsidP="00953481">
      <w:pPr>
        <w:pStyle w:val="FootnoteText"/>
        <w:rPr>
          <w:rFonts w:asciiTheme="majorHAnsi" w:hAnsiTheme="majorHAnsi"/>
          <w:color w:val="auto"/>
          <w:sz w:val="16"/>
          <w:szCs w:val="16"/>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CIDH. </w:t>
      </w:r>
      <w:r w:rsidRPr="00B4645B">
        <w:rPr>
          <w:rFonts w:asciiTheme="majorHAnsi" w:hAnsiTheme="majorHAnsi"/>
          <w:i/>
          <w:color w:val="auto"/>
          <w:sz w:val="16"/>
          <w:szCs w:val="16"/>
          <w:lang w:val="es-ES"/>
        </w:rPr>
        <w:t>La pena de muerte en el Sistema Interamericano de Derechos Humanos: de restricciones a abolición.</w:t>
      </w:r>
      <w:r w:rsidRPr="00B4645B">
        <w:rPr>
          <w:rFonts w:asciiTheme="majorHAnsi" w:hAnsiTheme="majorHAnsi"/>
          <w:color w:val="auto"/>
          <w:sz w:val="16"/>
          <w:szCs w:val="16"/>
          <w:lang w:val="es-ES"/>
        </w:rPr>
        <w:t xml:space="preserve"> OEA/</w:t>
      </w:r>
      <w:proofErr w:type="spellStart"/>
      <w:r w:rsidRPr="00B4645B">
        <w:rPr>
          <w:rFonts w:asciiTheme="majorHAnsi" w:hAnsiTheme="majorHAnsi"/>
          <w:color w:val="auto"/>
          <w:sz w:val="16"/>
          <w:szCs w:val="16"/>
          <w:lang w:val="es-ES"/>
        </w:rPr>
        <w:t>Ser.L</w:t>
      </w:r>
      <w:proofErr w:type="spellEnd"/>
      <w:r w:rsidRPr="00B4645B">
        <w:rPr>
          <w:rFonts w:asciiTheme="majorHAnsi" w:hAnsiTheme="majorHAnsi"/>
          <w:color w:val="auto"/>
          <w:sz w:val="16"/>
          <w:szCs w:val="16"/>
          <w:lang w:val="es-ES"/>
        </w:rPr>
        <w:t>/V/II. Doc. 68, 31 de diciembre de 2011, p. 123.</w:t>
      </w:r>
    </w:p>
  </w:footnote>
  <w:footnote w:id="56">
    <w:p w14:paraId="69AA6C6B" w14:textId="77777777" w:rsidR="009206FF" w:rsidRPr="00B4645B" w:rsidRDefault="009206FF" w:rsidP="00953481">
      <w:pPr>
        <w:pStyle w:val="FootnoteText"/>
        <w:rPr>
          <w:rFonts w:asciiTheme="majorHAnsi" w:hAnsiTheme="majorHAnsi"/>
          <w:color w:val="auto"/>
          <w:sz w:val="16"/>
          <w:szCs w:val="16"/>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CIDH. </w:t>
      </w:r>
      <w:r w:rsidRPr="00B4645B">
        <w:rPr>
          <w:rFonts w:asciiTheme="majorHAnsi" w:hAnsiTheme="majorHAnsi"/>
          <w:i/>
          <w:color w:val="auto"/>
          <w:sz w:val="16"/>
          <w:szCs w:val="16"/>
          <w:lang w:val="es-ES"/>
        </w:rPr>
        <w:t>La pena de muerte en el Sistema Interamericano de Derechos Humanos: de restricciones a abolición.</w:t>
      </w:r>
      <w:r w:rsidRPr="00B4645B">
        <w:rPr>
          <w:rFonts w:asciiTheme="majorHAnsi" w:hAnsiTheme="majorHAnsi"/>
          <w:color w:val="auto"/>
          <w:sz w:val="16"/>
          <w:szCs w:val="16"/>
          <w:lang w:val="es-ES"/>
        </w:rPr>
        <w:t xml:space="preserve"> OEA/</w:t>
      </w:r>
      <w:proofErr w:type="spellStart"/>
      <w:r w:rsidRPr="00B4645B">
        <w:rPr>
          <w:rFonts w:asciiTheme="majorHAnsi" w:hAnsiTheme="majorHAnsi"/>
          <w:color w:val="auto"/>
          <w:sz w:val="16"/>
          <w:szCs w:val="16"/>
          <w:lang w:val="es-ES"/>
        </w:rPr>
        <w:t>Ser.L</w:t>
      </w:r>
      <w:proofErr w:type="spellEnd"/>
      <w:r w:rsidRPr="00B4645B">
        <w:rPr>
          <w:rFonts w:asciiTheme="majorHAnsi" w:hAnsiTheme="majorHAnsi"/>
          <w:color w:val="auto"/>
          <w:sz w:val="16"/>
          <w:szCs w:val="16"/>
          <w:lang w:val="es-ES"/>
        </w:rPr>
        <w:t>/V/II. Doc. 68, 31 de diciembre de 2011, p. 123.</w:t>
      </w:r>
    </w:p>
  </w:footnote>
  <w:footnote w:id="57">
    <w:p w14:paraId="4A0E2634" w14:textId="77777777" w:rsidR="009206FF" w:rsidRPr="00B4645B" w:rsidRDefault="009206FF" w:rsidP="00953481">
      <w:pPr>
        <w:pStyle w:val="FootnoteText"/>
        <w:rPr>
          <w:sz w:val="16"/>
          <w:szCs w:val="16"/>
          <w:lang w:val="es-ES"/>
        </w:rPr>
      </w:pPr>
      <w:r w:rsidRPr="00B4645B">
        <w:rPr>
          <w:rStyle w:val="FootnoteReference"/>
          <w:rFonts w:asciiTheme="majorHAnsi" w:hAnsiTheme="majorHAnsi"/>
          <w:color w:val="auto"/>
          <w:sz w:val="16"/>
          <w:szCs w:val="16"/>
          <w:lang w:val="es-ES"/>
        </w:rPr>
        <w:footnoteRef/>
      </w:r>
      <w:r w:rsidRPr="00B4645B">
        <w:rPr>
          <w:rStyle w:val="FootnoteReference"/>
          <w:rFonts w:asciiTheme="majorHAnsi" w:hAnsiTheme="majorHAnsi"/>
          <w:color w:val="auto"/>
          <w:sz w:val="16"/>
          <w:szCs w:val="16"/>
          <w:lang w:val="es-ES"/>
        </w:rPr>
        <w:t xml:space="preserve"> </w:t>
      </w:r>
      <w:r w:rsidRPr="00B4645B">
        <w:rPr>
          <w:rFonts w:ascii="Cambria" w:hAnsi="Cambria" w:cs="Arial"/>
          <w:sz w:val="16"/>
          <w:szCs w:val="16"/>
          <w:lang w:val="es-ES"/>
        </w:rPr>
        <w:t>CIDH. Informe</w:t>
      </w:r>
      <w:r w:rsidRPr="00B4645B">
        <w:rPr>
          <w:rFonts w:ascii="Cambria" w:hAnsi="Cambria" w:cs="Arial"/>
          <w:bCs/>
          <w:sz w:val="16"/>
          <w:szCs w:val="16"/>
          <w:lang w:val="es-ES"/>
        </w:rPr>
        <w:t xml:space="preserve"> No. 79/15</w:t>
      </w:r>
      <w:r w:rsidRPr="00B4645B">
        <w:rPr>
          <w:rFonts w:ascii="Cambria" w:hAnsi="Cambria" w:cs="Arial"/>
          <w:sz w:val="16"/>
          <w:szCs w:val="16"/>
          <w:lang w:val="es-ES"/>
        </w:rPr>
        <w:t>, Caso 12.994. Fondo (Publicación). Bernardo Abán Tercero. Estados Unidos. 28 de octubre de 2015, párr. 111.</w:t>
      </w:r>
    </w:p>
  </w:footnote>
  <w:footnote w:id="58">
    <w:p w14:paraId="1BDC70DC" w14:textId="77777777" w:rsidR="009206FF" w:rsidRPr="00B4645B" w:rsidRDefault="009206FF" w:rsidP="00953481">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rPr>
          <w:rFonts w:asciiTheme="majorHAnsi" w:hAnsiTheme="majorHAnsi"/>
          <w:color w:val="auto"/>
          <w:sz w:val="16"/>
          <w:szCs w:val="16"/>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CIDH. Informe No. 90/09, Caso 12.644. Admisibilidad y Fondo (Publicación). Medellín, Ramírez Cárdenas y Leal García. Estados Unidos, 7 de agosto de 2009, párr. 134.</w:t>
      </w:r>
    </w:p>
  </w:footnote>
  <w:footnote w:id="59">
    <w:p w14:paraId="72E264D6" w14:textId="77777777" w:rsidR="009206FF" w:rsidRPr="007A12AE" w:rsidRDefault="009206FF" w:rsidP="00953481">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rPr>
          <w:rFonts w:asciiTheme="majorHAnsi" w:hAnsiTheme="majorHAnsi"/>
          <w:color w:val="auto"/>
          <w:sz w:val="16"/>
          <w:szCs w:val="16"/>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CIDH. Informe No. 90/09, Caso 12.644. Admisibilidad y Fondo (Publicación). Medellín, Ramírez Cárdenas y Leal García. </w:t>
      </w:r>
      <w:proofErr w:type="spellStart"/>
      <w:r w:rsidRPr="007A12AE">
        <w:rPr>
          <w:rFonts w:asciiTheme="majorHAnsi" w:hAnsiTheme="majorHAnsi"/>
          <w:color w:val="auto"/>
          <w:sz w:val="16"/>
          <w:szCs w:val="16"/>
        </w:rPr>
        <w:t>Estados</w:t>
      </w:r>
      <w:proofErr w:type="spellEnd"/>
      <w:r w:rsidRPr="007A12AE">
        <w:rPr>
          <w:rFonts w:asciiTheme="majorHAnsi" w:hAnsiTheme="majorHAnsi"/>
          <w:color w:val="auto"/>
          <w:sz w:val="16"/>
          <w:szCs w:val="16"/>
        </w:rPr>
        <w:t xml:space="preserve"> Unidos, 7 de </w:t>
      </w:r>
      <w:proofErr w:type="spellStart"/>
      <w:r w:rsidRPr="007A12AE">
        <w:rPr>
          <w:rFonts w:asciiTheme="majorHAnsi" w:hAnsiTheme="majorHAnsi"/>
          <w:color w:val="auto"/>
          <w:sz w:val="16"/>
          <w:szCs w:val="16"/>
        </w:rPr>
        <w:t>agosto</w:t>
      </w:r>
      <w:proofErr w:type="spellEnd"/>
      <w:r w:rsidRPr="007A12AE">
        <w:rPr>
          <w:rFonts w:asciiTheme="majorHAnsi" w:hAnsiTheme="majorHAnsi"/>
          <w:color w:val="auto"/>
          <w:sz w:val="16"/>
          <w:szCs w:val="16"/>
        </w:rPr>
        <w:t xml:space="preserve"> de 2009, </w:t>
      </w:r>
      <w:proofErr w:type="spellStart"/>
      <w:r w:rsidRPr="007A12AE">
        <w:rPr>
          <w:rFonts w:asciiTheme="majorHAnsi" w:hAnsiTheme="majorHAnsi"/>
          <w:color w:val="auto"/>
          <w:sz w:val="16"/>
          <w:szCs w:val="16"/>
        </w:rPr>
        <w:t>párr</w:t>
      </w:r>
      <w:proofErr w:type="spellEnd"/>
      <w:r w:rsidRPr="007A12AE">
        <w:rPr>
          <w:rFonts w:asciiTheme="majorHAnsi" w:hAnsiTheme="majorHAnsi"/>
          <w:color w:val="auto"/>
          <w:sz w:val="16"/>
          <w:szCs w:val="16"/>
        </w:rPr>
        <w:t xml:space="preserve">. 134. </w:t>
      </w:r>
    </w:p>
  </w:footnote>
  <w:footnote w:id="60">
    <w:p w14:paraId="7243596E" w14:textId="77777777" w:rsidR="009206FF" w:rsidRPr="00B4645B" w:rsidRDefault="009206FF" w:rsidP="00953481">
      <w:pPr>
        <w:pStyle w:val="FootnoteText"/>
        <w:rPr>
          <w:rFonts w:asciiTheme="majorHAnsi" w:hAnsiTheme="majorHAnsi" w:cs="Arial"/>
          <w:color w:val="auto"/>
          <w:sz w:val="16"/>
          <w:szCs w:val="16"/>
          <w:lang w:val="es-ES"/>
        </w:rPr>
      </w:pPr>
      <w:r w:rsidRPr="00B4645B">
        <w:rPr>
          <w:rStyle w:val="FootnoteReference"/>
          <w:rFonts w:asciiTheme="majorHAnsi" w:hAnsiTheme="majorHAnsi" w:cs="Arial"/>
          <w:color w:val="auto"/>
          <w:sz w:val="16"/>
          <w:szCs w:val="16"/>
          <w:lang w:val="es-ES"/>
        </w:rPr>
        <w:footnoteRef/>
      </w:r>
      <w:r w:rsidRPr="007A12AE">
        <w:rPr>
          <w:rFonts w:asciiTheme="majorHAnsi" w:hAnsiTheme="majorHAnsi" w:cs="Arial"/>
          <w:color w:val="auto"/>
          <w:sz w:val="16"/>
          <w:szCs w:val="16"/>
        </w:rPr>
        <w:t xml:space="preserve"> American Bar Association. </w:t>
      </w:r>
      <w:r w:rsidRPr="007A12AE">
        <w:rPr>
          <w:rFonts w:asciiTheme="majorHAnsi" w:hAnsiTheme="majorHAnsi" w:cs="Arial"/>
          <w:i/>
          <w:iCs/>
          <w:color w:val="auto"/>
          <w:sz w:val="16"/>
          <w:szCs w:val="16"/>
        </w:rPr>
        <w:t>Guidelines for the Appointment and Performance of Defense Counsel in Death Penalty Cases</w:t>
      </w:r>
      <w:r w:rsidRPr="007A12AE">
        <w:rPr>
          <w:rFonts w:asciiTheme="majorHAnsi" w:hAnsiTheme="majorHAnsi" w:cs="Arial"/>
          <w:color w:val="auto"/>
          <w:sz w:val="16"/>
          <w:szCs w:val="16"/>
        </w:rPr>
        <w:t xml:space="preserve"> (</w:t>
      </w:r>
      <w:proofErr w:type="spellStart"/>
      <w:r w:rsidRPr="007A12AE">
        <w:rPr>
          <w:rFonts w:asciiTheme="majorHAnsi" w:hAnsiTheme="majorHAnsi" w:cs="Arial"/>
          <w:color w:val="auto"/>
          <w:sz w:val="16"/>
          <w:szCs w:val="16"/>
        </w:rPr>
        <w:t>edición</w:t>
      </w:r>
      <w:proofErr w:type="spellEnd"/>
      <w:r w:rsidRPr="007A12AE">
        <w:rPr>
          <w:rFonts w:asciiTheme="majorHAnsi" w:hAnsiTheme="majorHAnsi" w:cs="Arial"/>
          <w:color w:val="auto"/>
          <w:sz w:val="16"/>
          <w:szCs w:val="16"/>
        </w:rPr>
        <w:t xml:space="preserve"> </w:t>
      </w:r>
      <w:proofErr w:type="spellStart"/>
      <w:r w:rsidRPr="007A12AE">
        <w:rPr>
          <w:rFonts w:asciiTheme="majorHAnsi" w:hAnsiTheme="majorHAnsi" w:cs="Arial"/>
          <w:color w:val="auto"/>
          <w:sz w:val="16"/>
          <w:szCs w:val="16"/>
        </w:rPr>
        <w:t>revisada</w:t>
      </w:r>
      <w:proofErr w:type="spellEnd"/>
      <w:r w:rsidRPr="007A12AE">
        <w:rPr>
          <w:rFonts w:asciiTheme="majorHAnsi" w:hAnsiTheme="majorHAnsi" w:cs="Arial"/>
          <w:color w:val="auto"/>
          <w:sz w:val="16"/>
          <w:szCs w:val="16"/>
        </w:rPr>
        <w:t>) (</w:t>
      </w:r>
      <w:proofErr w:type="spellStart"/>
      <w:r w:rsidRPr="007A12AE">
        <w:rPr>
          <w:rFonts w:asciiTheme="majorHAnsi" w:hAnsiTheme="majorHAnsi" w:cs="Arial"/>
          <w:color w:val="auto"/>
          <w:sz w:val="16"/>
          <w:szCs w:val="16"/>
        </w:rPr>
        <w:t>febrero</w:t>
      </w:r>
      <w:proofErr w:type="spellEnd"/>
      <w:r w:rsidRPr="007A12AE">
        <w:rPr>
          <w:rFonts w:asciiTheme="majorHAnsi" w:hAnsiTheme="majorHAnsi" w:cs="Arial"/>
          <w:color w:val="auto"/>
          <w:sz w:val="16"/>
          <w:szCs w:val="16"/>
        </w:rPr>
        <w:t xml:space="preserve"> de 2003), Guideline 10.7 – Investigation. </w:t>
      </w:r>
      <w:r w:rsidRPr="00B4645B">
        <w:rPr>
          <w:rFonts w:asciiTheme="majorHAnsi" w:hAnsiTheme="majorHAnsi" w:cs="Arial"/>
          <w:color w:val="auto"/>
          <w:sz w:val="16"/>
          <w:szCs w:val="16"/>
          <w:lang w:val="es-ES"/>
        </w:rPr>
        <w:t xml:space="preserve">Se encuentra en </w:t>
      </w:r>
      <w:hyperlink r:id="rId6" w:history="1">
        <w:r w:rsidRPr="00B4645B">
          <w:rPr>
            <w:rStyle w:val="Hyperlink"/>
            <w:rFonts w:asciiTheme="majorHAnsi" w:hAnsiTheme="majorHAnsi" w:cs="Arial"/>
            <w:color w:val="auto"/>
            <w:sz w:val="16"/>
            <w:szCs w:val="16"/>
            <w:lang w:val="es-ES"/>
          </w:rPr>
          <w:t xml:space="preserve">http://www.abanet.org/legalservices/downloads/ </w:t>
        </w:r>
        <w:proofErr w:type="spellStart"/>
        <w:r w:rsidRPr="00B4645B">
          <w:rPr>
            <w:rStyle w:val="Hyperlink"/>
            <w:rFonts w:asciiTheme="majorHAnsi" w:hAnsiTheme="majorHAnsi" w:cs="Arial"/>
            <w:color w:val="auto"/>
            <w:sz w:val="16"/>
            <w:szCs w:val="16"/>
            <w:lang w:val="es-ES"/>
          </w:rPr>
          <w:t>sclaid</w:t>
        </w:r>
        <w:proofErr w:type="spellEnd"/>
        <w:r w:rsidRPr="00B4645B">
          <w:rPr>
            <w:rStyle w:val="Hyperlink"/>
            <w:rFonts w:asciiTheme="majorHAnsi" w:hAnsiTheme="majorHAnsi" w:cs="Arial"/>
            <w:color w:val="auto"/>
            <w:sz w:val="16"/>
            <w:szCs w:val="16"/>
            <w:lang w:val="es-ES"/>
          </w:rPr>
          <w:t>/deathpenaltyguidelines.pdf</w:t>
        </w:r>
      </w:hyperlink>
      <w:r w:rsidRPr="00B4645B">
        <w:rPr>
          <w:rFonts w:asciiTheme="majorHAnsi" w:hAnsiTheme="majorHAnsi" w:cs="Arial"/>
          <w:color w:val="auto"/>
          <w:sz w:val="16"/>
          <w:szCs w:val="16"/>
          <w:lang w:val="es-ES"/>
        </w:rPr>
        <w:t xml:space="preserve">. </w:t>
      </w:r>
    </w:p>
  </w:footnote>
  <w:footnote w:id="61">
    <w:p w14:paraId="1CCABC30" w14:textId="77777777" w:rsidR="009206FF" w:rsidRPr="007A12AE" w:rsidRDefault="009206FF" w:rsidP="00953481">
      <w:pPr>
        <w:pStyle w:val="FootnoteText"/>
        <w:rPr>
          <w:rFonts w:asciiTheme="majorHAnsi" w:hAnsiTheme="majorHAnsi" w:cs="Arial"/>
          <w:color w:val="auto"/>
          <w:sz w:val="16"/>
          <w:szCs w:val="16"/>
        </w:rPr>
      </w:pPr>
      <w:r w:rsidRPr="00B4645B">
        <w:rPr>
          <w:rStyle w:val="FootnoteReference"/>
          <w:rFonts w:asciiTheme="majorHAnsi" w:hAnsiTheme="majorHAnsi" w:cs="Arial"/>
          <w:color w:val="auto"/>
          <w:sz w:val="16"/>
          <w:szCs w:val="16"/>
          <w:lang w:val="es-ES"/>
        </w:rPr>
        <w:footnoteRef/>
      </w:r>
      <w:r w:rsidRPr="007A12AE">
        <w:rPr>
          <w:rFonts w:asciiTheme="majorHAnsi" w:hAnsiTheme="majorHAnsi" w:cs="Arial"/>
          <w:color w:val="auto"/>
          <w:sz w:val="16"/>
          <w:szCs w:val="16"/>
        </w:rPr>
        <w:t xml:space="preserve"> American Bar Association. </w:t>
      </w:r>
      <w:r w:rsidRPr="007A12AE">
        <w:rPr>
          <w:rFonts w:asciiTheme="majorHAnsi" w:hAnsiTheme="majorHAnsi" w:cs="Arial"/>
          <w:i/>
          <w:iCs/>
          <w:color w:val="auto"/>
          <w:sz w:val="16"/>
          <w:szCs w:val="16"/>
        </w:rPr>
        <w:t>Guidelines for the Appointment and Performance of Defense Counsel in Death Penalty Cases</w:t>
      </w:r>
      <w:r w:rsidRPr="007A12AE">
        <w:rPr>
          <w:rFonts w:asciiTheme="majorHAnsi" w:hAnsiTheme="majorHAnsi" w:cs="Arial"/>
          <w:color w:val="auto"/>
          <w:sz w:val="16"/>
          <w:szCs w:val="16"/>
        </w:rPr>
        <w:t xml:space="preserve"> (</w:t>
      </w:r>
      <w:proofErr w:type="spellStart"/>
      <w:r w:rsidRPr="007A12AE">
        <w:rPr>
          <w:rFonts w:asciiTheme="majorHAnsi" w:hAnsiTheme="majorHAnsi" w:cs="Arial"/>
          <w:color w:val="auto"/>
          <w:sz w:val="16"/>
          <w:szCs w:val="16"/>
        </w:rPr>
        <w:t>edición</w:t>
      </w:r>
      <w:proofErr w:type="spellEnd"/>
      <w:r w:rsidRPr="007A12AE">
        <w:rPr>
          <w:rFonts w:asciiTheme="majorHAnsi" w:hAnsiTheme="majorHAnsi" w:cs="Arial"/>
          <w:color w:val="auto"/>
          <w:sz w:val="16"/>
          <w:szCs w:val="16"/>
        </w:rPr>
        <w:t xml:space="preserve"> </w:t>
      </w:r>
      <w:proofErr w:type="spellStart"/>
      <w:r w:rsidRPr="007A12AE">
        <w:rPr>
          <w:rFonts w:asciiTheme="majorHAnsi" w:hAnsiTheme="majorHAnsi" w:cs="Arial"/>
          <w:color w:val="auto"/>
          <w:sz w:val="16"/>
          <w:szCs w:val="16"/>
        </w:rPr>
        <w:t>revisada</w:t>
      </w:r>
      <w:proofErr w:type="spellEnd"/>
      <w:r w:rsidRPr="007A12AE">
        <w:rPr>
          <w:rFonts w:asciiTheme="majorHAnsi" w:hAnsiTheme="majorHAnsi" w:cs="Arial"/>
          <w:color w:val="auto"/>
          <w:sz w:val="16"/>
          <w:szCs w:val="16"/>
        </w:rPr>
        <w:t>) (</w:t>
      </w:r>
      <w:proofErr w:type="spellStart"/>
      <w:r w:rsidRPr="007A12AE">
        <w:rPr>
          <w:rFonts w:asciiTheme="majorHAnsi" w:hAnsiTheme="majorHAnsi" w:cs="Arial"/>
          <w:color w:val="auto"/>
          <w:sz w:val="16"/>
          <w:szCs w:val="16"/>
        </w:rPr>
        <w:t>febrero</w:t>
      </w:r>
      <w:proofErr w:type="spellEnd"/>
      <w:r w:rsidRPr="007A12AE">
        <w:rPr>
          <w:rFonts w:asciiTheme="majorHAnsi" w:hAnsiTheme="majorHAnsi" w:cs="Arial"/>
          <w:color w:val="auto"/>
          <w:sz w:val="16"/>
          <w:szCs w:val="16"/>
        </w:rPr>
        <w:t xml:space="preserve"> de 2003), Guideline 10.7 – Investigation, 82.</w:t>
      </w:r>
    </w:p>
  </w:footnote>
  <w:footnote w:id="62">
    <w:p w14:paraId="28A22E38" w14:textId="77777777" w:rsidR="009206FF" w:rsidRPr="007A12AE" w:rsidRDefault="009206FF" w:rsidP="00953481">
      <w:pPr>
        <w:pStyle w:val="FootnoteText"/>
        <w:rPr>
          <w:rFonts w:asciiTheme="majorHAnsi" w:hAnsiTheme="majorHAnsi" w:cs="Arial"/>
          <w:color w:val="auto"/>
          <w:sz w:val="16"/>
          <w:szCs w:val="16"/>
        </w:rPr>
      </w:pPr>
      <w:r w:rsidRPr="00B4645B">
        <w:rPr>
          <w:rStyle w:val="FootnoteReference"/>
          <w:rFonts w:asciiTheme="majorHAnsi" w:hAnsiTheme="majorHAnsi" w:cs="Arial"/>
          <w:color w:val="auto"/>
          <w:sz w:val="16"/>
          <w:szCs w:val="16"/>
          <w:lang w:val="es-ES"/>
        </w:rPr>
        <w:footnoteRef/>
      </w:r>
      <w:r w:rsidRPr="007A12AE">
        <w:rPr>
          <w:rFonts w:asciiTheme="majorHAnsi" w:hAnsiTheme="majorHAnsi" w:cs="Arial"/>
          <w:color w:val="auto"/>
          <w:sz w:val="16"/>
          <w:szCs w:val="16"/>
        </w:rPr>
        <w:t xml:space="preserve"> American Bar Association. </w:t>
      </w:r>
      <w:r w:rsidRPr="007A12AE">
        <w:rPr>
          <w:rFonts w:asciiTheme="majorHAnsi" w:hAnsiTheme="majorHAnsi" w:cs="Arial"/>
          <w:i/>
          <w:iCs/>
          <w:color w:val="auto"/>
          <w:sz w:val="16"/>
          <w:szCs w:val="16"/>
        </w:rPr>
        <w:t>Guidelines for the Appointment and Performance of Defense Counsel in Death Penalty Cases</w:t>
      </w:r>
      <w:r w:rsidRPr="007A12AE">
        <w:rPr>
          <w:rFonts w:asciiTheme="majorHAnsi" w:hAnsiTheme="majorHAnsi" w:cs="Arial"/>
          <w:color w:val="auto"/>
          <w:sz w:val="16"/>
          <w:szCs w:val="16"/>
        </w:rPr>
        <w:t xml:space="preserve"> (</w:t>
      </w:r>
      <w:proofErr w:type="spellStart"/>
      <w:r w:rsidRPr="007A12AE">
        <w:rPr>
          <w:rFonts w:asciiTheme="majorHAnsi" w:hAnsiTheme="majorHAnsi" w:cs="Arial"/>
          <w:color w:val="auto"/>
          <w:sz w:val="16"/>
          <w:szCs w:val="16"/>
        </w:rPr>
        <w:t>edición</w:t>
      </w:r>
      <w:proofErr w:type="spellEnd"/>
      <w:r w:rsidRPr="007A12AE">
        <w:rPr>
          <w:rFonts w:asciiTheme="majorHAnsi" w:hAnsiTheme="majorHAnsi" w:cs="Arial"/>
          <w:color w:val="auto"/>
          <w:sz w:val="16"/>
          <w:szCs w:val="16"/>
        </w:rPr>
        <w:t xml:space="preserve"> </w:t>
      </w:r>
      <w:proofErr w:type="spellStart"/>
      <w:r w:rsidRPr="007A12AE">
        <w:rPr>
          <w:rFonts w:asciiTheme="majorHAnsi" w:hAnsiTheme="majorHAnsi" w:cs="Arial"/>
          <w:color w:val="auto"/>
          <w:sz w:val="16"/>
          <w:szCs w:val="16"/>
        </w:rPr>
        <w:t>revisada</w:t>
      </w:r>
      <w:proofErr w:type="spellEnd"/>
      <w:r w:rsidRPr="007A12AE">
        <w:rPr>
          <w:rFonts w:asciiTheme="majorHAnsi" w:hAnsiTheme="majorHAnsi" w:cs="Arial"/>
          <w:color w:val="auto"/>
          <w:sz w:val="16"/>
          <w:szCs w:val="16"/>
        </w:rPr>
        <w:t>) (</w:t>
      </w:r>
      <w:proofErr w:type="spellStart"/>
      <w:r w:rsidRPr="007A12AE">
        <w:rPr>
          <w:rFonts w:asciiTheme="majorHAnsi" w:hAnsiTheme="majorHAnsi" w:cs="Arial"/>
          <w:color w:val="auto"/>
          <w:sz w:val="16"/>
          <w:szCs w:val="16"/>
        </w:rPr>
        <w:t>febrero</w:t>
      </w:r>
      <w:proofErr w:type="spellEnd"/>
      <w:r w:rsidRPr="007A12AE">
        <w:rPr>
          <w:rFonts w:asciiTheme="majorHAnsi" w:hAnsiTheme="majorHAnsi" w:cs="Arial"/>
          <w:color w:val="auto"/>
          <w:sz w:val="16"/>
          <w:szCs w:val="16"/>
        </w:rPr>
        <w:t xml:space="preserve"> de 2003), Guideline 10.7 – Investigation, 83.</w:t>
      </w:r>
    </w:p>
  </w:footnote>
  <w:footnote w:id="63">
    <w:p w14:paraId="70D3D755"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Escrito de apertura del apelante presentado al Tribunal Federal de Apelaciones para el Noveno Circuito. Apéndice 3, presentado con la petición original de la peticionaria el 19 de febrero de 2014, p. 34</w:t>
      </w:r>
    </w:p>
  </w:footnote>
  <w:footnote w:id="64">
    <w:p w14:paraId="09F8D28A"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w:t>
      </w:r>
      <w:r w:rsidRPr="00B4645B">
        <w:rPr>
          <w:rFonts w:asciiTheme="majorHAnsi" w:hAnsiTheme="majorHAnsi" w:cs="Arial"/>
          <w:sz w:val="16"/>
          <w:szCs w:val="16"/>
          <w:lang w:val="es-ES"/>
        </w:rPr>
        <w:t>CIDH. Informe No. 48/01, Caso 12.067. Michael Edwards y otros. Bahamas. 4 de abril de 2001, párr. 149.</w:t>
      </w:r>
    </w:p>
  </w:footnote>
  <w:footnote w:id="65">
    <w:p w14:paraId="29B1B8F3" w14:textId="77777777" w:rsidR="009206FF" w:rsidRPr="00B4645B" w:rsidRDefault="009206FF" w:rsidP="00953481">
      <w:pPr>
        <w:autoSpaceDE w:val="0"/>
        <w:autoSpaceDN w:val="0"/>
        <w:adjustRightInd w:val="0"/>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CIDH. Informe No. 53/13, Caso 12.864. </w:t>
      </w:r>
      <w:proofErr w:type="spellStart"/>
      <w:r w:rsidRPr="00B4645B">
        <w:rPr>
          <w:rFonts w:asciiTheme="majorHAnsi" w:hAnsiTheme="majorHAnsi"/>
          <w:sz w:val="16"/>
          <w:szCs w:val="16"/>
          <w:lang w:val="es-ES"/>
        </w:rPr>
        <w:t>Ivan</w:t>
      </w:r>
      <w:proofErr w:type="spellEnd"/>
      <w:r w:rsidRPr="00B4645B">
        <w:rPr>
          <w:rFonts w:asciiTheme="majorHAnsi" w:hAnsiTheme="majorHAnsi"/>
          <w:sz w:val="16"/>
          <w:szCs w:val="16"/>
          <w:lang w:val="es-ES"/>
        </w:rPr>
        <w:t xml:space="preserve"> </w:t>
      </w:r>
      <w:proofErr w:type="spellStart"/>
      <w:r w:rsidRPr="00B4645B">
        <w:rPr>
          <w:rFonts w:asciiTheme="majorHAnsi" w:hAnsiTheme="majorHAnsi"/>
          <w:sz w:val="16"/>
          <w:szCs w:val="16"/>
          <w:lang w:val="es-ES"/>
        </w:rPr>
        <w:t>Teleguz</w:t>
      </w:r>
      <w:proofErr w:type="spellEnd"/>
      <w:r w:rsidRPr="00B4645B">
        <w:rPr>
          <w:rFonts w:asciiTheme="majorHAnsi" w:hAnsiTheme="majorHAnsi"/>
          <w:sz w:val="16"/>
          <w:szCs w:val="16"/>
          <w:lang w:val="es-ES"/>
        </w:rPr>
        <w:t>. Estados Unidos. 15 de julio de 2013, párr. 101.</w:t>
      </w:r>
    </w:p>
  </w:footnote>
  <w:footnote w:id="66">
    <w:p w14:paraId="2210FA53"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CIDH. Informe No. 53/13, Caso 12.864. </w:t>
      </w:r>
      <w:proofErr w:type="spellStart"/>
      <w:r w:rsidRPr="00B4645B">
        <w:rPr>
          <w:rFonts w:asciiTheme="majorHAnsi" w:hAnsiTheme="majorHAnsi"/>
          <w:sz w:val="16"/>
          <w:szCs w:val="16"/>
          <w:lang w:val="es-ES"/>
        </w:rPr>
        <w:t>Ivan</w:t>
      </w:r>
      <w:proofErr w:type="spellEnd"/>
      <w:r w:rsidRPr="00B4645B">
        <w:rPr>
          <w:rFonts w:asciiTheme="majorHAnsi" w:hAnsiTheme="majorHAnsi"/>
          <w:sz w:val="16"/>
          <w:szCs w:val="16"/>
          <w:lang w:val="es-ES"/>
        </w:rPr>
        <w:t xml:space="preserve"> </w:t>
      </w:r>
      <w:proofErr w:type="spellStart"/>
      <w:r w:rsidRPr="00B4645B">
        <w:rPr>
          <w:rFonts w:asciiTheme="majorHAnsi" w:hAnsiTheme="majorHAnsi"/>
          <w:sz w:val="16"/>
          <w:szCs w:val="16"/>
          <w:lang w:val="es-ES"/>
        </w:rPr>
        <w:t>Teleguz</w:t>
      </w:r>
      <w:proofErr w:type="spellEnd"/>
      <w:r w:rsidRPr="00B4645B">
        <w:rPr>
          <w:rFonts w:asciiTheme="majorHAnsi" w:hAnsiTheme="majorHAnsi"/>
          <w:sz w:val="16"/>
          <w:szCs w:val="16"/>
          <w:lang w:val="es-ES"/>
        </w:rPr>
        <w:t>. Estados Unidos. 15 de julio de 2013, párr. 102.</w:t>
      </w:r>
    </w:p>
  </w:footnote>
  <w:footnote w:id="67">
    <w:p w14:paraId="006016E7"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953481">
        <w:rPr>
          <w:rFonts w:asciiTheme="majorHAnsi" w:hAnsiTheme="majorHAnsi"/>
          <w:sz w:val="16"/>
          <w:szCs w:val="16"/>
          <w:lang w:val="es-ES"/>
        </w:rPr>
        <w:t xml:space="preserve"> </w:t>
      </w:r>
      <w:proofErr w:type="spellStart"/>
      <w:r w:rsidRPr="00953481">
        <w:rPr>
          <w:rFonts w:asciiTheme="majorHAnsi" w:hAnsiTheme="majorHAnsi" w:cs="Arial"/>
          <w:i/>
          <w:sz w:val="16"/>
          <w:szCs w:val="16"/>
          <w:lang w:val="es-ES"/>
        </w:rPr>
        <w:t>Antiterrorism</w:t>
      </w:r>
      <w:proofErr w:type="spellEnd"/>
      <w:r w:rsidRPr="00953481">
        <w:rPr>
          <w:rFonts w:asciiTheme="majorHAnsi" w:hAnsiTheme="majorHAnsi" w:cs="Arial"/>
          <w:i/>
          <w:sz w:val="16"/>
          <w:szCs w:val="16"/>
          <w:lang w:val="es-ES"/>
        </w:rPr>
        <w:t xml:space="preserve"> and </w:t>
      </w:r>
      <w:proofErr w:type="spellStart"/>
      <w:r w:rsidRPr="00953481">
        <w:rPr>
          <w:rFonts w:asciiTheme="majorHAnsi" w:hAnsiTheme="majorHAnsi" w:cs="Arial"/>
          <w:i/>
          <w:sz w:val="16"/>
          <w:szCs w:val="16"/>
          <w:lang w:val="es-ES"/>
        </w:rPr>
        <w:t>Effective</w:t>
      </w:r>
      <w:proofErr w:type="spellEnd"/>
      <w:r w:rsidRPr="00953481">
        <w:rPr>
          <w:rFonts w:asciiTheme="majorHAnsi" w:hAnsiTheme="majorHAnsi" w:cs="Arial"/>
          <w:i/>
          <w:sz w:val="16"/>
          <w:szCs w:val="16"/>
          <w:lang w:val="es-ES"/>
        </w:rPr>
        <w:t xml:space="preserve"> </w:t>
      </w:r>
      <w:proofErr w:type="spellStart"/>
      <w:r w:rsidRPr="00953481">
        <w:rPr>
          <w:rFonts w:asciiTheme="majorHAnsi" w:hAnsiTheme="majorHAnsi" w:cs="Arial"/>
          <w:i/>
          <w:sz w:val="16"/>
          <w:szCs w:val="16"/>
          <w:lang w:val="es-ES"/>
        </w:rPr>
        <w:t>Death</w:t>
      </w:r>
      <w:proofErr w:type="spellEnd"/>
      <w:r w:rsidRPr="00953481">
        <w:rPr>
          <w:rFonts w:asciiTheme="majorHAnsi" w:hAnsiTheme="majorHAnsi" w:cs="Arial"/>
          <w:i/>
          <w:sz w:val="16"/>
          <w:szCs w:val="16"/>
          <w:lang w:val="es-ES"/>
        </w:rPr>
        <w:t xml:space="preserve"> </w:t>
      </w:r>
      <w:proofErr w:type="spellStart"/>
      <w:r w:rsidRPr="00953481">
        <w:rPr>
          <w:rFonts w:asciiTheme="majorHAnsi" w:hAnsiTheme="majorHAnsi" w:cs="Arial"/>
          <w:i/>
          <w:sz w:val="16"/>
          <w:szCs w:val="16"/>
          <w:lang w:val="es-ES"/>
        </w:rPr>
        <w:t>Penalty</w:t>
      </w:r>
      <w:proofErr w:type="spellEnd"/>
      <w:r w:rsidRPr="00953481">
        <w:rPr>
          <w:rFonts w:asciiTheme="majorHAnsi" w:hAnsiTheme="majorHAnsi" w:cs="Arial"/>
          <w:i/>
          <w:sz w:val="16"/>
          <w:szCs w:val="16"/>
          <w:lang w:val="es-ES"/>
        </w:rPr>
        <w:t xml:space="preserve"> </w:t>
      </w:r>
      <w:proofErr w:type="spellStart"/>
      <w:r w:rsidRPr="00953481">
        <w:rPr>
          <w:rFonts w:asciiTheme="majorHAnsi" w:hAnsiTheme="majorHAnsi" w:cs="Arial"/>
          <w:i/>
          <w:sz w:val="16"/>
          <w:szCs w:val="16"/>
          <w:lang w:val="es-ES"/>
        </w:rPr>
        <w:t>Act</w:t>
      </w:r>
      <w:proofErr w:type="spellEnd"/>
      <w:r w:rsidRPr="00953481">
        <w:rPr>
          <w:rFonts w:asciiTheme="majorHAnsi" w:hAnsiTheme="majorHAnsi" w:cs="Arial"/>
          <w:i/>
          <w:sz w:val="16"/>
          <w:szCs w:val="16"/>
          <w:lang w:val="es-ES"/>
        </w:rPr>
        <w:t xml:space="preserve"> of 1996: A </w:t>
      </w:r>
      <w:proofErr w:type="spellStart"/>
      <w:r w:rsidRPr="00953481">
        <w:rPr>
          <w:rFonts w:asciiTheme="majorHAnsi" w:hAnsiTheme="majorHAnsi" w:cs="Arial"/>
          <w:i/>
          <w:sz w:val="16"/>
          <w:szCs w:val="16"/>
          <w:lang w:val="es-ES"/>
        </w:rPr>
        <w:t>Summary</w:t>
      </w:r>
      <w:proofErr w:type="spellEnd"/>
      <w:r w:rsidRPr="00953481">
        <w:rPr>
          <w:rFonts w:asciiTheme="majorHAnsi" w:hAnsiTheme="majorHAnsi" w:cs="Arial"/>
          <w:sz w:val="16"/>
          <w:szCs w:val="16"/>
          <w:lang w:val="es-ES"/>
        </w:rPr>
        <w:t xml:space="preserve">. </w:t>
      </w:r>
      <w:r w:rsidRPr="00B4645B">
        <w:rPr>
          <w:rFonts w:asciiTheme="majorHAnsi" w:hAnsiTheme="majorHAnsi" w:cs="Arial"/>
          <w:sz w:val="16"/>
          <w:szCs w:val="16"/>
          <w:lang w:val="es-ES"/>
        </w:rPr>
        <w:t xml:space="preserve">Charles Doyle, Especialista Principal, División de Derecho Estadounidense, 3 de junio de 1996. Se encuentra en </w:t>
      </w:r>
      <w:hyperlink r:id="rId7" w:history="1">
        <w:r w:rsidRPr="00B4645B">
          <w:rPr>
            <w:rStyle w:val="Hyperlink"/>
            <w:rFonts w:asciiTheme="majorHAnsi" w:hAnsiTheme="majorHAnsi" w:cs="Arial"/>
            <w:sz w:val="16"/>
            <w:szCs w:val="16"/>
            <w:lang w:val="es-ES"/>
          </w:rPr>
          <w:t>http://www.fas.org/irp/crs/96-499.htm</w:t>
        </w:r>
      </w:hyperlink>
      <w:r w:rsidRPr="00B4645B">
        <w:rPr>
          <w:rFonts w:asciiTheme="majorHAnsi" w:hAnsiTheme="majorHAnsi" w:cs="Arial"/>
          <w:sz w:val="16"/>
          <w:szCs w:val="16"/>
          <w:lang w:val="es-ES"/>
        </w:rPr>
        <w:t>.</w:t>
      </w:r>
    </w:p>
  </w:footnote>
  <w:footnote w:id="68">
    <w:p w14:paraId="015B39BE" w14:textId="77777777" w:rsidR="009206FF" w:rsidRPr="00B4645B" w:rsidRDefault="009206FF" w:rsidP="00953481">
      <w:pPr>
        <w:pStyle w:val="NormalWeb"/>
        <w:spacing w:before="0" w:beforeAutospacing="0" w:after="0" w:afterAutospacing="0"/>
        <w:rPr>
          <w:rFonts w:asciiTheme="majorHAnsi" w:hAnsiTheme="majorHAnsi" w:cs="Arial"/>
          <w:sz w:val="16"/>
          <w:szCs w:val="16"/>
          <w:lang w:val="es-ES"/>
        </w:rPr>
      </w:pPr>
      <w:r w:rsidRPr="00B4645B">
        <w:rPr>
          <w:rStyle w:val="FootnoteReference"/>
          <w:rFonts w:asciiTheme="majorHAnsi" w:hAnsiTheme="majorHAnsi"/>
          <w:sz w:val="16"/>
          <w:szCs w:val="16"/>
          <w:lang w:val="es-ES"/>
        </w:rPr>
        <w:footnoteRef/>
      </w:r>
      <w:r w:rsidRPr="007A12AE">
        <w:rPr>
          <w:rFonts w:asciiTheme="majorHAnsi" w:hAnsiTheme="majorHAnsi"/>
          <w:sz w:val="16"/>
          <w:szCs w:val="16"/>
        </w:rPr>
        <w:t xml:space="preserve"> </w:t>
      </w:r>
      <w:r w:rsidRPr="007A12AE">
        <w:rPr>
          <w:rFonts w:asciiTheme="majorHAnsi" w:hAnsiTheme="majorHAnsi" w:cs="Arial"/>
          <w:i/>
          <w:sz w:val="16"/>
          <w:szCs w:val="16"/>
        </w:rPr>
        <w:t>Antiterrorism and Effective Death Penalty Act of 1996: A Summary</w:t>
      </w:r>
      <w:r w:rsidRPr="007A12AE">
        <w:rPr>
          <w:rFonts w:asciiTheme="majorHAnsi" w:hAnsiTheme="majorHAnsi" w:cs="Arial"/>
          <w:sz w:val="16"/>
          <w:szCs w:val="16"/>
        </w:rPr>
        <w:t xml:space="preserve">. </w:t>
      </w:r>
      <w:r w:rsidRPr="00B4645B">
        <w:rPr>
          <w:rFonts w:asciiTheme="majorHAnsi" w:hAnsiTheme="majorHAnsi" w:cs="Arial"/>
          <w:sz w:val="16"/>
          <w:szCs w:val="16"/>
          <w:lang w:val="es-ES"/>
        </w:rPr>
        <w:t xml:space="preserve">Charles Doyle, Especialista Principal, División de Derecho Estadounidense, 3 de junio de 1996. Se encuentra en </w:t>
      </w:r>
      <w:hyperlink r:id="rId8" w:history="1">
        <w:r w:rsidRPr="00B4645B">
          <w:rPr>
            <w:rStyle w:val="Hyperlink"/>
            <w:rFonts w:asciiTheme="majorHAnsi" w:hAnsiTheme="majorHAnsi" w:cs="Arial"/>
            <w:sz w:val="16"/>
            <w:szCs w:val="16"/>
            <w:lang w:val="es-ES"/>
          </w:rPr>
          <w:t>http://www.fas.org/irp/crs/96-499.htm</w:t>
        </w:r>
      </w:hyperlink>
      <w:r w:rsidRPr="00B4645B">
        <w:rPr>
          <w:rFonts w:asciiTheme="majorHAnsi" w:hAnsiTheme="majorHAnsi" w:cs="Arial"/>
          <w:sz w:val="16"/>
          <w:szCs w:val="16"/>
          <w:lang w:val="es-ES"/>
        </w:rPr>
        <w:t xml:space="preserve">. </w:t>
      </w:r>
    </w:p>
  </w:footnote>
  <w:footnote w:id="69">
    <w:p w14:paraId="23C2ECBE" w14:textId="77777777" w:rsidR="009206FF" w:rsidRPr="00B4645B" w:rsidRDefault="009206FF" w:rsidP="00953481">
      <w:pPr>
        <w:pStyle w:val="FootnoteText"/>
        <w:rPr>
          <w:sz w:val="16"/>
          <w:szCs w:val="16"/>
          <w:lang w:val="es-ES"/>
        </w:rPr>
      </w:pPr>
      <w:r w:rsidRPr="00B4645B">
        <w:rPr>
          <w:rStyle w:val="FootnoteReference"/>
          <w:rFonts w:asciiTheme="majorHAnsi" w:eastAsia="Times New Roman" w:hAnsiTheme="majorHAnsi"/>
          <w:color w:val="auto"/>
          <w:sz w:val="16"/>
          <w:szCs w:val="16"/>
          <w:bdr w:val="none" w:sz="0" w:space="0" w:color="auto"/>
          <w:lang w:val="es-ES"/>
        </w:rPr>
        <w:footnoteRef/>
      </w:r>
      <w:r w:rsidRPr="00B4645B">
        <w:rPr>
          <w:rStyle w:val="FootnoteReference"/>
          <w:rFonts w:asciiTheme="majorHAnsi" w:eastAsia="Times New Roman" w:hAnsiTheme="majorHAnsi"/>
          <w:color w:val="auto"/>
          <w:sz w:val="16"/>
          <w:szCs w:val="16"/>
          <w:bdr w:val="none" w:sz="0" w:space="0" w:color="auto"/>
          <w:lang w:val="es-ES"/>
        </w:rPr>
        <w:t xml:space="preserve"> </w:t>
      </w:r>
      <w:r w:rsidRPr="00B4645B">
        <w:rPr>
          <w:rFonts w:asciiTheme="majorHAnsi" w:hAnsiTheme="majorHAnsi"/>
          <w:sz w:val="16"/>
          <w:szCs w:val="16"/>
          <w:lang w:val="es-ES"/>
        </w:rPr>
        <w:t xml:space="preserve">CIDH. Informe No. 53/13, Caso 12.864. </w:t>
      </w:r>
      <w:proofErr w:type="spellStart"/>
      <w:r w:rsidRPr="00B4645B">
        <w:rPr>
          <w:rFonts w:asciiTheme="majorHAnsi" w:hAnsiTheme="majorHAnsi"/>
          <w:sz w:val="16"/>
          <w:szCs w:val="16"/>
          <w:lang w:val="es-ES"/>
        </w:rPr>
        <w:t>Ivan</w:t>
      </w:r>
      <w:proofErr w:type="spellEnd"/>
      <w:r w:rsidRPr="00B4645B">
        <w:rPr>
          <w:rFonts w:asciiTheme="majorHAnsi" w:hAnsiTheme="majorHAnsi"/>
          <w:sz w:val="16"/>
          <w:szCs w:val="16"/>
          <w:lang w:val="es-ES"/>
        </w:rPr>
        <w:t xml:space="preserve"> </w:t>
      </w:r>
      <w:proofErr w:type="spellStart"/>
      <w:r w:rsidRPr="00B4645B">
        <w:rPr>
          <w:rFonts w:asciiTheme="majorHAnsi" w:hAnsiTheme="majorHAnsi"/>
          <w:sz w:val="16"/>
          <w:szCs w:val="16"/>
          <w:lang w:val="es-ES"/>
        </w:rPr>
        <w:t>Teleguz</w:t>
      </w:r>
      <w:proofErr w:type="spellEnd"/>
      <w:r w:rsidRPr="00B4645B">
        <w:rPr>
          <w:rFonts w:asciiTheme="majorHAnsi" w:hAnsiTheme="majorHAnsi"/>
          <w:sz w:val="16"/>
          <w:szCs w:val="16"/>
          <w:lang w:val="es-ES"/>
        </w:rPr>
        <w:t xml:space="preserve">. Estados Unidos. 15 de julio de 2013, </w:t>
      </w:r>
      <w:proofErr w:type="spellStart"/>
      <w:r w:rsidRPr="00B4645B">
        <w:rPr>
          <w:rFonts w:asciiTheme="majorHAnsi" w:hAnsiTheme="majorHAnsi"/>
          <w:sz w:val="16"/>
          <w:szCs w:val="16"/>
          <w:lang w:val="es-ES"/>
        </w:rPr>
        <w:t>párrs</w:t>
      </w:r>
      <w:proofErr w:type="spellEnd"/>
      <w:r w:rsidRPr="00B4645B">
        <w:rPr>
          <w:rFonts w:asciiTheme="majorHAnsi" w:hAnsiTheme="majorHAnsi"/>
          <w:sz w:val="16"/>
          <w:szCs w:val="16"/>
          <w:lang w:val="es-ES"/>
        </w:rPr>
        <w:t>. 109 y 110.</w:t>
      </w:r>
    </w:p>
  </w:footnote>
  <w:footnote w:id="70">
    <w:p w14:paraId="0800F826"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CIDH. Informe No. 53/13, Caso 12.864. </w:t>
      </w:r>
      <w:proofErr w:type="spellStart"/>
      <w:r w:rsidRPr="00B4645B">
        <w:rPr>
          <w:rFonts w:asciiTheme="majorHAnsi" w:hAnsiTheme="majorHAnsi"/>
          <w:sz w:val="16"/>
          <w:szCs w:val="16"/>
          <w:lang w:val="es-ES"/>
        </w:rPr>
        <w:t>Ivan</w:t>
      </w:r>
      <w:proofErr w:type="spellEnd"/>
      <w:r w:rsidRPr="00B4645B">
        <w:rPr>
          <w:rFonts w:asciiTheme="majorHAnsi" w:hAnsiTheme="majorHAnsi"/>
          <w:sz w:val="16"/>
          <w:szCs w:val="16"/>
          <w:lang w:val="es-ES"/>
        </w:rPr>
        <w:t xml:space="preserve"> </w:t>
      </w:r>
      <w:proofErr w:type="spellStart"/>
      <w:r w:rsidRPr="00B4645B">
        <w:rPr>
          <w:rFonts w:asciiTheme="majorHAnsi" w:hAnsiTheme="majorHAnsi"/>
          <w:sz w:val="16"/>
          <w:szCs w:val="16"/>
          <w:lang w:val="es-ES"/>
        </w:rPr>
        <w:t>Teleguz</w:t>
      </w:r>
      <w:proofErr w:type="spellEnd"/>
      <w:r w:rsidRPr="00B4645B">
        <w:rPr>
          <w:rFonts w:asciiTheme="majorHAnsi" w:hAnsiTheme="majorHAnsi"/>
          <w:sz w:val="16"/>
          <w:szCs w:val="16"/>
          <w:lang w:val="es-ES"/>
        </w:rPr>
        <w:t xml:space="preserve">. Estados Unidos. 15 de julio de 2013, </w:t>
      </w:r>
      <w:proofErr w:type="spellStart"/>
      <w:r w:rsidRPr="00B4645B">
        <w:rPr>
          <w:rFonts w:asciiTheme="majorHAnsi" w:hAnsiTheme="majorHAnsi"/>
          <w:sz w:val="16"/>
          <w:szCs w:val="16"/>
          <w:lang w:val="es-ES"/>
        </w:rPr>
        <w:t>párrs</w:t>
      </w:r>
      <w:proofErr w:type="spellEnd"/>
      <w:r w:rsidRPr="00B4645B">
        <w:rPr>
          <w:rFonts w:asciiTheme="majorHAnsi" w:hAnsiTheme="majorHAnsi"/>
          <w:sz w:val="16"/>
          <w:szCs w:val="16"/>
          <w:lang w:val="es-ES"/>
        </w:rPr>
        <w:t>. 112 y 113.</w:t>
      </w:r>
    </w:p>
  </w:footnote>
  <w:footnote w:id="71">
    <w:p w14:paraId="283C8EAA" w14:textId="77777777" w:rsidR="009206FF" w:rsidRPr="007A12AE" w:rsidRDefault="009206FF" w:rsidP="00953481">
      <w:pPr>
        <w:pStyle w:val="FootnoteText"/>
        <w:rPr>
          <w:sz w:val="16"/>
          <w:szCs w:val="16"/>
        </w:rPr>
      </w:pPr>
      <w:r w:rsidRPr="00B4645B">
        <w:rPr>
          <w:rStyle w:val="FootnoteReference"/>
          <w:rFonts w:asciiTheme="majorHAnsi" w:hAnsiTheme="majorHAnsi"/>
          <w:sz w:val="16"/>
          <w:szCs w:val="16"/>
          <w:lang w:val="es-ES"/>
        </w:rPr>
        <w:footnoteRef/>
      </w:r>
      <w:r w:rsidRPr="00EF72C2">
        <w:rPr>
          <w:rStyle w:val="FootnoteReference"/>
          <w:rFonts w:asciiTheme="majorHAnsi" w:hAnsiTheme="majorHAnsi"/>
          <w:sz w:val="16"/>
          <w:szCs w:val="16"/>
          <w:lang w:val="es-US"/>
        </w:rPr>
        <w:t xml:space="preserve"> </w:t>
      </w:r>
      <w:r w:rsidRPr="00EF72C2">
        <w:rPr>
          <w:rFonts w:asciiTheme="majorHAnsi" w:hAnsiTheme="majorHAnsi"/>
          <w:sz w:val="16"/>
          <w:szCs w:val="16"/>
          <w:lang w:val="es-US"/>
        </w:rPr>
        <w:t xml:space="preserve">CIDH. Informe No. 24/17, Caso 12.254. Fondo. </w:t>
      </w:r>
      <w:proofErr w:type="spellStart"/>
      <w:r w:rsidRPr="00EF72C2">
        <w:rPr>
          <w:rFonts w:asciiTheme="majorHAnsi" w:hAnsiTheme="majorHAnsi"/>
          <w:sz w:val="16"/>
          <w:szCs w:val="16"/>
          <w:lang w:val="es-US"/>
        </w:rPr>
        <w:t>Victor</w:t>
      </w:r>
      <w:proofErr w:type="spellEnd"/>
      <w:r w:rsidRPr="00EF72C2">
        <w:rPr>
          <w:rFonts w:asciiTheme="majorHAnsi" w:hAnsiTheme="majorHAnsi"/>
          <w:sz w:val="16"/>
          <w:szCs w:val="16"/>
          <w:lang w:val="es-US"/>
        </w:rPr>
        <w:t xml:space="preserve"> Saldaño. Estados Unidos. </w:t>
      </w:r>
      <w:r w:rsidRPr="007A12AE">
        <w:rPr>
          <w:rFonts w:asciiTheme="majorHAnsi" w:hAnsiTheme="majorHAnsi"/>
          <w:sz w:val="16"/>
          <w:szCs w:val="16"/>
        </w:rPr>
        <w:t xml:space="preserve">18 de </w:t>
      </w:r>
      <w:proofErr w:type="spellStart"/>
      <w:r w:rsidRPr="007A12AE">
        <w:rPr>
          <w:rFonts w:asciiTheme="majorHAnsi" w:hAnsiTheme="majorHAnsi"/>
          <w:sz w:val="16"/>
          <w:szCs w:val="16"/>
        </w:rPr>
        <w:t>marzo</w:t>
      </w:r>
      <w:proofErr w:type="spellEnd"/>
      <w:r w:rsidRPr="007A12AE">
        <w:rPr>
          <w:rFonts w:asciiTheme="majorHAnsi" w:hAnsiTheme="majorHAnsi"/>
          <w:sz w:val="16"/>
          <w:szCs w:val="16"/>
        </w:rPr>
        <w:t xml:space="preserve"> de 2017, </w:t>
      </w:r>
      <w:proofErr w:type="spellStart"/>
      <w:r w:rsidRPr="007A12AE">
        <w:rPr>
          <w:rFonts w:asciiTheme="majorHAnsi" w:hAnsiTheme="majorHAnsi"/>
          <w:sz w:val="16"/>
          <w:szCs w:val="16"/>
        </w:rPr>
        <w:t>párr</w:t>
      </w:r>
      <w:proofErr w:type="spellEnd"/>
      <w:r w:rsidRPr="007A12AE">
        <w:rPr>
          <w:rFonts w:asciiTheme="majorHAnsi" w:hAnsiTheme="majorHAnsi"/>
          <w:sz w:val="16"/>
          <w:szCs w:val="16"/>
        </w:rPr>
        <w:t>. 227.</w:t>
      </w:r>
    </w:p>
  </w:footnote>
  <w:footnote w:id="72">
    <w:p w14:paraId="3639E6D3" w14:textId="77777777" w:rsidR="009206FF" w:rsidRPr="00EF72C2" w:rsidRDefault="009206FF" w:rsidP="00953481">
      <w:pPr>
        <w:pStyle w:val="FootnoteText"/>
        <w:rPr>
          <w:rFonts w:asciiTheme="majorHAnsi" w:hAnsiTheme="majorHAnsi"/>
          <w:sz w:val="16"/>
          <w:szCs w:val="16"/>
          <w:lang w:val="es-US"/>
        </w:rPr>
      </w:pPr>
      <w:r w:rsidRPr="00B4645B">
        <w:rPr>
          <w:rStyle w:val="FootnoteReference"/>
          <w:rFonts w:asciiTheme="majorHAnsi" w:hAnsiTheme="majorHAnsi"/>
          <w:color w:val="auto"/>
          <w:sz w:val="16"/>
          <w:szCs w:val="16"/>
          <w:lang w:val="es-ES"/>
        </w:rPr>
        <w:footnoteRef/>
      </w:r>
      <w:r w:rsidRPr="007A12AE">
        <w:rPr>
          <w:rStyle w:val="FootnoteReference"/>
          <w:rFonts w:asciiTheme="majorHAnsi" w:hAnsiTheme="majorHAnsi"/>
          <w:color w:val="auto"/>
          <w:sz w:val="16"/>
          <w:szCs w:val="16"/>
        </w:rPr>
        <w:t xml:space="preserve"> </w:t>
      </w:r>
      <w:r w:rsidRPr="007A12AE">
        <w:rPr>
          <w:rFonts w:asciiTheme="majorHAnsi" w:hAnsiTheme="majorHAnsi"/>
          <w:color w:val="auto"/>
          <w:sz w:val="16"/>
          <w:szCs w:val="16"/>
        </w:rPr>
        <w:t xml:space="preserve">IACHR. </w:t>
      </w:r>
      <w:r w:rsidRPr="007A12AE">
        <w:rPr>
          <w:rFonts w:asciiTheme="majorHAnsi" w:hAnsiTheme="majorHAnsi"/>
          <w:i/>
          <w:color w:val="auto"/>
          <w:sz w:val="16"/>
          <w:szCs w:val="16"/>
        </w:rPr>
        <w:t>Application of the Inter-American Commission on Human Rights before the Inter-American Court of Human Rights in the Case of Hilaire v. Trinidad and Tobago</w:t>
      </w:r>
      <w:r w:rsidRPr="007A12AE">
        <w:rPr>
          <w:rFonts w:asciiTheme="majorHAnsi" w:hAnsiTheme="majorHAnsi"/>
          <w:color w:val="auto"/>
          <w:sz w:val="16"/>
          <w:szCs w:val="16"/>
        </w:rPr>
        <w:t xml:space="preserve">. </w:t>
      </w:r>
      <w:r w:rsidRPr="00EF72C2">
        <w:rPr>
          <w:rFonts w:asciiTheme="majorHAnsi" w:hAnsiTheme="majorHAnsi"/>
          <w:color w:val="auto"/>
          <w:sz w:val="16"/>
          <w:szCs w:val="16"/>
          <w:lang w:val="es-US"/>
        </w:rPr>
        <w:t>25 de mayo de 1999, p. 45; CIDH. Informe No. 130/17, Caso 13.044. Fondo. Gustavo Francisco Petro Urrego. Colombia. 25 de octubre de 2017, párr. 138.</w:t>
      </w:r>
    </w:p>
  </w:footnote>
  <w:footnote w:id="73">
    <w:p w14:paraId="66590909"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EF72C2">
        <w:rPr>
          <w:rFonts w:asciiTheme="majorHAnsi" w:hAnsiTheme="majorHAnsi"/>
          <w:sz w:val="16"/>
          <w:szCs w:val="16"/>
          <w:lang w:val="es-US"/>
        </w:rPr>
        <w:t xml:space="preserve"> CIDH. Informe</w:t>
      </w:r>
      <w:r w:rsidRPr="00EF72C2">
        <w:rPr>
          <w:rFonts w:asciiTheme="majorHAnsi" w:hAnsiTheme="majorHAnsi"/>
          <w:color w:val="auto"/>
          <w:sz w:val="16"/>
          <w:szCs w:val="16"/>
          <w:lang w:val="es-US"/>
        </w:rPr>
        <w:t xml:space="preserve"> No. 53/13, Caso 12.864. </w:t>
      </w:r>
      <w:r w:rsidRPr="00B4645B">
        <w:rPr>
          <w:rFonts w:asciiTheme="majorHAnsi" w:hAnsiTheme="majorHAnsi"/>
          <w:color w:val="auto"/>
          <w:sz w:val="16"/>
          <w:szCs w:val="16"/>
          <w:lang w:val="es-ES"/>
        </w:rPr>
        <w:t xml:space="preserve">Fondo (Publicación). </w:t>
      </w:r>
      <w:proofErr w:type="spellStart"/>
      <w:r w:rsidRPr="00B4645B">
        <w:rPr>
          <w:rFonts w:asciiTheme="majorHAnsi" w:hAnsiTheme="majorHAnsi"/>
          <w:color w:val="auto"/>
          <w:sz w:val="16"/>
          <w:szCs w:val="16"/>
          <w:lang w:val="es-ES"/>
        </w:rPr>
        <w:t>Ivan</w:t>
      </w:r>
      <w:proofErr w:type="spellEnd"/>
      <w:r w:rsidRPr="00B4645B">
        <w:rPr>
          <w:rFonts w:asciiTheme="majorHAnsi" w:hAnsiTheme="majorHAnsi"/>
          <w:color w:val="auto"/>
          <w:sz w:val="16"/>
          <w:szCs w:val="16"/>
          <w:lang w:val="es-ES"/>
        </w:rPr>
        <w:t xml:space="preserve"> </w:t>
      </w:r>
      <w:proofErr w:type="spellStart"/>
      <w:r w:rsidRPr="00B4645B">
        <w:rPr>
          <w:rFonts w:asciiTheme="majorHAnsi" w:hAnsiTheme="majorHAnsi"/>
          <w:color w:val="auto"/>
          <w:sz w:val="16"/>
          <w:szCs w:val="16"/>
          <w:lang w:val="es-ES"/>
        </w:rPr>
        <w:t>Teleguz</w:t>
      </w:r>
      <w:proofErr w:type="spellEnd"/>
      <w:r w:rsidRPr="00B4645B">
        <w:rPr>
          <w:rFonts w:asciiTheme="majorHAnsi" w:hAnsiTheme="majorHAnsi"/>
          <w:color w:val="auto"/>
          <w:sz w:val="16"/>
          <w:szCs w:val="16"/>
          <w:lang w:val="es-ES"/>
        </w:rPr>
        <w:t>. Estados Unidos, 15 de julio de 2013</w:t>
      </w:r>
      <w:r w:rsidRPr="00B4645B">
        <w:rPr>
          <w:rFonts w:asciiTheme="majorHAnsi" w:hAnsiTheme="majorHAnsi" w:cs="Arial"/>
          <w:sz w:val="16"/>
          <w:szCs w:val="16"/>
          <w:lang w:val="es-ES"/>
        </w:rPr>
        <w:t>, párr. 116.</w:t>
      </w:r>
    </w:p>
  </w:footnote>
  <w:footnote w:id="74">
    <w:p w14:paraId="00BC9D0D" w14:textId="77777777" w:rsidR="009206FF" w:rsidRPr="00B4645B" w:rsidRDefault="009206FF" w:rsidP="00953481">
      <w:pPr>
        <w:pStyle w:val="FootnoteText"/>
        <w:rPr>
          <w:rFonts w:asciiTheme="majorHAnsi" w:hAnsiTheme="majorHAnsi"/>
          <w:color w:val="auto"/>
          <w:sz w:val="16"/>
          <w:szCs w:val="16"/>
          <w:lang w:val="es-ES"/>
        </w:rPr>
      </w:pPr>
      <w:r w:rsidRPr="00B4645B">
        <w:rPr>
          <w:rStyle w:val="FootnoteReference"/>
          <w:rFonts w:asciiTheme="majorHAnsi" w:hAnsiTheme="majorHAnsi"/>
          <w:sz w:val="16"/>
          <w:szCs w:val="16"/>
          <w:lang w:val="es-ES"/>
        </w:rPr>
        <w:footnoteRef/>
      </w:r>
      <w:r w:rsidRPr="00B4645B">
        <w:rPr>
          <w:rStyle w:val="FootnoteReference"/>
          <w:rFonts w:asciiTheme="majorHAnsi" w:hAnsiTheme="majorHAnsi"/>
          <w:sz w:val="16"/>
          <w:szCs w:val="16"/>
          <w:lang w:val="es-ES"/>
        </w:rPr>
        <w:t xml:space="preserve"> </w:t>
      </w:r>
      <w:r w:rsidRPr="00B4645B">
        <w:rPr>
          <w:rFonts w:asciiTheme="majorHAnsi" w:hAnsiTheme="majorHAnsi"/>
          <w:sz w:val="16"/>
          <w:szCs w:val="16"/>
          <w:lang w:val="es-ES"/>
        </w:rPr>
        <w:t>El artículo</w:t>
      </w:r>
      <w:r w:rsidRPr="00B4645B">
        <w:rPr>
          <w:rFonts w:asciiTheme="majorHAnsi" w:hAnsiTheme="majorHAnsi"/>
          <w:color w:val="auto"/>
          <w:sz w:val="16"/>
          <w:szCs w:val="16"/>
          <w:lang w:val="es-ES"/>
        </w:rPr>
        <w:t xml:space="preserve"> I de la Declaración Americana dice: “Todo ser humano tiene derecho a la vida, a la libertad y a la seguridad de su persona”.</w:t>
      </w:r>
    </w:p>
    <w:p w14:paraId="5EE1BC16" w14:textId="77777777" w:rsidR="009206FF" w:rsidRPr="00B4645B" w:rsidRDefault="009206FF" w:rsidP="00953481">
      <w:pPr>
        <w:pStyle w:val="FootnoteText"/>
        <w:rPr>
          <w:sz w:val="16"/>
          <w:szCs w:val="16"/>
          <w:lang w:val="es-ES"/>
        </w:rPr>
      </w:pPr>
      <w:r w:rsidRPr="00B4645B">
        <w:rPr>
          <w:rFonts w:asciiTheme="majorHAnsi" w:hAnsiTheme="majorHAnsi"/>
          <w:color w:val="auto"/>
          <w:sz w:val="16"/>
          <w:szCs w:val="16"/>
          <w:lang w:val="es-ES"/>
        </w:rPr>
        <w:t>El artículo XXV de la Declaración Americana dice: “[…] Todo individuo que haya sido privado de su libertad tiene derecho […]</w:t>
      </w:r>
      <w:r>
        <w:rPr>
          <w:rFonts w:asciiTheme="majorHAnsi" w:hAnsiTheme="majorHAnsi"/>
          <w:color w:val="auto"/>
          <w:sz w:val="16"/>
          <w:szCs w:val="16"/>
          <w:lang w:val="es-ES"/>
        </w:rPr>
        <w:t xml:space="preserve"> a</w:t>
      </w:r>
      <w:r w:rsidRPr="00B4645B">
        <w:rPr>
          <w:rFonts w:asciiTheme="majorHAnsi" w:hAnsiTheme="majorHAnsi"/>
          <w:color w:val="auto"/>
          <w:sz w:val="16"/>
          <w:szCs w:val="16"/>
          <w:lang w:val="es-ES"/>
        </w:rPr>
        <w:t xml:space="preserve"> un tratamiento humano durante la privación de su libertad”.</w:t>
      </w:r>
    </w:p>
  </w:footnote>
  <w:footnote w:id="75">
    <w:p w14:paraId="14F972F6" w14:textId="77777777" w:rsidR="009206FF" w:rsidRPr="00B4645B" w:rsidRDefault="009206FF" w:rsidP="00953481">
      <w:pPr>
        <w:pStyle w:val="FootnoteText"/>
        <w:rPr>
          <w:sz w:val="16"/>
          <w:szCs w:val="16"/>
          <w:lang w:val="es-ES"/>
        </w:rPr>
      </w:pPr>
      <w:r w:rsidRPr="00B4645B">
        <w:rPr>
          <w:rStyle w:val="FootnoteReference"/>
          <w:rFonts w:asciiTheme="majorHAnsi" w:eastAsia="Arial Unicode MS" w:hAnsiTheme="majorHAnsi"/>
          <w:color w:val="auto"/>
          <w:sz w:val="16"/>
          <w:szCs w:val="16"/>
          <w:lang w:val="es-ES"/>
        </w:rPr>
        <w:footnoteRef/>
      </w:r>
      <w:r w:rsidRPr="00B4645B">
        <w:rPr>
          <w:rStyle w:val="FootnoteReference"/>
          <w:rFonts w:asciiTheme="majorHAnsi" w:eastAsia="Arial Unicode MS" w:hAnsiTheme="majorHAnsi"/>
          <w:color w:val="auto"/>
          <w:sz w:val="16"/>
          <w:szCs w:val="16"/>
          <w:lang w:val="es-ES"/>
        </w:rPr>
        <w:t xml:space="preserve"> </w:t>
      </w:r>
      <w:r w:rsidRPr="00B4645B">
        <w:rPr>
          <w:rFonts w:asciiTheme="majorHAnsi" w:eastAsia="Arial Unicode MS" w:hAnsiTheme="majorHAnsi"/>
          <w:color w:val="auto"/>
          <w:sz w:val="16"/>
          <w:szCs w:val="16"/>
          <w:lang w:val="es-ES" w:eastAsia="en-US"/>
        </w:rPr>
        <w:t xml:space="preserve">El artículo </w:t>
      </w:r>
      <w:r w:rsidRPr="00B4645B">
        <w:rPr>
          <w:rFonts w:asciiTheme="majorHAnsi" w:hAnsiTheme="majorHAnsi"/>
          <w:color w:val="auto"/>
          <w:sz w:val="16"/>
          <w:szCs w:val="16"/>
          <w:lang w:val="es-ES"/>
        </w:rPr>
        <w:t>XI de la Declaración Americana dice: “Toda persona tiene derecho a que su salud sea preservada por medidas sanitarias y sociales, relativas a la alimentación, el vestido, la vivienda y la asistencia médica, correspondientes al nivel que permitan los recursos públicos y los de la comunidad”.</w:t>
      </w:r>
    </w:p>
  </w:footnote>
  <w:footnote w:id="76">
    <w:p w14:paraId="40BBF393" w14:textId="77777777" w:rsidR="009206FF" w:rsidRPr="00B4645B" w:rsidRDefault="009206FF" w:rsidP="00953481">
      <w:pPr>
        <w:pStyle w:val="FootnoteText"/>
        <w:rPr>
          <w:rFonts w:asciiTheme="majorHAnsi" w:hAnsiTheme="majorHAnsi"/>
          <w:sz w:val="16"/>
          <w:szCs w:val="16"/>
          <w:bdr w:val="none" w:sz="0" w:space="0" w:color="auto"/>
          <w:lang w:val="es-ES"/>
        </w:rPr>
      </w:pPr>
      <w:r w:rsidRPr="00B4645B">
        <w:rPr>
          <w:rStyle w:val="FootnoteReference"/>
          <w:rFonts w:asciiTheme="majorHAnsi" w:eastAsia="Arial Unicode MS" w:hAnsiTheme="majorHAnsi"/>
          <w:color w:val="auto"/>
          <w:sz w:val="16"/>
          <w:szCs w:val="16"/>
          <w:lang w:val="es-ES"/>
        </w:rPr>
        <w:footnoteRef/>
      </w:r>
      <w:r w:rsidRPr="00B4645B">
        <w:rPr>
          <w:rStyle w:val="FootnoteReference"/>
          <w:rFonts w:asciiTheme="majorHAnsi" w:eastAsia="Arial Unicode MS" w:hAnsiTheme="majorHAnsi"/>
          <w:color w:val="auto"/>
          <w:sz w:val="16"/>
          <w:szCs w:val="16"/>
          <w:lang w:val="es-ES"/>
        </w:rPr>
        <w:t xml:space="preserve"> </w:t>
      </w:r>
      <w:r w:rsidRPr="00B4645B">
        <w:rPr>
          <w:rFonts w:asciiTheme="majorHAnsi" w:hAnsiTheme="majorHAnsi"/>
          <w:color w:val="auto"/>
          <w:sz w:val="16"/>
          <w:szCs w:val="16"/>
          <w:lang w:val="es-ES"/>
        </w:rPr>
        <w:t>CIDH. Informe No. 44/14, Caso 12.873. Fondo (Publicación). Edgar Tamayo Arias. Estados Unidos. 17 de julio de 2014, párr. 152.</w:t>
      </w:r>
    </w:p>
  </w:footnote>
  <w:footnote w:id="77">
    <w:p w14:paraId="057C2EB0" w14:textId="77777777" w:rsidR="009206FF" w:rsidRPr="00B4645B" w:rsidRDefault="009206FF" w:rsidP="00953481">
      <w:pPr>
        <w:pStyle w:val="FootnoteText"/>
        <w:rPr>
          <w:rFonts w:asciiTheme="majorHAnsi" w:hAnsiTheme="majorHAnsi"/>
          <w:sz w:val="16"/>
          <w:szCs w:val="16"/>
          <w:lang w:val="es-ES"/>
        </w:rPr>
      </w:pPr>
      <w:r w:rsidRPr="00B4645B">
        <w:rPr>
          <w:rStyle w:val="FootnoteReference"/>
          <w:rFonts w:asciiTheme="majorHAnsi" w:hAnsiTheme="majorHAnsi"/>
          <w:sz w:val="16"/>
          <w:szCs w:val="16"/>
          <w:lang w:val="es-ES"/>
        </w:rPr>
        <w:footnoteRef/>
      </w:r>
      <w:r w:rsidRPr="00B4645B">
        <w:rPr>
          <w:rFonts w:asciiTheme="majorHAnsi" w:hAnsiTheme="majorHAnsi"/>
          <w:sz w:val="16"/>
          <w:szCs w:val="16"/>
          <w:lang w:val="es-ES"/>
        </w:rPr>
        <w:t xml:space="preserve"> </w:t>
      </w:r>
      <w:r w:rsidRPr="00B4645B">
        <w:rPr>
          <w:rFonts w:asciiTheme="majorHAnsi" w:hAnsiTheme="majorHAnsi"/>
          <w:color w:val="auto"/>
          <w:sz w:val="16"/>
          <w:szCs w:val="16"/>
          <w:lang w:val="es-ES"/>
        </w:rPr>
        <w:t>CIDH. Informe No. 44/14, Caso 12.873. Fondo (Publicación). Edgar Tamayo Arias. Estados Unidos. 17 de julio de 2014, párr. 159.</w:t>
      </w:r>
    </w:p>
  </w:footnote>
  <w:footnote w:id="78">
    <w:p w14:paraId="0817D914"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Comité de Derechos Humanos. </w:t>
      </w:r>
      <w:proofErr w:type="spellStart"/>
      <w:r w:rsidRPr="00B4645B">
        <w:rPr>
          <w:rFonts w:ascii="Cambria" w:hAnsi="Cambria"/>
          <w:sz w:val="16"/>
          <w:szCs w:val="16"/>
          <w:lang w:val="es-ES"/>
        </w:rPr>
        <w:t>Sahadath</w:t>
      </w:r>
      <w:proofErr w:type="spellEnd"/>
      <w:r w:rsidRPr="00B4645B">
        <w:rPr>
          <w:rFonts w:ascii="Cambria" w:hAnsi="Cambria"/>
          <w:sz w:val="16"/>
          <w:szCs w:val="16"/>
          <w:lang w:val="es-ES"/>
        </w:rPr>
        <w:t xml:space="preserve"> v. Trinidad y </w:t>
      </w:r>
      <w:proofErr w:type="spellStart"/>
      <w:r w:rsidRPr="00B4645B">
        <w:rPr>
          <w:rFonts w:ascii="Cambria" w:hAnsi="Cambria"/>
          <w:sz w:val="16"/>
          <w:szCs w:val="16"/>
          <w:lang w:val="es-ES"/>
        </w:rPr>
        <w:t>Tabago</w:t>
      </w:r>
      <w:proofErr w:type="spellEnd"/>
      <w:r>
        <w:rPr>
          <w:rFonts w:ascii="Cambria" w:hAnsi="Cambria"/>
          <w:sz w:val="16"/>
          <w:szCs w:val="16"/>
          <w:lang w:val="es-ES"/>
        </w:rPr>
        <w:t>.</w:t>
      </w:r>
      <w:r w:rsidRPr="00B4645B">
        <w:rPr>
          <w:rFonts w:ascii="Cambria" w:hAnsi="Cambria"/>
          <w:sz w:val="16"/>
          <w:szCs w:val="16"/>
          <w:lang w:val="es-ES"/>
        </w:rPr>
        <w:t xml:space="preserve"> Comunicación No. 684/1996, 2 de abril de 2002, </w:t>
      </w:r>
      <w:r w:rsidRPr="00B4645B">
        <w:rPr>
          <w:rFonts w:ascii="Cambria" w:hAnsi="Cambria" w:cs="TTE27CA0E8t00"/>
          <w:sz w:val="16"/>
          <w:szCs w:val="16"/>
          <w:lang w:val="es-ES"/>
        </w:rPr>
        <w:t>CCPR/C/74/D/684/1996, párr. 7.2.</w:t>
      </w:r>
    </w:p>
  </w:footnote>
  <w:footnote w:id="79">
    <w:p w14:paraId="15EF7E27"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w:t>
      </w:r>
      <w:hyperlink r:id="rId9" w:history="1">
        <w:r w:rsidRPr="00B4645B">
          <w:rPr>
            <w:rStyle w:val="Hyperlink"/>
            <w:rFonts w:ascii="Cambria" w:hAnsi="Cambria"/>
            <w:i/>
            <w:sz w:val="16"/>
            <w:szCs w:val="16"/>
            <w:lang w:val="es-ES"/>
          </w:rPr>
          <w:t>Salvaguardias para garantizar la protección de los derechos de los condenados a la pena de muerte</w:t>
        </w:r>
      </w:hyperlink>
      <w:r w:rsidRPr="00B4645B">
        <w:rPr>
          <w:rFonts w:ascii="Cambria" w:hAnsi="Cambria"/>
          <w:sz w:val="16"/>
          <w:szCs w:val="16"/>
          <w:lang w:val="es-ES"/>
        </w:rPr>
        <w:t xml:space="preserve">, E.S.C. res. 1984/50, anexo, 1984 U.N. ESCOR </w:t>
      </w:r>
      <w:proofErr w:type="spellStart"/>
      <w:r w:rsidRPr="00B4645B">
        <w:rPr>
          <w:rFonts w:ascii="Cambria" w:hAnsi="Cambria"/>
          <w:sz w:val="16"/>
          <w:szCs w:val="16"/>
          <w:lang w:val="es-ES"/>
        </w:rPr>
        <w:t>Supp</w:t>
      </w:r>
      <w:proofErr w:type="spellEnd"/>
      <w:r w:rsidRPr="00B4645B">
        <w:rPr>
          <w:rFonts w:ascii="Cambria" w:hAnsi="Cambria"/>
          <w:sz w:val="16"/>
          <w:szCs w:val="16"/>
          <w:lang w:val="es-ES"/>
        </w:rPr>
        <w:t>. (No. 1), párr. 3, Doc. E/1984/84 (1984).</w:t>
      </w:r>
    </w:p>
  </w:footnote>
  <w:footnote w:id="80">
    <w:p w14:paraId="1FC76640"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Naciones Unidas. Comisión de Derechos Humanos. </w:t>
      </w:r>
      <w:r w:rsidRPr="00B4645B">
        <w:rPr>
          <w:rFonts w:ascii="Cambria" w:hAnsi="Cambria"/>
          <w:i/>
          <w:sz w:val="16"/>
          <w:szCs w:val="16"/>
          <w:lang w:val="es-ES"/>
        </w:rPr>
        <w:t>Promoción y protección de los derechos humanos. La cuestión de la pena de muerte</w:t>
      </w:r>
      <w:r w:rsidRPr="00B4645B">
        <w:rPr>
          <w:rFonts w:ascii="Cambria" w:hAnsi="Cambria"/>
          <w:sz w:val="16"/>
          <w:szCs w:val="16"/>
          <w:lang w:val="es-ES"/>
        </w:rPr>
        <w:t xml:space="preserve">. E/CN4/2005/L.77, 14 de abril de 2005, párr. 7(c). </w:t>
      </w:r>
    </w:p>
  </w:footnote>
  <w:footnote w:id="81">
    <w:p w14:paraId="3FAA750D" w14:textId="77777777" w:rsidR="009206FF" w:rsidRPr="007A12AE" w:rsidRDefault="009206FF" w:rsidP="00953481">
      <w:pPr>
        <w:pStyle w:val="FootnoteText"/>
        <w:rPr>
          <w:rFonts w:ascii="Cambria" w:hAnsi="Cambria"/>
          <w:sz w:val="16"/>
          <w:szCs w:val="16"/>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w:t>
      </w:r>
      <w:r>
        <w:rPr>
          <w:rFonts w:ascii="Cambria" w:hAnsi="Cambria"/>
          <w:sz w:val="16"/>
          <w:szCs w:val="16"/>
          <w:lang w:val="es-ES"/>
        </w:rPr>
        <w:t xml:space="preserve">Naciones Unidas. Asamblea General. </w:t>
      </w:r>
      <w:hyperlink r:id="rId10" w:history="1">
        <w:r w:rsidRPr="00B4645B">
          <w:rPr>
            <w:rStyle w:val="Hyperlink"/>
            <w:rFonts w:ascii="Cambria" w:hAnsi="Cambria"/>
            <w:i/>
            <w:sz w:val="16"/>
            <w:szCs w:val="16"/>
            <w:lang w:val="es-ES"/>
          </w:rPr>
          <w:t>Informe provisional del Relator Especial sobre la tortura y otros tratos o penas crueles, inhumanos o degradantes</w:t>
        </w:r>
      </w:hyperlink>
      <w:r w:rsidRPr="00B4645B">
        <w:rPr>
          <w:rFonts w:ascii="Cambria" w:hAnsi="Cambria"/>
          <w:sz w:val="16"/>
          <w:szCs w:val="16"/>
          <w:lang w:val="es-ES"/>
        </w:rPr>
        <w:t xml:space="preserve">. </w:t>
      </w:r>
      <w:r w:rsidRPr="007A12AE">
        <w:rPr>
          <w:rFonts w:ascii="Cambria" w:hAnsi="Cambria"/>
          <w:sz w:val="16"/>
          <w:szCs w:val="16"/>
        </w:rPr>
        <w:t xml:space="preserve">A/67/279, 9 de </w:t>
      </w:r>
      <w:proofErr w:type="spellStart"/>
      <w:r w:rsidRPr="007A12AE">
        <w:rPr>
          <w:rFonts w:ascii="Cambria" w:hAnsi="Cambria"/>
          <w:sz w:val="16"/>
          <w:szCs w:val="16"/>
        </w:rPr>
        <w:t>agosto</w:t>
      </w:r>
      <w:proofErr w:type="spellEnd"/>
      <w:r w:rsidRPr="007A12AE">
        <w:rPr>
          <w:rFonts w:ascii="Cambria" w:hAnsi="Cambria"/>
          <w:sz w:val="16"/>
          <w:szCs w:val="16"/>
        </w:rPr>
        <w:t xml:space="preserve"> de 2012, </w:t>
      </w:r>
      <w:proofErr w:type="spellStart"/>
      <w:r w:rsidRPr="007A12AE">
        <w:rPr>
          <w:rFonts w:ascii="Cambria" w:hAnsi="Cambria"/>
          <w:sz w:val="16"/>
          <w:szCs w:val="16"/>
        </w:rPr>
        <w:t>párr</w:t>
      </w:r>
      <w:proofErr w:type="spellEnd"/>
      <w:r w:rsidRPr="007A12AE">
        <w:rPr>
          <w:rFonts w:ascii="Cambria" w:hAnsi="Cambria"/>
          <w:sz w:val="16"/>
          <w:szCs w:val="16"/>
        </w:rPr>
        <w:t xml:space="preserve">. 58. </w:t>
      </w:r>
    </w:p>
  </w:footnote>
  <w:footnote w:id="82">
    <w:p w14:paraId="0959385C" w14:textId="77777777" w:rsidR="009206FF" w:rsidRPr="007A12AE" w:rsidRDefault="009206FF" w:rsidP="00953481">
      <w:pPr>
        <w:pStyle w:val="FootnoteText"/>
        <w:rPr>
          <w:rFonts w:ascii="Cambria" w:hAnsi="Cambria"/>
          <w:sz w:val="16"/>
          <w:szCs w:val="16"/>
          <w:lang w:val="pt-BR"/>
        </w:rPr>
      </w:pPr>
      <w:r w:rsidRPr="00B4645B">
        <w:rPr>
          <w:rStyle w:val="FootnoteReference"/>
          <w:rFonts w:ascii="Cambria" w:hAnsi="Cambria"/>
          <w:sz w:val="16"/>
          <w:szCs w:val="16"/>
          <w:lang w:val="es-ES"/>
        </w:rPr>
        <w:footnoteRef/>
      </w:r>
      <w:r w:rsidRPr="007A12AE">
        <w:rPr>
          <w:rFonts w:ascii="Cambria" w:hAnsi="Cambria"/>
          <w:sz w:val="16"/>
          <w:szCs w:val="16"/>
        </w:rPr>
        <w:t xml:space="preserve"> Office of the High Commissioner for Human Rights. </w:t>
      </w:r>
      <w:r w:rsidRPr="007A12AE">
        <w:rPr>
          <w:rFonts w:ascii="Cambria" w:hAnsi="Cambria"/>
          <w:i/>
          <w:sz w:val="16"/>
          <w:szCs w:val="16"/>
        </w:rPr>
        <w:t>Death row: UN expert urges US authorities to stop execution of two persons with psychosocial disabilities</w:t>
      </w:r>
      <w:r w:rsidRPr="007A12AE">
        <w:rPr>
          <w:rFonts w:ascii="Cambria" w:hAnsi="Cambria"/>
          <w:sz w:val="16"/>
          <w:szCs w:val="16"/>
        </w:rPr>
        <w:t xml:space="preserve">. </w:t>
      </w:r>
      <w:r w:rsidRPr="007A12AE">
        <w:rPr>
          <w:rFonts w:ascii="Cambria" w:hAnsi="Cambria"/>
          <w:sz w:val="16"/>
          <w:szCs w:val="16"/>
          <w:lang w:val="pt-BR"/>
        </w:rPr>
        <w:t xml:space="preserve">17 de julio de 2012. </w:t>
      </w:r>
    </w:p>
  </w:footnote>
  <w:footnote w:id="83">
    <w:p w14:paraId="3ED3E395" w14:textId="77777777" w:rsidR="009206FF" w:rsidRPr="007A12AE" w:rsidRDefault="009206FF" w:rsidP="00953481">
      <w:pPr>
        <w:autoSpaceDE w:val="0"/>
        <w:autoSpaceDN w:val="0"/>
        <w:adjustRightInd w:val="0"/>
        <w:rPr>
          <w:rFonts w:ascii="Cambria" w:hAnsi="Cambria" w:cs="Arial"/>
          <w:sz w:val="16"/>
          <w:szCs w:val="16"/>
          <w:lang w:val="pt-BR"/>
        </w:rPr>
      </w:pPr>
      <w:r w:rsidRPr="00B4645B">
        <w:rPr>
          <w:rStyle w:val="FootnoteReference"/>
          <w:rFonts w:ascii="Cambria" w:hAnsi="Cambria" w:cs="Arial"/>
          <w:sz w:val="16"/>
          <w:szCs w:val="16"/>
          <w:lang w:val="es-ES"/>
        </w:rPr>
        <w:footnoteRef/>
      </w:r>
      <w:r w:rsidRPr="007A12AE">
        <w:rPr>
          <w:rFonts w:ascii="Cambria" w:hAnsi="Cambria" w:cs="Arial"/>
          <w:sz w:val="16"/>
          <w:szCs w:val="16"/>
          <w:lang w:val="pt-BR"/>
        </w:rPr>
        <w:t xml:space="preserve"> </w:t>
      </w:r>
      <w:r w:rsidRPr="007A12AE">
        <w:rPr>
          <w:rFonts w:ascii="Cambria" w:hAnsi="Cambria" w:cs="Arial"/>
          <w:i/>
          <w:iCs/>
          <w:sz w:val="16"/>
          <w:szCs w:val="16"/>
          <w:lang w:val="pt-BR"/>
        </w:rPr>
        <w:t xml:space="preserve">Atkins </w:t>
      </w:r>
      <w:r w:rsidRPr="007A12AE">
        <w:rPr>
          <w:rFonts w:ascii="Cambria" w:hAnsi="Cambria" w:cs="Arial"/>
          <w:i/>
          <w:iCs/>
          <w:sz w:val="16"/>
          <w:szCs w:val="16"/>
          <w:lang w:val="pt-BR"/>
        </w:rPr>
        <w:t>v. Virginia</w:t>
      </w:r>
      <w:r w:rsidRPr="007A12AE">
        <w:rPr>
          <w:rFonts w:ascii="Cambria" w:hAnsi="Cambria" w:cs="Arial"/>
          <w:sz w:val="16"/>
          <w:szCs w:val="16"/>
          <w:lang w:val="pt-BR"/>
        </w:rPr>
        <w:t>, 536 U.S. 304 (2002).</w:t>
      </w:r>
    </w:p>
  </w:footnote>
  <w:footnote w:id="84">
    <w:p w14:paraId="61CEB3E0" w14:textId="77777777" w:rsidR="009206FF" w:rsidRPr="007A12AE" w:rsidRDefault="009206FF" w:rsidP="00953481">
      <w:pPr>
        <w:pStyle w:val="FootnoteText"/>
        <w:rPr>
          <w:rFonts w:ascii="Cambria" w:hAnsi="Cambria"/>
          <w:sz w:val="16"/>
          <w:szCs w:val="16"/>
          <w:lang w:val="pt-BR"/>
        </w:rPr>
      </w:pPr>
      <w:r w:rsidRPr="00B4645B">
        <w:rPr>
          <w:rStyle w:val="FootnoteReference"/>
          <w:rFonts w:ascii="Cambria" w:hAnsi="Cambria" w:cs="Arial"/>
          <w:sz w:val="16"/>
          <w:szCs w:val="16"/>
          <w:lang w:val="es-ES"/>
        </w:rPr>
        <w:footnoteRef/>
      </w:r>
      <w:r w:rsidRPr="007A12AE">
        <w:rPr>
          <w:rFonts w:ascii="Cambria" w:hAnsi="Cambria" w:cs="Arial"/>
          <w:sz w:val="16"/>
          <w:szCs w:val="16"/>
          <w:lang w:val="pt-BR"/>
        </w:rPr>
        <w:t xml:space="preserve"> </w:t>
      </w:r>
      <w:r w:rsidRPr="007A12AE">
        <w:rPr>
          <w:rFonts w:ascii="Cambria" w:hAnsi="Cambria" w:cs="Arial"/>
          <w:i/>
          <w:iCs/>
          <w:sz w:val="16"/>
          <w:szCs w:val="16"/>
          <w:lang w:val="pt-BR"/>
        </w:rPr>
        <w:t xml:space="preserve">Atkins </w:t>
      </w:r>
      <w:r w:rsidRPr="007A12AE">
        <w:rPr>
          <w:rFonts w:ascii="Cambria" w:hAnsi="Cambria" w:cs="Arial"/>
          <w:i/>
          <w:iCs/>
          <w:sz w:val="16"/>
          <w:szCs w:val="16"/>
          <w:lang w:val="pt-BR"/>
        </w:rPr>
        <w:t>v. Virginia</w:t>
      </w:r>
      <w:r w:rsidRPr="007A12AE">
        <w:rPr>
          <w:rFonts w:ascii="Cambria" w:hAnsi="Cambria" w:cs="Arial"/>
          <w:sz w:val="16"/>
          <w:szCs w:val="16"/>
          <w:lang w:val="pt-BR"/>
        </w:rPr>
        <w:t>, 536 U.S. 304 (2002), 311-317.</w:t>
      </w:r>
    </w:p>
  </w:footnote>
  <w:footnote w:id="85">
    <w:p w14:paraId="51D79607"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CIDH. </w:t>
      </w:r>
      <w:r w:rsidRPr="00B4645B">
        <w:rPr>
          <w:rFonts w:ascii="Cambria" w:hAnsi="Cambria"/>
          <w:i/>
          <w:sz w:val="16"/>
          <w:szCs w:val="16"/>
          <w:lang w:val="es-ES"/>
        </w:rPr>
        <w:t>Informe sobre los derechos humanos de las personas privadas de libertad en las Américas.</w:t>
      </w:r>
      <w:r w:rsidRPr="00B4645B">
        <w:rPr>
          <w:rFonts w:ascii="Cambria" w:hAnsi="Cambria"/>
          <w:sz w:val="16"/>
          <w:szCs w:val="16"/>
          <w:lang w:val="es-ES"/>
        </w:rPr>
        <w:t xml:space="preserve"> OEA/</w:t>
      </w:r>
      <w:proofErr w:type="spellStart"/>
      <w:r w:rsidRPr="00B4645B">
        <w:rPr>
          <w:rFonts w:ascii="Cambria" w:hAnsi="Cambria"/>
          <w:sz w:val="16"/>
          <w:szCs w:val="16"/>
          <w:lang w:val="es-ES"/>
        </w:rPr>
        <w:t>Ser.L</w:t>
      </w:r>
      <w:proofErr w:type="spellEnd"/>
      <w:r w:rsidRPr="00B4645B">
        <w:rPr>
          <w:rFonts w:ascii="Cambria" w:hAnsi="Cambria"/>
          <w:sz w:val="16"/>
          <w:szCs w:val="16"/>
          <w:lang w:val="es-ES"/>
        </w:rPr>
        <w:t>/V/II. Doc. 64, 31 de diciembre de 2011, párr. 517.</w:t>
      </w:r>
    </w:p>
  </w:footnote>
  <w:footnote w:id="86">
    <w:p w14:paraId="56A37BD5"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CIDH. </w:t>
      </w:r>
      <w:r w:rsidRPr="00B4645B">
        <w:rPr>
          <w:rFonts w:ascii="Cambria" w:hAnsi="Cambria"/>
          <w:i/>
          <w:sz w:val="16"/>
          <w:szCs w:val="16"/>
          <w:lang w:val="es-ES"/>
        </w:rPr>
        <w:t>Informe sobre los derechos humanos de las personas privadas de libertad en las Américas</w:t>
      </w:r>
      <w:r w:rsidRPr="00B4645B">
        <w:rPr>
          <w:rFonts w:ascii="Cambria" w:hAnsi="Cambria"/>
          <w:sz w:val="16"/>
          <w:szCs w:val="16"/>
          <w:lang w:val="es-ES"/>
        </w:rPr>
        <w:t>. OEA/</w:t>
      </w:r>
      <w:proofErr w:type="spellStart"/>
      <w:r w:rsidRPr="00B4645B">
        <w:rPr>
          <w:rFonts w:ascii="Cambria" w:hAnsi="Cambria"/>
          <w:sz w:val="16"/>
          <w:szCs w:val="16"/>
          <w:lang w:val="es-ES"/>
        </w:rPr>
        <w:t>Ser.L</w:t>
      </w:r>
      <w:proofErr w:type="spellEnd"/>
      <w:r w:rsidRPr="00B4645B">
        <w:rPr>
          <w:rFonts w:ascii="Cambria" w:hAnsi="Cambria"/>
          <w:sz w:val="16"/>
          <w:szCs w:val="16"/>
          <w:lang w:val="es-ES"/>
        </w:rPr>
        <w:t>/V/II. Doc. 64, 31 de diciembre de 2011, párr. 411.</w:t>
      </w:r>
    </w:p>
  </w:footnote>
  <w:footnote w:id="87">
    <w:p w14:paraId="58D28CCB" w14:textId="77777777" w:rsidR="009206FF" w:rsidRPr="00953481" w:rsidRDefault="009206FF" w:rsidP="00953481">
      <w:pPr>
        <w:pStyle w:val="FootnoteText"/>
        <w:rPr>
          <w:rFonts w:ascii="Cambria" w:hAnsi="Cambria"/>
          <w:sz w:val="16"/>
          <w:szCs w:val="16"/>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CIDH. Resolución 1/08. </w:t>
      </w:r>
      <w:hyperlink r:id="rId11" w:history="1">
        <w:r w:rsidRPr="00B4645B">
          <w:rPr>
            <w:rStyle w:val="Hyperlink"/>
            <w:rFonts w:ascii="Cambria" w:hAnsi="Cambria"/>
            <w:i/>
            <w:sz w:val="16"/>
            <w:szCs w:val="16"/>
            <w:lang w:val="es-ES"/>
          </w:rPr>
          <w:t>Principios y Buenas Prácticas sobre la Protección de las Personas Privadas de Libertad en las Américas</w:t>
        </w:r>
      </w:hyperlink>
      <w:r w:rsidRPr="00B4645B">
        <w:rPr>
          <w:rFonts w:ascii="Cambria" w:hAnsi="Cambria"/>
          <w:sz w:val="16"/>
          <w:szCs w:val="16"/>
          <w:lang w:val="es-ES"/>
        </w:rPr>
        <w:t xml:space="preserve">. </w:t>
      </w:r>
      <w:r w:rsidRPr="00953481">
        <w:rPr>
          <w:rFonts w:ascii="Cambria" w:hAnsi="Cambria"/>
          <w:sz w:val="16"/>
          <w:szCs w:val="16"/>
        </w:rPr>
        <w:t>Principio XXII (3).</w:t>
      </w:r>
    </w:p>
  </w:footnote>
  <w:footnote w:id="88">
    <w:p w14:paraId="20702F99"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7A12AE">
        <w:rPr>
          <w:rFonts w:ascii="Cambria" w:hAnsi="Cambria"/>
          <w:sz w:val="16"/>
          <w:szCs w:val="16"/>
        </w:rPr>
        <w:t xml:space="preserve"> European Commission of Human Rights, </w:t>
      </w:r>
      <w:proofErr w:type="spellStart"/>
      <w:r w:rsidRPr="007A12AE">
        <w:rPr>
          <w:rFonts w:ascii="Cambria" w:hAnsi="Cambria"/>
          <w:sz w:val="16"/>
          <w:szCs w:val="16"/>
        </w:rPr>
        <w:t>Dhoest</w:t>
      </w:r>
      <w:proofErr w:type="spellEnd"/>
      <w:r w:rsidRPr="007A12AE">
        <w:rPr>
          <w:rFonts w:ascii="Cambria" w:hAnsi="Cambria"/>
          <w:sz w:val="16"/>
          <w:szCs w:val="16"/>
        </w:rPr>
        <w:t xml:space="preserve"> v Belgium, Application No. 10448/83, 14 de mayo de 1987, </w:t>
      </w:r>
      <w:proofErr w:type="spellStart"/>
      <w:r w:rsidRPr="007A12AE">
        <w:rPr>
          <w:rFonts w:ascii="Cambria" w:hAnsi="Cambria"/>
          <w:sz w:val="16"/>
          <w:szCs w:val="16"/>
        </w:rPr>
        <w:t>párr</w:t>
      </w:r>
      <w:proofErr w:type="spellEnd"/>
      <w:r w:rsidRPr="007A12AE">
        <w:rPr>
          <w:rFonts w:ascii="Cambria" w:hAnsi="Cambria"/>
          <w:sz w:val="16"/>
          <w:szCs w:val="16"/>
        </w:rPr>
        <w:t xml:space="preserve">. </w:t>
      </w:r>
      <w:r w:rsidRPr="00B4645B">
        <w:rPr>
          <w:rFonts w:ascii="Cambria" w:hAnsi="Cambria"/>
          <w:sz w:val="16"/>
          <w:szCs w:val="16"/>
          <w:lang w:val="es-ES"/>
        </w:rPr>
        <w:t>118.</w:t>
      </w:r>
    </w:p>
  </w:footnote>
  <w:footnote w:id="89">
    <w:p w14:paraId="0ADED0FC"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w:t>
      </w:r>
      <w:hyperlink r:id="rId12" w:history="1">
        <w:r w:rsidRPr="00B4645B">
          <w:rPr>
            <w:rStyle w:val="Hyperlink"/>
            <w:rFonts w:ascii="Cambria" w:hAnsi="Cambria"/>
            <w:i/>
            <w:sz w:val="16"/>
            <w:szCs w:val="16"/>
            <w:lang w:val="es-ES"/>
          </w:rPr>
          <w:t>La tortura en el derecho internacional. Guía de jurisprudencia</w:t>
        </w:r>
      </w:hyperlink>
      <w:r w:rsidRPr="00B4645B">
        <w:rPr>
          <w:rFonts w:ascii="Cambria" w:hAnsi="Cambria"/>
          <w:sz w:val="16"/>
          <w:szCs w:val="16"/>
          <w:lang w:val="es-ES"/>
        </w:rPr>
        <w:t>. APT y CEJIL, 2008, p. 84.</w:t>
      </w:r>
    </w:p>
  </w:footnote>
  <w:footnote w:id="90">
    <w:p w14:paraId="21040334"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Comité de Derechos Humanos. </w:t>
      </w:r>
      <w:r w:rsidRPr="00B4645B">
        <w:rPr>
          <w:rFonts w:ascii="Cambria" w:hAnsi="Cambria"/>
          <w:i/>
          <w:sz w:val="16"/>
          <w:szCs w:val="16"/>
          <w:lang w:val="es-ES"/>
        </w:rPr>
        <w:t>Observaciones finales del Comité de Derechos Humanos. Dinamarca</w:t>
      </w:r>
      <w:r w:rsidRPr="00B4645B">
        <w:rPr>
          <w:rFonts w:ascii="Cambria" w:hAnsi="Cambria"/>
          <w:sz w:val="16"/>
          <w:szCs w:val="16"/>
          <w:lang w:val="es-ES"/>
        </w:rPr>
        <w:t>. UN Doc. CCPR/CO/70/DNK, 2000, párr. 12.</w:t>
      </w:r>
    </w:p>
  </w:footnote>
  <w:footnote w:id="91">
    <w:p w14:paraId="31FBA973" w14:textId="77777777" w:rsidR="009206FF" w:rsidRPr="00B4645B" w:rsidRDefault="009206FF" w:rsidP="00953481">
      <w:pPr>
        <w:pStyle w:val="Default"/>
        <w:rPr>
          <w:rFonts w:ascii="Cambria" w:hAnsi="Cambria"/>
          <w:color w:val="auto"/>
          <w:sz w:val="16"/>
          <w:szCs w:val="16"/>
          <w:lang w:val="es-ES"/>
        </w:rPr>
      </w:pPr>
      <w:r w:rsidRPr="00B4645B">
        <w:rPr>
          <w:rStyle w:val="FootnoteReference"/>
          <w:rFonts w:ascii="Cambria" w:hAnsi="Cambria"/>
          <w:color w:val="auto"/>
          <w:sz w:val="16"/>
          <w:szCs w:val="16"/>
          <w:lang w:val="es-ES"/>
        </w:rPr>
        <w:footnoteRef/>
      </w:r>
      <w:r w:rsidRPr="00B4645B">
        <w:rPr>
          <w:rFonts w:ascii="Cambria" w:hAnsi="Cambria"/>
          <w:color w:val="auto"/>
          <w:sz w:val="16"/>
          <w:szCs w:val="16"/>
          <w:lang w:val="es-ES"/>
        </w:rPr>
        <w:t xml:space="preserve"> </w:t>
      </w:r>
      <w:r>
        <w:rPr>
          <w:rFonts w:ascii="Cambria" w:hAnsi="Cambria"/>
          <w:color w:val="auto"/>
          <w:sz w:val="16"/>
          <w:szCs w:val="16"/>
          <w:lang w:val="es-ES"/>
        </w:rPr>
        <w:t xml:space="preserve">Naciones Unidas. Asamblea General. </w:t>
      </w:r>
      <w:hyperlink r:id="rId13" w:history="1">
        <w:r w:rsidRPr="00B4645B">
          <w:rPr>
            <w:rStyle w:val="Hyperlink"/>
            <w:rFonts w:ascii="Cambria" w:hAnsi="Cambria"/>
            <w:i/>
            <w:sz w:val="16"/>
            <w:szCs w:val="16"/>
            <w:lang w:val="es-ES"/>
          </w:rPr>
          <w:t>Informe del Relator Especial sobre la tortura y otros tratos o penas crueles, inhumanos o degradantes, Juan E. Méndez</w:t>
        </w:r>
      </w:hyperlink>
      <w:r w:rsidRPr="00B4645B">
        <w:rPr>
          <w:rFonts w:ascii="Cambria" w:hAnsi="Cambria"/>
          <w:color w:val="auto"/>
          <w:sz w:val="16"/>
          <w:szCs w:val="16"/>
          <w:lang w:val="es-ES"/>
        </w:rPr>
        <w:t xml:space="preserve">. </w:t>
      </w:r>
      <w:r>
        <w:rPr>
          <w:rFonts w:ascii="Cambria" w:hAnsi="Cambria"/>
          <w:color w:val="auto"/>
          <w:sz w:val="16"/>
          <w:szCs w:val="16"/>
          <w:lang w:val="es-ES"/>
        </w:rPr>
        <w:t>18 de enero de 2012</w:t>
      </w:r>
      <w:r w:rsidRPr="00B4645B">
        <w:rPr>
          <w:rFonts w:ascii="Cambria" w:hAnsi="Cambria"/>
          <w:color w:val="auto"/>
          <w:sz w:val="16"/>
          <w:szCs w:val="16"/>
          <w:lang w:val="es-ES"/>
        </w:rPr>
        <w:t>, A/HRC/19/61, párr. 18.</w:t>
      </w:r>
    </w:p>
  </w:footnote>
  <w:footnote w:id="92">
    <w:p w14:paraId="1EA0662A" w14:textId="77777777" w:rsidR="009206FF" w:rsidRPr="00D30952" w:rsidRDefault="009206FF" w:rsidP="00953481">
      <w:pPr>
        <w:autoSpaceDE w:val="0"/>
        <w:autoSpaceDN w:val="0"/>
        <w:adjustRightInd w:val="0"/>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Naciones Unidas. Asamblea General. </w:t>
      </w:r>
      <w:hyperlink r:id="rId14" w:history="1">
        <w:r w:rsidRPr="00D30952">
          <w:rPr>
            <w:rStyle w:val="Hyperlink"/>
            <w:rFonts w:ascii="Cambria" w:hAnsi="Cambria"/>
            <w:i/>
            <w:sz w:val="16"/>
            <w:szCs w:val="16"/>
            <w:lang w:val="es-ES"/>
          </w:rPr>
          <w:t>La tortura y otros tratos o penas crueles, inhumanos o degradantes</w:t>
        </w:r>
      </w:hyperlink>
      <w:r w:rsidRPr="00D30952">
        <w:rPr>
          <w:rFonts w:ascii="Cambria" w:hAnsi="Cambria"/>
          <w:sz w:val="16"/>
          <w:szCs w:val="16"/>
          <w:lang w:val="es-ES"/>
        </w:rPr>
        <w:t xml:space="preserve">. 5 de agosto de 2011, A/66/268, </w:t>
      </w:r>
      <w:proofErr w:type="spellStart"/>
      <w:r w:rsidRPr="00D30952">
        <w:rPr>
          <w:rFonts w:ascii="Cambria" w:hAnsi="Cambria"/>
          <w:sz w:val="16"/>
          <w:szCs w:val="16"/>
          <w:lang w:val="es-ES"/>
        </w:rPr>
        <w:t>párrs</w:t>
      </w:r>
      <w:proofErr w:type="spellEnd"/>
      <w:r w:rsidRPr="00D30952">
        <w:rPr>
          <w:rFonts w:ascii="Cambria" w:hAnsi="Cambria"/>
          <w:sz w:val="16"/>
          <w:szCs w:val="16"/>
          <w:lang w:val="es-ES"/>
        </w:rPr>
        <w:t>. 26 y 55.</w:t>
      </w:r>
    </w:p>
  </w:footnote>
  <w:footnote w:id="93">
    <w:p w14:paraId="0A7C1461" w14:textId="77777777" w:rsidR="009206FF" w:rsidRPr="00EF72C2" w:rsidRDefault="009206FF" w:rsidP="00953481">
      <w:pPr>
        <w:autoSpaceDE w:val="0"/>
        <w:autoSpaceDN w:val="0"/>
        <w:adjustRightInd w:val="0"/>
        <w:rPr>
          <w:rFonts w:ascii="Cambria" w:hAnsi="Cambria"/>
          <w:sz w:val="16"/>
          <w:szCs w:val="16"/>
          <w:lang w:val="es-US"/>
        </w:rPr>
      </w:pPr>
      <w:r w:rsidRPr="00B4645B">
        <w:rPr>
          <w:rStyle w:val="FootnoteReference"/>
          <w:rFonts w:ascii="Cambria" w:hAnsi="Cambria"/>
          <w:sz w:val="16"/>
          <w:szCs w:val="16"/>
          <w:lang w:val="es-ES"/>
        </w:rPr>
        <w:footnoteRef/>
      </w:r>
      <w:r w:rsidRPr="00D30952">
        <w:rPr>
          <w:rFonts w:ascii="Cambria" w:hAnsi="Cambria"/>
          <w:sz w:val="16"/>
          <w:szCs w:val="16"/>
          <w:lang w:val="es-ES"/>
        </w:rPr>
        <w:t xml:space="preserve"> Naciones Unidas. Asamblea General. </w:t>
      </w:r>
      <w:hyperlink r:id="rId15" w:history="1">
        <w:r w:rsidRPr="00D30952">
          <w:rPr>
            <w:rStyle w:val="Hyperlink"/>
            <w:rFonts w:ascii="Cambria" w:hAnsi="Cambria"/>
            <w:i/>
            <w:sz w:val="16"/>
            <w:szCs w:val="16"/>
            <w:lang w:val="es-ES"/>
          </w:rPr>
          <w:t>Informe provisional del Relator Especial sobre la tortura y otros tratos o penas crueles, inhumanos o degradantes</w:t>
        </w:r>
      </w:hyperlink>
      <w:r w:rsidRPr="00D30952">
        <w:rPr>
          <w:rFonts w:ascii="Cambria" w:hAnsi="Cambria"/>
          <w:sz w:val="16"/>
          <w:szCs w:val="16"/>
          <w:lang w:val="es-ES"/>
        </w:rPr>
        <w:t xml:space="preserve">. </w:t>
      </w:r>
      <w:r w:rsidRPr="00EF72C2">
        <w:rPr>
          <w:rFonts w:ascii="Cambria" w:hAnsi="Cambria"/>
          <w:sz w:val="16"/>
          <w:szCs w:val="16"/>
          <w:lang w:val="es-US"/>
        </w:rPr>
        <w:t>9 de agosto de 2013, A/68/295, párr. 61.</w:t>
      </w:r>
    </w:p>
  </w:footnote>
  <w:footnote w:id="94">
    <w:p w14:paraId="55268CC7" w14:textId="77777777" w:rsidR="009206FF" w:rsidRPr="007A12AE" w:rsidRDefault="009206FF" w:rsidP="00953481">
      <w:pPr>
        <w:pStyle w:val="FootnoteText"/>
        <w:rPr>
          <w:rFonts w:ascii="Cambria" w:hAnsi="Cambria"/>
          <w:sz w:val="16"/>
          <w:szCs w:val="16"/>
        </w:rPr>
      </w:pPr>
      <w:r w:rsidRPr="00B4645B">
        <w:rPr>
          <w:rStyle w:val="FootnoteReference"/>
          <w:rFonts w:ascii="Cambria" w:hAnsi="Cambria"/>
          <w:sz w:val="16"/>
          <w:szCs w:val="16"/>
          <w:lang w:val="es-ES"/>
        </w:rPr>
        <w:footnoteRef/>
      </w:r>
      <w:r w:rsidRPr="00EF72C2">
        <w:rPr>
          <w:rFonts w:ascii="Cambria" w:hAnsi="Cambria"/>
          <w:sz w:val="16"/>
          <w:szCs w:val="16"/>
          <w:lang w:val="es-US"/>
        </w:rPr>
        <w:t xml:space="preserve"> Naciones Unidas. Asamblea General. </w:t>
      </w:r>
      <w:hyperlink r:id="rId16" w:history="1">
        <w:r w:rsidRPr="00EF72C2">
          <w:rPr>
            <w:rStyle w:val="Hyperlink"/>
            <w:rFonts w:ascii="Cambria" w:hAnsi="Cambria"/>
            <w:i/>
            <w:sz w:val="16"/>
            <w:szCs w:val="16"/>
            <w:lang w:val="es-US"/>
          </w:rPr>
          <w:t>La tortura y otros tratos o penas crueles, inhumanos o degradantes</w:t>
        </w:r>
      </w:hyperlink>
      <w:r w:rsidRPr="00EF72C2">
        <w:rPr>
          <w:rFonts w:ascii="Cambria" w:hAnsi="Cambria"/>
          <w:sz w:val="16"/>
          <w:szCs w:val="16"/>
          <w:lang w:val="es-US"/>
        </w:rPr>
        <w:t xml:space="preserve">. </w:t>
      </w:r>
      <w:r w:rsidRPr="00953481">
        <w:rPr>
          <w:rFonts w:ascii="Cambria" w:hAnsi="Cambria"/>
          <w:sz w:val="16"/>
          <w:szCs w:val="16"/>
        </w:rPr>
        <w:t xml:space="preserve">5 de </w:t>
      </w:r>
      <w:proofErr w:type="spellStart"/>
      <w:r w:rsidRPr="00953481">
        <w:rPr>
          <w:rFonts w:ascii="Cambria" w:hAnsi="Cambria"/>
          <w:sz w:val="16"/>
          <w:szCs w:val="16"/>
        </w:rPr>
        <w:t>agosto</w:t>
      </w:r>
      <w:proofErr w:type="spellEnd"/>
      <w:r w:rsidRPr="00953481">
        <w:rPr>
          <w:rFonts w:ascii="Cambria" w:hAnsi="Cambria"/>
          <w:sz w:val="16"/>
          <w:szCs w:val="16"/>
        </w:rPr>
        <w:t xml:space="preserve"> de 2011, A/66/268, </w:t>
      </w:r>
      <w:proofErr w:type="spellStart"/>
      <w:r w:rsidRPr="00953481">
        <w:rPr>
          <w:rFonts w:ascii="Cambria" w:hAnsi="Cambria"/>
          <w:sz w:val="16"/>
          <w:szCs w:val="16"/>
        </w:rPr>
        <w:t>párr</w:t>
      </w:r>
      <w:proofErr w:type="spellEnd"/>
      <w:r w:rsidRPr="00953481">
        <w:rPr>
          <w:rFonts w:ascii="Cambria" w:hAnsi="Cambria"/>
          <w:sz w:val="16"/>
          <w:szCs w:val="16"/>
        </w:rPr>
        <w:t xml:space="preserve">. </w:t>
      </w:r>
      <w:r w:rsidRPr="007A12AE">
        <w:rPr>
          <w:rFonts w:ascii="Cambria" w:hAnsi="Cambria"/>
          <w:sz w:val="16"/>
          <w:szCs w:val="16"/>
        </w:rPr>
        <w:t>49.</w:t>
      </w:r>
    </w:p>
  </w:footnote>
  <w:footnote w:id="95">
    <w:p w14:paraId="42F38955" w14:textId="77777777" w:rsidR="009206FF" w:rsidRPr="00B4645B" w:rsidRDefault="009206FF" w:rsidP="00953481">
      <w:pPr>
        <w:autoSpaceDE w:val="0"/>
        <w:autoSpaceDN w:val="0"/>
        <w:adjustRightInd w:val="0"/>
        <w:rPr>
          <w:rFonts w:ascii="Cambria" w:hAnsi="Cambria"/>
          <w:sz w:val="16"/>
          <w:szCs w:val="16"/>
          <w:lang w:val="es-ES"/>
        </w:rPr>
      </w:pPr>
      <w:r w:rsidRPr="00B4645B">
        <w:rPr>
          <w:rStyle w:val="FootnoteReference"/>
          <w:rFonts w:ascii="Cambria" w:hAnsi="Cambria"/>
          <w:sz w:val="16"/>
          <w:szCs w:val="16"/>
          <w:lang w:val="es-ES"/>
        </w:rPr>
        <w:footnoteRef/>
      </w:r>
      <w:r w:rsidRPr="007A12AE">
        <w:rPr>
          <w:rFonts w:ascii="Cambria" w:hAnsi="Cambria"/>
          <w:sz w:val="16"/>
          <w:szCs w:val="16"/>
        </w:rPr>
        <w:t xml:space="preserve"> Shalev, Sharon, </w:t>
      </w:r>
      <w:r w:rsidRPr="007A12AE">
        <w:rPr>
          <w:rFonts w:ascii="Cambria" w:hAnsi="Cambria" w:cs="Calibri-Italic"/>
          <w:i/>
          <w:iCs/>
          <w:sz w:val="16"/>
          <w:szCs w:val="16"/>
        </w:rPr>
        <w:t>A sourcebook on solitary confinement.</w:t>
      </w:r>
      <w:r w:rsidRPr="007A12AE">
        <w:rPr>
          <w:rFonts w:ascii="Cambria" w:hAnsi="Cambria"/>
          <w:sz w:val="16"/>
          <w:szCs w:val="16"/>
        </w:rPr>
        <w:t xml:space="preserve"> </w:t>
      </w:r>
      <w:r w:rsidRPr="00953481">
        <w:rPr>
          <w:rFonts w:ascii="Cambria" w:hAnsi="Cambria"/>
          <w:sz w:val="16"/>
          <w:szCs w:val="16"/>
        </w:rPr>
        <w:t xml:space="preserve">Mannheim Centre for Criminology. </w:t>
      </w:r>
      <w:r w:rsidRPr="00EF72C2">
        <w:rPr>
          <w:rFonts w:ascii="Cambria" w:hAnsi="Cambria"/>
          <w:sz w:val="16"/>
          <w:szCs w:val="16"/>
        </w:rPr>
        <w:t xml:space="preserve">LSE, 2008, pp. 15 y 16. </w:t>
      </w:r>
      <w:r w:rsidRPr="00B4645B">
        <w:rPr>
          <w:rFonts w:ascii="Cambria" w:hAnsi="Cambria"/>
          <w:sz w:val="16"/>
          <w:szCs w:val="16"/>
          <w:lang w:val="es-ES"/>
        </w:rPr>
        <w:t xml:space="preserve">Se encuentra en </w:t>
      </w:r>
      <w:hyperlink r:id="rId17" w:history="1">
        <w:r w:rsidRPr="00B4645B">
          <w:rPr>
            <w:rStyle w:val="Hyperlink"/>
            <w:rFonts w:ascii="Cambria" w:hAnsi="Cambria"/>
            <w:sz w:val="16"/>
            <w:szCs w:val="16"/>
            <w:lang w:val="es-ES"/>
          </w:rPr>
          <w:t>http://solitaryconfinement.org/uploads/sourcebook_web.pdf</w:t>
        </w:r>
      </w:hyperlink>
      <w:r w:rsidRPr="00B4645B">
        <w:rPr>
          <w:rFonts w:ascii="Cambria" w:hAnsi="Cambria"/>
          <w:sz w:val="16"/>
          <w:szCs w:val="16"/>
          <w:lang w:val="es-ES"/>
        </w:rPr>
        <w:t xml:space="preserve">, citado en CIDH. </w:t>
      </w:r>
      <w:r w:rsidRPr="00B4645B">
        <w:rPr>
          <w:rFonts w:ascii="Cambria" w:hAnsi="Cambria"/>
          <w:i/>
          <w:sz w:val="16"/>
          <w:szCs w:val="16"/>
          <w:lang w:val="es-ES"/>
        </w:rPr>
        <w:t>Informe sobre los derechos humanos de las personas privadas de libertad en las Américas</w:t>
      </w:r>
      <w:r w:rsidRPr="00B4645B">
        <w:rPr>
          <w:rFonts w:ascii="Cambria" w:hAnsi="Cambria"/>
          <w:sz w:val="16"/>
          <w:szCs w:val="16"/>
          <w:lang w:val="es-ES"/>
        </w:rPr>
        <w:t>. OEA/</w:t>
      </w:r>
      <w:proofErr w:type="spellStart"/>
      <w:r w:rsidRPr="00B4645B">
        <w:rPr>
          <w:rFonts w:ascii="Cambria" w:hAnsi="Cambria"/>
          <w:sz w:val="16"/>
          <w:szCs w:val="16"/>
          <w:lang w:val="es-ES"/>
        </w:rPr>
        <w:t>Ser.L</w:t>
      </w:r>
      <w:proofErr w:type="spellEnd"/>
      <w:r w:rsidRPr="00B4645B">
        <w:rPr>
          <w:rFonts w:ascii="Cambria" w:hAnsi="Cambria"/>
          <w:sz w:val="16"/>
          <w:szCs w:val="16"/>
          <w:lang w:val="es-ES"/>
        </w:rPr>
        <w:t>/V/II. Doc. 64, 31 de diciembre de 2011, párr. 492.</w:t>
      </w:r>
    </w:p>
  </w:footnote>
  <w:footnote w:id="96">
    <w:p w14:paraId="13E84FF5" w14:textId="77777777" w:rsidR="009206FF" w:rsidRPr="00B4645B" w:rsidRDefault="009206FF" w:rsidP="00953481">
      <w:pPr>
        <w:autoSpaceDE w:val="0"/>
        <w:autoSpaceDN w:val="0"/>
        <w:adjustRightInd w:val="0"/>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w:t>
      </w:r>
      <w:proofErr w:type="spellStart"/>
      <w:r w:rsidRPr="00B4645B">
        <w:rPr>
          <w:rFonts w:ascii="Cambria" w:hAnsi="Cambria"/>
          <w:sz w:val="16"/>
          <w:szCs w:val="16"/>
          <w:lang w:val="es-ES"/>
        </w:rPr>
        <w:t>European</w:t>
      </w:r>
      <w:proofErr w:type="spellEnd"/>
      <w:r w:rsidRPr="00B4645B">
        <w:rPr>
          <w:rFonts w:ascii="Cambria" w:hAnsi="Cambria"/>
          <w:sz w:val="16"/>
          <w:szCs w:val="16"/>
          <w:lang w:val="es-ES"/>
        </w:rPr>
        <w:t xml:space="preserve"> </w:t>
      </w:r>
      <w:proofErr w:type="spellStart"/>
      <w:r w:rsidRPr="00B4645B">
        <w:rPr>
          <w:rFonts w:ascii="Cambria" w:hAnsi="Cambria"/>
          <w:sz w:val="16"/>
          <w:szCs w:val="16"/>
          <w:lang w:val="es-ES"/>
        </w:rPr>
        <w:t>Court</w:t>
      </w:r>
      <w:proofErr w:type="spellEnd"/>
      <w:r w:rsidRPr="00B4645B">
        <w:rPr>
          <w:rFonts w:ascii="Cambria" w:hAnsi="Cambria"/>
          <w:sz w:val="16"/>
          <w:szCs w:val="16"/>
          <w:lang w:val="es-ES"/>
        </w:rPr>
        <w:t xml:space="preserve"> of Human </w:t>
      </w:r>
      <w:proofErr w:type="spellStart"/>
      <w:r w:rsidRPr="00B4645B">
        <w:rPr>
          <w:rFonts w:ascii="Cambria" w:hAnsi="Cambria"/>
          <w:sz w:val="16"/>
          <w:szCs w:val="16"/>
          <w:lang w:val="es-ES"/>
        </w:rPr>
        <w:t>Rights</w:t>
      </w:r>
      <w:proofErr w:type="spellEnd"/>
      <w:r w:rsidRPr="00B4645B">
        <w:rPr>
          <w:rFonts w:ascii="Cambria" w:hAnsi="Cambria"/>
          <w:sz w:val="16"/>
          <w:szCs w:val="16"/>
          <w:lang w:val="es-ES"/>
        </w:rPr>
        <w:t xml:space="preserve">, </w:t>
      </w:r>
      <w:r w:rsidRPr="00B4645B">
        <w:rPr>
          <w:rFonts w:ascii="Cambria" w:hAnsi="Cambria" w:cs="Calibri-Italic"/>
          <w:i/>
          <w:iCs/>
          <w:sz w:val="16"/>
          <w:szCs w:val="16"/>
          <w:lang w:val="es-ES"/>
        </w:rPr>
        <w:t>Case of Ramírez Sánchez v. France</w:t>
      </w:r>
      <w:r w:rsidRPr="00B4645B">
        <w:rPr>
          <w:rFonts w:ascii="Cambria" w:hAnsi="Cambria"/>
          <w:sz w:val="16"/>
          <w:szCs w:val="16"/>
          <w:lang w:val="es-ES"/>
        </w:rPr>
        <w:t xml:space="preserve"> (Demanda No. 59450/00), Sentencia de 4 de julio de 2006, Gran Sala, </w:t>
      </w:r>
      <w:proofErr w:type="spellStart"/>
      <w:r w:rsidRPr="00B4645B">
        <w:rPr>
          <w:rFonts w:ascii="Cambria" w:hAnsi="Cambria"/>
          <w:sz w:val="16"/>
          <w:szCs w:val="16"/>
          <w:lang w:val="es-ES"/>
        </w:rPr>
        <w:t>párrs</w:t>
      </w:r>
      <w:proofErr w:type="spellEnd"/>
      <w:r w:rsidRPr="00B4645B">
        <w:rPr>
          <w:rFonts w:ascii="Cambria" w:hAnsi="Cambria"/>
          <w:sz w:val="16"/>
          <w:szCs w:val="16"/>
          <w:lang w:val="es-ES"/>
        </w:rPr>
        <w:t>. 120 a 123.</w:t>
      </w:r>
    </w:p>
  </w:footnote>
  <w:footnote w:id="97">
    <w:p w14:paraId="525027D2"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Naciones Unidas. Comité de Derechos Humanos. </w:t>
      </w:r>
      <w:hyperlink r:id="rId18" w:history="1">
        <w:r w:rsidRPr="00B4645B">
          <w:rPr>
            <w:rStyle w:val="Hyperlink"/>
            <w:rFonts w:ascii="Cambria" w:hAnsi="Cambria"/>
            <w:i/>
            <w:sz w:val="16"/>
            <w:szCs w:val="16"/>
            <w:lang w:val="es-ES"/>
          </w:rPr>
          <w:t>Observaciones finales del Comité de Derechos Humanos. Estados Unidos de América</w:t>
        </w:r>
      </w:hyperlink>
      <w:r w:rsidRPr="00B4645B">
        <w:rPr>
          <w:rFonts w:ascii="Cambria" w:hAnsi="Cambria"/>
          <w:sz w:val="16"/>
          <w:szCs w:val="16"/>
          <w:lang w:val="es-ES"/>
        </w:rPr>
        <w:t xml:space="preserve">. CCPR/C/USA/CO/3, 15 de septiembre de 2006, párr. 32. </w:t>
      </w:r>
    </w:p>
  </w:footnote>
  <w:footnote w:id="98">
    <w:p w14:paraId="68147782" w14:textId="77777777" w:rsidR="009206FF" w:rsidRPr="00B4645B" w:rsidRDefault="009206FF" w:rsidP="00953481">
      <w:pPr>
        <w:pStyle w:val="FootnoteText"/>
        <w:rPr>
          <w:rFonts w:ascii="Cambria" w:hAnsi="Cambria" w:cs="Arial"/>
          <w:sz w:val="16"/>
          <w:szCs w:val="16"/>
          <w:lang w:val="es-ES"/>
        </w:rPr>
      </w:pPr>
      <w:r w:rsidRPr="00B4645B">
        <w:rPr>
          <w:rStyle w:val="FootnoteReference"/>
          <w:rFonts w:ascii="Cambria" w:hAnsi="Cambria" w:cs="Arial"/>
          <w:sz w:val="16"/>
          <w:szCs w:val="16"/>
          <w:lang w:val="es-ES"/>
        </w:rPr>
        <w:footnoteRef/>
      </w:r>
      <w:r w:rsidRPr="00B4645B">
        <w:rPr>
          <w:rFonts w:ascii="Cambria" w:hAnsi="Cambria" w:cs="Arial"/>
          <w:sz w:val="16"/>
          <w:szCs w:val="16"/>
          <w:lang w:val="es-ES"/>
        </w:rPr>
        <w:t xml:space="preserve"> Corte IDH. </w:t>
      </w:r>
      <w:r w:rsidRPr="00B4645B">
        <w:rPr>
          <w:rFonts w:ascii="Cambria" w:hAnsi="Cambria" w:cs="Arial"/>
          <w:i/>
          <w:sz w:val="16"/>
          <w:szCs w:val="16"/>
          <w:lang w:val="es-ES"/>
        </w:rPr>
        <w:t xml:space="preserve">Caso Hilaire, </w:t>
      </w:r>
      <w:proofErr w:type="spellStart"/>
      <w:r w:rsidRPr="00B4645B">
        <w:rPr>
          <w:rFonts w:ascii="Cambria" w:hAnsi="Cambria" w:cs="Arial"/>
          <w:i/>
          <w:sz w:val="16"/>
          <w:szCs w:val="16"/>
          <w:lang w:val="es-ES"/>
        </w:rPr>
        <w:t>Constantine</w:t>
      </w:r>
      <w:proofErr w:type="spellEnd"/>
      <w:r w:rsidRPr="00B4645B">
        <w:rPr>
          <w:rFonts w:ascii="Cambria" w:hAnsi="Cambria" w:cs="Arial"/>
          <w:i/>
          <w:sz w:val="16"/>
          <w:szCs w:val="16"/>
          <w:lang w:val="es-ES"/>
        </w:rPr>
        <w:t xml:space="preserve"> y </w:t>
      </w:r>
      <w:proofErr w:type="spellStart"/>
      <w:r w:rsidRPr="00B4645B">
        <w:rPr>
          <w:rFonts w:ascii="Cambria" w:hAnsi="Cambria" w:cs="Arial"/>
          <w:i/>
          <w:sz w:val="16"/>
          <w:szCs w:val="16"/>
          <w:lang w:val="es-ES"/>
        </w:rPr>
        <w:t>Benjamin</w:t>
      </w:r>
      <w:proofErr w:type="spellEnd"/>
      <w:r w:rsidRPr="00B4645B">
        <w:rPr>
          <w:rFonts w:ascii="Cambria" w:hAnsi="Cambria" w:cs="Arial"/>
          <w:i/>
          <w:sz w:val="16"/>
          <w:szCs w:val="16"/>
          <w:lang w:val="es-ES"/>
        </w:rPr>
        <w:t xml:space="preserve"> y otros Vs. Trinidad y Tobago. </w:t>
      </w:r>
      <w:r w:rsidRPr="00B4645B">
        <w:rPr>
          <w:rFonts w:ascii="Cambria" w:hAnsi="Cambria" w:cs="Arial"/>
          <w:sz w:val="16"/>
          <w:szCs w:val="16"/>
          <w:lang w:val="es-ES"/>
        </w:rPr>
        <w:t xml:space="preserve">Sentencia de 21 de junio de 2002. </w:t>
      </w:r>
      <w:r>
        <w:rPr>
          <w:rFonts w:ascii="Cambria" w:hAnsi="Cambria" w:cs="Arial"/>
          <w:sz w:val="16"/>
          <w:szCs w:val="16"/>
          <w:lang w:val="es-ES"/>
        </w:rPr>
        <w:t>Serie C</w:t>
      </w:r>
      <w:r w:rsidRPr="00B4645B">
        <w:rPr>
          <w:rFonts w:ascii="Cambria" w:hAnsi="Cambria" w:cs="Arial"/>
          <w:sz w:val="16"/>
          <w:szCs w:val="16"/>
          <w:lang w:val="es-ES"/>
        </w:rPr>
        <w:t xml:space="preserve"> No. 94, </w:t>
      </w:r>
      <w:proofErr w:type="spellStart"/>
      <w:r w:rsidRPr="00B4645B">
        <w:rPr>
          <w:rFonts w:ascii="Cambria" w:hAnsi="Cambria" w:cs="Arial"/>
          <w:sz w:val="16"/>
          <w:szCs w:val="16"/>
          <w:lang w:val="es-ES"/>
        </w:rPr>
        <w:t>párrs</w:t>
      </w:r>
      <w:proofErr w:type="spellEnd"/>
      <w:r w:rsidRPr="00B4645B">
        <w:rPr>
          <w:rFonts w:ascii="Cambria" w:hAnsi="Cambria" w:cs="Arial"/>
          <w:sz w:val="16"/>
          <w:szCs w:val="16"/>
          <w:lang w:val="es-ES"/>
        </w:rPr>
        <w:t>. 154 a 156.</w:t>
      </w:r>
    </w:p>
  </w:footnote>
  <w:footnote w:id="99">
    <w:p w14:paraId="7439965B"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CIDH. </w:t>
      </w:r>
      <w:r w:rsidRPr="00B4645B">
        <w:rPr>
          <w:rFonts w:ascii="Cambria" w:hAnsi="Cambria"/>
          <w:i/>
          <w:sz w:val="16"/>
          <w:szCs w:val="16"/>
          <w:lang w:val="es-ES"/>
        </w:rPr>
        <w:t>Informe sobre los derechos humanos de las personas privadas de libertad en las Américas.</w:t>
      </w:r>
      <w:r w:rsidRPr="00B4645B">
        <w:rPr>
          <w:rFonts w:ascii="Cambria" w:hAnsi="Cambria"/>
          <w:sz w:val="16"/>
          <w:szCs w:val="16"/>
          <w:lang w:val="es-ES"/>
        </w:rPr>
        <w:t xml:space="preserve"> OEA/</w:t>
      </w:r>
      <w:proofErr w:type="spellStart"/>
      <w:r w:rsidRPr="00B4645B">
        <w:rPr>
          <w:rFonts w:ascii="Cambria" w:hAnsi="Cambria"/>
          <w:sz w:val="16"/>
          <w:szCs w:val="16"/>
          <w:lang w:val="es-ES"/>
        </w:rPr>
        <w:t>Ser.L</w:t>
      </w:r>
      <w:proofErr w:type="spellEnd"/>
      <w:r w:rsidRPr="00B4645B">
        <w:rPr>
          <w:rFonts w:ascii="Cambria" w:hAnsi="Cambria"/>
          <w:sz w:val="16"/>
          <w:szCs w:val="16"/>
          <w:lang w:val="es-ES"/>
        </w:rPr>
        <w:t>/V/II. Doc. 64, 31 de diciembre de 2011, párr. 513.</w:t>
      </w:r>
    </w:p>
  </w:footnote>
  <w:footnote w:id="100">
    <w:p w14:paraId="604A22FC"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CIDH. Informe No. 44/14, Caso 12.873. Fondo (Publicación). Edgar Tamayo Arias. Estados Unidos. 17 de julio de 2014, párr. 189.</w:t>
      </w:r>
    </w:p>
  </w:footnote>
  <w:footnote w:id="101">
    <w:p w14:paraId="172CF631" w14:textId="77777777" w:rsidR="009206FF" w:rsidRPr="007A12AE" w:rsidRDefault="009206FF" w:rsidP="00953481">
      <w:pPr>
        <w:pStyle w:val="FootnoteText"/>
        <w:rPr>
          <w:rFonts w:ascii="Cambria" w:hAnsi="Cambria"/>
          <w:sz w:val="16"/>
          <w:szCs w:val="16"/>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CIDH. Informe No. 44/14, Caso 12.873. Fondo (Publicación). Edgar Tamayo Arias. Estados Unidos. </w:t>
      </w:r>
      <w:r w:rsidRPr="007A12AE">
        <w:rPr>
          <w:rFonts w:ascii="Cambria" w:hAnsi="Cambria"/>
          <w:sz w:val="16"/>
          <w:szCs w:val="16"/>
        </w:rPr>
        <w:t xml:space="preserve">17 de </w:t>
      </w:r>
      <w:proofErr w:type="spellStart"/>
      <w:r w:rsidRPr="007A12AE">
        <w:rPr>
          <w:rFonts w:ascii="Cambria" w:hAnsi="Cambria"/>
          <w:sz w:val="16"/>
          <w:szCs w:val="16"/>
        </w:rPr>
        <w:t>julio</w:t>
      </w:r>
      <w:proofErr w:type="spellEnd"/>
      <w:r w:rsidRPr="007A12AE">
        <w:rPr>
          <w:rFonts w:ascii="Cambria" w:hAnsi="Cambria"/>
          <w:sz w:val="16"/>
          <w:szCs w:val="16"/>
        </w:rPr>
        <w:t xml:space="preserve"> de 2014, </w:t>
      </w:r>
      <w:proofErr w:type="spellStart"/>
      <w:r w:rsidRPr="007A12AE">
        <w:rPr>
          <w:rFonts w:ascii="Cambria" w:hAnsi="Cambria"/>
          <w:sz w:val="16"/>
          <w:szCs w:val="16"/>
        </w:rPr>
        <w:t>párr</w:t>
      </w:r>
      <w:proofErr w:type="spellEnd"/>
      <w:r w:rsidRPr="007A12AE">
        <w:rPr>
          <w:rFonts w:ascii="Cambria" w:hAnsi="Cambria"/>
          <w:sz w:val="16"/>
          <w:szCs w:val="16"/>
        </w:rPr>
        <w:t>. 190.</w:t>
      </w:r>
    </w:p>
  </w:footnote>
  <w:footnote w:id="102">
    <w:p w14:paraId="32ED64B5"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7A12AE">
        <w:rPr>
          <w:rFonts w:ascii="Cambria" w:hAnsi="Cambria"/>
          <w:sz w:val="16"/>
          <w:szCs w:val="16"/>
        </w:rPr>
        <w:t xml:space="preserve"> </w:t>
      </w:r>
      <w:r w:rsidRPr="007A12AE">
        <w:rPr>
          <w:rFonts w:ascii="Cambria" w:hAnsi="Cambria"/>
          <w:i/>
          <w:sz w:val="16"/>
          <w:szCs w:val="16"/>
        </w:rPr>
        <w:t>The death penalty and the absolute prohibition of Torture and Cruel, Inhuman, and Degrading Treatment or Punishment</w:t>
      </w:r>
      <w:r w:rsidRPr="007A12AE">
        <w:rPr>
          <w:rFonts w:ascii="Cambria" w:hAnsi="Cambria"/>
          <w:sz w:val="16"/>
          <w:szCs w:val="16"/>
        </w:rPr>
        <w:t xml:space="preserve">. </w:t>
      </w:r>
      <w:r w:rsidRPr="00B4645B">
        <w:rPr>
          <w:rFonts w:ascii="Cambria" w:hAnsi="Cambria"/>
          <w:sz w:val="16"/>
          <w:szCs w:val="16"/>
          <w:lang w:val="es-ES"/>
        </w:rPr>
        <w:t xml:space="preserve">Juan E. Mendez, </w:t>
      </w:r>
      <w:r w:rsidRPr="00B4645B">
        <w:rPr>
          <w:rFonts w:ascii="Cambria" w:hAnsi="Cambria"/>
          <w:i/>
          <w:sz w:val="16"/>
          <w:szCs w:val="16"/>
          <w:lang w:val="es-ES"/>
        </w:rPr>
        <w:t xml:space="preserve">Human </w:t>
      </w:r>
      <w:proofErr w:type="spellStart"/>
      <w:r w:rsidRPr="00B4645B">
        <w:rPr>
          <w:rFonts w:ascii="Cambria" w:hAnsi="Cambria"/>
          <w:i/>
          <w:sz w:val="16"/>
          <w:szCs w:val="16"/>
          <w:lang w:val="es-ES"/>
        </w:rPr>
        <w:t>Rights</w:t>
      </w:r>
      <w:proofErr w:type="spellEnd"/>
      <w:r w:rsidRPr="00B4645B">
        <w:rPr>
          <w:rFonts w:ascii="Cambria" w:hAnsi="Cambria"/>
          <w:i/>
          <w:sz w:val="16"/>
          <w:szCs w:val="16"/>
          <w:lang w:val="es-ES"/>
        </w:rPr>
        <w:t xml:space="preserve"> </w:t>
      </w:r>
      <w:proofErr w:type="spellStart"/>
      <w:r w:rsidRPr="00B4645B">
        <w:rPr>
          <w:rFonts w:ascii="Cambria" w:hAnsi="Cambria"/>
          <w:i/>
          <w:sz w:val="16"/>
          <w:szCs w:val="16"/>
          <w:lang w:val="es-ES"/>
        </w:rPr>
        <w:t>Brief</w:t>
      </w:r>
      <w:proofErr w:type="spellEnd"/>
      <w:r w:rsidRPr="00B4645B">
        <w:rPr>
          <w:rFonts w:ascii="Cambria" w:hAnsi="Cambria"/>
          <w:sz w:val="16"/>
          <w:szCs w:val="16"/>
          <w:lang w:val="es-ES"/>
        </w:rPr>
        <w:t xml:space="preserve">, Volumen 20, número 1, artículo 1, p. 3. </w:t>
      </w:r>
    </w:p>
  </w:footnote>
  <w:footnote w:id="103">
    <w:p w14:paraId="583D425A" w14:textId="77777777" w:rsidR="009206FF" w:rsidRPr="00B4645B" w:rsidRDefault="009206FF" w:rsidP="00953481">
      <w:pPr>
        <w:pStyle w:val="FootnoteText"/>
        <w:rPr>
          <w:rFonts w:ascii="Cambria" w:hAnsi="Cambria"/>
          <w:sz w:val="16"/>
          <w:szCs w:val="16"/>
          <w:lang w:val="es-ES"/>
        </w:rPr>
      </w:pPr>
      <w:r w:rsidRPr="00B4645B">
        <w:rPr>
          <w:rStyle w:val="FootnoteReference"/>
          <w:rFonts w:ascii="Cambria" w:hAnsi="Cambria"/>
          <w:sz w:val="16"/>
          <w:szCs w:val="16"/>
          <w:lang w:val="es-ES"/>
        </w:rPr>
        <w:footnoteRef/>
      </w:r>
      <w:r w:rsidRPr="00B4645B">
        <w:rPr>
          <w:rFonts w:ascii="Cambria" w:hAnsi="Cambria"/>
          <w:sz w:val="16"/>
          <w:szCs w:val="16"/>
          <w:lang w:val="es-ES"/>
        </w:rPr>
        <w:t xml:space="preserve"> Comité contra la Tortura. </w:t>
      </w:r>
      <w:r w:rsidRPr="00B4645B">
        <w:rPr>
          <w:rFonts w:ascii="Cambria" w:hAnsi="Cambria"/>
          <w:i/>
          <w:sz w:val="16"/>
          <w:szCs w:val="16"/>
          <w:lang w:val="es-ES"/>
        </w:rPr>
        <w:t>Examen de los informes presentados por los Estados Partes en virtud del artículo 19 de la Convención. Estados Unidos de América</w:t>
      </w:r>
      <w:r w:rsidRPr="00B4645B">
        <w:rPr>
          <w:rFonts w:ascii="Cambria" w:hAnsi="Cambria"/>
          <w:sz w:val="16"/>
          <w:szCs w:val="16"/>
          <w:lang w:val="es-ES"/>
        </w:rPr>
        <w:t>. CAT/C/USA/CO/2, 25 de julio de 2006, párr. 31.</w:t>
      </w:r>
    </w:p>
  </w:footnote>
  <w:footnote w:id="104">
    <w:p w14:paraId="4127654A" w14:textId="77777777" w:rsidR="009206FF" w:rsidRPr="00B4645B" w:rsidRDefault="009206FF" w:rsidP="00953481">
      <w:pPr>
        <w:pStyle w:val="FootnoteText"/>
        <w:rPr>
          <w:rFonts w:asciiTheme="majorHAnsi" w:hAnsiTheme="majorHAnsi"/>
          <w:color w:val="auto"/>
          <w:sz w:val="16"/>
          <w:szCs w:val="16"/>
          <w:lang w:val="es-ES"/>
        </w:rPr>
      </w:pPr>
      <w:r w:rsidRPr="00B4645B">
        <w:rPr>
          <w:rStyle w:val="FootnoteReference"/>
          <w:rFonts w:asciiTheme="majorHAnsi" w:hAnsiTheme="majorHAnsi"/>
          <w:color w:val="auto"/>
          <w:sz w:val="16"/>
          <w:szCs w:val="16"/>
          <w:lang w:val="es-ES"/>
        </w:rPr>
        <w:footnoteRef/>
      </w:r>
      <w:r w:rsidRPr="00B4645B">
        <w:rPr>
          <w:rStyle w:val="FootnoteReference"/>
          <w:rFonts w:asciiTheme="majorHAnsi" w:hAnsiTheme="majorHAnsi"/>
          <w:color w:val="auto"/>
          <w:sz w:val="16"/>
          <w:szCs w:val="16"/>
          <w:lang w:val="es-ES"/>
        </w:rPr>
        <w:t xml:space="preserve"> </w:t>
      </w:r>
      <w:r w:rsidRPr="00B4645B">
        <w:rPr>
          <w:rFonts w:asciiTheme="majorHAnsi" w:hAnsiTheme="majorHAnsi"/>
          <w:color w:val="auto"/>
          <w:sz w:val="16"/>
          <w:szCs w:val="16"/>
          <w:lang w:val="es-ES"/>
        </w:rPr>
        <w:t xml:space="preserve">CIDH. Informe No. 71/18, Caso 12.958. Fondo. Russell </w:t>
      </w:r>
      <w:proofErr w:type="spellStart"/>
      <w:r w:rsidRPr="00B4645B">
        <w:rPr>
          <w:rFonts w:asciiTheme="majorHAnsi" w:hAnsiTheme="majorHAnsi"/>
          <w:color w:val="auto"/>
          <w:sz w:val="16"/>
          <w:szCs w:val="16"/>
          <w:lang w:val="es-ES"/>
        </w:rPr>
        <w:t>Bucklew</w:t>
      </w:r>
      <w:proofErr w:type="spellEnd"/>
      <w:r w:rsidRPr="00B4645B">
        <w:rPr>
          <w:rFonts w:asciiTheme="majorHAnsi" w:hAnsiTheme="majorHAnsi"/>
          <w:color w:val="auto"/>
          <w:sz w:val="16"/>
          <w:szCs w:val="16"/>
          <w:lang w:val="es-ES"/>
        </w:rPr>
        <w:t xml:space="preserve">. Estados Unidos. 10 de mayo de 2018, </w:t>
      </w:r>
      <w:proofErr w:type="spellStart"/>
      <w:r w:rsidRPr="00B4645B">
        <w:rPr>
          <w:rFonts w:asciiTheme="majorHAnsi" w:hAnsiTheme="majorHAnsi"/>
          <w:color w:val="auto"/>
          <w:sz w:val="16"/>
          <w:szCs w:val="16"/>
          <w:lang w:val="es-ES"/>
        </w:rPr>
        <w:t>párrs</w:t>
      </w:r>
      <w:proofErr w:type="spellEnd"/>
      <w:r w:rsidRPr="00B4645B">
        <w:rPr>
          <w:rFonts w:asciiTheme="majorHAnsi" w:hAnsiTheme="majorHAnsi"/>
          <w:color w:val="auto"/>
          <w:sz w:val="16"/>
          <w:szCs w:val="16"/>
          <w:lang w:val="es-ES"/>
        </w:rPr>
        <w:t>. 86</w:t>
      </w:r>
      <w:r>
        <w:rPr>
          <w:rFonts w:asciiTheme="majorHAnsi" w:hAnsiTheme="majorHAnsi"/>
          <w:color w:val="auto"/>
          <w:sz w:val="16"/>
          <w:szCs w:val="16"/>
          <w:lang w:val="es-ES"/>
        </w:rPr>
        <w:t xml:space="preserve"> a </w:t>
      </w:r>
      <w:r w:rsidRPr="00B4645B">
        <w:rPr>
          <w:rFonts w:asciiTheme="majorHAnsi" w:hAnsiTheme="majorHAnsi"/>
          <w:color w:val="auto"/>
          <w:sz w:val="16"/>
          <w:szCs w:val="16"/>
          <w:lang w:val="es-ES"/>
        </w:rPr>
        <w:t>90. En este informe, la Comisión cita varios avances en el sistema interamericano y en otros sistemas de protección, entre ellos los sistemas regionales y el sistema de las Naciones Unidas.</w:t>
      </w:r>
    </w:p>
  </w:footnote>
  <w:footnote w:id="105">
    <w:p w14:paraId="1F65A59F" w14:textId="77777777" w:rsidR="009206FF" w:rsidRPr="00B4645B" w:rsidRDefault="009206FF" w:rsidP="00953481">
      <w:pPr>
        <w:pStyle w:val="FootnoteText"/>
        <w:tabs>
          <w:tab w:val="left" w:pos="0"/>
        </w:tabs>
        <w:rPr>
          <w:sz w:val="16"/>
          <w:szCs w:val="16"/>
          <w:lang w:val="es-ES"/>
        </w:rPr>
      </w:pPr>
      <w:r w:rsidRPr="00B4645B">
        <w:rPr>
          <w:rStyle w:val="FootnoteReference"/>
          <w:rFonts w:asciiTheme="majorHAnsi" w:hAnsiTheme="majorHAnsi"/>
          <w:color w:val="auto"/>
          <w:sz w:val="16"/>
          <w:szCs w:val="16"/>
          <w:lang w:val="es-ES"/>
        </w:rPr>
        <w:footnoteRef/>
      </w:r>
      <w:r w:rsidRPr="00B4645B">
        <w:rPr>
          <w:rStyle w:val="FootnoteReference"/>
          <w:rFonts w:asciiTheme="majorHAnsi" w:hAnsiTheme="majorHAnsi"/>
          <w:color w:val="auto"/>
          <w:sz w:val="16"/>
          <w:szCs w:val="16"/>
          <w:lang w:val="es-ES"/>
        </w:rPr>
        <w:t xml:space="preserve"> </w:t>
      </w:r>
      <w:r w:rsidRPr="00B4645B">
        <w:rPr>
          <w:rFonts w:asciiTheme="majorHAnsi" w:hAnsiTheme="majorHAnsi"/>
          <w:color w:val="auto"/>
          <w:sz w:val="16"/>
          <w:szCs w:val="16"/>
          <w:lang w:val="es-ES"/>
        </w:rPr>
        <w:t xml:space="preserve">CIDH. Informe No. 71/18, Caso 12.958. Fondo. Russell </w:t>
      </w:r>
      <w:proofErr w:type="spellStart"/>
      <w:r w:rsidRPr="00B4645B">
        <w:rPr>
          <w:rFonts w:asciiTheme="majorHAnsi" w:hAnsiTheme="majorHAnsi"/>
          <w:color w:val="auto"/>
          <w:sz w:val="16"/>
          <w:szCs w:val="16"/>
          <w:lang w:val="es-ES"/>
        </w:rPr>
        <w:t>Bucklew</w:t>
      </w:r>
      <w:proofErr w:type="spellEnd"/>
      <w:r w:rsidRPr="00B4645B">
        <w:rPr>
          <w:rFonts w:asciiTheme="majorHAnsi" w:hAnsiTheme="majorHAnsi"/>
          <w:color w:val="auto"/>
          <w:sz w:val="16"/>
          <w:szCs w:val="16"/>
          <w:lang w:val="es-ES"/>
        </w:rPr>
        <w:t>. Estados Unidos. 10 de mayo de 2018, párr. 91.</w:t>
      </w:r>
    </w:p>
  </w:footnote>
  <w:footnote w:id="106">
    <w:p w14:paraId="198F8128" w14:textId="77777777" w:rsidR="009206FF" w:rsidRPr="00B4645B" w:rsidRDefault="009206FF" w:rsidP="00953481">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rPr>
          <w:color w:val="auto"/>
          <w:sz w:val="16"/>
          <w:szCs w:val="16"/>
          <w:lang w:val="es-ES"/>
        </w:rPr>
      </w:pPr>
      <w:r w:rsidRPr="00B4645B">
        <w:rPr>
          <w:rStyle w:val="FootnoteReference"/>
          <w:rFonts w:asciiTheme="majorHAnsi" w:hAnsiTheme="majorHAnsi"/>
          <w:color w:val="auto"/>
          <w:sz w:val="16"/>
          <w:szCs w:val="16"/>
          <w:lang w:val="es-ES"/>
        </w:rPr>
        <w:footnoteRef/>
      </w:r>
      <w:r w:rsidRPr="00B4645B">
        <w:rPr>
          <w:rStyle w:val="FootnoteReference"/>
          <w:rFonts w:asciiTheme="majorHAnsi" w:hAnsiTheme="majorHAnsi"/>
          <w:color w:val="auto"/>
          <w:sz w:val="16"/>
          <w:szCs w:val="16"/>
          <w:lang w:val="es-ES"/>
        </w:rPr>
        <w:t xml:space="preserve"> </w:t>
      </w:r>
      <w:r w:rsidRPr="00B4645B">
        <w:rPr>
          <w:rFonts w:asciiTheme="majorHAnsi" w:hAnsiTheme="majorHAnsi"/>
          <w:color w:val="auto"/>
          <w:sz w:val="16"/>
          <w:szCs w:val="16"/>
          <w:lang w:val="es-ES"/>
        </w:rPr>
        <w:t xml:space="preserve">CIDH. Informe No. 24/17, Caso 12.254. Fondo. </w:t>
      </w:r>
      <w:proofErr w:type="spellStart"/>
      <w:r w:rsidRPr="00B4645B">
        <w:rPr>
          <w:rFonts w:asciiTheme="majorHAnsi" w:hAnsiTheme="majorHAnsi"/>
          <w:color w:val="auto"/>
          <w:sz w:val="16"/>
          <w:szCs w:val="16"/>
          <w:lang w:val="es-ES"/>
        </w:rPr>
        <w:t>Victor</w:t>
      </w:r>
      <w:proofErr w:type="spellEnd"/>
      <w:r w:rsidRPr="00B4645B">
        <w:rPr>
          <w:rFonts w:asciiTheme="majorHAnsi" w:hAnsiTheme="majorHAnsi"/>
          <w:color w:val="auto"/>
          <w:sz w:val="16"/>
          <w:szCs w:val="16"/>
          <w:lang w:val="es-ES"/>
        </w:rPr>
        <w:t xml:space="preserve"> Saldaño. Estados Unidos. 18 de marzo de 2017, párr. 246, donde se cita CIDH. Informe No. 58/02. Fondo. Caso 12.275. Denton </w:t>
      </w:r>
      <w:proofErr w:type="spellStart"/>
      <w:r w:rsidRPr="00B4645B">
        <w:rPr>
          <w:rFonts w:asciiTheme="majorHAnsi" w:hAnsiTheme="majorHAnsi"/>
          <w:color w:val="auto"/>
          <w:sz w:val="16"/>
          <w:szCs w:val="16"/>
          <w:lang w:val="es-ES"/>
        </w:rPr>
        <w:t>Aitken</w:t>
      </w:r>
      <w:proofErr w:type="spellEnd"/>
      <w:r w:rsidRPr="00B4645B">
        <w:rPr>
          <w:rFonts w:asciiTheme="majorHAnsi" w:hAnsiTheme="majorHAnsi"/>
          <w:color w:val="auto"/>
          <w:sz w:val="16"/>
          <w:szCs w:val="16"/>
          <w:lang w:val="es-ES"/>
        </w:rPr>
        <w:t xml:space="preserve">. Jamaica. 21 de octubre de 2002, </w:t>
      </w:r>
      <w:proofErr w:type="spellStart"/>
      <w:r w:rsidRPr="00B4645B">
        <w:rPr>
          <w:rFonts w:asciiTheme="majorHAnsi" w:hAnsiTheme="majorHAnsi"/>
          <w:color w:val="auto"/>
          <w:sz w:val="16"/>
          <w:szCs w:val="16"/>
          <w:lang w:val="es-ES"/>
        </w:rPr>
        <w:t>párrs</w:t>
      </w:r>
      <w:proofErr w:type="spellEnd"/>
      <w:r w:rsidRPr="00B4645B">
        <w:rPr>
          <w:rFonts w:asciiTheme="majorHAnsi" w:hAnsiTheme="majorHAnsi"/>
          <w:color w:val="auto"/>
          <w:sz w:val="16"/>
          <w:szCs w:val="16"/>
          <w:lang w:val="es-ES"/>
        </w:rPr>
        <w:t>. 133 y 134.</w:t>
      </w:r>
    </w:p>
  </w:footnote>
  <w:footnote w:id="107">
    <w:p w14:paraId="315A9E72" w14:textId="77777777" w:rsidR="009206FF" w:rsidRPr="00B4645B" w:rsidRDefault="009206FF" w:rsidP="00953481">
      <w:pPr>
        <w:pStyle w:val="FootnoteText"/>
        <w:pBdr>
          <w:top w:val="none" w:sz="0" w:space="0" w:color="auto"/>
          <w:left w:val="none" w:sz="0" w:space="0" w:color="auto"/>
          <w:bottom w:val="none" w:sz="0" w:space="0" w:color="auto"/>
          <w:right w:val="none" w:sz="0" w:space="0" w:color="auto"/>
          <w:bar w:val="none" w:sz="0" w:color="auto"/>
        </w:pBdr>
        <w:tabs>
          <w:tab w:val="left" w:pos="0"/>
        </w:tabs>
        <w:rPr>
          <w:color w:val="auto"/>
          <w:sz w:val="16"/>
          <w:szCs w:val="16"/>
          <w:lang w:val="es-ES"/>
        </w:rPr>
      </w:pPr>
      <w:r w:rsidRPr="00B4645B">
        <w:rPr>
          <w:rStyle w:val="FootnoteReference"/>
          <w:rFonts w:ascii="Cambria" w:hAnsi="Cambria"/>
          <w:color w:val="auto"/>
          <w:sz w:val="16"/>
          <w:szCs w:val="16"/>
          <w:lang w:val="es-ES"/>
        </w:rPr>
        <w:footnoteRef/>
      </w:r>
      <w:r w:rsidRPr="00B4645B">
        <w:rPr>
          <w:rFonts w:ascii="Cambria" w:hAnsi="Cambria"/>
          <w:color w:val="auto"/>
          <w:sz w:val="16"/>
          <w:szCs w:val="16"/>
          <w:lang w:val="es-ES"/>
        </w:rPr>
        <w:t xml:space="preserve"> Naciones Unidas.</w:t>
      </w:r>
      <w:r>
        <w:rPr>
          <w:rFonts w:ascii="Cambria" w:hAnsi="Cambria"/>
          <w:color w:val="auto"/>
          <w:sz w:val="16"/>
          <w:szCs w:val="16"/>
          <w:lang w:val="es-ES"/>
        </w:rPr>
        <w:t xml:space="preserve"> Asamblea General.</w:t>
      </w:r>
      <w:r w:rsidRPr="00B4645B">
        <w:rPr>
          <w:rFonts w:ascii="Cambria" w:hAnsi="Cambria"/>
          <w:color w:val="auto"/>
          <w:sz w:val="16"/>
          <w:szCs w:val="16"/>
          <w:lang w:val="es-ES"/>
        </w:rPr>
        <w:t xml:space="preserve"> </w:t>
      </w:r>
      <w:hyperlink r:id="rId19" w:history="1">
        <w:r w:rsidRPr="00D30952">
          <w:rPr>
            <w:rStyle w:val="Hyperlink"/>
            <w:rFonts w:ascii="Cambria" w:hAnsi="Cambria"/>
            <w:i/>
            <w:sz w:val="16"/>
            <w:szCs w:val="16"/>
            <w:lang w:val="es-ES"/>
          </w:rPr>
          <w:t>Informe provisional del Relator Especial sobre la tortura y otros tratos o penas crueles, inhumanos o degradantes</w:t>
        </w:r>
      </w:hyperlink>
      <w:r w:rsidRPr="00D30952">
        <w:rPr>
          <w:rFonts w:ascii="Cambria" w:hAnsi="Cambria"/>
          <w:color w:val="auto"/>
          <w:sz w:val="16"/>
          <w:szCs w:val="16"/>
          <w:lang w:val="es-ES"/>
        </w:rPr>
        <w:t xml:space="preserve">. </w:t>
      </w:r>
      <w:r w:rsidRPr="00EF72C2">
        <w:rPr>
          <w:rFonts w:ascii="Cambria" w:hAnsi="Cambria"/>
          <w:color w:val="auto"/>
          <w:sz w:val="16"/>
          <w:szCs w:val="16"/>
          <w:lang w:val="es-US"/>
        </w:rPr>
        <w:t xml:space="preserve">A/67/279, 9 de agosto de 2012. </w:t>
      </w:r>
      <w:r w:rsidRPr="00B4645B">
        <w:rPr>
          <w:rFonts w:ascii="Cambria" w:hAnsi="Cambria"/>
          <w:color w:val="auto"/>
          <w:sz w:val="16"/>
          <w:szCs w:val="16"/>
          <w:lang w:val="es-ES"/>
        </w:rPr>
        <w:t>A/67/279, párr. 48.</w:t>
      </w:r>
    </w:p>
  </w:footnote>
  <w:footnote w:id="108">
    <w:p w14:paraId="7C7D36C1" w14:textId="77777777" w:rsidR="009206FF" w:rsidRPr="00B4645B" w:rsidRDefault="009206FF" w:rsidP="00953481">
      <w:pPr>
        <w:pStyle w:val="FootnoteText"/>
        <w:rPr>
          <w:sz w:val="16"/>
          <w:szCs w:val="16"/>
          <w:lang w:val="es-ES"/>
        </w:rPr>
      </w:pPr>
      <w:r w:rsidRPr="00B4645B">
        <w:rPr>
          <w:rStyle w:val="FootnoteReference"/>
          <w:rFonts w:ascii="Cambria" w:hAnsi="Cambria"/>
          <w:color w:val="auto"/>
          <w:sz w:val="16"/>
          <w:szCs w:val="16"/>
          <w:lang w:val="es-ES"/>
        </w:rPr>
        <w:footnoteRef/>
      </w:r>
      <w:r w:rsidRPr="00B4645B">
        <w:rPr>
          <w:rStyle w:val="FootnoteReference"/>
          <w:rFonts w:ascii="Cambria" w:hAnsi="Cambria"/>
          <w:color w:val="auto"/>
          <w:sz w:val="16"/>
          <w:szCs w:val="16"/>
          <w:lang w:val="es-ES"/>
        </w:rPr>
        <w:t xml:space="preserve"> </w:t>
      </w:r>
      <w:r w:rsidRPr="00B4645B">
        <w:rPr>
          <w:rFonts w:ascii="Cambria" w:hAnsi="Cambria"/>
          <w:color w:val="auto"/>
          <w:sz w:val="16"/>
          <w:szCs w:val="16"/>
          <w:lang w:val="es-ES"/>
        </w:rPr>
        <w:t xml:space="preserve">El artículo </w:t>
      </w:r>
      <w:r w:rsidRPr="00B4645B">
        <w:rPr>
          <w:rFonts w:asciiTheme="majorHAnsi" w:hAnsiTheme="majorHAnsi"/>
          <w:color w:val="auto"/>
          <w:sz w:val="16"/>
          <w:szCs w:val="16"/>
          <w:lang w:val="es-ES"/>
        </w:rPr>
        <w:t>I de la Declaración Americana dice: “Todo ser humano tiene derecho a la vida, a la libertad y a la seguridad de su persona”.</w:t>
      </w:r>
    </w:p>
  </w:footnote>
  <w:footnote w:id="109">
    <w:p w14:paraId="6AAA84EB" w14:textId="77777777" w:rsidR="009206FF" w:rsidRPr="00B4645B" w:rsidRDefault="009206FF" w:rsidP="00953481">
      <w:pPr>
        <w:pStyle w:val="FootnoteText"/>
        <w:rPr>
          <w:rFonts w:asciiTheme="majorHAnsi" w:hAnsiTheme="majorHAnsi"/>
          <w:color w:val="auto"/>
          <w:sz w:val="16"/>
          <w:szCs w:val="16"/>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CIDH. Informe No. 53/13, Caso 12.864. Fondo (Publicación). </w:t>
      </w:r>
      <w:proofErr w:type="spellStart"/>
      <w:r w:rsidRPr="00B4645B">
        <w:rPr>
          <w:rFonts w:asciiTheme="majorHAnsi" w:hAnsiTheme="majorHAnsi"/>
          <w:color w:val="auto"/>
          <w:sz w:val="16"/>
          <w:szCs w:val="16"/>
          <w:lang w:val="es-ES"/>
        </w:rPr>
        <w:t>Ivan</w:t>
      </w:r>
      <w:proofErr w:type="spellEnd"/>
      <w:r w:rsidRPr="00B4645B">
        <w:rPr>
          <w:rFonts w:asciiTheme="majorHAnsi" w:hAnsiTheme="majorHAnsi"/>
          <w:color w:val="auto"/>
          <w:sz w:val="16"/>
          <w:szCs w:val="16"/>
          <w:lang w:val="es-ES"/>
        </w:rPr>
        <w:t xml:space="preserve"> </w:t>
      </w:r>
      <w:proofErr w:type="spellStart"/>
      <w:r w:rsidRPr="00B4645B">
        <w:rPr>
          <w:rFonts w:asciiTheme="majorHAnsi" w:hAnsiTheme="majorHAnsi"/>
          <w:color w:val="auto"/>
          <w:sz w:val="16"/>
          <w:szCs w:val="16"/>
          <w:lang w:val="es-ES"/>
        </w:rPr>
        <w:t>Teleguz</w:t>
      </w:r>
      <w:proofErr w:type="spellEnd"/>
      <w:r w:rsidRPr="00B4645B">
        <w:rPr>
          <w:rFonts w:asciiTheme="majorHAnsi" w:hAnsiTheme="majorHAnsi"/>
          <w:color w:val="auto"/>
          <w:sz w:val="16"/>
          <w:szCs w:val="16"/>
          <w:lang w:val="es-ES"/>
        </w:rPr>
        <w:t>. Estados Unidos. 15 de julio de 2013, párr. 129.</w:t>
      </w:r>
    </w:p>
  </w:footnote>
  <w:footnote w:id="110">
    <w:p w14:paraId="2ABA207C" w14:textId="77777777" w:rsidR="009206FF" w:rsidRPr="00B4645B" w:rsidRDefault="009206FF" w:rsidP="00953481">
      <w:pPr>
        <w:pStyle w:val="FootnoteText"/>
        <w:rPr>
          <w:rFonts w:asciiTheme="majorHAnsi" w:hAnsiTheme="majorHAnsi"/>
          <w:color w:val="auto"/>
          <w:sz w:val="16"/>
          <w:szCs w:val="16"/>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CIDH. Informe No. 11/15, Caso 12.833. Fondo (Publicación). Félix Rocha Díaz. Estados Unidos. 23 de marzo de 2015, párr. 106.</w:t>
      </w:r>
    </w:p>
  </w:footnote>
  <w:footnote w:id="111">
    <w:p w14:paraId="3469EF37" w14:textId="77777777" w:rsidR="009206FF" w:rsidRPr="00B4645B" w:rsidRDefault="009206FF" w:rsidP="003D16AC">
      <w:pPr>
        <w:pStyle w:val="FootnoteText"/>
        <w:rPr>
          <w:rFonts w:asciiTheme="majorHAnsi" w:hAnsiTheme="majorHAnsi"/>
          <w:color w:val="auto"/>
          <w:sz w:val="16"/>
          <w:szCs w:val="16"/>
          <w:bdr w:val="none" w:sz="0" w:space="0" w:color="auto"/>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En ese sentido, véase CIDH. </w:t>
      </w:r>
      <w:r w:rsidRPr="00B4645B">
        <w:rPr>
          <w:rFonts w:asciiTheme="majorHAnsi" w:hAnsiTheme="majorHAnsi"/>
          <w:i/>
          <w:color w:val="auto"/>
          <w:sz w:val="16"/>
          <w:szCs w:val="16"/>
          <w:lang w:val="es-ES"/>
        </w:rPr>
        <w:t>La pena de muerte en el Sistema Interamericano de Derechos Humanos: de restricciones a abolición.</w:t>
      </w:r>
      <w:r w:rsidRPr="00B4645B">
        <w:rPr>
          <w:rFonts w:asciiTheme="majorHAnsi" w:hAnsiTheme="majorHAnsi"/>
          <w:color w:val="auto"/>
          <w:sz w:val="16"/>
          <w:szCs w:val="16"/>
          <w:lang w:val="es-ES"/>
        </w:rPr>
        <w:t xml:space="preserve"> OEA/</w:t>
      </w:r>
      <w:proofErr w:type="spellStart"/>
      <w:r w:rsidRPr="00B4645B">
        <w:rPr>
          <w:rFonts w:asciiTheme="majorHAnsi" w:hAnsiTheme="majorHAnsi"/>
          <w:color w:val="auto"/>
          <w:sz w:val="16"/>
          <w:szCs w:val="16"/>
          <w:lang w:val="es-ES"/>
        </w:rPr>
        <w:t>Ser.L</w:t>
      </w:r>
      <w:proofErr w:type="spellEnd"/>
      <w:r w:rsidRPr="00B4645B">
        <w:rPr>
          <w:rFonts w:asciiTheme="majorHAnsi" w:hAnsiTheme="majorHAnsi"/>
          <w:color w:val="auto"/>
          <w:sz w:val="16"/>
          <w:szCs w:val="16"/>
          <w:lang w:val="es-ES"/>
        </w:rPr>
        <w:t>/V/II. Doc. 68, 31 de diciembre de 2011.</w:t>
      </w:r>
    </w:p>
  </w:footnote>
  <w:footnote w:id="112">
    <w:p w14:paraId="417D0B37" w14:textId="77777777" w:rsidR="009206FF" w:rsidRPr="00B4645B" w:rsidRDefault="009206FF" w:rsidP="00953481">
      <w:pPr>
        <w:pStyle w:val="FootnoteText"/>
        <w:rPr>
          <w:rFonts w:asciiTheme="majorHAnsi" w:hAnsiTheme="majorHAnsi"/>
          <w:color w:val="auto"/>
          <w:sz w:val="16"/>
          <w:szCs w:val="16"/>
          <w:bdr w:val="none" w:sz="0" w:space="0" w:color="auto"/>
          <w:lang w:val="es-ES"/>
        </w:rPr>
      </w:pPr>
      <w:r w:rsidRPr="00B4645B">
        <w:rPr>
          <w:rStyle w:val="FootnoteReference"/>
          <w:rFonts w:asciiTheme="majorHAnsi" w:hAnsiTheme="majorHAnsi"/>
          <w:color w:val="auto"/>
          <w:sz w:val="16"/>
          <w:szCs w:val="16"/>
          <w:lang w:val="es-ES"/>
        </w:rPr>
        <w:footnoteRef/>
      </w:r>
      <w:r w:rsidRPr="00B4645B">
        <w:rPr>
          <w:rFonts w:asciiTheme="majorHAnsi" w:hAnsiTheme="majorHAnsi"/>
          <w:color w:val="auto"/>
          <w:sz w:val="16"/>
          <w:szCs w:val="16"/>
          <w:lang w:val="es-ES"/>
        </w:rPr>
        <w:t xml:space="preserve"> En ese sentido, véase CIDH. </w:t>
      </w:r>
      <w:r w:rsidRPr="00B4645B">
        <w:rPr>
          <w:rFonts w:asciiTheme="majorHAnsi" w:hAnsiTheme="majorHAnsi"/>
          <w:i/>
          <w:color w:val="auto"/>
          <w:sz w:val="16"/>
          <w:szCs w:val="16"/>
          <w:lang w:val="es-ES"/>
        </w:rPr>
        <w:t>La pena de muerte en el Sistema Interamericano de Derechos Humanos: de restricciones a abolición.</w:t>
      </w:r>
      <w:r w:rsidRPr="00B4645B">
        <w:rPr>
          <w:rFonts w:asciiTheme="majorHAnsi" w:hAnsiTheme="majorHAnsi"/>
          <w:color w:val="auto"/>
          <w:sz w:val="16"/>
          <w:szCs w:val="16"/>
          <w:lang w:val="es-ES"/>
        </w:rPr>
        <w:t xml:space="preserve"> OEA/</w:t>
      </w:r>
      <w:proofErr w:type="spellStart"/>
      <w:r w:rsidRPr="00B4645B">
        <w:rPr>
          <w:rFonts w:asciiTheme="majorHAnsi" w:hAnsiTheme="majorHAnsi"/>
          <w:color w:val="auto"/>
          <w:sz w:val="16"/>
          <w:szCs w:val="16"/>
          <w:lang w:val="es-ES"/>
        </w:rPr>
        <w:t>Ser.L</w:t>
      </w:r>
      <w:proofErr w:type="spellEnd"/>
      <w:r w:rsidRPr="00B4645B">
        <w:rPr>
          <w:rFonts w:asciiTheme="majorHAnsi" w:hAnsiTheme="majorHAnsi"/>
          <w:color w:val="auto"/>
          <w:sz w:val="16"/>
          <w:szCs w:val="16"/>
          <w:lang w:val="es-ES"/>
        </w:rPr>
        <w:t>/V/II. Doc. 68, 31 de diciembre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0A7D" w14:textId="77777777" w:rsidR="009206FF" w:rsidRDefault="009206FF" w:rsidP="0095348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6A467CD" w14:textId="77777777" w:rsidR="009206FF" w:rsidRDefault="00920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1738" w14:textId="77777777" w:rsidR="009206FF" w:rsidRDefault="009206FF" w:rsidP="00A50FCF">
    <w:pPr>
      <w:pStyle w:val="Header"/>
      <w:tabs>
        <w:tab w:val="clear" w:pos="4320"/>
        <w:tab w:val="clear" w:pos="8640"/>
      </w:tabs>
      <w:jc w:val="center"/>
      <w:rPr>
        <w:sz w:val="22"/>
        <w:szCs w:val="22"/>
      </w:rPr>
    </w:pPr>
    <w:r>
      <w:rPr>
        <w:noProof/>
        <w:sz w:val="22"/>
        <w:szCs w:val="22"/>
      </w:rPr>
      <w:drawing>
        <wp:inline distT="0" distB="0" distL="0" distR="0" wp14:anchorId="33E39116" wp14:editId="3C41C0B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C09D01" w14:textId="77777777" w:rsidR="009206FF" w:rsidRPr="00EC7D62" w:rsidRDefault="005D64AE" w:rsidP="00A50FCF">
    <w:pPr>
      <w:pStyle w:val="Header"/>
      <w:tabs>
        <w:tab w:val="clear" w:pos="4320"/>
        <w:tab w:val="clear" w:pos="8640"/>
      </w:tabs>
      <w:jc w:val="center"/>
      <w:rPr>
        <w:sz w:val="22"/>
        <w:szCs w:val="22"/>
      </w:rPr>
    </w:pPr>
    <w:r>
      <w:rPr>
        <w:noProof/>
        <w:sz w:val="22"/>
        <w:szCs w:val="22"/>
        <w:bdr w:val="nil"/>
      </w:rPr>
      <w:pict w14:anchorId="6E454BA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7AE7E06"/>
    <w:lvl w:ilvl="0" w:tplc="11100042">
      <w:start w:val="1"/>
      <w:numFmt w:val="decimal"/>
      <w:lvlText w:val="%1."/>
      <w:lvlJc w:val="left"/>
      <w:pPr>
        <w:tabs>
          <w:tab w:val="num" w:pos="720"/>
        </w:tabs>
        <w:ind w:left="0" w:firstLine="720"/>
      </w:pPr>
      <w:rPr>
        <w:rFonts w:hint="default"/>
        <w:i w:val="0"/>
        <w:color w:val="auto"/>
        <w:lang w:val="es-E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53A2082"/>
    <w:multiLevelType w:val="hybridMultilevel"/>
    <w:tmpl w:val="0950A7FA"/>
    <w:lvl w:ilvl="0" w:tplc="ED904310">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413084"/>
    <w:multiLevelType w:val="hybridMultilevel"/>
    <w:tmpl w:val="9BC4313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681F10"/>
    <w:multiLevelType w:val="hybridMultilevel"/>
    <w:tmpl w:val="41F4A2C8"/>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2C3432A6"/>
    <w:lvl w:ilvl="0" w:tplc="5DE8102A">
      <w:start w:val="1"/>
      <w:numFmt w:val="decimal"/>
      <w:lvlText w:val="%1."/>
      <w:lvlJc w:val="left"/>
      <w:pPr>
        <w:ind w:left="720" w:hanging="360"/>
      </w:pPr>
      <w:rPr>
        <w:rFonts w:ascii="Cambria" w:hAnsi="Cambria" w:hint="default"/>
        <w:b w:val="0"/>
        <w:i w:val="0"/>
        <w:color w:val="auto"/>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FFF04AB8"/>
    <w:lvl w:ilvl="0" w:tplc="69020C3E">
      <w:start w:val="1"/>
      <w:numFmt w:val="upperRoman"/>
      <w:pStyle w:val="Heading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0B5D47"/>
    <w:multiLevelType w:val="hybridMultilevel"/>
    <w:tmpl w:val="9404D1E2"/>
    <w:lvl w:ilvl="0" w:tplc="CD2A5A04">
      <w:start w:val="3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45554A"/>
    <w:multiLevelType w:val="hybridMultilevel"/>
    <w:tmpl w:val="FA40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9C590E"/>
    <w:multiLevelType w:val="multilevel"/>
    <w:tmpl w:val="915AB1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0"/>
  </w:num>
  <w:num w:numId="4">
    <w:abstractNumId w:val="20"/>
  </w:num>
  <w:num w:numId="5">
    <w:abstractNumId w:val="49"/>
  </w:num>
  <w:num w:numId="6">
    <w:abstractNumId w:val="26"/>
  </w:num>
  <w:num w:numId="7">
    <w:abstractNumId w:val="6"/>
  </w:num>
  <w:num w:numId="8">
    <w:abstractNumId w:val="16"/>
  </w:num>
  <w:num w:numId="9">
    <w:abstractNumId w:val="43"/>
  </w:num>
  <w:num w:numId="10">
    <w:abstractNumId w:val="0"/>
  </w:num>
  <w:num w:numId="11">
    <w:abstractNumId w:val="35"/>
  </w:num>
  <w:num w:numId="12">
    <w:abstractNumId w:val="36"/>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8"/>
  </w:num>
  <w:num w:numId="42">
    <w:abstractNumId w:val="51"/>
  </w:num>
  <w:num w:numId="43">
    <w:abstractNumId w:val="52"/>
  </w:num>
  <w:num w:numId="44">
    <w:abstractNumId w:val="56"/>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19"/>
  </w:num>
  <w:num w:numId="52">
    <w:abstractNumId w:val="39"/>
  </w:num>
  <w:num w:numId="53">
    <w:abstractNumId w:val="53"/>
  </w:num>
  <w:num w:numId="54">
    <w:abstractNumId w:val="46"/>
  </w:num>
  <w:num w:numId="55">
    <w:abstractNumId w:val="47"/>
  </w:num>
  <w:num w:numId="56">
    <w:abstractNumId w:val="50"/>
  </w:num>
  <w:num w:numId="57">
    <w:abstractNumId w:val="41"/>
  </w:num>
  <w:num w:numId="58">
    <w:abstractNumId w:val="57"/>
  </w:num>
  <w:num w:numId="59">
    <w:abstractNumId w:val="55"/>
    <w:lvlOverride w:ilvl="0">
      <w:startOverride w:val="1"/>
    </w:lvlOverride>
  </w:num>
  <w:num w:numId="60">
    <w:abstractNumId w:val="55"/>
  </w:num>
  <w:num w:numId="61">
    <w:abstractNumId w:val="40"/>
  </w:num>
  <w:num w:numId="62">
    <w:abstractNumId w:val="42"/>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num>
  <w:num w:numId="65">
    <w:abstractNumId w:val="54"/>
  </w:num>
  <w:num w:numId="66">
    <w:abstractNumId w:val="4"/>
  </w:num>
  <w:num w:numId="67">
    <w:abstractNumId w:val="24"/>
  </w:num>
  <w:num w:numId="68">
    <w:abstractNumId w:val="53"/>
  </w:num>
  <w:num w:numId="69">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17E15"/>
    <w:rsid w:val="000254B9"/>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4729E"/>
    <w:rsid w:val="00167A34"/>
    <w:rsid w:val="001A7870"/>
    <w:rsid w:val="001C0160"/>
    <w:rsid w:val="001C1B41"/>
    <w:rsid w:val="001D65EF"/>
    <w:rsid w:val="00204E96"/>
    <w:rsid w:val="002250A3"/>
    <w:rsid w:val="00235217"/>
    <w:rsid w:val="00246D1F"/>
    <w:rsid w:val="00247403"/>
    <w:rsid w:val="00247542"/>
    <w:rsid w:val="00266B61"/>
    <w:rsid w:val="0026712A"/>
    <w:rsid w:val="002704DB"/>
    <w:rsid w:val="002A0AAE"/>
    <w:rsid w:val="002A264B"/>
    <w:rsid w:val="002A46AE"/>
    <w:rsid w:val="002A5820"/>
    <w:rsid w:val="002C7782"/>
    <w:rsid w:val="002D2B26"/>
    <w:rsid w:val="002D7EA2"/>
    <w:rsid w:val="002E187C"/>
    <w:rsid w:val="00302733"/>
    <w:rsid w:val="00314078"/>
    <w:rsid w:val="0031535D"/>
    <w:rsid w:val="0033169F"/>
    <w:rsid w:val="00346C95"/>
    <w:rsid w:val="00347AE8"/>
    <w:rsid w:val="00356185"/>
    <w:rsid w:val="00360380"/>
    <w:rsid w:val="0037519E"/>
    <w:rsid w:val="00386CF0"/>
    <w:rsid w:val="003C676B"/>
    <w:rsid w:val="003D16AC"/>
    <w:rsid w:val="003D3BC2"/>
    <w:rsid w:val="003E6CA1"/>
    <w:rsid w:val="004165C2"/>
    <w:rsid w:val="00441ECB"/>
    <w:rsid w:val="0046514D"/>
    <w:rsid w:val="00467B7E"/>
    <w:rsid w:val="00473D0D"/>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41AF"/>
    <w:rsid w:val="005A6D0E"/>
    <w:rsid w:val="005B52B0"/>
    <w:rsid w:val="005B6806"/>
    <w:rsid w:val="005C4225"/>
    <w:rsid w:val="005D64AE"/>
    <w:rsid w:val="005F0DAD"/>
    <w:rsid w:val="005F0F33"/>
    <w:rsid w:val="00600DEB"/>
    <w:rsid w:val="00620E35"/>
    <w:rsid w:val="00627C9F"/>
    <w:rsid w:val="006311E9"/>
    <w:rsid w:val="00632354"/>
    <w:rsid w:val="00642810"/>
    <w:rsid w:val="00652333"/>
    <w:rsid w:val="0068009E"/>
    <w:rsid w:val="006808EF"/>
    <w:rsid w:val="00692219"/>
    <w:rsid w:val="006A17D2"/>
    <w:rsid w:val="006A73E6"/>
    <w:rsid w:val="006B2D5C"/>
    <w:rsid w:val="006C4EB1"/>
    <w:rsid w:val="006D19DD"/>
    <w:rsid w:val="006E0166"/>
    <w:rsid w:val="006E7B34"/>
    <w:rsid w:val="0070697F"/>
    <w:rsid w:val="0072199C"/>
    <w:rsid w:val="00722C9F"/>
    <w:rsid w:val="007253B8"/>
    <w:rsid w:val="00734060"/>
    <w:rsid w:val="0073741F"/>
    <w:rsid w:val="0076643F"/>
    <w:rsid w:val="00777F63"/>
    <w:rsid w:val="0078220F"/>
    <w:rsid w:val="007A5817"/>
    <w:rsid w:val="007B60E9"/>
    <w:rsid w:val="007B6CC3"/>
    <w:rsid w:val="007C3334"/>
    <w:rsid w:val="007D2B98"/>
    <w:rsid w:val="007E21BC"/>
    <w:rsid w:val="007E78B1"/>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8F2D97"/>
    <w:rsid w:val="0090270B"/>
    <w:rsid w:val="009041DC"/>
    <w:rsid w:val="00917B5A"/>
    <w:rsid w:val="009206FF"/>
    <w:rsid w:val="00920A58"/>
    <w:rsid w:val="00920A8C"/>
    <w:rsid w:val="00934A2C"/>
    <w:rsid w:val="0094710B"/>
    <w:rsid w:val="00953481"/>
    <w:rsid w:val="00963354"/>
    <w:rsid w:val="0096706E"/>
    <w:rsid w:val="00975C4E"/>
    <w:rsid w:val="00981FBA"/>
    <w:rsid w:val="00997BC5"/>
    <w:rsid w:val="009A4F41"/>
    <w:rsid w:val="009B381B"/>
    <w:rsid w:val="009C04DC"/>
    <w:rsid w:val="009D1753"/>
    <w:rsid w:val="009D7611"/>
    <w:rsid w:val="009E0B61"/>
    <w:rsid w:val="009E53DE"/>
    <w:rsid w:val="00A101A6"/>
    <w:rsid w:val="00A24943"/>
    <w:rsid w:val="00A328B3"/>
    <w:rsid w:val="00A34EC1"/>
    <w:rsid w:val="00A47A50"/>
    <w:rsid w:val="00A50FCF"/>
    <w:rsid w:val="00A528D1"/>
    <w:rsid w:val="00A566C1"/>
    <w:rsid w:val="00A610CD"/>
    <w:rsid w:val="00AA09A2"/>
    <w:rsid w:val="00AA7996"/>
    <w:rsid w:val="00AC19CB"/>
    <w:rsid w:val="00AD0C98"/>
    <w:rsid w:val="00AD7B36"/>
    <w:rsid w:val="00AE2005"/>
    <w:rsid w:val="00AE5488"/>
    <w:rsid w:val="00AE6F91"/>
    <w:rsid w:val="00AF5571"/>
    <w:rsid w:val="00B07341"/>
    <w:rsid w:val="00B30539"/>
    <w:rsid w:val="00B314DB"/>
    <w:rsid w:val="00B361F2"/>
    <w:rsid w:val="00B3718B"/>
    <w:rsid w:val="00B4632A"/>
    <w:rsid w:val="00B530F1"/>
    <w:rsid w:val="00BA276C"/>
    <w:rsid w:val="00BB306F"/>
    <w:rsid w:val="00BC6641"/>
    <w:rsid w:val="00BD4B89"/>
    <w:rsid w:val="00BF02CB"/>
    <w:rsid w:val="00BF6FD8"/>
    <w:rsid w:val="00C03680"/>
    <w:rsid w:val="00C054DF"/>
    <w:rsid w:val="00C06571"/>
    <w:rsid w:val="00C21762"/>
    <w:rsid w:val="00C2296A"/>
    <w:rsid w:val="00C24543"/>
    <w:rsid w:val="00C256A2"/>
    <w:rsid w:val="00C341DD"/>
    <w:rsid w:val="00C51515"/>
    <w:rsid w:val="00C5660B"/>
    <w:rsid w:val="00C669BB"/>
    <w:rsid w:val="00C66B72"/>
    <w:rsid w:val="00C9567A"/>
    <w:rsid w:val="00CB212D"/>
    <w:rsid w:val="00CB2660"/>
    <w:rsid w:val="00CC5E90"/>
    <w:rsid w:val="00CD046C"/>
    <w:rsid w:val="00CE076C"/>
    <w:rsid w:val="00CE5199"/>
    <w:rsid w:val="00CE66D5"/>
    <w:rsid w:val="00CF637A"/>
    <w:rsid w:val="00D059DE"/>
    <w:rsid w:val="00D13FCE"/>
    <w:rsid w:val="00D306D1"/>
    <w:rsid w:val="00D30952"/>
    <w:rsid w:val="00D34786"/>
    <w:rsid w:val="00D37BFC"/>
    <w:rsid w:val="00D47A8E"/>
    <w:rsid w:val="00D528AE"/>
    <w:rsid w:val="00D52D14"/>
    <w:rsid w:val="00D712D3"/>
    <w:rsid w:val="00D71422"/>
    <w:rsid w:val="00D72DC6"/>
    <w:rsid w:val="00D7558D"/>
    <w:rsid w:val="00D81D92"/>
    <w:rsid w:val="00DA7B5F"/>
    <w:rsid w:val="00DB08C9"/>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2C2B"/>
    <w:rsid w:val="00E97B71"/>
    <w:rsid w:val="00EA3D34"/>
    <w:rsid w:val="00EB454D"/>
    <w:rsid w:val="00ED76BE"/>
    <w:rsid w:val="00EF619B"/>
    <w:rsid w:val="00EF72C2"/>
    <w:rsid w:val="00F00B55"/>
    <w:rsid w:val="00F02AD1"/>
    <w:rsid w:val="00F253CC"/>
    <w:rsid w:val="00F37106"/>
    <w:rsid w:val="00F519CF"/>
    <w:rsid w:val="00F56BA5"/>
    <w:rsid w:val="00F60E22"/>
    <w:rsid w:val="00F807AF"/>
    <w:rsid w:val="00F81395"/>
    <w:rsid w:val="00F845DA"/>
    <w:rsid w:val="00F917D1"/>
    <w:rsid w:val="00F9653B"/>
    <w:rsid w:val="00FA5A54"/>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206FF"/>
    <w:pPr>
      <w:tabs>
        <w:tab w:val="left" w:pos="1440"/>
        <w:tab w:val="right" w:leader="dot" w:pos="9350"/>
      </w:tabs>
      <w:spacing w:after="100"/>
      <w:ind w:left="1440" w:hanging="720"/>
    </w:pPr>
    <w:rPr>
      <w:rFonts w:asciiTheme="majorHAnsi" w:hAnsiTheme="majorHAnsi"/>
      <w:noProof/>
      <w:sz w:val="20"/>
      <w:szCs w:val="20"/>
      <w:lang w:val="es-ES"/>
    </w:rPr>
  </w:style>
  <w:style w:type="paragraph" w:styleId="TOC1">
    <w:name w:val="toc 1"/>
    <w:basedOn w:val="Normal"/>
    <w:next w:val="Normal"/>
    <w:autoRedefine/>
    <w:uiPriority w:val="39"/>
    <w:unhideWhenUsed/>
    <w:rsid w:val="00953481"/>
    <w:pPr>
      <w:tabs>
        <w:tab w:val="left" w:pos="1440"/>
        <w:tab w:val="right" w:leader="dot" w:pos="9350"/>
      </w:tabs>
      <w:spacing w:after="100"/>
      <w:ind w:left="720"/>
    </w:pPr>
    <w:rPr>
      <w:rFonts w:asciiTheme="majorHAnsi" w:hAnsiTheme="majorHAnsi"/>
      <w:b/>
      <w:noProof/>
      <w:sz w:val="20"/>
      <w:szCs w:val="20"/>
      <w:lang w:val="es-ES"/>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953481"/>
    <w:rPr>
      <w:rFonts w:ascii="Cambria" w:eastAsia="Cambria" w:hAnsi="Cambria" w:cs="Cambria"/>
      <w:color w:val="000000"/>
      <w:sz w:val="24"/>
      <w:szCs w:val="24"/>
      <w:u w:color="000000"/>
      <w:lang w:val="en-US"/>
    </w:rPr>
  </w:style>
  <w:style w:type="paragraph" w:customStyle="1" w:styleId="indent">
    <w:name w:val="indent"/>
    <w:basedOn w:val="Normal"/>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953481"/>
  </w:style>
  <w:style w:type="paragraph" w:styleId="NormalWeb">
    <w:name w:val="Normal (Web)"/>
    <w:basedOn w:val="Normal"/>
    <w:uiPriority w:val="99"/>
    <w:unhideWhenUsed/>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953481"/>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53481"/>
    <w:rPr>
      <w:rFonts w:ascii="Calibri" w:hAnsi="Calibri"/>
      <w:color w:val="000000"/>
      <w:u w:color="000000"/>
    </w:rPr>
  </w:style>
  <w:style w:type="paragraph" w:customStyle="1" w:styleId="Footnotes">
    <w:name w:val="Footnotes"/>
    <w:basedOn w:val="FootnoteText"/>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953481"/>
  </w:style>
  <w:style w:type="character" w:customStyle="1" w:styleId="apple-style-span">
    <w:name w:val="apple-style-span"/>
    <w:basedOn w:val="DefaultParagraphFont"/>
    <w:rsid w:val="00953481"/>
    <w:rPr>
      <w:rFonts w:cs="Times New Roman"/>
    </w:rPr>
  </w:style>
  <w:style w:type="character" w:customStyle="1" w:styleId="sb8d990e2">
    <w:name w:val="sb8d990e2"/>
    <w:rsid w:val="00953481"/>
  </w:style>
  <w:style w:type="numbering" w:styleId="111111">
    <w:name w:val="Outline List 2"/>
    <w:basedOn w:val="NoList"/>
    <w:uiPriority w:val="99"/>
    <w:semiHidden/>
    <w:unhideWhenUsed/>
    <w:rsid w:val="00953481"/>
    <w:pPr>
      <w:numPr>
        <w:numId w:val="56"/>
      </w:numPr>
    </w:pPr>
  </w:style>
  <w:style w:type="character" w:styleId="CommentReference">
    <w:name w:val="annotation reference"/>
    <w:basedOn w:val="DefaultParagraphFont"/>
    <w:uiPriority w:val="99"/>
    <w:semiHidden/>
    <w:unhideWhenUsed/>
    <w:rsid w:val="00953481"/>
    <w:rPr>
      <w:sz w:val="16"/>
      <w:szCs w:val="16"/>
    </w:rPr>
  </w:style>
  <w:style w:type="paragraph" w:styleId="CommentText">
    <w:name w:val="annotation text"/>
    <w:basedOn w:val="Normal"/>
    <w:link w:val="CommentTextChar"/>
    <w:uiPriority w:val="99"/>
    <w:semiHidden/>
    <w:unhideWhenUsed/>
    <w:rsid w:val="00953481"/>
    <w:rPr>
      <w:sz w:val="20"/>
      <w:szCs w:val="20"/>
    </w:rPr>
  </w:style>
  <w:style w:type="character" w:customStyle="1" w:styleId="CommentTextChar">
    <w:name w:val="Comment Text Char"/>
    <w:basedOn w:val="DefaultParagraphFont"/>
    <w:link w:val="CommentText"/>
    <w:uiPriority w:val="99"/>
    <w:semiHidden/>
    <w:rsid w:val="00953481"/>
    <w:rPr>
      <w:lang w:val="en-US" w:eastAsia="en-US"/>
    </w:rPr>
  </w:style>
  <w:style w:type="paragraph" w:styleId="CommentSubject">
    <w:name w:val="annotation subject"/>
    <w:basedOn w:val="CommentText"/>
    <w:next w:val="CommentText"/>
    <w:link w:val="CommentSubjectChar"/>
    <w:uiPriority w:val="99"/>
    <w:semiHidden/>
    <w:unhideWhenUsed/>
    <w:rsid w:val="00953481"/>
    <w:rPr>
      <w:b/>
      <w:bCs/>
    </w:rPr>
  </w:style>
  <w:style w:type="character" w:customStyle="1" w:styleId="CommentSubjectChar">
    <w:name w:val="Comment Subject Char"/>
    <w:basedOn w:val="CommentTextChar"/>
    <w:link w:val="CommentSubject"/>
    <w:uiPriority w:val="99"/>
    <w:semiHidden/>
    <w:rsid w:val="00953481"/>
    <w:rPr>
      <w:b/>
      <w:bCs/>
      <w:lang w:val="en-US" w:eastAsia="en-US"/>
    </w:rPr>
  </w:style>
  <w:style w:type="paragraph" w:styleId="Revision">
    <w:name w:val="Revision"/>
    <w:hidden/>
    <w:uiPriority w:val="99"/>
    <w:semiHidden/>
    <w:rsid w:val="009534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953481"/>
    <w:rPr>
      <w:b/>
      <w:bCs/>
    </w:rPr>
  </w:style>
  <w:style w:type="table" w:styleId="TableGrid">
    <w:name w:val="Table Grid"/>
    <w:basedOn w:val="TableNormal"/>
    <w:uiPriority w:val="59"/>
    <w:rsid w:val="0095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3481"/>
    <w:rPr>
      <w:color w:val="800080" w:themeColor="followedHyperlink"/>
      <w:u w:val="single"/>
    </w:rPr>
  </w:style>
  <w:style w:type="paragraph" w:customStyle="1" w:styleId="parrafos">
    <w:name w:val="parrafos"/>
    <w:basedOn w:val="Normal"/>
    <w:link w:val="parrafos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953481"/>
    <w:rPr>
      <w:rFonts w:asciiTheme="majorHAnsi" w:hAnsiTheme="majorHAnsi"/>
      <w:color w:val="000000" w:themeColor="text1"/>
      <w:lang w:val="en-US" w:eastAsia="en-US"/>
    </w:rPr>
  </w:style>
  <w:style w:type="paragraph" w:customStyle="1" w:styleId="xmsonormal">
    <w:name w:val="x_msonormal"/>
    <w:basedOn w:val="Normal"/>
    <w:rsid w:val="00F807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customStyle="1" w:styleId="xparrafos">
    <w:name w:val="x_parrafos"/>
    <w:basedOn w:val="Normal"/>
    <w:rsid w:val="00F807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as.org/irp/crs/96-499.htm" TargetMode="External"/><Relationship Id="rId13" Type="http://schemas.openxmlformats.org/officeDocument/2006/relationships/hyperlink" Target="https://undocs.org/pdf?symbol=es/A/HRC/19/61" TargetMode="External"/><Relationship Id="rId18" Type="http://schemas.openxmlformats.org/officeDocument/2006/relationships/hyperlink" Target="http://docstore.ohchr.org/SelfServices/FilesHandler.ashx?enc=6QkG1d%2FPPRiCAqhKb7yhsijKy20sgGcLSyqccX0g1nnRDdyRvobOaqHS3HKLHG3DE9PXQF4w0GiRjzSd6xW0wW%2Bt8I%2FTMi%2BXJTn3wF1esCEWvw93I83LLMXKIo8hWJ45" TargetMode="External"/><Relationship Id="rId3" Type="http://schemas.openxmlformats.org/officeDocument/2006/relationships/hyperlink" Target="https://files.deathpenaltyinfo.org/legacy/files/pdf/ExecutionProtocols/ArizonaProtocol_06.17.17.pdf" TargetMode="External"/><Relationship Id="rId7" Type="http://schemas.openxmlformats.org/officeDocument/2006/relationships/hyperlink" Target="http://www.fas.org/irp/crs/96-499.htm" TargetMode="External"/><Relationship Id="rId12" Type="http://schemas.openxmlformats.org/officeDocument/2006/relationships/hyperlink" Target="https://www.cejil.org/sites/default/files/legacy_files/La_tortura_en_el_derecho_internacional_0.pdf" TargetMode="External"/><Relationship Id="rId17" Type="http://schemas.openxmlformats.org/officeDocument/2006/relationships/hyperlink" Target="http://solitaryconfinement.org/uploads/sourcebook_web.pdf" TargetMode="External"/><Relationship Id="rId2" Type="http://schemas.openxmlformats.org/officeDocument/2006/relationships/hyperlink" Target="https://cite.case.law/us/522/829/11491468/" TargetMode="External"/><Relationship Id="rId16" Type="http://schemas.openxmlformats.org/officeDocument/2006/relationships/hyperlink" Target="https://ppn.gov.ar/sites/default/files/Informe%20Rel.%20Tort.-Confinamiento-2011.pdf" TargetMode="External"/><Relationship Id="rId1" Type="http://schemas.openxmlformats.org/officeDocument/2006/relationships/hyperlink" Target="https://apps.azsos.gov/public_services/Title_05/5-04.pdf" TargetMode="External"/><Relationship Id="rId6" Type="http://schemas.openxmlformats.org/officeDocument/2006/relationships/hyperlink" Target="http://www.abanet.org/legalservices/downloads/%20sclaid/deathpenaltyguidelines.pdf" TargetMode="External"/><Relationship Id="rId11" Type="http://schemas.openxmlformats.org/officeDocument/2006/relationships/hyperlink" Target="https://www.cidh.oas.org/pdf%20files/RESOLUCION%201-08%20ESP%20FINAL.pdf" TargetMode="External"/><Relationship Id="rId5" Type="http://schemas.openxmlformats.org/officeDocument/2006/relationships/hyperlink" Target="https://www.cbsnews.com/news/arizona-to-resume-executions-for-first-time-since-2014-lawsuit-announced-today-2019-07-26/" TargetMode="External"/><Relationship Id="rId15" Type="http://schemas.openxmlformats.org/officeDocument/2006/relationships/hyperlink" Target="http://antitorture.org/wp-content/uploads/2013/09/Spanish_SMR.pdf" TargetMode="External"/><Relationship Id="rId10" Type="http://schemas.openxmlformats.org/officeDocument/2006/relationships/hyperlink" Target="https://undocs.org/pdf?symbol=es/A/67/279" TargetMode="External"/><Relationship Id="rId19" Type="http://schemas.openxmlformats.org/officeDocument/2006/relationships/hyperlink" Target="https://undocs.org/pdf?symbol=es/A/67/279" TargetMode="External"/><Relationship Id="rId4" Type="http://schemas.openxmlformats.org/officeDocument/2006/relationships/hyperlink" Target="https://deathpenaltyinfo.org/state-and-federal-info/state-by-state/arizona" TargetMode="External"/><Relationship Id="rId9" Type="http://schemas.openxmlformats.org/officeDocument/2006/relationships/hyperlink" Target="http://hrlibrary.umn.edu/instree/spanish/si8sgpr.html" TargetMode="External"/><Relationship Id="rId14" Type="http://schemas.openxmlformats.org/officeDocument/2006/relationships/hyperlink" Target="https://ppn.gov.ar/sites/default/files/Informe%20Rel.%20Tort.-Confinamiento-201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396E-5293-5F42-8A3F-73F8832A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13730</Words>
  <Characters>73735</Characters>
  <Application>Microsoft Office Word</Application>
  <DocSecurity>0</DocSecurity>
  <Lines>1189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461/21</dc:title>
  <dc:creator/>
  <cp:lastModifiedBy/>
  <cp:revision>1</cp:revision>
  <dcterms:created xsi:type="dcterms:W3CDTF">2022-04-04T17:33:00Z</dcterms:created>
  <dcterms:modified xsi:type="dcterms:W3CDTF">2022-04-04T17:34:00Z</dcterms:modified>
</cp:coreProperties>
</file>