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31774B"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3E1C836" wp14:editId="57CA6BD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603A77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975DF0" wp14:editId="48FB835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79E13" w14:textId="77777777" w:rsidR="00CB2660" w:rsidRDefault="00AE5488" w:rsidP="00AE5488">
                            <w:r>
                              <w:rPr>
                                <w:noProof/>
                              </w:rPr>
                              <w:drawing>
                                <wp:inline distT="0" distB="0" distL="0" distR="0" wp14:anchorId="1AEB58E1" wp14:editId="51BD705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975DF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1779E13" w14:textId="77777777" w:rsidR="00CB2660" w:rsidRDefault="00AE5488" w:rsidP="00AE5488">
                      <w:r>
                        <w:rPr>
                          <w:noProof/>
                        </w:rPr>
                        <w:drawing>
                          <wp:inline distT="0" distB="0" distL="0" distR="0" wp14:anchorId="1AEB58E1" wp14:editId="51BD705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5BA508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7AF8A6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45C8E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DD171C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70681E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FB29E56"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271293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A4763B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C8846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A8C03A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874621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E449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7EF11F6"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3E9D766" wp14:editId="6CF9527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AF10C" w14:textId="556D3FA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11EE2">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711EE2">
                              <w:rPr>
                                <w:rFonts w:asciiTheme="majorHAnsi" w:hAnsiTheme="majorHAnsi" w:cs="Arial"/>
                                <w:b/>
                                <w:bCs/>
                                <w:color w:val="0D0D0D" w:themeColor="text1" w:themeTint="F2"/>
                                <w:sz w:val="36"/>
                                <w:szCs w:val="22"/>
                                <w:lang w:val="es-ES_tradnl"/>
                              </w:rPr>
                              <w:t>1</w:t>
                            </w:r>
                          </w:p>
                          <w:p w14:paraId="321E5644"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5D44">
                              <w:rPr>
                                <w:rFonts w:asciiTheme="majorHAnsi" w:hAnsiTheme="majorHAnsi" w:cs="Arial"/>
                                <w:b/>
                                <w:color w:val="0D0D0D" w:themeColor="text1" w:themeTint="F2"/>
                                <w:sz w:val="36"/>
                                <w:szCs w:val="22"/>
                                <w:lang w:val="es-ES_tradnl"/>
                              </w:rPr>
                              <w:t>1320</w:t>
                            </w:r>
                            <w:r w:rsidR="00246D1F" w:rsidRPr="004E2649">
                              <w:rPr>
                                <w:rFonts w:asciiTheme="majorHAnsi" w:hAnsiTheme="majorHAnsi" w:cs="Arial"/>
                                <w:b/>
                                <w:color w:val="0D0D0D" w:themeColor="text1" w:themeTint="F2"/>
                                <w:sz w:val="36"/>
                                <w:szCs w:val="22"/>
                                <w:lang w:val="es-ES_tradnl"/>
                              </w:rPr>
                              <w:t>-</w:t>
                            </w:r>
                            <w:r w:rsidR="009F5D44">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50E040C0"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4620DB9E"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5961C61" w14:textId="77777777" w:rsidR="005B52B0" w:rsidRPr="0010736F" w:rsidRDefault="009F5D4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MARTÍN HERRERA VELUTINI</w:t>
                            </w:r>
                          </w:p>
                          <w:bookmarkEnd w:id="1"/>
                          <w:p w14:paraId="1ACBA93B" w14:textId="77777777" w:rsidR="005B52B0" w:rsidRPr="0010736F" w:rsidRDefault="009F5D4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1227F6CE"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E9D76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B9AF10C" w14:textId="556D3FA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11EE2">
                        <w:rPr>
                          <w:rFonts w:asciiTheme="majorHAnsi" w:hAnsiTheme="majorHAnsi" w:cs="Arial"/>
                          <w:b/>
                          <w:bCs/>
                          <w:color w:val="0D0D0D" w:themeColor="text1" w:themeTint="F2"/>
                          <w:sz w:val="36"/>
                          <w:szCs w:val="22"/>
                          <w:lang w:val="es-ES_tradnl"/>
                        </w:rPr>
                        <w:t>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711EE2">
                        <w:rPr>
                          <w:rFonts w:asciiTheme="majorHAnsi" w:hAnsiTheme="majorHAnsi" w:cs="Arial"/>
                          <w:b/>
                          <w:bCs/>
                          <w:color w:val="0D0D0D" w:themeColor="text1" w:themeTint="F2"/>
                          <w:sz w:val="36"/>
                          <w:szCs w:val="22"/>
                          <w:lang w:val="es-ES_tradnl"/>
                        </w:rPr>
                        <w:t>1</w:t>
                      </w:r>
                    </w:p>
                    <w:p w14:paraId="321E5644"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5D44">
                        <w:rPr>
                          <w:rFonts w:asciiTheme="majorHAnsi" w:hAnsiTheme="majorHAnsi" w:cs="Arial"/>
                          <w:b/>
                          <w:color w:val="0D0D0D" w:themeColor="text1" w:themeTint="F2"/>
                          <w:sz w:val="36"/>
                          <w:szCs w:val="22"/>
                          <w:lang w:val="es-ES_tradnl"/>
                        </w:rPr>
                        <w:t>1320</w:t>
                      </w:r>
                      <w:r w:rsidR="00246D1F" w:rsidRPr="004E2649">
                        <w:rPr>
                          <w:rFonts w:asciiTheme="majorHAnsi" w:hAnsiTheme="majorHAnsi" w:cs="Arial"/>
                          <w:b/>
                          <w:color w:val="0D0D0D" w:themeColor="text1" w:themeTint="F2"/>
                          <w:sz w:val="36"/>
                          <w:szCs w:val="22"/>
                          <w:lang w:val="es-ES_tradnl"/>
                        </w:rPr>
                        <w:t>-</w:t>
                      </w:r>
                      <w:r w:rsidR="009F5D44">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50E040C0"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4620DB9E"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5961C61" w14:textId="77777777" w:rsidR="005B52B0" w:rsidRPr="0010736F" w:rsidRDefault="009F5D4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MARTÍN HERRERA VELUTINI</w:t>
                      </w:r>
                    </w:p>
                    <w:bookmarkEnd w:id="1"/>
                    <w:p w14:paraId="1ACBA93B" w14:textId="77777777" w:rsidR="005B52B0" w:rsidRPr="0010736F" w:rsidRDefault="009F5D4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1227F6CE"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3DEC873" wp14:editId="04BCB66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3FDC2" w14:textId="48B196A0" w:rsidR="00627C9F" w:rsidRPr="00711EE2" w:rsidRDefault="00834D49" w:rsidP="007A5817">
                            <w:pPr>
                              <w:spacing w:line="276" w:lineRule="auto"/>
                              <w:jc w:val="right"/>
                              <w:rPr>
                                <w:rFonts w:asciiTheme="minorHAnsi" w:hAnsiTheme="minorHAnsi"/>
                                <w:color w:val="FFFFFF" w:themeColor="background1"/>
                                <w:sz w:val="22"/>
                                <w:lang w:val="es-419"/>
                              </w:rPr>
                            </w:pPr>
                            <w:r w:rsidRPr="00711EE2">
                              <w:rPr>
                                <w:rFonts w:asciiTheme="minorHAnsi" w:hAnsiTheme="minorHAnsi"/>
                                <w:color w:val="FFFFFF" w:themeColor="background1"/>
                                <w:sz w:val="22"/>
                                <w:lang w:val="es-419"/>
                              </w:rPr>
                              <w:t>OEA/</w:t>
                            </w:r>
                            <w:proofErr w:type="spellStart"/>
                            <w:r w:rsidRPr="00711EE2">
                              <w:rPr>
                                <w:rFonts w:asciiTheme="minorHAnsi" w:hAnsiTheme="minorHAnsi"/>
                                <w:color w:val="FFFFFF" w:themeColor="background1"/>
                                <w:sz w:val="22"/>
                                <w:lang w:val="es-419"/>
                              </w:rPr>
                              <w:t>Ser.L</w:t>
                            </w:r>
                            <w:proofErr w:type="spellEnd"/>
                            <w:r w:rsidRPr="00711EE2">
                              <w:rPr>
                                <w:rFonts w:asciiTheme="minorHAnsi" w:hAnsiTheme="minorHAnsi"/>
                                <w:color w:val="FFFFFF" w:themeColor="background1"/>
                                <w:sz w:val="22"/>
                                <w:lang w:val="es-419"/>
                              </w:rPr>
                              <w:t>/V/</w:t>
                            </w:r>
                            <w:r w:rsidR="00711EE2" w:rsidRPr="00711EE2">
                              <w:rPr>
                                <w:rFonts w:asciiTheme="minorHAnsi" w:hAnsiTheme="minorHAnsi"/>
                                <w:color w:val="FFFFFF" w:themeColor="background1"/>
                                <w:sz w:val="22"/>
                                <w:lang w:val="es-419"/>
                              </w:rPr>
                              <w:t>II</w:t>
                            </w:r>
                          </w:p>
                          <w:p w14:paraId="3CDAC5CE" w14:textId="58182CBE" w:rsidR="00627C9F" w:rsidRPr="00711EE2" w:rsidRDefault="00627C9F" w:rsidP="007A5817">
                            <w:pPr>
                              <w:spacing w:line="276" w:lineRule="auto"/>
                              <w:jc w:val="right"/>
                              <w:rPr>
                                <w:rFonts w:asciiTheme="minorHAnsi" w:hAnsiTheme="minorHAnsi"/>
                                <w:color w:val="FFFFFF" w:themeColor="background1"/>
                                <w:sz w:val="22"/>
                                <w:lang w:val="es-419"/>
                              </w:rPr>
                            </w:pPr>
                            <w:r w:rsidRPr="00711EE2">
                              <w:rPr>
                                <w:rFonts w:asciiTheme="minorHAnsi" w:hAnsiTheme="minorHAnsi"/>
                                <w:color w:val="FFFFFF" w:themeColor="background1"/>
                                <w:sz w:val="22"/>
                                <w:lang w:val="es-419"/>
                              </w:rPr>
                              <w:t xml:space="preserve">Doc. </w:t>
                            </w:r>
                            <w:r w:rsidR="00711EE2" w:rsidRPr="00711EE2">
                              <w:rPr>
                                <w:rFonts w:asciiTheme="minorHAnsi" w:hAnsiTheme="minorHAnsi"/>
                                <w:color w:val="FFFFFF" w:themeColor="background1"/>
                                <w:sz w:val="22"/>
                                <w:lang w:val="es-419"/>
                              </w:rPr>
                              <w:t>7</w:t>
                            </w:r>
                          </w:p>
                          <w:p w14:paraId="2FE350DF" w14:textId="37121004" w:rsidR="00627C9F" w:rsidRPr="00C25ADB" w:rsidRDefault="00711EE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enero</w:t>
                            </w:r>
                            <w:r w:rsidR="00627C9F" w:rsidRPr="00711EE2">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3EA2371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DEC87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073FDC2" w14:textId="48B196A0" w:rsidR="00627C9F" w:rsidRPr="00711EE2" w:rsidRDefault="00834D49" w:rsidP="007A5817">
                      <w:pPr>
                        <w:spacing w:line="276" w:lineRule="auto"/>
                        <w:jc w:val="right"/>
                        <w:rPr>
                          <w:rFonts w:asciiTheme="minorHAnsi" w:hAnsiTheme="minorHAnsi"/>
                          <w:color w:val="FFFFFF" w:themeColor="background1"/>
                          <w:sz w:val="22"/>
                          <w:lang w:val="es-419"/>
                        </w:rPr>
                      </w:pPr>
                      <w:r w:rsidRPr="00711EE2">
                        <w:rPr>
                          <w:rFonts w:asciiTheme="minorHAnsi" w:hAnsiTheme="minorHAnsi"/>
                          <w:color w:val="FFFFFF" w:themeColor="background1"/>
                          <w:sz w:val="22"/>
                          <w:lang w:val="es-419"/>
                        </w:rPr>
                        <w:t>OEA/Ser.L/V/</w:t>
                      </w:r>
                      <w:r w:rsidR="00711EE2" w:rsidRPr="00711EE2">
                        <w:rPr>
                          <w:rFonts w:asciiTheme="minorHAnsi" w:hAnsiTheme="minorHAnsi"/>
                          <w:color w:val="FFFFFF" w:themeColor="background1"/>
                          <w:sz w:val="22"/>
                          <w:lang w:val="es-419"/>
                        </w:rPr>
                        <w:t>II</w:t>
                      </w:r>
                    </w:p>
                    <w:p w14:paraId="3CDAC5CE" w14:textId="58182CBE" w:rsidR="00627C9F" w:rsidRPr="00711EE2" w:rsidRDefault="00627C9F" w:rsidP="007A5817">
                      <w:pPr>
                        <w:spacing w:line="276" w:lineRule="auto"/>
                        <w:jc w:val="right"/>
                        <w:rPr>
                          <w:rFonts w:asciiTheme="minorHAnsi" w:hAnsiTheme="minorHAnsi"/>
                          <w:color w:val="FFFFFF" w:themeColor="background1"/>
                          <w:sz w:val="22"/>
                          <w:lang w:val="es-419"/>
                        </w:rPr>
                      </w:pPr>
                      <w:r w:rsidRPr="00711EE2">
                        <w:rPr>
                          <w:rFonts w:asciiTheme="minorHAnsi" w:hAnsiTheme="minorHAnsi"/>
                          <w:color w:val="FFFFFF" w:themeColor="background1"/>
                          <w:sz w:val="22"/>
                          <w:lang w:val="es-419"/>
                        </w:rPr>
                        <w:t xml:space="preserve">Doc. </w:t>
                      </w:r>
                      <w:r w:rsidR="00711EE2" w:rsidRPr="00711EE2">
                        <w:rPr>
                          <w:rFonts w:asciiTheme="minorHAnsi" w:hAnsiTheme="minorHAnsi"/>
                          <w:color w:val="FFFFFF" w:themeColor="background1"/>
                          <w:sz w:val="22"/>
                          <w:lang w:val="es-419"/>
                        </w:rPr>
                        <w:t>7</w:t>
                      </w:r>
                    </w:p>
                    <w:p w14:paraId="2FE350DF" w14:textId="37121004" w:rsidR="00627C9F" w:rsidRPr="00C25ADB" w:rsidRDefault="00711EE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enero</w:t>
                      </w:r>
                      <w:r w:rsidR="00627C9F" w:rsidRPr="00711EE2">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3EA2371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3990ECD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7DA280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73F6CEA"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7421FF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D0B06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70C345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A3FB34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CCCEC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425A66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6D656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6D906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EE0F86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7A6690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18E53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1DA8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CF46F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E2C1F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37A5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D037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F7C5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6CF9E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BC13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3EFDB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9770A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C897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6C8A8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0AE42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DFDC9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1FB6F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6AF347C" wp14:editId="1A7D5E6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8D35B" w14:textId="500C6EF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11EE2">
                              <w:rPr>
                                <w:rFonts w:asciiTheme="majorHAnsi" w:hAnsiTheme="majorHAnsi"/>
                                <w:color w:val="0D0D0D" w:themeColor="text1" w:themeTint="F2"/>
                                <w:sz w:val="18"/>
                                <w:szCs w:val="22"/>
                                <w:lang w:val="es-ES"/>
                              </w:rPr>
                              <w:t xml:space="preserve">Aprobado </w:t>
                            </w:r>
                            <w:proofErr w:type="spellStart"/>
                            <w:r w:rsidRPr="00711EE2">
                              <w:rPr>
                                <w:rFonts w:asciiTheme="majorHAnsi" w:hAnsiTheme="majorHAnsi"/>
                                <w:color w:val="0D0D0D" w:themeColor="text1" w:themeTint="F2"/>
                                <w:sz w:val="18"/>
                                <w:szCs w:val="22"/>
                                <w:lang w:val="es-ES"/>
                              </w:rPr>
                              <w:t>electr</w:t>
                            </w:r>
                            <w:r w:rsidRPr="00711EE2">
                              <w:rPr>
                                <w:rFonts w:asciiTheme="majorHAnsi" w:hAnsiTheme="majorHAnsi"/>
                                <w:color w:val="0D0D0D" w:themeColor="text1" w:themeTint="F2"/>
                                <w:sz w:val="18"/>
                                <w:szCs w:val="22"/>
                                <w:lang w:val="es-ES_tradnl"/>
                              </w:rPr>
                              <w:t>ónicamente</w:t>
                            </w:r>
                            <w:proofErr w:type="spellEnd"/>
                            <w:r w:rsidRPr="00711EE2">
                              <w:rPr>
                                <w:rFonts w:asciiTheme="majorHAnsi" w:hAnsiTheme="majorHAnsi"/>
                                <w:color w:val="0D0D0D" w:themeColor="text1" w:themeTint="F2"/>
                                <w:sz w:val="18"/>
                                <w:szCs w:val="22"/>
                                <w:lang w:val="es-ES"/>
                              </w:rPr>
                              <w:t xml:space="preserve"> por la Comisión el </w:t>
                            </w:r>
                            <w:r w:rsidR="00711EE2">
                              <w:rPr>
                                <w:rFonts w:asciiTheme="majorHAnsi" w:hAnsiTheme="majorHAnsi"/>
                                <w:color w:val="0D0D0D" w:themeColor="text1" w:themeTint="F2"/>
                                <w:sz w:val="18"/>
                                <w:szCs w:val="22"/>
                                <w:lang w:val="es-ES"/>
                              </w:rPr>
                              <w:t>10</w:t>
                            </w:r>
                            <w:r w:rsidRPr="00711EE2">
                              <w:rPr>
                                <w:rFonts w:asciiTheme="majorHAnsi" w:hAnsiTheme="majorHAnsi"/>
                                <w:color w:val="0D0D0D" w:themeColor="text1" w:themeTint="F2"/>
                                <w:sz w:val="18"/>
                                <w:szCs w:val="22"/>
                                <w:lang w:val="es-ES"/>
                              </w:rPr>
                              <w:t xml:space="preserve"> de </w:t>
                            </w:r>
                            <w:r w:rsidR="00711EE2">
                              <w:rPr>
                                <w:rFonts w:asciiTheme="majorHAnsi" w:hAnsiTheme="majorHAnsi"/>
                                <w:color w:val="0D0D0D" w:themeColor="text1" w:themeTint="F2"/>
                                <w:sz w:val="18"/>
                                <w:szCs w:val="22"/>
                                <w:lang w:val="es-ES"/>
                              </w:rPr>
                              <w:t>enero</w:t>
                            </w:r>
                            <w:r w:rsidR="00F81BB8" w:rsidRPr="00711EE2">
                              <w:rPr>
                                <w:rFonts w:asciiTheme="majorHAnsi" w:hAnsiTheme="majorHAnsi"/>
                                <w:color w:val="0D0D0D" w:themeColor="text1" w:themeTint="F2"/>
                                <w:sz w:val="18"/>
                                <w:szCs w:val="22"/>
                                <w:lang w:val="es-ES"/>
                              </w:rPr>
                              <w:t xml:space="preserve"> </w:t>
                            </w:r>
                            <w:r w:rsidRPr="00711EE2">
                              <w:rPr>
                                <w:rFonts w:asciiTheme="majorHAnsi" w:hAnsiTheme="majorHAnsi"/>
                                <w:color w:val="0D0D0D" w:themeColor="text1" w:themeTint="F2"/>
                                <w:sz w:val="18"/>
                                <w:szCs w:val="22"/>
                                <w:lang w:val="es-ES"/>
                              </w:rPr>
                              <w:t>de 20</w:t>
                            </w:r>
                            <w:r w:rsidR="00C23BA4" w:rsidRPr="00711EE2">
                              <w:rPr>
                                <w:rFonts w:asciiTheme="majorHAnsi" w:hAnsiTheme="majorHAnsi"/>
                                <w:color w:val="0D0D0D" w:themeColor="text1" w:themeTint="F2"/>
                                <w:sz w:val="18"/>
                                <w:szCs w:val="22"/>
                                <w:lang w:val="es-ES"/>
                              </w:rPr>
                              <w:t>2</w:t>
                            </w:r>
                            <w:r w:rsidR="00711EE2">
                              <w:rPr>
                                <w:rFonts w:asciiTheme="majorHAnsi" w:hAnsiTheme="majorHAnsi"/>
                                <w:color w:val="0D0D0D" w:themeColor="text1" w:themeTint="F2"/>
                                <w:sz w:val="18"/>
                                <w:szCs w:val="22"/>
                                <w:lang w:val="es-ES"/>
                              </w:rPr>
                              <w:t>1</w:t>
                            </w:r>
                            <w:r w:rsidR="001B0458">
                              <w:rPr>
                                <w:rFonts w:asciiTheme="majorHAnsi" w:hAnsiTheme="majorHAnsi"/>
                                <w:color w:val="0D0D0D" w:themeColor="text1" w:themeTint="F2"/>
                                <w:sz w:val="18"/>
                                <w:szCs w:val="22"/>
                                <w:lang w:val="es-ES"/>
                              </w:rPr>
                              <w:t>.</w:t>
                            </w:r>
                          </w:p>
                          <w:p w14:paraId="43D14D2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F8AD91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347C"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BF8D35B" w14:textId="500C6EF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11EE2">
                        <w:rPr>
                          <w:rFonts w:asciiTheme="majorHAnsi" w:hAnsiTheme="majorHAnsi"/>
                          <w:color w:val="0D0D0D" w:themeColor="text1" w:themeTint="F2"/>
                          <w:sz w:val="18"/>
                          <w:szCs w:val="22"/>
                          <w:lang w:val="es-ES"/>
                        </w:rPr>
                        <w:t xml:space="preserve">Aprobado </w:t>
                      </w:r>
                      <w:proofErr w:type="spellStart"/>
                      <w:r w:rsidRPr="00711EE2">
                        <w:rPr>
                          <w:rFonts w:asciiTheme="majorHAnsi" w:hAnsiTheme="majorHAnsi"/>
                          <w:color w:val="0D0D0D" w:themeColor="text1" w:themeTint="F2"/>
                          <w:sz w:val="18"/>
                          <w:szCs w:val="22"/>
                          <w:lang w:val="es-ES"/>
                        </w:rPr>
                        <w:t>electr</w:t>
                      </w:r>
                      <w:r w:rsidRPr="00711EE2">
                        <w:rPr>
                          <w:rFonts w:asciiTheme="majorHAnsi" w:hAnsiTheme="majorHAnsi"/>
                          <w:color w:val="0D0D0D" w:themeColor="text1" w:themeTint="F2"/>
                          <w:sz w:val="18"/>
                          <w:szCs w:val="22"/>
                          <w:lang w:val="es-ES_tradnl"/>
                        </w:rPr>
                        <w:t>ónicamente</w:t>
                      </w:r>
                      <w:proofErr w:type="spellEnd"/>
                      <w:r w:rsidRPr="00711EE2">
                        <w:rPr>
                          <w:rFonts w:asciiTheme="majorHAnsi" w:hAnsiTheme="majorHAnsi"/>
                          <w:color w:val="0D0D0D" w:themeColor="text1" w:themeTint="F2"/>
                          <w:sz w:val="18"/>
                          <w:szCs w:val="22"/>
                          <w:lang w:val="es-ES"/>
                        </w:rPr>
                        <w:t xml:space="preserve"> por la Comisión el </w:t>
                      </w:r>
                      <w:r w:rsidR="00711EE2">
                        <w:rPr>
                          <w:rFonts w:asciiTheme="majorHAnsi" w:hAnsiTheme="majorHAnsi"/>
                          <w:color w:val="0D0D0D" w:themeColor="text1" w:themeTint="F2"/>
                          <w:sz w:val="18"/>
                          <w:szCs w:val="22"/>
                          <w:lang w:val="es-ES"/>
                        </w:rPr>
                        <w:t>10</w:t>
                      </w:r>
                      <w:r w:rsidRPr="00711EE2">
                        <w:rPr>
                          <w:rFonts w:asciiTheme="majorHAnsi" w:hAnsiTheme="majorHAnsi"/>
                          <w:color w:val="0D0D0D" w:themeColor="text1" w:themeTint="F2"/>
                          <w:sz w:val="18"/>
                          <w:szCs w:val="22"/>
                          <w:lang w:val="es-ES"/>
                        </w:rPr>
                        <w:t xml:space="preserve"> de </w:t>
                      </w:r>
                      <w:r w:rsidR="00711EE2">
                        <w:rPr>
                          <w:rFonts w:asciiTheme="majorHAnsi" w:hAnsiTheme="majorHAnsi"/>
                          <w:color w:val="0D0D0D" w:themeColor="text1" w:themeTint="F2"/>
                          <w:sz w:val="18"/>
                          <w:szCs w:val="22"/>
                          <w:lang w:val="es-ES"/>
                        </w:rPr>
                        <w:t>enero</w:t>
                      </w:r>
                      <w:r w:rsidR="00F81BB8" w:rsidRPr="00711EE2">
                        <w:rPr>
                          <w:rFonts w:asciiTheme="majorHAnsi" w:hAnsiTheme="majorHAnsi"/>
                          <w:color w:val="0D0D0D" w:themeColor="text1" w:themeTint="F2"/>
                          <w:sz w:val="18"/>
                          <w:szCs w:val="22"/>
                          <w:lang w:val="es-ES"/>
                        </w:rPr>
                        <w:t xml:space="preserve"> </w:t>
                      </w:r>
                      <w:r w:rsidRPr="00711EE2">
                        <w:rPr>
                          <w:rFonts w:asciiTheme="majorHAnsi" w:hAnsiTheme="majorHAnsi"/>
                          <w:color w:val="0D0D0D" w:themeColor="text1" w:themeTint="F2"/>
                          <w:sz w:val="18"/>
                          <w:szCs w:val="22"/>
                          <w:lang w:val="es-ES"/>
                        </w:rPr>
                        <w:t>de 20</w:t>
                      </w:r>
                      <w:r w:rsidR="00C23BA4" w:rsidRPr="00711EE2">
                        <w:rPr>
                          <w:rFonts w:asciiTheme="majorHAnsi" w:hAnsiTheme="majorHAnsi"/>
                          <w:color w:val="0D0D0D" w:themeColor="text1" w:themeTint="F2"/>
                          <w:sz w:val="18"/>
                          <w:szCs w:val="22"/>
                          <w:lang w:val="es-ES"/>
                        </w:rPr>
                        <w:t>2</w:t>
                      </w:r>
                      <w:r w:rsidR="00711EE2">
                        <w:rPr>
                          <w:rFonts w:asciiTheme="majorHAnsi" w:hAnsiTheme="majorHAnsi"/>
                          <w:color w:val="0D0D0D" w:themeColor="text1" w:themeTint="F2"/>
                          <w:sz w:val="18"/>
                          <w:szCs w:val="22"/>
                          <w:lang w:val="es-ES"/>
                        </w:rPr>
                        <w:t>1</w:t>
                      </w:r>
                      <w:r w:rsidR="001B0458">
                        <w:rPr>
                          <w:rFonts w:asciiTheme="majorHAnsi" w:hAnsiTheme="majorHAnsi"/>
                          <w:color w:val="0D0D0D" w:themeColor="text1" w:themeTint="F2"/>
                          <w:sz w:val="18"/>
                          <w:szCs w:val="22"/>
                          <w:lang w:val="es-ES"/>
                        </w:rPr>
                        <w:t>.</w:t>
                      </w:r>
                    </w:p>
                    <w:p w14:paraId="43D14D2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F8AD91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EBB47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C5DDC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DAC4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C3C4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4D8B4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69C4C38" wp14:editId="4524EB4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E1299" w14:textId="4BE5BAA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11EE2">
                              <w:rPr>
                                <w:rFonts w:asciiTheme="majorHAnsi" w:hAnsiTheme="majorHAnsi"/>
                                <w:color w:val="595959" w:themeColor="text1" w:themeTint="A6"/>
                                <w:sz w:val="18"/>
                                <w:szCs w:val="18"/>
                                <w:lang w:val="pt-BR"/>
                              </w:rPr>
                              <w:t xml:space="preserve">No. </w:t>
                            </w:r>
                            <w:r w:rsidR="00711EE2" w:rsidRPr="00711EE2">
                              <w:rPr>
                                <w:rFonts w:asciiTheme="majorHAnsi" w:hAnsiTheme="majorHAnsi"/>
                                <w:color w:val="595959" w:themeColor="text1" w:themeTint="A6"/>
                                <w:sz w:val="18"/>
                                <w:szCs w:val="18"/>
                                <w:lang w:val="pt-BR"/>
                              </w:rPr>
                              <w:t>7</w:t>
                            </w:r>
                            <w:r w:rsidR="007B05C4" w:rsidRPr="00711EE2">
                              <w:rPr>
                                <w:rFonts w:asciiTheme="majorHAnsi" w:hAnsiTheme="majorHAnsi"/>
                                <w:color w:val="595959" w:themeColor="text1" w:themeTint="A6"/>
                                <w:sz w:val="18"/>
                                <w:szCs w:val="18"/>
                                <w:lang w:val="pt-BR"/>
                              </w:rPr>
                              <w:t>/</w:t>
                            </w:r>
                            <w:r w:rsidR="00711EE2" w:rsidRPr="00711EE2">
                              <w:rPr>
                                <w:rFonts w:asciiTheme="majorHAnsi" w:hAnsiTheme="majorHAnsi"/>
                                <w:color w:val="595959" w:themeColor="text1" w:themeTint="A6"/>
                                <w:sz w:val="18"/>
                                <w:szCs w:val="18"/>
                                <w:lang w:val="pt-BR"/>
                              </w:rPr>
                              <w:t>21</w:t>
                            </w:r>
                            <w:r w:rsidRPr="00711EE2">
                              <w:rPr>
                                <w:rFonts w:asciiTheme="majorHAnsi" w:hAnsiTheme="majorHAnsi"/>
                                <w:color w:val="595959" w:themeColor="text1" w:themeTint="A6"/>
                                <w:sz w:val="18"/>
                                <w:szCs w:val="18"/>
                                <w:lang w:val="pt-BR"/>
                              </w:rPr>
                              <w:t xml:space="preserve">. </w:t>
                            </w:r>
                            <w:proofErr w:type="spellStart"/>
                            <w:r w:rsidR="000433C9" w:rsidRPr="00711EE2">
                              <w:rPr>
                                <w:rFonts w:asciiTheme="majorHAnsi" w:hAnsiTheme="majorHAnsi"/>
                                <w:color w:val="595959" w:themeColor="text1" w:themeTint="A6"/>
                                <w:sz w:val="18"/>
                                <w:szCs w:val="18"/>
                                <w:lang w:val="es-ES_tradnl"/>
                              </w:rPr>
                              <w:t>Petici</w:t>
                            </w:r>
                            <w:r w:rsidR="000433C9" w:rsidRPr="00711EE2">
                              <w:rPr>
                                <w:rFonts w:asciiTheme="majorHAnsi" w:hAnsiTheme="majorHAnsi"/>
                                <w:color w:val="595959" w:themeColor="text1" w:themeTint="A6"/>
                                <w:sz w:val="18"/>
                                <w:szCs w:val="18"/>
                                <w:lang w:val="es-ES"/>
                              </w:rPr>
                              <w:t>ón</w:t>
                            </w:r>
                            <w:proofErr w:type="spellEnd"/>
                            <w:r w:rsidR="000433C9" w:rsidRPr="00711EE2">
                              <w:rPr>
                                <w:rFonts w:asciiTheme="majorHAnsi" w:hAnsiTheme="majorHAnsi"/>
                                <w:color w:val="595959" w:themeColor="text1" w:themeTint="A6"/>
                                <w:sz w:val="18"/>
                                <w:szCs w:val="18"/>
                                <w:lang w:val="es-ES"/>
                              </w:rPr>
                              <w:t xml:space="preserve"> </w:t>
                            </w:r>
                            <w:r w:rsidR="009F5D44" w:rsidRPr="00711EE2">
                              <w:rPr>
                                <w:rFonts w:asciiTheme="majorHAnsi" w:hAnsiTheme="majorHAnsi"/>
                                <w:color w:val="595959" w:themeColor="text1" w:themeTint="A6"/>
                                <w:sz w:val="18"/>
                                <w:szCs w:val="18"/>
                                <w:lang w:val="es-ES"/>
                              </w:rPr>
                              <w:t>1320-10</w:t>
                            </w:r>
                            <w:r w:rsidR="000433C9" w:rsidRPr="00711EE2">
                              <w:rPr>
                                <w:rFonts w:asciiTheme="majorHAnsi" w:hAnsiTheme="majorHAnsi"/>
                                <w:color w:val="595959" w:themeColor="text1" w:themeTint="A6"/>
                                <w:sz w:val="18"/>
                                <w:szCs w:val="18"/>
                                <w:lang w:val="es-ES"/>
                              </w:rPr>
                              <w:t xml:space="preserve">. </w:t>
                            </w:r>
                            <w:r w:rsidRPr="00711EE2">
                              <w:rPr>
                                <w:rFonts w:asciiTheme="majorHAnsi" w:hAnsiTheme="majorHAnsi"/>
                                <w:color w:val="595959" w:themeColor="text1" w:themeTint="A6"/>
                                <w:sz w:val="18"/>
                                <w:szCs w:val="18"/>
                                <w:lang w:val="es-ES_tradnl"/>
                              </w:rPr>
                              <w:t xml:space="preserve">Admisibilidad. </w:t>
                            </w:r>
                            <w:r w:rsidR="009F5D44" w:rsidRPr="00711EE2">
                              <w:rPr>
                                <w:rFonts w:asciiTheme="majorHAnsi" w:hAnsiTheme="majorHAnsi"/>
                                <w:color w:val="595959" w:themeColor="text1" w:themeTint="A6"/>
                                <w:sz w:val="18"/>
                                <w:szCs w:val="18"/>
                                <w:lang w:val="es-ES_tradnl"/>
                              </w:rPr>
                              <w:t xml:space="preserve">Julio Martín Herrera </w:t>
                            </w:r>
                            <w:proofErr w:type="spellStart"/>
                            <w:r w:rsidR="009F5D44" w:rsidRPr="00711EE2">
                              <w:rPr>
                                <w:rFonts w:asciiTheme="majorHAnsi" w:hAnsiTheme="majorHAnsi"/>
                                <w:color w:val="595959" w:themeColor="text1" w:themeTint="A6"/>
                                <w:sz w:val="18"/>
                                <w:szCs w:val="18"/>
                                <w:lang w:val="es-ES_tradnl"/>
                              </w:rPr>
                              <w:t>Velutini</w:t>
                            </w:r>
                            <w:proofErr w:type="spellEnd"/>
                            <w:r w:rsidRPr="00711EE2">
                              <w:rPr>
                                <w:rFonts w:asciiTheme="majorHAnsi" w:hAnsiTheme="majorHAnsi"/>
                                <w:color w:val="595959" w:themeColor="text1" w:themeTint="A6"/>
                                <w:sz w:val="18"/>
                                <w:szCs w:val="18"/>
                                <w:lang w:val="es-ES_tradnl"/>
                              </w:rPr>
                              <w:t xml:space="preserve">. </w:t>
                            </w:r>
                            <w:r w:rsidR="009F5D44" w:rsidRPr="00711EE2">
                              <w:rPr>
                                <w:rFonts w:asciiTheme="majorHAnsi" w:hAnsiTheme="majorHAnsi"/>
                                <w:color w:val="595959" w:themeColor="text1" w:themeTint="A6"/>
                                <w:sz w:val="18"/>
                                <w:szCs w:val="18"/>
                                <w:lang w:val="es-ES_tradnl"/>
                              </w:rPr>
                              <w:t>Venezuela</w:t>
                            </w:r>
                            <w:r w:rsidRPr="00711EE2">
                              <w:rPr>
                                <w:rFonts w:asciiTheme="majorHAnsi" w:hAnsiTheme="majorHAnsi"/>
                                <w:color w:val="595959" w:themeColor="text1" w:themeTint="A6"/>
                                <w:sz w:val="18"/>
                                <w:szCs w:val="18"/>
                                <w:lang w:val="es-ES_tradnl"/>
                              </w:rPr>
                              <w:t xml:space="preserve">. </w:t>
                            </w:r>
                            <w:r w:rsidR="00711EE2">
                              <w:rPr>
                                <w:rFonts w:asciiTheme="majorHAnsi" w:hAnsiTheme="majorHAnsi"/>
                                <w:color w:val="595959" w:themeColor="text1" w:themeTint="A6"/>
                                <w:sz w:val="18"/>
                                <w:szCs w:val="18"/>
                                <w:lang w:val="es-ES"/>
                              </w:rPr>
                              <w:t>10 de enero de 2021</w:t>
                            </w:r>
                            <w:r w:rsidRPr="00711EE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9C4C3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1AE1299" w14:textId="4BE5BAA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11EE2">
                        <w:rPr>
                          <w:rFonts w:asciiTheme="majorHAnsi" w:hAnsiTheme="majorHAnsi"/>
                          <w:color w:val="595959" w:themeColor="text1" w:themeTint="A6"/>
                          <w:sz w:val="18"/>
                          <w:szCs w:val="18"/>
                          <w:lang w:val="pt-BR"/>
                        </w:rPr>
                        <w:t xml:space="preserve">No. </w:t>
                      </w:r>
                      <w:r w:rsidR="00711EE2" w:rsidRPr="00711EE2">
                        <w:rPr>
                          <w:rFonts w:asciiTheme="majorHAnsi" w:hAnsiTheme="majorHAnsi"/>
                          <w:color w:val="595959" w:themeColor="text1" w:themeTint="A6"/>
                          <w:sz w:val="18"/>
                          <w:szCs w:val="18"/>
                          <w:lang w:val="pt-BR"/>
                        </w:rPr>
                        <w:t>7</w:t>
                      </w:r>
                      <w:r w:rsidR="007B05C4" w:rsidRPr="00711EE2">
                        <w:rPr>
                          <w:rFonts w:asciiTheme="majorHAnsi" w:hAnsiTheme="majorHAnsi"/>
                          <w:color w:val="595959" w:themeColor="text1" w:themeTint="A6"/>
                          <w:sz w:val="18"/>
                          <w:szCs w:val="18"/>
                          <w:lang w:val="pt-BR"/>
                        </w:rPr>
                        <w:t>/</w:t>
                      </w:r>
                      <w:r w:rsidR="00711EE2" w:rsidRPr="00711EE2">
                        <w:rPr>
                          <w:rFonts w:asciiTheme="majorHAnsi" w:hAnsiTheme="majorHAnsi"/>
                          <w:color w:val="595959" w:themeColor="text1" w:themeTint="A6"/>
                          <w:sz w:val="18"/>
                          <w:szCs w:val="18"/>
                          <w:lang w:val="pt-BR"/>
                        </w:rPr>
                        <w:t>21</w:t>
                      </w:r>
                      <w:r w:rsidRPr="00711EE2">
                        <w:rPr>
                          <w:rFonts w:asciiTheme="majorHAnsi" w:hAnsiTheme="majorHAnsi"/>
                          <w:color w:val="595959" w:themeColor="text1" w:themeTint="A6"/>
                          <w:sz w:val="18"/>
                          <w:szCs w:val="18"/>
                          <w:lang w:val="pt-BR"/>
                        </w:rPr>
                        <w:t xml:space="preserve">. </w:t>
                      </w:r>
                      <w:r w:rsidR="000433C9" w:rsidRPr="00711EE2">
                        <w:rPr>
                          <w:rFonts w:asciiTheme="majorHAnsi" w:hAnsiTheme="majorHAnsi"/>
                          <w:color w:val="595959" w:themeColor="text1" w:themeTint="A6"/>
                          <w:sz w:val="18"/>
                          <w:szCs w:val="18"/>
                          <w:lang w:val="es-ES_tradnl"/>
                        </w:rPr>
                        <w:t>Petici</w:t>
                      </w:r>
                      <w:r w:rsidR="000433C9" w:rsidRPr="00711EE2">
                        <w:rPr>
                          <w:rFonts w:asciiTheme="majorHAnsi" w:hAnsiTheme="majorHAnsi"/>
                          <w:color w:val="595959" w:themeColor="text1" w:themeTint="A6"/>
                          <w:sz w:val="18"/>
                          <w:szCs w:val="18"/>
                          <w:lang w:val="es-ES"/>
                        </w:rPr>
                        <w:t xml:space="preserve">ón </w:t>
                      </w:r>
                      <w:r w:rsidR="009F5D44" w:rsidRPr="00711EE2">
                        <w:rPr>
                          <w:rFonts w:asciiTheme="majorHAnsi" w:hAnsiTheme="majorHAnsi"/>
                          <w:color w:val="595959" w:themeColor="text1" w:themeTint="A6"/>
                          <w:sz w:val="18"/>
                          <w:szCs w:val="18"/>
                          <w:lang w:val="es-ES"/>
                        </w:rPr>
                        <w:t>1320-10</w:t>
                      </w:r>
                      <w:r w:rsidR="000433C9" w:rsidRPr="00711EE2">
                        <w:rPr>
                          <w:rFonts w:asciiTheme="majorHAnsi" w:hAnsiTheme="majorHAnsi"/>
                          <w:color w:val="595959" w:themeColor="text1" w:themeTint="A6"/>
                          <w:sz w:val="18"/>
                          <w:szCs w:val="18"/>
                          <w:lang w:val="es-ES"/>
                        </w:rPr>
                        <w:t xml:space="preserve">. </w:t>
                      </w:r>
                      <w:r w:rsidRPr="00711EE2">
                        <w:rPr>
                          <w:rFonts w:asciiTheme="majorHAnsi" w:hAnsiTheme="majorHAnsi"/>
                          <w:color w:val="595959" w:themeColor="text1" w:themeTint="A6"/>
                          <w:sz w:val="18"/>
                          <w:szCs w:val="18"/>
                          <w:lang w:val="es-ES_tradnl"/>
                        </w:rPr>
                        <w:t xml:space="preserve">Admisibilidad. </w:t>
                      </w:r>
                      <w:r w:rsidR="009F5D44" w:rsidRPr="00711EE2">
                        <w:rPr>
                          <w:rFonts w:asciiTheme="majorHAnsi" w:hAnsiTheme="majorHAnsi"/>
                          <w:color w:val="595959" w:themeColor="text1" w:themeTint="A6"/>
                          <w:sz w:val="18"/>
                          <w:szCs w:val="18"/>
                          <w:lang w:val="es-ES_tradnl"/>
                        </w:rPr>
                        <w:t>Julio Martín Herrera Velutini</w:t>
                      </w:r>
                      <w:r w:rsidRPr="00711EE2">
                        <w:rPr>
                          <w:rFonts w:asciiTheme="majorHAnsi" w:hAnsiTheme="majorHAnsi"/>
                          <w:color w:val="595959" w:themeColor="text1" w:themeTint="A6"/>
                          <w:sz w:val="18"/>
                          <w:szCs w:val="18"/>
                          <w:lang w:val="es-ES_tradnl"/>
                        </w:rPr>
                        <w:t xml:space="preserve">. </w:t>
                      </w:r>
                      <w:r w:rsidR="009F5D44" w:rsidRPr="00711EE2">
                        <w:rPr>
                          <w:rFonts w:asciiTheme="majorHAnsi" w:hAnsiTheme="majorHAnsi"/>
                          <w:color w:val="595959" w:themeColor="text1" w:themeTint="A6"/>
                          <w:sz w:val="18"/>
                          <w:szCs w:val="18"/>
                          <w:lang w:val="es-ES_tradnl"/>
                        </w:rPr>
                        <w:t>Venezuela</w:t>
                      </w:r>
                      <w:r w:rsidRPr="00711EE2">
                        <w:rPr>
                          <w:rFonts w:asciiTheme="majorHAnsi" w:hAnsiTheme="majorHAnsi"/>
                          <w:color w:val="595959" w:themeColor="text1" w:themeTint="A6"/>
                          <w:sz w:val="18"/>
                          <w:szCs w:val="18"/>
                          <w:lang w:val="es-ES_tradnl"/>
                        </w:rPr>
                        <w:t xml:space="preserve">. </w:t>
                      </w:r>
                      <w:r w:rsidR="00711EE2">
                        <w:rPr>
                          <w:rFonts w:asciiTheme="majorHAnsi" w:hAnsiTheme="majorHAnsi"/>
                          <w:color w:val="595959" w:themeColor="text1" w:themeTint="A6"/>
                          <w:sz w:val="18"/>
                          <w:szCs w:val="18"/>
                          <w:lang w:val="es-ES"/>
                        </w:rPr>
                        <w:t>10 de enero de 2021</w:t>
                      </w:r>
                      <w:r w:rsidRPr="00711EE2">
                        <w:rPr>
                          <w:rFonts w:asciiTheme="majorHAnsi" w:hAnsiTheme="majorHAnsi"/>
                          <w:color w:val="595959" w:themeColor="text1" w:themeTint="A6"/>
                          <w:sz w:val="18"/>
                          <w:szCs w:val="18"/>
                          <w:lang w:val="es-ES"/>
                        </w:rPr>
                        <w:t>.</w:t>
                      </w:r>
                    </w:p>
                  </w:txbxContent>
                </v:textbox>
              </v:shape>
            </w:pict>
          </mc:Fallback>
        </mc:AlternateContent>
      </w:r>
    </w:p>
    <w:p w14:paraId="47E4A7D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06B6E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4627143" wp14:editId="354BB30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6C91E" w14:textId="58E8788A" w:rsidR="00D72DC6" w:rsidRPr="00D72DC6" w:rsidRDefault="001B0458" w:rsidP="00F02AD1">
                            <w:pPr>
                              <w:rPr>
                                <w:color w:val="FFFFFF" w:themeColor="background1"/>
                                <w14:textFill>
                                  <w14:noFill/>
                                </w14:textFill>
                              </w:rPr>
                            </w:pPr>
                            <w:r>
                              <w:rPr>
                                <w:noProof/>
                                <w:color w:val="FFFFFF" w:themeColor="background1"/>
                              </w:rPr>
                              <w:drawing>
                                <wp:inline distT="0" distB="0" distL="0" distR="0" wp14:anchorId="69652D3B" wp14:editId="3667ACF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71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A06C91E" w14:textId="58E8788A" w:rsidR="00D72DC6" w:rsidRPr="00D72DC6" w:rsidRDefault="001B0458" w:rsidP="00F02AD1">
                      <w:pPr>
                        <w:rPr>
                          <w:color w:val="FFFFFF" w:themeColor="background1"/>
                          <w14:textFill>
                            <w14:noFill/>
                          </w14:textFill>
                        </w:rPr>
                      </w:pPr>
                      <w:r>
                        <w:rPr>
                          <w:noProof/>
                          <w:color w:val="FFFFFF" w:themeColor="background1"/>
                        </w:rPr>
                        <w:drawing>
                          <wp:inline distT="0" distB="0" distL="0" distR="0" wp14:anchorId="69652D3B" wp14:editId="3667ACF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30EA4BF" wp14:editId="13D3283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5AA1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0EA4B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215AA1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EA445D6"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5F18153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6DBA538" w14:textId="77777777" w:rsidTr="004A6A54">
        <w:tc>
          <w:tcPr>
            <w:tcW w:w="3600" w:type="dxa"/>
            <w:tcBorders>
              <w:top w:val="single" w:sz="4" w:space="0" w:color="auto"/>
              <w:bottom w:val="single" w:sz="6" w:space="0" w:color="auto"/>
            </w:tcBorders>
            <w:shd w:val="clear" w:color="auto" w:fill="386294"/>
            <w:vAlign w:val="center"/>
          </w:tcPr>
          <w:p w14:paraId="39F36741"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49CCF4E4" w14:textId="77777777" w:rsidR="003239B8" w:rsidRPr="000D05CB" w:rsidRDefault="009F5D44" w:rsidP="008D2290">
            <w:pPr>
              <w:jc w:val="both"/>
              <w:rPr>
                <w:rFonts w:ascii="Cambria" w:hAnsi="Cambria"/>
                <w:bCs/>
                <w:sz w:val="20"/>
                <w:szCs w:val="20"/>
              </w:rPr>
            </w:pPr>
            <w:r>
              <w:rPr>
                <w:rFonts w:ascii="Cambria" w:hAnsi="Cambria"/>
                <w:bCs/>
                <w:sz w:val="20"/>
                <w:szCs w:val="20"/>
              </w:rPr>
              <w:t>Asdrúbal Aguiar</w:t>
            </w:r>
          </w:p>
        </w:tc>
      </w:tr>
      <w:tr w:rsidR="003239B8" w:rsidRPr="001E49E7" w14:paraId="1577B59E" w14:textId="77777777" w:rsidTr="004A6A54">
        <w:tc>
          <w:tcPr>
            <w:tcW w:w="3600" w:type="dxa"/>
            <w:tcBorders>
              <w:top w:val="single" w:sz="6" w:space="0" w:color="auto"/>
              <w:bottom w:val="single" w:sz="6" w:space="0" w:color="auto"/>
            </w:tcBorders>
            <w:shd w:val="clear" w:color="auto" w:fill="386294"/>
            <w:vAlign w:val="center"/>
          </w:tcPr>
          <w:p w14:paraId="435E3FBE" w14:textId="77777777" w:rsidR="003239B8" w:rsidRPr="000D05CB" w:rsidRDefault="00484CF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1C0332B" w14:textId="77777777" w:rsidR="003239B8" w:rsidRPr="000D05CB" w:rsidRDefault="009F5D44" w:rsidP="008D2290">
            <w:pPr>
              <w:jc w:val="both"/>
              <w:rPr>
                <w:rFonts w:ascii="Cambria" w:hAnsi="Cambria"/>
                <w:bCs/>
                <w:sz w:val="20"/>
                <w:szCs w:val="20"/>
                <w:lang w:val="es-ES"/>
              </w:rPr>
            </w:pPr>
            <w:r>
              <w:rPr>
                <w:rFonts w:ascii="Cambria" w:hAnsi="Cambria"/>
                <w:bCs/>
                <w:sz w:val="20"/>
                <w:szCs w:val="20"/>
                <w:lang w:val="es-ES"/>
              </w:rPr>
              <w:t>Julio Martín Herrera Velutini</w:t>
            </w:r>
          </w:p>
        </w:tc>
      </w:tr>
      <w:tr w:rsidR="003239B8" w14:paraId="676DE9D6" w14:textId="77777777" w:rsidTr="004A6A54">
        <w:tc>
          <w:tcPr>
            <w:tcW w:w="3600" w:type="dxa"/>
            <w:tcBorders>
              <w:top w:val="single" w:sz="6" w:space="0" w:color="auto"/>
              <w:bottom w:val="single" w:sz="6" w:space="0" w:color="auto"/>
            </w:tcBorders>
            <w:shd w:val="clear" w:color="auto" w:fill="386294"/>
            <w:vAlign w:val="center"/>
          </w:tcPr>
          <w:p w14:paraId="2C7F1C55"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36EA99E" w14:textId="77777777" w:rsidR="003239B8" w:rsidRPr="000D05CB" w:rsidRDefault="009F5D44" w:rsidP="008D2290">
            <w:pPr>
              <w:jc w:val="both"/>
              <w:rPr>
                <w:rFonts w:ascii="Cambria" w:hAnsi="Cambria"/>
                <w:bCs/>
                <w:sz w:val="20"/>
                <w:szCs w:val="20"/>
              </w:rPr>
            </w:pPr>
            <w:r>
              <w:rPr>
                <w:rFonts w:ascii="Cambria" w:hAnsi="Cambria"/>
                <w:bCs/>
                <w:sz w:val="20"/>
                <w:szCs w:val="20"/>
              </w:rPr>
              <w:t>Venezuela</w:t>
            </w:r>
          </w:p>
        </w:tc>
      </w:tr>
      <w:tr w:rsidR="00223A29" w:rsidRPr="001B0458" w14:paraId="649F7A60" w14:textId="77777777" w:rsidTr="004A6A54">
        <w:tc>
          <w:tcPr>
            <w:tcW w:w="3600" w:type="dxa"/>
            <w:tcBorders>
              <w:top w:val="single" w:sz="6" w:space="0" w:color="auto"/>
              <w:bottom w:val="single" w:sz="6" w:space="0" w:color="auto"/>
            </w:tcBorders>
            <w:shd w:val="clear" w:color="auto" w:fill="386294"/>
            <w:vAlign w:val="center"/>
          </w:tcPr>
          <w:p w14:paraId="7EB0B5F8"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C41D544" w14:textId="77777777" w:rsidR="00223A29" w:rsidRPr="002C2258" w:rsidRDefault="002C2258" w:rsidP="008D2290">
            <w:pPr>
              <w:jc w:val="both"/>
              <w:rPr>
                <w:rFonts w:ascii="Cambria" w:hAnsi="Cambria"/>
                <w:bCs/>
                <w:sz w:val="20"/>
                <w:szCs w:val="20"/>
                <w:lang w:val="es-CO"/>
              </w:rPr>
            </w:pPr>
            <w:r w:rsidRPr="002C2258">
              <w:rPr>
                <w:rFonts w:ascii="Cambria" w:hAnsi="Cambria"/>
                <w:bCs/>
                <w:sz w:val="20"/>
                <w:szCs w:val="20"/>
                <w:lang w:val="es-CO"/>
              </w:rPr>
              <w:t>Artículos 7 (libertad personal), 8 (garantías j</w:t>
            </w:r>
            <w:r>
              <w:rPr>
                <w:rFonts w:ascii="Cambria" w:hAnsi="Cambria"/>
                <w:bCs/>
                <w:sz w:val="20"/>
                <w:szCs w:val="20"/>
                <w:lang w:val="es-CO"/>
              </w:rPr>
              <w:t>udiciales), 11 (protección de la honra y de la dignidad), 21 (propiedad privada), 25 (protección judicial) de la Convención Americana sobre Derechos Humanos</w:t>
            </w:r>
            <w:r>
              <w:rPr>
                <w:rStyle w:val="FootnoteReference"/>
                <w:rFonts w:ascii="Cambria" w:hAnsi="Cambria"/>
                <w:bCs/>
                <w:sz w:val="20"/>
                <w:szCs w:val="20"/>
                <w:lang w:val="es-CO"/>
              </w:rPr>
              <w:footnoteReference w:id="2"/>
            </w:r>
          </w:p>
        </w:tc>
      </w:tr>
    </w:tbl>
    <w:p w14:paraId="5526AB8F"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4A069B3D" w14:textId="77777777" w:rsidTr="0027407A">
        <w:tc>
          <w:tcPr>
            <w:tcW w:w="3600" w:type="dxa"/>
            <w:tcBorders>
              <w:top w:val="single" w:sz="6" w:space="0" w:color="auto"/>
              <w:bottom w:val="single" w:sz="6" w:space="0" w:color="auto"/>
            </w:tcBorders>
            <w:shd w:val="clear" w:color="auto" w:fill="386294"/>
            <w:vAlign w:val="center"/>
          </w:tcPr>
          <w:p w14:paraId="4790825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DE5F577" w14:textId="77777777" w:rsidR="004C2312" w:rsidRPr="003239B8" w:rsidRDefault="003B780B" w:rsidP="002625EA">
            <w:pPr>
              <w:jc w:val="both"/>
              <w:rPr>
                <w:rFonts w:ascii="Cambria" w:hAnsi="Cambria"/>
                <w:bCs/>
                <w:sz w:val="20"/>
                <w:szCs w:val="20"/>
                <w:lang w:val="es-ES"/>
              </w:rPr>
            </w:pPr>
            <w:r>
              <w:rPr>
                <w:rFonts w:ascii="Cambria" w:hAnsi="Cambria"/>
                <w:bCs/>
                <w:sz w:val="20"/>
                <w:szCs w:val="20"/>
                <w:lang w:val="es-ES"/>
              </w:rPr>
              <w:t>20 de septiembre de 2010</w:t>
            </w:r>
          </w:p>
        </w:tc>
      </w:tr>
      <w:tr w:rsidR="00131425" w:rsidRPr="001B0458" w14:paraId="63D3A3A8" w14:textId="77777777" w:rsidTr="0027407A">
        <w:tc>
          <w:tcPr>
            <w:tcW w:w="3600" w:type="dxa"/>
            <w:tcBorders>
              <w:top w:val="single" w:sz="6" w:space="0" w:color="auto"/>
              <w:bottom w:val="single" w:sz="6" w:space="0" w:color="auto"/>
            </w:tcBorders>
            <w:shd w:val="clear" w:color="auto" w:fill="386294"/>
            <w:vAlign w:val="center"/>
          </w:tcPr>
          <w:p w14:paraId="7A7E5829"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5C091767" w14:textId="77777777" w:rsidR="00131425" w:rsidRPr="003239B8" w:rsidRDefault="004459F2" w:rsidP="002625EA">
            <w:pPr>
              <w:jc w:val="both"/>
              <w:rPr>
                <w:rFonts w:ascii="Cambria" w:hAnsi="Cambria"/>
                <w:bCs/>
                <w:sz w:val="20"/>
                <w:szCs w:val="20"/>
                <w:lang w:val="es-ES"/>
              </w:rPr>
            </w:pPr>
            <w:r>
              <w:rPr>
                <w:rFonts w:ascii="Cambria" w:hAnsi="Cambria"/>
                <w:bCs/>
                <w:sz w:val="20"/>
                <w:szCs w:val="20"/>
                <w:lang w:val="es-ES"/>
              </w:rPr>
              <w:t>26 de mayo de 2011</w:t>
            </w:r>
            <w:r w:rsidR="00324EAE">
              <w:rPr>
                <w:rFonts w:ascii="Cambria" w:hAnsi="Cambria"/>
                <w:bCs/>
                <w:sz w:val="20"/>
                <w:szCs w:val="20"/>
                <w:lang w:val="es-ES"/>
              </w:rPr>
              <w:t xml:space="preserve">, </w:t>
            </w:r>
            <w:r w:rsidR="0027407A">
              <w:rPr>
                <w:rFonts w:ascii="Cambria" w:hAnsi="Cambria"/>
                <w:bCs/>
                <w:sz w:val="20"/>
                <w:szCs w:val="20"/>
                <w:lang w:val="es-ES"/>
              </w:rPr>
              <w:t>2</w:t>
            </w:r>
            <w:r w:rsidR="00324EAE">
              <w:rPr>
                <w:rFonts w:ascii="Cambria" w:hAnsi="Cambria"/>
                <w:bCs/>
                <w:sz w:val="20"/>
                <w:szCs w:val="20"/>
                <w:lang w:val="es-ES"/>
              </w:rPr>
              <w:t xml:space="preserve"> de mayo de 2012</w:t>
            </w:r>
            <w:r w:rsidR="00495F89">
              <w:rPr>
                <w:rFonts w:ascii="Cambria" w:hAnsi="Cambria"/>
                <w:bCs/>
                <w:sz w:val="20"/>
                <w:szCs w:val="20"/>
                <w:lang w:val="es-ES"/>
              </w:rPr>
              <w:t xml:space="preserve"> y</w:t>
            </w:r>
            <w:r w:rsidR="0027407A">
              <w:rPr>
                <w:rFonts w:ascii="Cambria" w:hAnsi="Cambria"/>
                <w:bCs/>
                <w:sz w:val="20"/>
                <w:szCs w:val="20"/>
                <w:lang w:val="es-ES"/>
              </w:rPr>
              <w:t xml:space="preserve"> 28 de marzo de 2013</w:t>
            </w:r>
          </w:p>
        </w:tc>
      </w:tr>
      <w:tr w:rsidR="004C2312" w:rsidRPr="009F5D44" w14:paraId="01A67F45" w14:textId="77777777" w:rsidTr="0027407A">
        <w:tc>
          <w:tcPr>
            <w:tcW w:w="3600" w:type="dxa"/>
            <w:tcBorders>
              <w:top w:val="single" w:sz="6" w:space="0" w:color="auto"/>
              <w:bottom w:val="single" w:sz="6" w:space="0" w:color="auto"/>
            </w:tcBorders>
            <w:shd w:val="clear" w:color="auto" w:fill="386294"/>
            <w:vAlign w:val="center"/>
          </w:tcPr>
          <w:p w14:paraId="493A4AA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C4FEF91" w14:textId="77777777" w:rsidR="004C2312" w:rsidRPr="003239B8" w:rsidRDefault="0027407A" w:rsidP="008D2290">
            <w:pPr>
              <w:jc w:val="both"/>
              <w:rPr>
                <w:rFonts w:ascii="Cambria" w:hAnsi="Cambria"/>
                <w:bCs/>
                <w:sz w:val="20"/>
                <w:szCs w:val="20"/>
                <w:lang w:val="es-ES"/>
              </w:rPr>
            </w:pPr>
            <w:r>
              <w:rPr>
                <w:rFonts w:ascii="Cambria" w:hAnsi="Cambria"/>
                <w:bCs/>
                <w:sz w:val="20"/>
                <w:szCs w:val="20"/>
                <w:lang w:val="es-ES"/>
              </w:rPr>
              <w:t>29 de marzo de 2017</w:t>
            </w:r>
          </w:p>
        </w:tc>
      </w:tr>
      <w:tr w:rsidR="004C2312" w:rsidRPr="004A6A54" w14:paraId="7697BCFE" w14:textId="77777777" w:rsidTr="0027407A">
        <w:tc>
          <w:tcPr>
            <w:tcW w:w="3600" w:type="dxa"/>
            <w:tcBorders>
              <w:top w:val="single" w:sz="6" w:space="0" w:color="auto"/>
              <w:bottom w:val="single" w:sz="6" w:space="0" w:color="auto"/>
            </w:tcBorders>
            <w:shd w:val="clear" w:color="auto" w:fill="386294"/>
            <w:vAlign w:val="center"/>
          </w:tcPr>
          <w:p w14:paraId="6B6D3BA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589566DB" w14:textId="77777777" w:rsidR="004C2312" w:rsidRPr="003239B8" w:rsidRDefault="00C7545B" w:rsidP="008D2290">
            <w:pPr>
              <w:jc w:val="both"/>
              <w:rPr>
                <w:rFonts w:ascii="Cambria" w:hAnsi="Cambria"/>
                <w:bCs/>
                <w:sz w:val="20"/>
                <w:szCs w:val="20"/>
                <w:lang w:val="es-ES"/>
              </w:rPr>
            </w:pPr>
            <w:r>
              <w:rPr>
                <w:rFonts w:ascii="Cambria" w:hAnsi="Cambria"/>
                <w:bCs/>
                <w:sz w:val="20"/>
                <w:szCs w:val="20"/>
                <w:lang w:val="es-ES"/>
              </w:rPr>
              <w:t>30 de abril de 2018</w:t>
            </w:r>
          </w:p>
        </w:tc>
      </w:tr>
      <w:tr w:rsidR="004C2312" w:rsidRPr="009F5D44" w14:paraId="65625411" w14:textId="77777777" w:rsidTr="0027407A">
        <w:tc>
          <w:tcPr>
            <w:tcW w:w="3600" w:type="dxa"/>
            <w:tcBorders>
              <w:top w:val="single" w:sz="6" w:space="0" w:color="auto"/>
              <w:bottom w:val="single" w:sz="6" w:space="0" w:color="auto"/>
            </w:tcBorders>
            <w:shd w:val="clear" w:color="auto" w:fill="386294"/>
            <w:vAlign w:val="center"/>
          </w:tcPr>
          <w:p w14:paraId="363A498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52346DC" w14:textId="77777777" w:rsidR="004C2312" w:rsidRPr="003239B8" w:rsidRDefault="006B1CB5" w:rsidP="008D2290">
            <w:pPr>
              <w:jc w:val="both"/>
              <w:rPr>
                <w:rFonts w:ascii="Cambria" w:hAnsi="Cambria"/>
                <w:bCs/>
                <w:sz w:val="20"/>
                <w:szCs w:val="20"/>
                <w:lang w:val="es-ES"/>
              </w:rPr>
            </w:pPr>
            <w:r>
              <w:rPr>
                <w:rFonts w:ascii="Cambria" w:hAnsi="Cambria"/>
                <w:bCs/>
                <w:sz w:val="20"/>
                <w:szCs w:val="20"/>
                <w:lang w:val="es-ES"/>
              </w:rPr>
              <w:t>10 de octubre de 2018</w:t>
            </w:r>
          </w:p>
        </w:tc>
      </w:tr>
      <w:tr w:rsidR="0027407A" w:rsidRPr="009F5D44" w14:paraId="1EF78D24" w14:textId="77777777" w:rsidTr="0027407A">
        <w:tc>
          <w:tcPr>
            <w:tcW w:w="3600" w:type="dxa"/>
            <w:tcBorders>
              <w:top w:val="single" w:sz="6" w:space="0" w:color="auto"/>
              <w:bottom w:val="single" w:sz="6" w:space="0" w:color="auto"/>
            </w:tcBorders>
            <w:shd w:val="clear" w:color="auto" w:fill="386294"/>
            <w:vAlign w:val="center"/>
          </w:tcPr>
          <w:p w14:paraId="083FEA9E" w14:textId="77777777" w:rsidR="0027407A" w:rsidRDefault="0027407A"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17186C18" w14:textId="77777777" w:rsidR="0027407A" w:rsidRPr="003239B8" w:rsidRDefault="0027407A" w:rsidP="008D2290">
            <w:pPr>
              <w:jc w:val="both"/>
              <w:rPr>
                <w:rFonts w:ascii="Cambria" w:hAnsi="Cambria"/>
                <w:bCs/>
                <w:sz w:val="20"/>
                <w:szCs w:val="20"/>
                <w:lang w:val="es-ES"/>
              </w:rPr>
            </w:pPr>
            <w:r>
              <w:rPr>
                <w:rFonts w:ascii="Cambria" w:hAnsi="Cambria"/>
                <w:bCs/>
                <w:sz w:val="20"/>
                <w:szCs w:val="20"/>
                <w:lang w:val="es-ES"/>
              </w:rPr>
              <w:t>30 de enero de 2017</w:t>
            </w:r>
          </w:p>
        </w:tc>
      </w:tr>
      <w:tr w:rsidR="0027407A" w:rsidRPr="009F5D44" w14:paraId="464CA1F6" w14:textId="77777777" w:rsidTr="0027407A">
        <w:tc>
          <w:tcPr>
            <w:tcW w:w="3600" w:type="dxa"/>
            <w:tcBorders>
              <w:top w:val="single" w:sz="6" w:space="0" w:color="auto"/>
              <w:bottom w:val="single" w:sz="6" w:space="0" w:color="auto"/>
            </w:tcBorders>
            <w:shd w:val="clear" w:color="auto" w:fill="386294"/>
            <w:vAlign w:val="center"/>
          </w:tcPr>
          <w:p w14:paraId="19EE6F4E" w14:textId="77777777" w:rsidR="0027407A" w:rsidRDefault="0027407A"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6B30B2EA" w14:textId="77777777" w:rsidR="0027407A" w:rsidRPr="003239B8" w:rsidRDefault="00C7545B" w:rsidP="008D2290">
            <w:pPr>
              <w:jc w:val="both"/>
              <w:rPr>
                <w:rFonts w:ascii="Cambria" w:hAnsi="Cambria"/>
                <w:bCs/>
                <w:sz w:val="20"/>
                <w:szCs w:val="20"/>
                <w:lang w:val="es-ES"/>
              </w:rPr>
            </w:pPr>
            <w:r>
              <w:rPr>
                <w:rFonts w:ascii="Cambria" w:hAnsi="Cambria"/>
                <w:bCs/>
                <w:sz w:val="20"/>
                <w:szCs w:val="20"/>
                <w:lang w:val="es-ES"/>
              </w:rPr>
              <w:t>8 de febrero de 2017</w:t>
            </w:r>
          </w:p>
        </w:tc>
      </w:tr>
    </w:tbl>
    <w:p w14:paraId="04EE2407"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42E8FCD7" w14:textId="77777777" w:rsidTr="004A6A54">
        <w:trPr>
          <w:cantSplit/>
        </w:trPr>
        <w:tc>
          <w:tcPr>
            <w:tcW w:w="3600" w:type="dxa"/>
            <w:tcBorders>
              <w:top w:val="single" w:sz="4" w:space="0" w:color="auto"/>
              <w:bottom w:val="single" w:sz="6" w:space="0" w:color="auto"/>
            </w:tcBorders>
            <w:shd w:val="clear" w:color="auto" w:fill="386294"/>
            <w:vAlign w:val="center"/>
          </w:tcPr>
          <w:p w14:paraId="3EE8C2DC"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288531C" w14:textId="77777777" w:rsidR="003239B8" w:rsidRPr="00B3745F" w:rsidRDefault="003B780B" w:rsidP="008D2290">
            <w:pPr>
              <w:rPr>
                <w:rFonts w:ascii="Cambria" w:hAnsi="Cambria"/>
                <w:bCs/>
                <w:sz w:val="20"/>
                <w:szCs w:val="20"/>
              </w:rPr>
            </w:pPr>
            <w:r>
              <w:rPr>
                <w:rFonts w:ascii="Cambria" w:hAnsi="Cambria"/>
                <w:bCs/>
                <w:sz w:val="20"/>
                <w:szCs w:val="20"/>
              </w:rPr>
              <w:t>Sí</w:t>
            </w:r>
          </w:p>
        </w:tc>
      </w:tr>
      <w:tr w:rsidR="003239B8" w:rsidRPr="00540F17" w14:paraId="36FA886E" w14:textId="77777777" w:rsidTr="004A6A54">
        <w:trPr>
          <w:cantSplit/>
        </w:trPr>
        <w:tc>
          <w:tcPr>
            <w:tcW w:w="3600" w:type="dxa"/>
            <w:tcBorders>
              <w:top w:val="single" w:sz="6" w:space="0" w:color="auto"/>
              <w:bottom w:val="single" w:sz="6" w:space="0" w:color="auto"/>
            </w:tcBorders>
            <w:shd w:val="clear" w:color="auto" w:fill="386294"/>
            <w:vAlign w:val="center"/>
          </w:tcPr>
          <w:p w14:paraId="7F38894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6F6D949" w14:textId="77777777" w:rsidR="003239B8" w:rsidRPr="00B3745F" w:rsidRDefault="003B780B" w:rsidP="008D2290">
            <w:pPr>
              <w:rPr>
                <w:rFonts w:ascii="Cambria" w:hAnsi="Cambria"/>
                <w:bCs/>
                <w:sz w:val="20"/>
                <w:szCs w:val="20"/>
              </w:rPr>
            </w:pPr>
            <w:r>
              <w:rPr>
                <w:rFonts w:ascii="Cambria" w:hAnsi="Cambria"/>
                <w:bCs/>
                <w:sz w:val="20"/>
                <w:szCs w:val="20"/>
              </w:rPr>
              <w:t>Sí</w:t>
            </w:r>
          </w:p>
        </w:tc>
      </w:tr>
      <w:tr w:rsidR="003239B8" w:rsidRPr="00540F17" w14:paraId="6D2E5A59" w14:textId="77777777" w:rsidTr="004A6A54">
        <w:trPr>
          <w:cantSplit/>
        </w:trPr>
        <w:tc>
          <w:tcPr>
            <w:tcW w:w="3600" w:type="dxa"/>
            <w:tcBorders>
              <w:top w:val="single" w:sz="6" w:space="0" w:color="auto"/>
              <w:bottom w:val="single" w:sz="6" w:space="0" w:color="auto"/>
            </w:tcBorders>
            <w:shd w:val="clear" w:color="auto" w:fill="386294"/>
            <w:vAlign w:val="center"/>
          </w:tcPr>
          <w:p w14:paraId="4450C5A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9BC0590" w14:textId="77777777" w:rsidR="003239B8" w:rsidRPr="00B3745F" w:rsidRDefault="003B780B" w:rsidP="008D2290">
            <w:pPr>
              <w:rPr>
                <w:rFonts w:ascii="Cambria" w:hAnsi="Cambria"/>
                <w:bCs/>
                <w:sz w:val="20"/>
                <w:szCs w:val="20"/>
              </w:rPr>
            </w:pPr>
            <w:r>
              <w:rPr>
                <w:rFonts w:ascii="Cambria" w:hAnsi="Cambria"/>
                <w:bCs/>
                <w:sz w:val="20"/>
                <w:szCs w:val="20"/>
              </w:rPr>
              <w:t>Sí</w:t>
            </w:r>
          </w:p>
        </w:tc>
      </w:tr>
      <w:tr w:rsidR="003239B8" w:rsidRPr="001B0458" w14:paraId="27C888D7" w14:textId="77777777" w:rsidTr="004A6A54">
        <w:trPr>
          <w:cantSplit/>
        </w:trPr>
        <w:tc>
          <w:tcPr>
            <w:tcW w:w="3600" w:type="dxa"/>
            <w:tcBorders>
              <w:top w:val="single" w:sz="6" w:space="0" w:color="auto"/>
              <w:bottom w:val="single" w:sz="6" w:space="0" w:color="auto"/>
            </w:tcBorders>
            <w:shd w:val="clear" w:color="auto" w:fill="386294"/>
            <w:vAlign w:val="center"/>
          </w:tcPr>
          <w:p w14:paraId="264CFDE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2B513E1" w14:textId="77777777" w:rsidR="003239B8" w:rsidRPr="00B3745F" w:rsidRDefault="003B780B" w:rsidP="008D2290">
            <w:pPr>
              <w:jc w:val="both"/>
              <w:rPr>
                <w:rFonts w:ascii="Cambria" w:hAnsi="Cambria"/>
                <w:bCs/>
                <w:sz w:val="20"/>
                <w:szCs w:val="20"/>
                <w:lang w:val="es-ES"/>
              </w:rPr>
            </w:pPr>
            <w:r w:rsidRPr="00C915F6">
              <w:rPr>
                <w:rFonts w:asciiTheme="majorHAnsi" w:hAnsiTheme="majorHAnsi"/>
                <w:bCs/>
                <w:sz w:val="20"/>
                <w:szCs w:val="20"/>
                <w:lang w:val="es-ES"/>
              </w:rPr>
              <w:t>Sí, Convención Americana (depósito del instrumento de ratificación realizado el 9 de agosto de 1977)</w:t>
            </w:r>
          </w:p>
        </w:tc>
      </w:tr>
    </w:tbl>
    <w:p w14:paraId="53365B5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1433FF">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9F5D44" w14:paraId="1E58DA9A" w14:textId="77777777" w:rsidTr="004A6A54">
        <w:trPr>
          <w:cantSplit/>
        </w:trPr>
        <w:tc>
          <w:tcPr>
            <w:tcW w:w="3600" w:type="dxa"/>
            <w:tcBorders>
              <w:top w:val="single" w:sz="4" w:space="0" w:color="auto"/>
              <w:bottom w:val="single" w:sz="6" w:space="0" w:color="auto"/>
            </w:tcBorders>
            <w:shd w:val="clear" w:color="auto" w:fill="386294"/>
            <w:vAlign w:val="center"/>
          </w:tcPr>
          <w:p w14:paraId="675C3F5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58F7327D" w14:textId="77777777" w:rsidR="00EE00E9" w:rsidRPr="00DC24E3" w:rsidRDefault="003B780B" w:rsidP="008D2290">
            <w:pPr>
              <w:jc w:val="both"/>
              <w:rPr>
                <w:rFonts w:ascii="Cambria" w:hAnsi="Cambria"/>
                <w:bCs/>
                <w:sz w:val="20"/>
                <w:szCs w:val="20"/>
                <w:lang w:val="es-ES"/>
              </w:rPr>
            </w:pPr>
            <w:r>
              <w:rPr>
                <w:rFonts w:ascii="Cambria" w:hAnsi="Cambria"/>
                <w:bCs/>
                <w:sz w:val="20"/>
                <w:szCs w:val="20"/>
                <w:lang w:val="es-ES"/>
              </w:rPr>
              <w:t>No</w:t>
            </w:r>
          </w:p>
        </w:tc>
      </w:tr>
      <w:tr w:rsidR="003239B8" w:rsidRPr="001B0458" w14:paraId="18E151DD" w14:textId="77777777" w:rsidTr="004A6A54">
        <w:trPr>
          <w:cantSplit/>
        </w:trPr>
        <w:tc>
          <w:tcPr>
            <w:tcW w:w="3600" w:type="dxa"/>
            <w:tcBorders>
              <w:top w:val="single" w:sz="4" w:space="0" w:color="auto"/>
              <w:bottom w:val="single" w:sz="6" w:space="0" w:color="auto"/>
            </w:tcBorders>
            <w:shd w:val="clear" w:color="auto" w:fill="386294"/>
            <w:vAlign w:val="center"/>
          </w:tcPr>
          <w:p w14:paraId="51C6FCB8"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9D9F037" w14:textId="77777777" w:rsidR="003239B8" w:rsidRPr="002965A4" w:rsidRDefault="002965A4" w:rsidP="008D2290">
            <w:pPr>
              <w:jc w:val="both"/>
              <w:rPr>
                <w:rFonts w:ascii="Cambria" w:hAnsi="Cambria"/>
                <w:bCs/>
                <w:sz w:val="20"/>
                <w:szCs w:val="20"/>
                <w:lang w:val="es-CO"/>
              </w:rPr>
            </w:pPr>
            <w:r w:rsidRPr="002965A4">
              <w:rPr>
                <w:rFonts w:ascii="Cambria" w:hAnsi="Cambria"/>
                <w:bCs/>
                <w:sz w:val="20"/>
                <w:szCs w:val="20"/>
                <w:lang w:val="es-CO"/>
              </w:rPr>
              <w:t xml:space="preserve">Artículos </w:t>
            </w:r>
            <w:r w:rsidRPr="002965A4">
              <w:rPr>
                <w:rFonts w:asciiTheme="majorHAnsi" w:hAnsiTheme="majorHAnsi"/>
                <w:sz w:val="20"/>
                <w:szCs w:val="20"/>
                <w:lang w:val="es-ES"/>
              </w:rPr>
              <w:t>7 (libertad personal), 8 (garantías judiciales), 9 (principio de legalidad y de retroactividad), 11 (protección de la honra y de la dignidad), 21 (propiedad privada) y 25 (protección judicial) de la Convención Americana, en relación con sus artículos 1.1 (obligación de respetar los derechos) y 2 (deber de adoptar disposiciones de derecho interno)</w:t>
            </w:r>
          </w:p>
        </w:tc>
      </w:tr>
      <w:tr w:rsidR="003239B8" w:rsidRPr="001B0458" w14:paraId="16B7ADE0" w14:textId="77777777" w:rsidTr="004A6A54">
        <w:trPr>
          <w:cantSplit/>
        </w:trPr>
        <w:tc>
          <w:tcPr>
            <w:tcW w:w="3600" w:type="dxa"/>
            <w:tcBorders>
              <w:top w:val="single" w:sz="6" w:space="0" w:color="auto"/>
              <w:bottom w:val="single" w:sz="6" w:space="0" w:color="auto"/>
            </w:tcBorders>
            <w:shd w:val="clear" w:color="auto" w:fill="386294"/>
            <w:vAlign w:val="center"/>
          </w:tcPr>
          <w:p w14:paraId="170E43A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1945681C" w14:textId="77777777" w:rsidR="003239B8" w:rsidRPr="00DC24E3" w:rsidRDefault="003B780B" w:rsidP="008D2290">
            <w:pPr>
              <w:rPr>
                <w:rFonts w:ascii="Cambria" w:hAnsi="Cambria"/>
                <w:bCs/>
                <w:sz w:val="20"/>
                <w:szCs w:val="20"/>
                <w:lang w:val="es-ES"/>
              </w:rPr>
            </w:pPr>
            <w:r>
              <w:rPr>
                <w:rFonts w:ascii="Cambria" w:hAnsi="Cambria"/>
                <w:bCs/>
                <w:sz w:val="20"/>
                <w:szCs w:val="20"/>
                <w:lang w:val="es-ES"/>
              </w:rPr>
              <w:t xml:space="preserve">Sí, aplica </w:t>
            </w:r>
            <w:r w:rsidR="0003263A">
              <w:rPr>
                <w:rFonts w:ascii="Cambria" w:hAnsi="Cambria"/>
                <w:bCs/>
                <w:sz w:val="20"/>
                <w:szCs w:val="20"/>
                <w:lang w:val="es-ES"/>
              </w:rPr>
              <w:t>la excepción del a</w:t>
            </w:r>
            <w:r w:rsidR="00495F89">
              <w:rPr>
                <w:rFonts w:ascii="Cambria" w:hAnsi="Cambria"/>
                <w:bCs/>
                <w:sz w:val="20"/>
                <w:szCs w:val="20"/>
                <w:lang w:val="es-ES"/>
              </w:rPr>
              <w:t>rtículo 46.2.</w:t>
            </w:r>
            <w:r>
              <w:rPr>
                <w:rFonts w:ascii="Cambria" w:hAnsi="Cambria"/>
                <w:bCs/>
                <w:sz w:val="20"/>
                <w:szCs w:val="20"/>
                <w:lang w:val="es-ES"/>
              </w:rPr>
              <w:t>a) de la Convención Americana</w:t>
            </w:r>
          </w:p>
        </w:tc>
      </w:tr>
      <w:tr w:rsidR="003239B8" w:rsidRPr="001B0458" w14:paraId="39244074" w14:textId="77777777" w:rsidTr="004A6A54">
        <w:trPr>
          <w:cantSplit/>
        </w:trPr>
        <w:tc>
          <w:tcPr>
            <w:tcW w:w="3600" w:type="dxa"/>
            <w:tcBorders>
              <w:top w:val="single" w:sz="6" w:space="0" w:color="auto"/>
              <w:bottom w:val="single" w:sz="6" w:space="0" w:color="auto"/>
            </w:tcBorders>
            <w:shd w:val="clear" w:color="auto" w:fill="386294"/>
            <w:vAlign w:val="center"/>
          </w:tcPr>
          <w:p w14:paraId="1F962A97"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5EECAFE1" w14:textId="77777777" w:rsidR="003239B8" w:rsidRPr="003B780B" w:rsidRDefault="003B780B" w:rsidP="008D2290">
            <w:pPr>
              <w:rPr>
                <w:rFonts w:ascii="Cambria" w:hAnsi="Cambria"/>
                <w:bCs/>
                <w:sz w:val="20"/>
                <w:szCs w:val="20"/>
                <w:lang w:val="es-CO"/>
              </w:rPr>
            </w:pPr>
            <w:r w:rsidRPr="003B780B">
              <w:rPr>
                <w:rFonts w:ascii="Cambria" w:hAnsi="Cambria"/>
                <w:bCs/>
                <w:sz w:val="20"/>
                <w:szCs w:val="20"/>
                <w:lang w:val="es-CO"/>
              </w:rPr>
              <w:t>Sí, en los términos d</w:t>
            </w:r>
            <w:r>
              <w:rPr>
                <w:rFonts w:ascii="Cambria" w:hAnsi="Cambria"/>
                <w:bCs/>
                <w:sz w:val="20"/>
                <w:szCs w:val="20"/>
                <w:lang w:val="es-CO"/>
              </w:rPr>
              <w:t>e la Sección VI</w:t>
            </w:r>
          </w:p>
        </w:tc>
      </w:tr>
    </w:tbl>
    <w:p w14:paraId="3EC96354" w14:textId="77777777" w:rsidR="003239B8" w:rsidRPr="007140EE" w:rsidRDefault="00223A29" w:rsidP="003239B8">
      <w:pPr>
        <w:spacing w:before="240" w:after="240"/>
        <w:ind w:firstLine="720"/>
        <w:jc w:val="both"/>
        <w:rPr>
          <w:rFonts w:asciiTheme="majorHAnsi" w:hAnsiTheme="majorHAnsi"/>
          <w:b/>
          <w:sz w:val="20"/>
          <w:szCs w:val="20"/>
          <w:lang w:val="es-ES_tradnl"/>
        </w:rPr>
      </w:pPr>
      <w:r w:rsidRPr="007140EE">
        <w:rPr>
          <w:rFonts w:asciiTheme="majorHAnsi" w:hAnsiTheme="majorHAnsi"/>
          <w:b/>
          <w:sz w:val="20"/>
          <w:szCs w:val="20"/>
          <w:lang w:val="es-ES_tradnl"/>
        </w:rPr>
        <w:t xml:space="preserve">V. </w:t>
      </w:r>
      <w:r w:rsidRPr="007140EE">
        <w:rPr>
          <w:rFonts w:asciiTheme="majorHAnsi" w:hAnsiTheme="majorHAnsi"/>
          <w:b/>
          <w:sz w:val="20"/>
          <w:szCs w:val="20"/>
          <w:lang w:val="es-ES_tradnl"/>
        </w:rPr>
        <w:tab/>
      </w:r>
      <w:r w:rsidR="003239B8" w:rsidRPr="007140EE">
        <w:rPr>
          <w:rFonts w:asciiTheme="majorHAnsi" w:hAnsiTheme="majorHAnsi"/>
          <w:b/>
          <w:sz w:val="20"/>
          <w:szCs w:val="20"/>
          <w:lang w:val="es-ES_tradnl"/>
        </w:rPr>
        <w:t xml:space="preserve">HECHOS ALEGADOS </w:t>
      </w:r>
    </w:p>
    <w:p w14:paraId="4EF46867" w14:textId="77777777" w:rsidR="00A11E44" w:rsidRPr="007140EE" w:rsidRDefault="006B1CB5" w:rsidP="006B1C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1. </w:t>
      </w:r>
      <w:r w:rsidR="00495F89" w:rsidRPr="007140EE">
        <w:rPr>
          <w:rFonts w:ascii="Cambria" w:hAnsi="Cambria"/>
          <w:sz w:val="20"/>
          <w:szCs w:val="20"/>
          <w:lang w:val="es-ES_tradnl"/>
        </w:rPr>
        <w:tab/>
      </w:r>
      <w:r w:rsidR="00EB4870" w:rsidRPr="007140EE">
        <w:rPr>
          <w:rFonts w:ascii="Cambria" w:hAnsi="Cambria"/>
          <w:sz w:val="20"/>
          <w:szCs w:val="20"/>
          <w:lang w:val="es-ES_tradnl"/>
        </w:rPr>
        <w:t xml:space="preserve">La parte peticionaria invoca la responsabilidad internacional del Estado venezolano por la violación de los derechos humanos del señor Julio Martín Herrera Velutini, en virtud de la apertura </w:t>
      </w:r>
      <w:r w:rsidR="00EB4870" w:rsidRPr="007140EE">
        <w:rPr>
          <w:rFonts w:ascii="Cambria" w:hAnsi="Cambria"/>
          <w:sz w:val="20"/>
          <w:szCs w:val="20"/>
          <w:lang w:val="es-ES_tradnl"/>
        </w:rPr>
        <w:lastRenderedPageBreak/>
        <w:t>aludidamente arbitraria de un proceso penal en su contra con adopción de una orden de arresto, y de la alegada confiscación de su participación accionaria en una entidad financiera del país mediante maniobras irregulares del gobierno; todo ello en el marco de una política estatal de hostigamiento y persecución de las entidades y personas partícipes del sector fi</w:t>
      </w:r>
      <w:r w:rsidR="009D5967">
        <w:rPr>
          <w:rFonts w:ascii="Cambria" w:hAnsi="Cambria"/>
          <w:sz w:val="20"/>
          <w:szCs w:val="20"/>
          <w:lang w:val="es-ES_tradnl"/>
        </w:rPr>
        <w:t xml:space="preserve">nanciero y bancario, encaminada, de acuerdo con los peticionarios, </w:t>
      </w:r>
      <w:r w:rsidR="00EB4870" w:rsidRPr="007140EE">
        <w:rPr>
          <w:rFonts w:ascii="Cambria" w:hAnsi="Cambria"/>
          <w:sz w:val="20"/>
          <w:szCs w:val="20"/>
          <w:lang w:val="es-ES_tradnl"/>
        </w:rPr>
        <w:t xml:space="preserve">a implantar un modelo estatal socialista en Venezuela bajo el mandato de Hugo Chávez. </w:t>
      </w:r>
    </w:p>
    <w:p w14:paraId="11561DEC" w14:textId="77777777" w:rsidR="00274F4F" w:rsidRPr="007140EE" w:rsidRDefault="006B1CB5" w:rsidP="006B1C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2. </w:t>
      </w:r>
      <w:r w:rsidR="0003263A" w:rsidRPr="007140EE">
        <w:rPr>
          <w:rFonts w:ascii="Cambria" w:hAnsi="Cambria"/>
          <w:sz w:val="20"/>
          <w:szCs w:val="20"/>
          <w:lang w:val="es-ES_tradnl"/>
        </w:rPr>
        <w:tab/>
      </w:r>
      <w:r w:rsidR="00EB4870" w:rsidRPr="007140EE">
        <w:rPr>
          <w:rFonts w:ascii="Cambria" w:hAnsi="Cambria"/>
          <w:sz w:val="20"/>
          <w:szCs w:val="20"/>
          <w:lang w:val="es-ES_tradnl"/>
        </w:rPr>
        <w:t xml:space="preserve">En la petición se explica que el señor Herrera Velutini </w:t>
      </w:r>
      <w:r w:rsidR="009010A7" w:rsidRPr="007140EE">
        <w:rPr>
          <w:rFonts w:ascii="Cambria" w:hAnsi="Cambria"/>
          <w:sz w:val="20"/>
          <w:szCs w:val="20"/>
          <w:lang w:val="es-ES_tradnl"/>
        </w:rPr>
        <w:t xml:space="preserve">es </w:t>
      </w:r>
      <w:r w:rsidR="00EB4870" w:rsidRPr="007140EE">
        <w:rPr>
          <w:rFonts w:ascii="Cambria" w:hAnsi="Cambria"/>
          <w:sz w:val="20"/>
          <w:szCs w:val="20"/>
          <w:lang w:val="es-ES_tradnl"/>
        </w:rPr>
        <w:t xml:space="preserve">un </w:t>
      </w:r>
      <w:r w:rsidR="009010A7" w:rsidRPr="007140EE">
        <w:rPr>
          <w:rFonts w:ascii="Cambria" w:hAnsi="Cambria"/>
          <w:sz w:val="20"/>
          <w:szCs w:val="20"/>
          <w:lang w:val="es-ES_tradnl"/>
        </w:rPr>
        <w:t xml:space="preserve">banquero profesional, </w:t>
      </w:r>
      <w:r w:rsidR="00EB4870" w:rsidRPr="007140EE">
        <w:rPr>
          <w:rFonts w:ascii="Cambria" w:hAnsi="Cambria"/>
          <w:sz w:val="20"/>
          <w:szCs w:val="20"/>
          <w:lang w:val="es-ES_tradnl"/>
        </w:rPr>
        <w:t>importante actor en el sistema financiero</w:t>
      </w:r>
      <w:r w:rsidR="009010A7" w:rsidRPr="007140EE">
        <w:rPr>
          <w:rFonts w:ascii="Cambria" w:hAnsi="Cambria"/>
          <w:sz w:val="20"/>
          <w:szCs w:val="20"/>
          <w:lang w:val="es-ES_tradnl"/>
        </w:rPr>
        <w:t xml:space="preserve"> venezolano</w:t>
      </w:r>
      <w:r w:rsidR="00EB4870" w:rsidRPr="007140EE">
        <w:rPr>
          <w:rFonts w:ascii="Cambria" w:hAnsi="Cambria"/>
          <w:sz w:val="20"/>
          <w:szCs w:val="20"/>
          <w:lang w:val="es-ES_tradnl"/>
        </w:rPr>
        <w:t>, y que a través de una compleja estructura corporativa era propietario del Banco Real</w:t>
      </w:r>
      <w:r w:rsidR="001433FF" w:rsidRPr="007140EE">
        <w:rPr>
          <w:rFonts w:ascii="Cambria" w:hAnsi="Cambria"/>
          <w:sz w:val="20"/>
          <w:szCs w:val="20"/>
          <w:lang w:val="es-ES_tradnl"/>
        </w:rPr>
        <w:t xml:space="preserve"> – Banco de Desarrollo, C.A</w:t>
      </w:r>
      <w:r w:rsidR="00EB4870" w:rsidRPr="007140EE">
        <w:rPr>
          <w:rFonts w:ascii="Cambria" w:hAnsi="Cambria"/>
          <w:sz w:val="20"/>
          <w:szCs w:val="20"/>
          <w:lang w:val="es-ES_tradnl"/>
        </w:rPr>
        <w:t xml:space="preserve">. Con la llegada al poder del presidente Hugo Chávez, explica, se emprendió en Venezuela una política gubernamental de persecución a entidades financieras y bancarias del sector privado, la cual se manifestó tanto en la expropiación y estatalización de varios bancos, como en múltiples expresiones y declaraciones </w:t>
      </w:r>
      <w:r w:rsidR="001433FF" w:rsidRPr="007140EE">
        <w:rPr>
          <w:rFonts w:ascii="Cambria" w:hAnsi="Cambria"/>
          <w:sz w:val="20"/>
          <w:szCs w:val="20"/>
          <w:lang w:val="es-ES_tradnl"/>
        </w:rPr>
        <w:t xml:space="preserve">hostiles y estigmatizantes </w:t>
      </w:r>
      <w:r w:rsidR="00EB4870" w:rsidRPr="007140EE">
        <w:rPr>
          <w:rFonts w:ascii="Cambria" w:hAnsi="Cambria"/>
          <w:sz w:val="20"/>
          <w:szCs w:val="20"/>
          <w:lang w:val="es-ES_tradnl"/>
        </w:rPr>
        <w:t xml:space="preserve">realizadas por altos agentes gubernamentales, desde el Presidente de la República en adelante. </w:t>
      </w:r>
      <w:r w:rsidR="009010A7" w:rsidRPr="007140EE">
        <w:rPr>
          <w:rFonts w:ascii="Cambria" w:hAnsi="Cambria"/>
          <w:sz w:val="20"/>
          <w:szCs w:val="20"/>
          <w:lang w:val="es-ES_tradnl"/>
        </w:rPr>
        <w:t xml:space="preserve">Según se afirma en la petición, </w:t>
      </w:r>
    </w:p>
    <w:p w14:paraId="2FC6ACCB" w14:textId="77777777" w:rsidR="00274F4F" w:rsidRPr="001B0458" w:rsidRDefault="009010A7" w:rsidP="00274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lang w:val="es-ES_tradnl"/>
        </w:rPr>
      </w:pPr>
      <w:r w:rsidRPr="001B0458">
        <w:rPr>
          <w:rFonts w:ascii="Cambria" w:hAnsi="Cambria"/>
          <w:iCs/>
          <w:sz w:val="20"/>
          <w:szCs w:val="18"/>
          <w:lang w:val="es-ES_tradnl"/>
        </w:rPr>
        <w:t>desde hace algunos años, progresivamente, se instala en Venezuela, por decisión de Estado un modelo político y económico que rompe abiertamente con la libre iniciativa privada, se califica a los empresarios de ‘oligarcas’ e ‘imperialistas’, a cuyo efecto se inicia un proceso de expropiaciones y confiscaciones indiscriminadas tanto de los medios de producción como de propiedades inmobiliarias, industrias y comercios, bajo el argumento de que pertenecen al pueblo y se encuentran en mejor condición bajo control d</w:t>
      </w:r>
      <w:r w:rsidR="00274F4F" w:rsidRPr="001B0458">
        <w:rPr>
          <w:rFonts w:ascii="Cambria" w:hAnsi="Cambria"/>
          <w:iCs/>
          <w:sz w:val="20"/>
          <w:szCs w:val="18"/>
          <w:lang w:val="es-ES_tradnl"/>
        </w:rPr>
        <w:t>irecto del Estado y su gobierno</w:t>
      </w:r>
      <w:r w:rsidRPr="001B0458">
        <w:rPr>
          <w:rFonts w:ascii="Cambria" w:hAnsi="Cambria"/>
          <w:sz w:val="20"/>
          <w:szCs w:val="18"/>
          <w:lang w:val="es-ES_tradnl"/>
        </w:rPr>
        <w:t xml:space="preserve">. </w:t>
      </w:r>
    </w:p>
    <w:p w14:paraId="73DFBB37" w14:textId="1B823E5B" w:rsidR="009010A7" w:rsidRPr="007140EE" w:rsidRDefault="009D5967" w:rsidP="00274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De acuerdo con la petición, e</w:t>
      </w:r>
      <w:r w:rsidR="009010A7" w:rsidRPr="007140EE">
        <w:rPr>
          <w:rFonts w:ascii="Cambria" w:hAnsi="Cambria"/>
          <w:sz w:val="20"/>
          <w:szCs w:val="20"/>
          <w:lang w:val="es-ES_tradnl"/>
        </w:rPr>
        <w:t>n distintas oportunidades el Presidente Chávez declaró que expropiaría los bancos para transferir su propiedad y operación al Estado</w:t>
      </w:r>
      <w:r w:rsidR="001433FF" w:rsidRPr="007140EE">
        <w:rPr>
          <w:rFonts w:ascii="Cambria" w:hAnsi="Cambria"/>
          <w:sz w:val="20"/>
          <w:szCs w:val="20"/>
          <w:lang w:val="es-ES_tradnl"/>
        </w:rPr>
        <w:t>, y esta decisión efectivamente se materializó en varias oportunidades</w:t>
      </w:r>
      <w:r w:rsidR="009010A7" w:rsidRPr="007140EE">
        <w:rPr>
          <w:rFonts w:ascii="Cambria" w:hAnsi="Cambria"/>
          <w:sz w:val="20"/>
          <w:szCs w:val="20"/>
          <w:lang w:val="es-ES_tradnl"/>
        </w:rPr>
        <w:t>.</w:t>
      </w:r>
    </w:p>
    <w:p w14:paraId="691E1428" w14:textId="77777777" w:rsidR="009010A7" w:rsidRPr="007140EE" w:rsidRDefault="006B1CB5" w:rsidP="006B1C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3. </w:t>
      </w:r>
      <w:r w:rsidR="008019B6" w:rsidRPr="007140EE">
        <w:rPr>
          <w:rFonts w:ascii="Cambria" w:hAnsi="Cambria"/>
          <w:sz w:val="20"/>
          <w:szCs w:val="20"/>
          <w:lang w:val="es-ES_tradnl"/>
        </w:rPr>
        <w:tab/>
      </w:r>
      <w:r w:rsidR="00EB4870" w:rsidRPr="007140EE">
        <w:rPr>
          <w:rFonts w:ascii="Cambria" w:hAnsi="Cambria"/>
          <w:sz w:val="20"/>
          <w:szCs w:val="20"/>
          <w:lang w:val="es-ES_tradnl"/>
        </w:rPr>
        <w:t>En el marco de este contexto emergente de hostigamiento a los actores financieros, el señor Herrera fue aproximado por</w:t>
      </w:r>
      <w:r w:rsidR="009010A7" w:rsidRPr="007140EE">
        <w:rPr>
          <w:rFonts w:ascii="Cambria" w:hAnsi="Cambria"/>
          <w:sz w:val="20"/>
          <w:szCs w:val="20"/>
          <w:lang w:val="es-ES_tradnl"/>
        </w:rPr>
        <w:t xml:space="preserve"> el señor Pedro Torres Ciliberto</w:t>
      </w:r>
      <w:r w:rsidR="00EB4870" w:rsidRPr="007140EE">
        <w:rPr>
          <w:rFonts w:ascii="Cambria" w:hAnsi="Cambria"/>
          <w:sz w:val="20"/>
          <w:szCs w:val="20"/>
          <w:lang w:val="es-ES_tradnl"/>
        </w:rPr>
        <w:t>, persona cercana al presidente Hugo Chávez</w:t>
      </w:r>
      <w:r w:rsidR="009010A7" w:rsidRPr="007140EE">
        <w:rPr>
          <w:rFonts w:ascii="Cambria" w:hAnsi="Cambria"/>
          <w:sz w:val="20"/>
          <w:szCs w:val="20"/>
          <w:lang w:val="es-ES_tradnl"/>
        </w:rPr>
        <w:t xml:space="preserve"> y su gobierno</w:t>
      </w:r>
      <w:r w:rsidR="00EB4870" w:rsidRPr="007140EE">
        <w:rPr>
          <w:rFonts w:ascii="Cambria" w:hAnsi="Cambria"/>
          <w:sz w:val="20"/>
          <w:szCs w:val="20"/>
          <w:lang w:val="es-ES_tradnl"/>
        </w:rPr>
        <w:t>, quien le ofreció comprar su propiedad accionaria en el Banco Real</w:t>
      </w:r>
      <w:r w:rsidR="009010A7" w:rsidRPr="007140EE">
        <w:rPr>
          <w:rFonts w:ascii="Cambria" w:hAnsi="Cambria"/>
          <w:sz w:val="20"/>
          <w:szCs w:val="20"/>
          <w:lang w:val="es-ES_tradnl"/>
        </w:rPr>
        <w:t xml:space="preserve"> – Banco de Desarrollo, C.A.</w:t>
      </w:r>
      <w:r w:rsidR="00EB4870" w:rsidRPr="007140EE">
        <w:rPr>
          <w:rFonts w:ascii="Cambria" w:hAnsi="Cambria"/>
          <w:sz w:val="20"/>
          <w:szCs w:val="20"/>
          <w:lang w:val="es-ES_tradnl"/>
        </w:rPr>
        <w:t xml:space="preserve">, a lo cual el señor Herrera accedió. </w:t>
      </w:r>
      <w:r w:rsidR="009010A7" w:rsidRPr="007140EE">
        <w:rPr>
          <w:rFonts w:ascii="Cambria" w:hAnsi="Cambria"/>
          <w:sz w:val="20"/>
          <w:szCs w:val="20"/>
          <w:lang w:val="es-ES_tradnl"/>
        </w:rPr>
        <w:t xml:space="preserve">El 14 de abril de 2009 el señor Herrera vendió </w:t>
      </w:r>
      <w:r w:rsidR="001433FF" w:rsidRPr="007140EE">
        <w:rPr>
          <w:rFonts w:ascii="Cambria" w:hAnsi="Cambria"/>
          <w:sz w:val="20"/>
          <w:szCs w:val="20"/>
          <w:lang w:val="es-ES_tradnl"/>
        </w:rPr>
        <w:t xml:space="preserve">al señor Torres </w:t>
      </w:r>
      <w:r w:rsidR="009010A7" w:rsidRPr="007140EE">
        <w:rPr>
          <w:rFonts w:ascii="Cambria" w:hAnsi="Cambria"/>
          <w:sz w:val="20"/>
          <w:szCs w:val="20"/>
          <w:lang w:val="es-ES_tradnl"/>
        </w:rPr>
        <w:t xml:space="preserve">su participación accionaria en las empresas que controlaban tal Banco, a saber, Banreal Holding S.L. y Banreal Holding C.V. </w:t>
      </w:r>
      <w:r w:rsidR="00EB4870" w:rsidRPr="007140EE">
        <w:rPr>
          <w:rFonts w:ascii="Cambria" w:hAnsi="Cambria"/>
          <w:sz w:val="20"/>
          <w:szCs w:val="20"/>
          <w:lang w:val="es-ES_tradnl"/>
        </w:rPr>
        <w:t>En virtud de esta operación de venta de sus acciones, el señor Herrera efectivamente se despojó por completo de su propiedad accionaria sobre la referida entidad bancaria.</w:t>
      </w:r>
      <w:r w:rsidR="009010A7" w:rsidRPr="007140EE">
        <w:rPr>
          <w:rFonts w:ascii="Cambria" w:hAnsi="Cambria"/>
          <w:sz w:val="20"/>
          <w:szCs w:val="20"/>
          <w:lang w:val="es-ES_tradnl"/>
        </w:rPr>
        <w:t xml:space="preserve"> Asumió como presidente del Banco Real el Teniente Arné Chacón Escamillo, hermano de un Ministro del momento y hombre de confianza del presidente Chávez.</w:t>
      </w:r>
    </w:p>
    <w:p w14:paraId="41F82104" w14:textId="30ECA3FC" w:rsidR="00776729" w:rsidRPr="007140EE" w:rsidRDefault="006B1CB5" w:rsidP="006B1C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4. </w:t>
      </w:r>
      <w:r w:rsidR="008019B6" w:rsidRPr="007140EE">
        <w:rPr>
          <w:rFonts w:ascii="Cambria" w:hAnsi="Cambria"/>
          <w:sz w:val="20"/>
          <w:szCs w:val="20"/>
          <w:lang w:val="es-ES_tradnl"/>
        </w:rPr>
        <w:tab/>
      </w:r>
      <w:r w:rsidR="00EB4870" w:rsidRPr="007140EE">
        <w:rPr>
          <w:rFonts w:ascii="Cambria" w:hAnsi="Cambria"/>
          <w:sz w:val="20"/>
          <w:szCs w:val="20"/>
          <w:lang w:val="es-ES_tradnl"/>
        </w:rPr>
        <w:t xml:space="preserve">Con posterioridad a la venta de </w:t>
      </w:r>
      <w:r w:rsidR="00180035">
        <w:rPr>
          <w:rFonts w:ascii="Cambria" w:hAnsi="Cambria"/>
          <w:sz w:val="20"/>
          <w:szCs w:val="20"/>
          <w:lang w:val="es-ES_tradnl"/>
        </w:rPr>
        <w:t xml:space="preserve">los </w:t>
      </w:r>
      <w:r w:rsidR="00EB4870" w:rsidRPr="007140EE">
        <w:rPr>
          <w:rFonts w:ascii="Cambria" w:hAnsi="Cambria"/>
          <w:sz w:val="20"/>
          <w:szCs w:val="20"/>
          <w:lang w:val="es-ES_tradnl"/>
        </w:rPr>
        <w:t xml:space="preserve">derechos de propiedad </w:t>
      </w:r>
      <w:r w:rsidR="00180035">
        <w:rPr>
          <w:rFonts w:ascii="Cambria" w:hAnsi="Cambria"/>
          <w:sz w:val="20"/>
          <w:szCs w:val="20"/>
          <w:lang w:val="es-ES_tradnl"/>
        </w:rPr>
        <w:t xml:space="preserve">del señor Herrera Velutini </w:t>
      </w:r>
      <w:r w:rsidR="00EB4870" w:rsidRPr="007140EE">
        <w:rPr>
          <w:rFonts w:ascii="Cambria" w:hAnsi="Cambria"/>
          <w:sz w:val="20"/>
          <w:szCs w:val="20"/>
          <w:lang w:val="es-ES_tradnl"/>
        </w:rPr>
        <w:t>sobre el Banco</w:t>
      </w:r>
      <w:r w:rsidR="001433FF" w:rsidRPr="007140EE">
        <w:rPr>
          <w:rFonts w:ascii="Cambria" w:hAnsi="Cambria"/>
          <w:sz w:val="20"/>
          <w:szCs w:val="20"/>
          <w:lang w:val="es-ES_tradnl"/>
        </w:rPr>
        <w:t xml:space="preserve"> Real – Banco de Desarrollo</w:t>
      </w:r>
      <w:r w:rsidR="00EB4870" w:rsidRPr="007140EE">
        <w:rPr>
          <w:rFonts w:ascii="Cambria" w:hAnsi="Cambria"/>
          <w:sz w:val="20"/>
          <w:szCs w:val="20"/>
          <w:lang w:val="es-ES_tradnl"/>
        </w:rPr>
        <w:t xml:space="preserve">, esta entidad financiera entró en estado de </w:t>
      </w:r>
      <w:r w:rsidR="009010A7" w:rsidRPr="007140EE">
        <w:rPr>
          <w:rFonts w:ascii="Cambria" w:hAnsi="Cambria"/>
          <w:sz w:val="20"/>
          <w:szCs w:val="20"/>
          <w:lang w:val="es-ES_tradnl"/>
        </w:rPr>
        <w:t>iliquidez</w:t>
      </w:r>
      <w:r w:rsidR="007C23B4" w:rsidRPr="007140EE">
        <w:rPr>
          <w:rFonts w:ascii="Cambria" w:hAnsi="Cambria"/>
          <w:sz w:val="20"/>
          <w:szCs w:val="20"/>
          <w:lang w:val="es-ES_tradnl"/>
        </w:rPr>
        <w:t>,</w:t>
      </w:r>
      <w:r w:rsidR="009010A7" w:rsidRPr="007140EE">
        <w:rPr>
          <w:rFonts w:ascii="Cambria" w:hAnsi="Cambria"/>
          <w:sz w:val="20"/>
          <w:szCs w:val="20"/>
          <w:lang w:val="es-ES_tradnl"/>
        </w:rPr>
        <w:t xml:space="preserve"> </w:t>
      </w:r>
      <w:r w:rsidR="00EB4870" w:rsidRPr="007140EE">
        <w:rPr>
          <w:rFonts w:ascii="Cambria" w:hAnsi="Cambria"/>
          <w:sz w:val="20"/>
          <w:szCs w:val="20"/>
          <w:lang w:val="es-ES_tradnl"/>
        </w:rPr>
        <w:t xml:space="preserve">y fue intervenida por la </w:t>
      </w:r>
      <w:r w:rsidR="009010A7" w:rsidRPr="007140EE">
        <w:rPr>
          <w:rFonts w:ascii="Cambria" w:hAnsi="Cambria"/>
          <w:sz w:val="20"/>
          <w:szCs w:val="20"/>
          <w:lang w:val="es-ES_tradnl"/>
        </w:rPr>
        <w:t>Superintendencia de Bancos (</w:t>
      </w:r>
      <w:r w:rsidR="00EB4870" w:rsidRPr="007140EE">
        <w:rPr>
          <w:rFonts w:ascii="Cambria" w:hAnsi="Cambria"/>
          <w:sz w:val="20"/>
          <w:szCs w:val="20"/>
          <w:lang w:val="es-ES_tradnl"/>
        </w:rPr>
        <w:t>SUDEBAN</w:t>
      </w:r>
      <w:r w:rsidR="009010A7" w:rsidRPr="007140EE">
        <w:rPr>
          <w:rFonts w:ascii="Cambria" w:hAnsi="Cambria"/>
          <w:sz w:val="20"/>
          <w:szCs w:val="20"/>
          <w:lang w:val="es-ES_tradnl"/>
        </w:rPr>
        <w:t>) el 4 de diciembre de 2009</w:t>
      </w:r>
      <w:r w:rsidR="00EB4870" w:rsidRPr="007140EE">
        <w:rPr>
          <w:rFonts w:ascii="Cambria" w:hAnsi="Cambria"/>
          <w:sz w:val="20"/>
          <w:szCs w:val="20"/>
          <w:lang w:val="es-ES_tradnl"/>
        </w:rPr>
        <w:t>.</w:t>
      </w:r>
      <w:r w:rsidR="009010A7" w:rsidRPr="007140EE">
        <w:rPr>
          <w:rFonts w:ascii="Cambria" w:hAnsi="Cambria"/>
          <w:sz w:val="20"/>
          <w:szCs w:val="20"/>
          <w:lang w:val="es-ES_tradnl"/>
        </w:rPr>
        <w:t xml:space="preserve"> A continuación, el Gobierno fusionó la entidad con otros bancos para transformarlas todas en un nuevo banco estatal, el Banco Bicentenario.</w:t>
      </w:r>
      <w:r w:rsidR="00EB4870" w:rsidRPr="007140EE">
        <w:rPr>
          <w:rFonts w:ascii="Cambria" w:hAnsi="Cambria"/>
          <w:sz w:val="20"/>
          <w:szCs w:val="20"/>
          <w:lang w:val="es-ES_tradnl"/>
        </w:rPr>
        <w:t xml:space="preserve"> Como consecuencia de esta situación de crisis</w:t>
      </w:r>
      <w:r w:rsidR="009010A7" w:rsidRPr="007140EE">
        <w:rPr>
          <w:rFonts w:ascii="Cambria" w:hAnsi="Cambria"/>
          <w:sz w:val="20"/>
          <w:szCs w:val="20"/>
          <w:lang w:val="es-ES_tradnl"/>
        </w:rPr>
        <w:t xml:space="preserve"> financiera en el país</w:t>
      </w:r>
      <w:r w:rsidR="00EB4870" w:rsidRPr="007140EE">
        <w:rPr>
          <w:rFonts w:ascii="Cambria" w:hAnsi="Cambria"/>
          <w:sz w:val="20"/>
          <w:szCs w:val="20"/>
          <w:lang w:val="es-ES_tradnl"/>
        </w:rPr>
        <w:t xml:space="preserve">, el Presidente Chávez declaró </w:t>
      </w:r>
      <w:r w:rsidR="009010A7" w:rsidRPr="007140EE">
        <w:rPr>
          <w:rFonts w:ascii="Cambria" w:hAnsi="Cambria"/>
          <w:sz w:val="20"/>
          <w:szCs w:val="20"/>
          <w:lang w:val="es-ES_tradnl"/>
        </w:rPr>
        <w:t xml:space="preserve">el 11 de diciembre que los banqueros afectados eran unos </w:t>
      </w:r>
      <w:r w:rsidR="009010A7" w:rsidRPr="007140EE">
        <w:rPr>
          <w:rFonts w:ascii="Cambria" w:hAnsi="Cambria"/>
          <w:i/>
          <w:iCs/>
          <w:sz w:val="20"/>
          <w:szCs w:val="20"/>
          <w:lang w:val="es-ES_tradnl"/>
        </w:rPr>
        <w:t>“traidores de la revolución”</w:t>
      </w:r>
      <w:r w:rsidR="009010A7" w:rsidRPr="007140EE">
        <w:rPr>
          <w:rFonts w:ascii="Cambria" w:hAnsi="Cambria"/>
          <w:sz w:val="20"/>
          <w:szCs w:val="20"/>
          <w:lang w:val="es-ES_tradnl"/>
        </w:rPr>
        <w:t xml:space="preserve">, y afirmó que </w:t>
      </w:r>
      <w:r w:rsidR="009010A7" w:rsidRPr="007140EE">
        <w:rPr>
          <w:rFonts w:ascii="Cambria" w:hAnsi="Cambria"/>
          <w:i/>
          <w:iCs/>
          <w:sz w:val="20"/>
          <w:szCs w:val="20"/>
          <w:lang w:val="es-ES_tradnl"/>
        </w:rPr>
        <w:t>“seguimos avanzando en el enfrentamiento a estos bancos y banqueros, que robaron, estafaron y saquearon a muchos ciudadanos. Ordené que fuera rápida la toma de los bienes de todos los banqueros”</w:t>
      </w:r>
      <w:r w:rsidR="00EB4870" w:rsidRPr="007140EE">
        <w:rPr>
          <w:rFonts w:ascii="Cambria" w:hAnsi="Cambria"/>
          <w:sz w:val="20"/>
          <w:szCs w:val="20"/>
          <w:lang w:val="es-ES_tradnl"/>
        </w:rPr>
        <w:t xml:space="preserve">. </w:t>
      </w:r>
    </w:p>
    <w:p w14:paraId="6717722A" w14:textId="77777777" w:rsidR="00BF7DA9" w:rsidRPr="007140EE" w:rsidRDefault="006B1CB5" w:rsidP="007C23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5. </w:t>
      </w:r>
      <w:r w:rsidR="00BF7DA9" w:rsidRPr="007140EE">
        <w:rPr>
          <w:rFonts w:ascii="Cambria" w:hAnsi="Cambria"/>
          <w:sz w:val="20"/>
          <w:szCs w:val="20"/>
          <w:lang w:val="es-ES_tradnl"/>
        </w:rPr>
        <w:tab/>
      </w:r>
      <w:r w:rsidR="00EB4870" w:rsidRPr="007140EE">
        <w:rPr>
          <w:rFonts w:ascii="Cambria" w:hAnsi="Cambria"/>
          <w:sz w:val="20"/>
          <w:szCs w:val="20"/>
          <w:lang w:val="es-ES_tradnl"/>
        </w:rPr>
        <w:t xml:space="preserve">En tanto efecto directo </w:t>
      </w:r>
      <w:r w:rsidR="007C23B4" w:rsidRPr="007140EE">
        <w:rPr>
          <w:rFonts w:ascii="Cambria" w:hAnsi="Cambria"/>
          <w:sz w:val="20"/>
          <w:szCs w:val="20"/>
          <w:lang w:val="es-ES_tradnl"/>
        </w:rPr>
        <w:t xml:space="preserve">e inmediato </w:t>
      </w:r>
      <w:r w:rsidR="00EB4870" w:rsidRPr="007140EE">
        <w:rPr>
          <w:rFonts w:ascii="Cambria" w:hAnsi="Cambria"/>
          <w:sz w:val="20"/>
          <w:szCs w:val="20"/>
          <w:lang w:val="es-ES_tradnl"/>
        </w:rPr>
        <w:t xml:space="preserve">de estas declaraciones, alegan los peticionarios, el </w:t>
      </w:r>
      <w:r w:rsidR="009010A7" w:rsidRPr="007140EE">
        <w:rPr>
          <w:rFonts w:ascii="Cambria" w:hAnsi="Cambria"/>
          <w:sz w:val="20"/>
          <w:szCs w:val="20"/>
          <w:lang w:val="es-ES_tradnl"/>
        </w:rPr>
        <w:t>Ministerio Público</w:t>
      </w:r>
      <w:r w:rsidR="00EB4870" w:rsidRPr="007140EE">
        <w:rPr>
          <w:rFonts w:ascii="Cambria" w:hAnsi="Cambria"/>
          <w:sz w:val="20"/>
          <w:szCs w:val="20"/>
          <w:lang w:val="es-ES_tradnl"/>
        </w:rPr>
        <w:t xml:space="preserve"> resolvió iniciar una investigación penal contra el señor Herrera</w:t>
      </w:r>
      <w:r w:rsidR="009010A7" w:rsidRPr="007140EE">
        <w:rPr>
          <w:rFonts w:ascii="Cambria" w:hAnsi="Cambria"/>
          <w:sz w:val="20"/>
          <w:szCs w:val="20"/>
          <w:lang w:val="es-ES_tradnl"/>
        </w:rPr>
        <w:t xml:space="preserve">, relacionada con la situación del Banco Real; según se explica en la petición, el Ministerio Público </w:t>
      </w:r>
      <w:r w:rsidR="009010A7" w:rsidRPr="007140EE">
        <w:rPr>
          <w:rFonts w:ascii="Cambria" w:hAnsi="Cambria"/>
          <w:i/>
          <w:iCs/>
          <w:sz w:val="20"/>
          <w:szCs w:val="20"/>
          <w:lang w:val="es-ES_tradnl"/>
        </w:rPr>
        <w:t>“pretende hacer ver que en el caso del Banco Real sus problemas de liquidez tienen que ver con operaciones del pasado y no del presente, anteriores a la venta que Julio Martín Herrera Velutini le hace a Pedro Torres Ciliberto con conocimiento y autorización de la SUDEBAN y encontrándose aquél, por ende, desvinculado totalmente de su administración y propiedad”</w:t>
      </w:r>
      <w:r w:rsidR="009010A7" w:rsidRPr="007140EE">
        <w:rPr>
          <w:rFonts w:ascii="Cambria" w:hAnsi="Cambria"/>
          <w:sz w:val="20"/>
          <w:szCs w:val="20"/>
          <w:lang w:val="es-ES_tradnl"/>
        </w:rPr>
        <w:t>.</w:t>
      </w:r>
      <w:r w:rsidR="00D43820" w:rsidRPr="007140EE">
        <w:rPr>
          <w:rFonts w:ascii="Cambria" w:hAnsi="Cambria"/>
          <w:sz w:val="20"/>
          <w:szCs w:val="20"/>
          <w:lang w:val="es-ES_tradnl"/>
        </w:rPr>
        <w:t xml:space="preserve"> La investigación fue iniciada por los Fiscales a Nivel Nacional Quincuagésimo, Quincuagésimo Tercero y </w:t>
      </w:r>
      <w:r w:rsidR="00BF7DA9" w:rsidRPr="007140EE">
        <w:rPr>
          <w:rFonts w:ascii="Cambria" w:hAnsi="Cambria"/>
          <w:sz w:val="20"/>
          <w:szCs w:val="20"/>
          <w:lang w:val="es-ES_tradnl"/>
        </w:rPr>
        <w:t>Quincuagésimo Octavo del Á</w:t>
      </w:r>
      <w:r w:rsidR="00D43820" w:rsidRPr="007140EE">
        <w:rPr>
          <w:rFonts w:ascii="Cambria" w:hAnsi="Cambria"/>
          <w:sz w:val="20"/>
          <w:szCs w:val="20"/>
          <w:lang w:val="es-ES_tradnl"/>
        </w:rPr>
        <w:t xml:space="preserve">rea Metropolitana de Caracas, a pedido de la Superintendencia de Bancos, el 5 de diciembre de 2009, por los delitos de apropiación y distracción de recursos administrados por el Banco y asociación para delinquir; según afirmó la Fiscalía, al momento de su intervención por la SUDEBAN el Banco Real-Banco de Desarrollo acusaba una brecha patrimonial negativa e iliquidez, indicando que dicha situación era el producto final de una </w:t>
      </w:r>
      <w:r w:rsidR="00D43820" w:rsidRPr="007140EE">
        <w:rPr>
          <w:rFonts w:ascii="Cambria" w:hAnsi="Cambria"/>
          <w:i/>
          <w:iCs/>
          <w:sz w:val="20"/>
          <w:szCs w:val="20"/>
          <w:lang w:val="es-ES_tradnl"/>
        </w:rPr>
        <w:t xml:space="preserve">“actividad criminal desplegada en los años 2008 y 2009 por quienes estuvieron encargados de la dirección y </w:t>
      </w:r>
      <w:r w:rsidR="00D43820" w:rsidRPr="007140EE">
        <w:rPr>
          <w:rFonts w:ascii="Cambria" w:hAnsi="Cambria"/>
          <w:i/>
          <w:iCs/>
          <w:sz w:val="20"/>
          <w:szCs w:val="20"/>
          <w:lang w:val="es-ES_tradnl"/>
        </w:rPr>
        <w:lastRenderedPageBreak/>
        <w:t>administración del Banco”</w:t>
      </w:r>
      <w:r w:rsidR="00D43820" w:rsidRPr="007140EE">
        <w:rPr>
          <w:rFonts w:ascii="Cambria" w:hAnsi="Cambria"/>
          <w:sz w:val="20"/>
          <w:szCs w:val="20"/>
          <w:lang w:val="es-ES_tradnl"/>
        </w:rPr>
        <w:t>. Esta afirmación fue plasmada en el escrito dirigido por el Ministerio Público a la Juez Undécima de Primera Instancia en funciones de Control d</w:t>
      </w:r>
      <w:r w:rsidR="00BF7DA9" w:rsidRPr="007140EE">
        <w:rPr>
          <w:rFonts w:ascii="Cambria" w:hAnsi="Cambria"/>
          <w:sz w:val="20"/>
          <w:szCs w:val="20"/>
          <w:lang w:val="es-ES_tradnl"/>
        </w:rPr>
        <w:t>el Circuito Judicial Penal del Á</w:t>
      </w:r>
      <w:r w:rsidR="00D43820" w:rsidRPr="007140EE">
        <w:rPr>
          <w:rFonts w:ascii="Cambria" w:hAnsi="Cambria"/>
          <w:sz w:val="20"/>
          <w:szCs w:val="20"/>
          <w:lang w:val="es-ES_tradnl"/>
        </w:rPr>
        <w:t xml:space="preserve">rea Metropolitana de Caracas el 10 de marzo de 2010, solicitando la privación de la libertad cautelar del señor Herrera. Según afirman los peticionarios, con ello </w:t>
      </w:r>
    </w:p>
    <w:p w14:paraId="09839BB0" w14:textId="77777777" w:rsidR="00BF7DA9" w:rsidRPr="001B0458" w:rsidRDefault="00D43820" w:rsidP="00BF7D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lang w:val="es-ES_tradnl"/>
        </w:rPr>
      </w:pPr>
      <w:r w:rsidRPr="001B0458">
        <w:rPr>
          <w:rFonts w:ascii="Cambria" w:hAnsi="Cambria"/>
          <w:iCs/>
          <w:sz w:val="20"/>
          <w:szCs w:val="18"/>
          <w:lang w:val="es-ES_tradnl"/>
        </w:rPr>
        <w:t>el Ministerio Público arrastra y extiende arbitrariamente la gestión de Julio Martín Herrera Velutini hasta el momento en que ha lugar a la intervención del Banco Real Banco de Desarrollo C.A. y siendo otra s</w:t>
      </w:r>
      <w:r w:rsidR="00CD5794" w:rsidRPr="001B0458">
        <w:rPr>
          <w:rFonts w:ascii="Cambria" w:hAnsi="Cambria"/>
          <w:iCs/>
          <w:sz w:val="20"/>
          <w:szCs w:val="18"/>
          <w:lang w:val="es-ES_tradnl"/>
        </w:rPr>
        <w:t>u administración y propiedad […]</w:t>
      </w:r>
      <w:r w:rsidRPr="001B0458">
        <w:rPr>
          <w:rFonts w:ascii="Cambria" w:hAnsi="Cambria"/>
          <w:iCs/>
          <w:sz w:val="20"/>
          <w:szCs w:val="18"/>
          <w:lang w:val="es-ES_tradnl"/>
        </w:rPr>
        <w:t>; tratándose de un banco, cabe repetirlo, que ya no es de propiedad de éste, de cuya administración se desvincula con conocimiento y bajo autorización de las mismas autoridades bancarias de Venezuela, mucho antes de que ocurran los motivos ciertos que dan lugar a la intervención de d</w:t>
      </w:r>
      <w:r w:rsidR="00BF7DA9" w:rsidRPr="001B0458">
        <w:rPr>
          <w:rFonts w:ascii="Cambria" w:hAnsi="Cambria"/>
          <w:iCs/>
          <w:sz w:val="20"/>
          <w:szCs w:val="18"/>
          <w:lang w:val="es-ES_tradnl"/>
        </w:rPr>
        <w:t>icho banco por parte del Estado</w:t>
      </w:r>
      <w:r w:rsidRPr="001B0458">
        <w:rPr>
          <w:rFonts w:ascii="Cambria" w:hAnsi="Cambria"/>
          <w:sz w:val="20"/>
          <w:szCs w:val="18"/>
          <w:lang w:val="es-ES_tradnl"/>
        </w:rPr>
        <w:t>.</w:t>
      </w:r>
      <w:r w:rsidR="00776729" w:rsidRPr="001B0458">
        <w:rPr>
          <w:rFonts w:ascii="Cambria" w:hAnsi="Cambria"/>
          <w:sz w:val="20"/>
          <w:szCs w:val="18"/>
          <w:lang w:val="es-ES_tradnl"/>
        </w:rPr>
        <w:t xml:space="preserve"> </w:t>
      </w:r>
    </w:p>
    <w:p w14:paraId="18F86E08" w14:textId="4C4325B7" w:rsidR="009010A7" w:rsidRPr="007140EE" w:rsidRDefault="006D4021" w:rsidP="00BF7D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140EE">
        <w:rPr>
          <w:rFonts w:ascii="Cambria" w:hAnsi="Cambria"/>
          <w:sz w:val="20"/>
          <w:szCs w:val="20"/>
          <w:lang w:val="es-ES_tradnl"/>
        </w:rPr>
        <w:t xml:space="preserve">En otras palabras, </w:t>
      </w:r>
      <w:r w:rsidR="003C496C">
        <w:rPr>
          <w:rFonts w:ascii="Cambria" w:hAnsi="Cambria"/>
          <w:sz w:val="20"/>
          <w:szCs w:val="20"/>
          <w:lang w:val="es-ES_tradnl"/>
        </w:rPr>
        <w:t xml:space="preserve">los peticionarios </w:t>
      </w:r>
      <w:r w:rsidRPr="007140EE">
        <w:rPr>
          <w:rFonts w:ascii="Cambria" w:hAnsi="Cambria"/>
          <w:sz w:val="20"/>
          <w:szCs w:val="20"/>
          <w:lang w:val="es-ES_tradnl"/>
        </w:rPr>
        <w:t>consideran que el proceso penal se abrió y adelantó con base en un falso supuesto, puesto que para el momento de la intervención del banco por la SUDEBAN el señor Zuluaga ya no era propietario, directivo, administrador ni empleado del Banco Real</w:t>
      </w:r>
      <w:r w:rsidR="007C23B4" w:rsidRPr="007140EE">
        <w:rPr>
          <w:rFonts w:ascii="Cambria" w:hAnsi="Cambria"/>
          <w:sz w:val="20"/>
          <w:szCs w:val="20"/>
          <w:lang w:val="es-ES_tradnl"/>
        </w:rPr>
        <w:t xml:space="preserve"> – lo cual ilustra, en su criterio, la motivación política, arbitraria y persecutoria de dicho proceso penal</w:t>
      </w:r>
      <w:r w:rsidRPr="007140EE">
        <w:rPr>
          <w:rFonts w:ascii="Cambria" w:hAnsi="Cambria"/>
          <w:sz w:val="20"/>
          <w:szCs w:val="20"/>
          <w:lang w:val="es-ES_tradnl"/>
        </w:rPr>
        <w:t xml:space="preserve">. </w:t>
      </w:r>
      <w:r w:rsidR="00776729" w:rsidRPr="007140EE">
        <w:rPr>
          <w:rFonts w:ascii="Cambria" w:hAnsi="Cambria"/>
          <w:sz w:val="20"/>
          <w:szCs w:val="20"/>
          <w:lang w:val="es-ES_tradnl"/>
        </w:rPr>
        <w:t xml:space="preserve">Según precisan, el Ministerio Público no justificó en debida forma la solicitud de detención preventiva, limitándose a afirmar que los directivos del Banco Real </w:t>
      </w:r>
      <w:r w:rsidR="00776729" w:rsidRPr="007140EE">
        <w:rPr>
          <w:rFonts w:ascii="Cambria" w:hAnsi="Cambria"/>
          <w:i/>
          <w:iCs/>
          <w:sz w:val="20"/>
          <w:szCs w:val="20"/>
          <w:lang w:val="es-ES_tradnl"/>
        </w:rPr>
        <w:t>“desviaron los recursos administrados por el banco en provecho del grupo económico ilícito del cual forman parte”</w:t>
      </w:r>
      <w:r w:rsidR="00776729" w:rsidRPr="007140EE">
        <w:rPr>
          <w:rFonts w:ascii="Cambria" w:hAnsi="Cambria"/>
          <w:sz w:val="20"/>
          <w:szCs w:val="20"/>
          <w:lang w:val="es-ES_tradnl"/>
        </w:rPr>
        <w:t xml:space="preserve">, y que </w:t>
      </w:r>
      <w:r w:rsidR="00776729" w:rsidRPr="007140EE">
        <w:rPr>
          <w:rFonts w:ascii="Cambria" w:hAnsi="Cambria"/>
          <w:i/>
          <w:iCs/>
          <w:sz w:val="20"/>
          <w:szCs w:val="20"/>
          <w:lang w:val="es-ES_tradnl"/>
        </w:rPr>
        <w:t>“la Superintendencia de Bancos y otras instituciones financieras, en la visita de inspección especial realizada el 31 de julio de 2009 observó irregularidades en 61 créditos”</w:t>
      </w:r>
      <w:r w:rsidRPr="007140EE">
        <w:rPr>
          <w:rFonts w:ascii="Cambria" w:hAnsi="Cambria"/>
          <w:sz w:val="20"/>
          <w:szCs w:val="20"/>
          <w:lang w:val="es-ES_tradnl"/>
        </w:rPr>
        <w:t xml:space="preserve">; según </w:t>
      </w:r>
      <w:r w:rsidR="003C496C">
        <w:rPr>
          <w:rFonts w:ascii="Cambria" w:hAnsi="Cambria"/>
          <w:sz w:val="20"/>
          <w:szCs w:val="20"/>
          <w:lang w:val="es-ES_tradnl"/>
        </w:rPr>
        <w:t xml:space="preserve">indican los peticionarios </w:t>
      </w:r>
      <w:r w:rsidRPr="007140EE">
        <w:rPr>
          <w:rFonts w:ascii="Cambria" w:hAnsi="Cambria"/>
          <w:sz w:val="20"/>
          <w:szCs w:val="20"/>
          <w:lang w:val="es-ES_tradnl"/>
        </w:rPr>
        <w:t xml:space="preserve">en sus observaciones adicionales, el Ministerio Público señaló al señor Herrera de ser responsable por el otorgamiento irregular de créditos, sin cumplimiento de los procedimientos internos de análisis de riesgo, </w:t>
      </w:r>
      <w:r w:rsidR="007C23B4" w:rsidRPr="007140EE">
        <w:rPr>
          <w:rFonts w:ascii="Cambria" w:hAnsi="Cambria"/>
          <w:sz w:val="20"/>
          <w:szCs w:val="20"/>
          <w:lang w:val="es-ES_tradnl"/>
        </w:rPr>
        <w:t xml:space="preserve">análisis </w:t>
      </w:r>
      <w:r w:rsidRPr="007140EE">
        <w:rPr>
          <w:rFonts w:ascii="Cambria" w:hAnsi="Cambria"/>
          <w:sz w:val="20"/>
          <w:szCs w:val="20"/>
          <w:lang w:val="es-ES_tradnl"/>
        </w:rPr>
        <w:t xml:space="preserve">de cliente y exigencia de garantías, y sin </w:t>
      </w:r>
      <w:r w:rsidR="007C23B4" w:rsidRPr="007140EE">
        <w:rPr>
          <w:rFonts w:ascii="Cambria" w:hAnsi="Cambria"/>
          <w:sz w:val="20"/>
          <w:szCs w:val="20"/>
          <w:lang w:val="es-ES_tradnl"/>
        </w:rPr>
        <w:t xml:space="preserve">que </w:t>
      </w:r>
      <w:r w:rsidRPr="007140EE">
        <w:rPr>
          <w:rFonts w:ascii="Cambria" w:hAnsi="Cambria"/>
          <w:sz w:val="20"/>
          <w:szCs w:val="20"/>
          <w:lang w:val="es-ES_tradnl"/>
        </w:rPr>
        <w:t xml:space="preserve">los clientes </w:t>
      </w:r>
      <w:r w:rsidR="007C23B4" w:rsidRPr="007140EE">
        <w:rPr>
          <w:rFonts w:ascii="Cambria" w:hAnsi="Cambria"/>
          <w:sz w:val="20"/>
          <w:szCs w:val="20"/>
          <w:lang w:val="es-ES_tradnl"/>
        </w:rPr>
        <w:t xml:space="preserve">destinaran </w:t>
      </w:r>
      <w:r w:rsidRPr="007140EE">
        <w:rPr>
          <w:rFonts w:ascii="Cambria" w:hAnsi="Cambria"/>
          <w:sz w:val="20"/>
          <w:szCs w:val="20"/>
          <w:lang w:val="es-ES_tradnl"/>
        </w:rPr>
        <w:t xml:space="preserve">el dinero a las finalidades para las cuales </w:t>
      </w:r>
      <w:r w:rsidR="007C23B4" w:rsidRPr="007140EE">
        <w:rPr>
          <w:rFonts w:ascii="Cambria" w:hAnsi="Cambria"/>
          <w:sz w:val="20"/>
          <w:szCs w:val="20"/>
          <w:lang w:val="es-ES_tradnl"/>
        </w:rPr>
        <w:t xml:space="preserve">los créditos </w:t>
      </w:r>
      <w:r w:rsidRPr="007140EE">
        <w:rPr>
          <w:rFonts w:ascii="Cambria" w:hAnsi="Cambria"/>
          <w:sz w:val="20"/>
          <w:szCs w:val="20"/>
          <w:lang w:val="es-ES_tradnl"/>
        </w:rPr>
        <w:t>fueron otorgados.</w:t>
      </w:r>
      <w:r w:rsidR="00776729" w:rsidRPr="007140EE">
        <w:rPr>
          <w:rFonts w:ascii="Cambria" w:hAnsi="Cambria"/>
          <w:sz w:val="20"/>
          <w:szCs w:val="20"/>
          <w:lang w:val="es-ES_tradnl"/>
        </w:rPr>
        <w:t xml:space="preserve"> </w:t>
      </w:r>
      <w:r w:rsidR="00CB6C79" w:rsidRPr="007140EE">
        <w:rPr>
          <w:rFonts w:ascii="Cambria" w:hAnsi="Cambria"/>
          <w:sz w:val="20"/>
          <w:szCs w:val="20"/>
          <w:lang w:val="es-ES_tradnl"/>
        </w:rPr>
        <w:t xml:space="preserve">Los peticionarios presentan varios argumentos de fondo sobre la naturaleza, operación y licitud de los créditos efectuados por el Banco Real que fueron materia del pronunciamiento del Ministerio Público y la SUDEBAN vinculando al señor Herrera al proceso penal. </w:t>
      </w:r>
      <w:r w:rsidR="007C23B4" w:rsidRPr="007140EE">
        <w:rPr>
          <w:rFonts w:ascii="Cambria" w:hAnsi="Cambria"/>
          <w:sz w:val="20"/>
          <w:szCs w:val="20"/>
          <w:lang w:val="es-ES_tradnl"/>
        </w:rPr>
        <w:t xml:space="preserve">Para el momento de adopción de la orden de aprehensión en su contra, el señor Herrera Velutini había salido del territorio venezolano y se encontraba en los Estados Unidos por razones de salud. </w:t>
      </w:r>
      <w:r w:rsidR="00776729" w:rsidRPr="007140EE">
        <w:rPr>
          <w:rFonts w:ascii="Cambria" w:hAnsi="Cambria"/>
          <w:sz w:val="20"/>
          <w:szCs w:val="20"/>
          <w:lang w:val="es-ES_tradnl"/>
        </w:rPr>
        <w:t xml:space="preserve">El Ministerio Público también afirmó ante el Juzgado que se había presentado </w:t>
      </w:r>
      <w:r w:rsidR="00776729" w:rsidRPr="007140EE">
        <w:rPr>
          <w:rFonts w:ascii="Cambria" w:hAnsi="Cambria"/>
          <w:i/>
          <w:iCs/>
          <w:sz w:val="20"/>
          <w:szCs w:val="20"/>
          <w:lang w:val="es-ES_tradnl"/>
        </w:rPr>
        <w:t>“contumacia asumida por el ciudadano Julio Martín Herrera Velutini, al inicio de la presente investigación, cuando aún no se tenía elementos de convicción, [y cuando] fue citado como testigo y no compareció, alegando hallarse en los Estados Unidos de América”</w:t>
      </w:r>
      <w:r w:rsidR="00776729" w:rsidRPr="007140EE">
        <w:rPr>
          <w:rFonts w:ascii="Cambria" w:hAnsi="Cambria"/>
          <w:sz w:val="20"/>
          <w:szCs w:val="20"/>
          <w:lang w:val="es-ES_tradnl"/>
        </w:rPr>
        <w:t>. E</w:t>
      </w:r>
      <w:r w:rsidR="00F82B59" w:rsidRPr="007140EE">
        <w:rPr>
          <w:rFonts w:ascii="Cambria" w:hAnsi="Cambria"/>
          <w:sz w:val="20"/>
          <w:szCs w:val="20"/>
          <w:lang w:val="es-ES_tradnl"/>
        </w:rPr>
        <w:t>n una fecha que no se precisa</w:t>
      </w:r>
      <w:r w:rsidR="0027407A" w:rsidRPr="007140EE">
        <w:rPr>
          <w:rFonts w:ascii="Cambria" w:hAnsi="Cambria"/>
          <w:sz w:val="20"/>
          <w:szCs w:val="20"/>
          <w:lang w:val="es-ES_tradnl"/>
        </w:rPr>
        <w:t xml:space="preserve"> </w:t>
      </w:r>
      <w:r w:rsidR="00F82B59" w:rsidRPr="007140EE">
        <w:rPr>
          <w:rFonts w:ascii="Cambria" w:hAnsi="Cambria"/>
          <w:sz w:val="20"/>
          <w:szCs w:val="20"/>
          <w:lang w:val="es-ES_tradnl"/>
        </w:rPr>
        <w:t>–</w:t>
      </w:r>
      <w:r w:rsidR="0027407A" w:rsidRPr="007140EE">
        <w:rPr>
          <w:rFonts w:ascii="Cambria" w:hAnsi="Cambria"/>
          <w:sz w:val="20"/>
          <w:szCs w:val="20"/>
          <w:lang w:val="es-ES_tradnl"/>
        </w:rPr>
        <w:t xml:space="preserve">por desconocerse </w:t>
      </w:r>
      <w:r w:rsidR="00F82B59" w:rsidRPr="007140EE">
        <w:rPr>
          <w:rFonts w:ascii="Cambria" w:hAnsi="Cambria"/>
          <w:sz w:val="20"/>
          <w:szCs w:val="20"/>
          <w:lang w:val="es-ES_tradnl"/>
        </w:rPr>
        <w:t>de parte de la presunta víctima–</w:t>
      </w:r>
      <w:r w:rsidR="00776729" w:rsidRPr="007140EE">
        <w:rPr>
          <w:rFonts w:ascii="Cambria" w:hAnsi="Cambria"/>
          <w:sz w:val="20"/>
          <w:szCs w:val="20"/>
          <w:lang w:val="es-ES_tradnl"/>
        </w:rPr>
        <w:t xml:space="preserve"> se dictó </w:t>
      </w:r>
      <w:r w:rsidR="0027407A" w:rsidRPr="007140EE">
        <w:rPr>
          <w:rFonts w:ascii="Cambria" w:hAnsi="Cambria"/>
          <w:sz w:val="20"/>
          <w:szCs w:val="20"/>
          <w:lang w:val="es-ES_tradnl"/>
        </w:rPr>
        <w:t xml:space="preserve">contra el señor Herrera </w:t>
      </w:r>
      <w:r w:rsidR="00776729" w:rsidRPr="007140EE">
        <w:rPr>
          <w:rFonts w:ascii="Cambria" w:hAnsi="Cambria"/>
          <w:sz w:val="20"/>
          <w:szCs w:val="20"/>
          <w:lang w:val="es-ES_tradnl"/>
        </w:rPr>
        <w:t>orden de aprehensión en ausencia por parte de la Juez Undécima de Primera Instancia en Funciones de Control d</w:t>
      </w:r>
      <w:r w:rsidR="00F82B59" w:rsidRPr="007140EE">
        <w:rPr>
          <w:rFonts w:ascii="Cambria" w:hAnsi="Cambria"/>
          <w:sz w:val="20"/>
          <w:szCs w:val="20"/>
          <w:lang w:val="es-ES_tradnl"/>
        </w:rPr>
        <w:t>el Circuito Judicial Penal del Á</w:t>
      </w:r>
      <w:r w:rsidR="00776729" w:rsidRPr="007140EE">
        <w:rPr>
          <w:rFonts w:ascii="Cambria" w:hAnsi="Cambria"/>
          <w:sz w:val="20"/>
          <w:szCs w:val="20"/>
          <w:lang w:val="es-ES_tradnl"/>
        </w:rPr>
        <w:t>rea Metropolitana de Caracas.</w:t>
      </w:r>
    </w:p>
    <w:p w14:paraId="0DA1DA23" w14:textId="77777777" w:rsidR="00EB4870" w:rsidRPr="007140EE" w:rsidRDefault="006B1CB5" w:rsidP="006B1C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6. </w:t>
      </w:r>
      <w:r w:rsidR="00F82B59" w:rsidRPr="007140EE">
        <w:rPr>
          <w:rFonts w:ascii="Cambria" w:hAnsi="Cambria"/>
          <w:sz w:val="20"/>
          <w:szCs w:val="20"/>
          <w:lang w:val="es-ES_tradnl"/>
        </w:rPr>
        <w:tab/>
      </w:r>
      <w:r w:rsidR="00D43820" w:rsidRPr="007140EE">
        <w:rPr>
          <w:rFonts w:ascii="Cambria" w:hAnsi="Cambria"/>
          <w:sz w:val="20"/>
          <w:szCs w:val="20"/>
          <w:lang w:val="es-ES_tradnl"/>
        </w:rPr>
        <w:t xml:space="preserve">Los peticionarios aclaran que de conformidad con el Código Orgánico Procesal Penal de Venezuela, </w:t>
      </w:r>
      <w:r w:rsidR="007C23B4" w:rsidRPr="007140EE">
        <w:rPr>
          <w:rFonts w:ascii="Cambria" w:hAnsi="Cambria"/>
          <w:sz w:val="20"/>
          <w:szCs w:val="20"/>
          <w:lang w:val="es-ES_tradnl"/>
        </w:rPr>
        <w:t xml:space="preserve">todo </w:t>
      </w:r>
      <w:r w:rsidR="00D43820" w:rsidRPr="007140EE">
        <w:rPr>
          <w:rFonts w:ascii="Cambria" w:hAnsi="Cambria"/>
          <w:sz w:val="20"/>
          <w:szCs w:val="20"/>
          <w:lang w:val="es-ES_tradnl"/>
        </w:rPr>
        <w:t xml:space="preserve">proceso penal </w:t>
      </w:r>
      <w:r w:rsidR="007C23B4" w:rsidRPr="007140EE">
        <w:rPr>
          <w:rFonts w:ascii="Cambria" w:hAnsi="Cambria"/>
          <w:sz w:val="20"/>
          <w:szCs w:val="20"/>
          <w:lang w:val="es-ES_tradnl"/>
        </w:rPr>
        <w:t xml:space="preserve">debe tener </w:t>
      </w:r>
      <w:r w:rsidR="00D43820" w:rsidRPr="007140EE">
        <w:rPr>
          <w:rFonts w:ascii="Cambria" w:hAnsi="Cambria"/>
          <w:sz w:val="20"/>
          <w:szCs w:val="20"/>
          <w:lang w:val="es-ES_tradnl"/>
        </w:rPr>
        <w:t>una fase preparatoria del juicio o de investigación, a cargo del Ministerio Público y bajo control judicial, que deberá proveer los fundamentos para la inculpación del imputado; antes de la acusación por el Ministerio Público el imputado debe recibir información clara y específica sobre los hechos que se le imputan, tener abogado desde el inicio de la investigación, y otras garantías. También enfatizan que</w:t>
      </w:r>
      <w:r w:rsidR="00F82B59" w:rsidRPr="007140EE">
        <w:rPr>
          <w:rFonts w:ascii="Cambria" w:hAnsi="Cambria"/>
          <w:sz w:val="20"/>
          <w:szCs w:val="20"/>
          <w:lang w:val="es-ES_tradnl"/>
        </w:rPr>
        <w:t>,</w:t>
      </w:r>
      <w:r w:rsidR="00D43820" w:rsidRPr="007140EE">
        <w:rPr>
          <w:rFonts w:ascii="Cambria" w:hAnsi="Cambria"/>
          <w:sz w:val="20"/>
          <w:szCs w:val="20"/>
          <w:lang w:val="es-ES_tradnl"/>
        </w:rPr>
        <w:t xml:space="preserve"> según el mismo Código y la jurisprudencia del Tribunal Supremo de Justicia, el Ministerio Público no puede solicitar la aprehensión de una persona si </w:t>
      </w:r>
      <w:r w:rsidR="00F82B59" w:rsidRPr="007140EE">
        <w:rPr>
          <w:rFonts w:ascii="Cambria" w:hAnsi="Cambria"/>
          <w:sz w:val="20"/>
          <w:szCs w:val="20"/>
          <w:lang w:val="es-ES_tradnl"/>
        </w:rPr>
        <w:t xml:space="preserve">ésta </w:t>
      </w:r>
      <w:r w:rsidR="00D43820" w:rsidRPr="007140EE">
        <w:rPr>
          <w:rFonts w:ascii="Cambria" w:hAnsi="Cambria"/>
          <w:sz w:val="20"/>
          <w:szCs w:val="20"/>
          <w:lang w:val="es-ES_tradnl"/>
        </w:rPr>
        <w:t xml:space="preserve">antes no ha sido citada previamente para imputarla formalmente de los hechos que se le atribuyen. Sin embargo, afirman que estas reglas no se cumplieron en la </w:t>
      </w:r>
      <w:r w:rsidR="00EB4870" w:rsidRPr="007140EE">
        <w:rPr>
          <w:rFonts w:ascii="Cambria" w:hAnsi="Cambria"/>
          <w:sz w:val="20"/>
          <w:szCs w:val="20"/>
          <w:lang w:val="es-ES_tradnl"/>
        </w:rPr>
        <w:t xml:space="preserve">investigación </w:t>
      </w:r>
      <w:r w:rsidR="00D43820" w:rsidRPr="007140EE">
        <w:rPr>
          <w:rFonts w:ascii="Cambria" w:hAnsi="Cambria"/>
          <w:sz w:val="20"/>
          <w:szCs w:val="20"/>
          <w:lang w:val="es-ES_tradnl"/>
        </w:rPr>
        <w:t xml:space="preserve">penal abierta contra el señor Herrera por operaciones bancarias que tuvieron lugar con posterioridad a la venta de su propiedad accionaria en el Banco Real; </w:t>
      </w:r>
      <w:r w:rsidR="00EB4870" w:rsidRPr="007140EE">
        <w:rPr>
          <w:rFonts w:ascii="Cambria" w:hAnsi="Cambria"/>
          <w:sz w:val="20"/>
          <w:szCs w:val="20"/>
          <w:lang w:val="es-ES_tradnl"/>
        </w:rPr>
        <w:t xml:space="preserve">no se notificó ni se buscó </w:t>
      </w:r>
      <w:r w:rsidR="00966D73" w:rsidRPr="007140EE">
        <w:rPr>
          <w:rFonts w:ascii="Cambria" w:hAnsi="Cambria"/>
          <w:sz w:val="20"/>
          <w:szCs w:val="20"/>
          <w:lang w:val="es-ES_tradnl"/>
        </w:rPr>
        <w:t>permitir la participación del señor Herrera,</w:t>
      </w:r>
      <w:r w:rsidR="00776729" w:rsidRPr="007140EE">
        <w:rPr>
          <w:rFonts w:ascii="Cambria" w:hAnsi="Cambria"/>
          <w:sz w:val="20"/>
          <w:szCs w:val="20"/>
          <w:lang w:val="es-ES_tradnl"/>
        </w:rPr>
        <w:t xml:space="preserve"> ni se le citó en calidad de imputado</w:t>
      </w:r>
      <w:r w:rsidR="00F82B59" w:rsidRPr="007140EE">
        <w:rPr>
          <w:rFonts w:ascii="Cambria" w:hAnsi="Cambria"/>
          <w:sz w:val="20"/>
          <w:szCs w:val="20"/>
          <w:lang w:val="es-ES_tradnl"/>
        </w:rPr>
        <w:t>, sino únicamente como testigo –</w:t>
      </w:r>
      <w:r w:rsidR="007C23B4" w:rsidRPr="007140EE">
        <w:rPr>
          <w:rFonts w:ascii="Cambria" w:hAnsi="Cambria"/>
          <w:sz w:val="20"/>
          <w:szCs w:val="20"/>
          <w:lang w:val="es-ES_tradnl"/>
        </w:rPr>
        <w:t>a lo cual el señor Herrera respondió por intermedio de apod</w:t>
      </w:r>
      <w:r w:rsidR="00F82B59" w:rsidRPr="007140EE">
        <w:rPr>
          <w:rFonts w:ascii="Cambria" w:hAnsi="Cambria"/>
          <w:sz w:val="20"/>
          <w:szCs w:val="20"/>
          <w:lang w:val="es-ES_tradnl"/>
        </w:rPr>
        <w:t>erados desde los Estados Unidos–</w:t>
      </w:r>
      <w:r w:rsidR="007C23B4" w:rsidRPr="007140EE">
        <w:rPr>
          <w:rFonts w:ascii="Cambria" w:hAnsi="Cambria"/>
          <w:sz w:val="20"/>
          <w:szCs w:val="20"/>
          <w:lang w:val="es-ES_tradnl"/>
        </w:rPr>
        <w:t>.</w:t>
      </w:r>
      <w:r w:rsidR="00966D73" w:rsidRPr="007140EE">
        <w:rPr>
          <w:rFonts w:ascii="Cambria" w:hAnsi="Cambria"/>
          <w:sz w:val="20"/>
          <w:szCs w:val="20"/>
          <w:lang w:val="es-ES_tradnl"/>
        </w:rPr>
        <w:t xml:space="preserve"> </w:t>
      </w:r>
      <w:r w:rsidR="007C23B4" w:rsidRPr="007140EE">
        <w:rPr>
          <w:rFonts w:ascii="Cambria" w:hAnsi="Cambria"/>
          <w:sz w:val="20"/>
          <w:szCs w:val="20"/>
          <w:lang w:val="es-ES_tradnl"/>
        </w:rPr>
        <w:t>S</w:t>
      </w:r>
      <w:r w:rsidR="00776729" w:rsidRPr="007140EE">
        <w:rPr>
          <w:rFonts w:ascii="Cambria" w:hAnsi="Cambria"/>
          <w:sz w:val="20"/>
          <w:szCs w:val="20"/>
          <w:lang w:val="es-ES_tradnl"/>
        </w:rPr>
        <w:t xml:space="preserve">us </w:t>
      </w:r>
      <w:r w:rsidR="007C23B4" w:rsidRPr="007140EE">
        <w:rPr>
          <w:rFonts w:ascii="Cambria" w:hAnsi="Cambria"/>
          <w:sz w:val="20"/>
          <w:szCs w:val="20"/>
          <w:lang w:val="es-ES_tradnl"/>
        </w:rPr>
        <w:t>abogados</w:t>
      </w:r>
      <w:r w:rsidR="00776729" w:rsidRPr="007140EE">
        <w:rPr>
          <w:rFonts w:ascii="Cambria" w:hAnsi="Cambria"/>
          <w:sz w:val="20"/>
          <w:szCs w:val="20"/>
          <w:lang w:val="es-ES_tradnl"/>
        </w:rPr>
        <w:t>, se afirma,</w:t>
      </w:r>
      <w:r w:rsidR="00966D73" w:rsidRPr="007140EE">
        <w:rPr>
          <w:rFonts w:ascii="Cambria" w:hAnsi="Cambria"/>
          <w:sz w:val="20"/>
          <w:szCs w:val="20"/>
          <w:lang w:val="es-ES_tradnl"/>
        </w:rPr>
        <w:t xml:space="preserve"> no tuvieron acceso al expediente</w:t>
      </w:r>
      <w:r w:rsidR="007C23B4" w:rsidRPr="007140EE">
        <w:rPr>
          <w:rFonts w:ascii="Cambria" w:hAnsi="Cambria"/>
          <w:sz w:val="20"/>
          <w:szCs w:val="20"/>
          <w:lang w:val="es-ES_tradnl"/>
        </w:rPr>
        <w:t xml:space="preserve"> sino hasta el año 2013</w:t>
      </w:r>
      <w:r w:rsidR="00966D73" w:rsidRPr="007140EE">
        <w:rPr>
          <w:rFonts w:ascii="Cambria" w:hAnsi="Cambria"/>
          <w:sz w:val="20"/>
          <w:szCs w:val="20"/>
          <w:lang w:val="es-ES_tradnl"/>
        </w:rPr>
        <w:t xml:space="preserve">. </w:t>
      </w:r>
      <w:r w:rsidR="00D43820" w:rsidRPr="007140EE">
        <w:rPr>
          <w:rFonts w:ascii="Cambria" w:hAnsi="Cambria"/>
          <w:sz w:val="20"/>
          <w:szCs w:val="20"/>
          <w:lang w:val="es-ES_tradnl"/>
        </w:rPr>
        <w:t>Para el momento de presentación de la petición ante la CIDH, se alegaba que el señor Herrera desconocía el contenido de las decisiones dictadas en su contra, así como los hechos y razones que les habían dado lugar</w:t>
      </w:r>
      <w:r w:rsidR="00776729" w:rsidRPr="007140EE">
        <w:rPr>
          <w:rFonts w:ascii="Cambria" w:hAnsi="Cambria"/>
          <w:sz w:val="20"/>
          <w:szCs w:val="20"/>
          <w:lang w:val="es-ES_tradnl"/>
        </w:rPr>
        <w:t xml:space="preserve">: </w:t>
      </w:r>
      <w:r w:rsidR="00BC1D9B" w:rsidRPr="007140EE">
        <w:rPr>
          <w:rFonts w:ascii="Cambria" w:hAnsi="Cambria"/>
          <w:i/>
          <w:iCs/>
          <w:sz w:val="20"/>
          <w:szCs w:val="20"/>
          <w:lang w:val="es-ES_tradnl"/>
        </w:rPr>
        <w:t>“a</w:t>
      </w:r>
      <w:r w:rsidR="00776729" w:rsidRPr="007140EE">
        <w:rPr>
          <w:rFonts w:ascii="Cambria" w:hAnsi="Cambria"/>
          <w:i/>
          <w:iCs/>
          <w:sz w:val="20"/>
          <w:szCs w:val="20"/>
          <w:lang w:val="es-ES_tradnl"/>
        </w:rPr>
        <w:t xml:space="preserve"> la fecha Herrera Velutini carece de noticias formales sobre lo investigado, sobre el cómo y el cuándo de los crímenes que se le atribuyen, ni acerca de las personas o vínculos que supuestamente traba para supuestos fines criminales; menos todavía conoce sobre el contenido de un expediente al que sus abogados no tienen acceso, pues ello se les niega”.</w:t>
      </w:r>
      <w:r w:rsidR="00776729" w:rsidRPr="007140EE">
        <w:rPr>
          <w:rFonts w:ascii="Cambria" w:hAnsi="Cambria"/>
          <w:sz w:val="20"/>
          <w:szCs w:val="20"/>
          <w:lang w:val="es-ES_tradnl"/>
        </w:rPr>
        <w:t xml:space="preserve"> </w:t>
      </w:r>
      <w:r w:rsidR="0027407A" w:rsidRPr="007140EE">
        <w:rPr>
          <w:rFonts w:ascii="Cambria" w:hAnsi="Cambria"/>
          <w:sz w:val="20"/>
          <w:szCs w:val="20"/>
          <w:lang w:val="es-ES_tradnl"/>
        </w:rPr>
        <w:t xml:space="preserve">Eventualmente, por intermedio de terceros presentes en Venezuela, el señor Herrera Velutini pudo acceder al expediente en el mes </w:t>
      </w:r>
      <w:r w:rsidR="0027407A" w:rsidRPr="007140EE">
        <w:rPr>
          <w:rFonts w:ascii="Cambria" w:hAnsi="Cambria"/>
          <w:sz w:val="20"/>
          <w:szCs w:val="20"/>
          <w:lang w:val="es-ES_tradnl"/>
        </w:rPr>
        <w:lastRenderedPageBreak/>
        <w:t>de marzo de 2013. Con base en este acceso, el señor Herrera planteó ante la CIDH en sus observaciones adicionales del 28 de marzo de 2013 diversos argumentos sustantivos sobre la irregularidad de su procesamiento penal a la luz de la Convención Americana.</w:t>
      </w:r>
    </w:p>
    <w:p w14:paraId="153A3128" w14:textId="77777777" w:rsidR="006D4021" w:rsidRPr="007140EE" w:rsidRDefault="006B1CB5"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7. </w:t>
      </w:r>
      <w:r w:rsidR="00BC1D9B" w:rsidRPr="007140EE">
        <w:rPr>
          <w:rFonts w:ascii="Cambria" w:hAnsi="Cambria"/>
          <w:sz w:val="20"/>
          <w:szCs w:val="20"/>
          <w:lang w:val="es-ES_tradnl"/>
        </w:rPr>
        <w:tab/>
      </w:r>
      <w:r w:rsidR="006D4021" w:rsidRPr="007140EE">
        <w:rPr>
          <w:rFonts w:ascii="Cambria" w:hAnsi="Cambria"/>
          <w:sz w:val="20"/>
          <w:szCs w:val="20"/>
          <w:lang w:val="es-ES_tradnl"/>
        </w:rPr>
        <w:t>Por otra parte, en sus observaciones adicionales los peticionarios afirman que se ha desconocido la prohibición de aplicación retroactiva del derecho penal</w:t>
      </w:r>
      <w:r w:rsidR="00324EAE" w:rsidRPr="007140EE">
        <w:rPr>
          <w:rFonts w:ascii="Cambria" w:hAnsi="Cambria"/>
          <w:sz w:val="20"/>
          <w:szCs w:val="20"/>
          <w:lang w:val="es-ES_tradnl"/>
        </w:rPr>
        <w:t xml:space="preserve"> y el principio de legalidad de los delitos</w:t>
      </w:r>
      <w:r w:rsidR="006D4021" w:rsidRPr="007140EE">
        <w:rPr>
          <w:rFonts w:ascii="Cambria" w:hAnsi="Cambria"/>
          <w:sz w:val="20"/>
          <w:szCs w:val="20"/>
          <w:lang w:val="es-ES_tradnl"/>
        </w:rPr>
        <w:t xml:space="preserve">, ya que el delito que le habría sido imputado al señor Herrera fue derogado </w:t>
      </w:r>
      <w:r w:rsidR="00324EAE" w:rsidRPr="007140EE">
        <w:rPr>
          <w:rFonts w:ascii="Cambria" w:hAnsi="Cambria"/>
          <w:sz w:val="20"/>
          <w:szCs w:val="20"/>
          <w:lang w:val="es-ES_tradnl"/>
        </w:rPr>
        <w:t>después d</w:t>
      </w:r>
      <w:r w:rsidR="006D4021" w:rsidRPr="007140EE">
        <w:rPr>
          <w:rFonts w:ascii="Cambria" w:hAnsi="Cambria"/>
          <w:sz w:val="20"/>
          <w:szCs w:val="20"/>
          <w:lang w:val="es-ES_tradnl"/>
        </w:rPr>
        <w:t>el momento de apertura del proceso, y posteriormente reestablecid</w:t>
      </w:r>
      <w:r w:rsidR="00324EAE" w:rsidRPr="007140EE">
        <w:rPr>
          <w:rFonts w:ascii="Cambria" w:hAnsi="Cambria"/>
          <w:sz w:val="20"/>
          <w:szCs w:val="20"/>
          <w:lang w:val="es-ES_tradnl"/>
        </w:rPr>
        <w:t>o</w:t>
      </w:r>
      <w:r w:rsidR="006D4021" w:rsidRPr="007140EE">
        <w:rPr>
          <w:rFonts w:ascii="Cambria" w:hAnsi="Cambria"/>
          <w:sz w:val="20"/>
          <w:szCs w:val="20"/>
          <w:lang w:val="es-ES_tradnl"/>
        </w:rPr>
        <w:t xml:space="preserve"> en la legislación penal</w:t>
      </w:r>
      <w:r w:rsidR="00324EAE" w:rsidRPr="007140EE">
        <w:rPr>
          <w:rFonts w:ascii="Cambria" w:hAnsi="Cambria"/>
          <w:sz w:val="20"/>
          <w:szCs w:val="20"/>
          <w:lang w:val="es-ES_tradnl"/>
        </w:rPr>
        <w:t xml:space="preserve"> mediante decreto del poder ejecutivo</w:t>
      </w:r>
      <w:r w:rsidR="006D4021" w:rsidRPr="007140EE">
        <w:rPr>
          <w:rFonts w:ascii="Cambria" w:hAnsi="Cambria"/>
          <w:sz w:val="20"/>
          <w:szCs w:val="20"/>
          <w:lang w:val="es-ES_tradnl"/>
        </w:rPr>
        <w:t xml:space="preserve">: </w:t>
      </w:r>
    </w:p>
    <w:p w14:paraId="747C8719" w14:textId="77777777" w:rsidR="006D4021" w:rsidRPr="001B0458" w:rsidRDefault="006D4021" w:rsidP="00F165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lang w:val="es-ES_tradnl"/>
        </w:rPr>
      </w:pPr>
      <w:r w:rsidRPr="001B0458">
        <w:rPr>
          <w:rFonts w:ascii="Cambria" w:hAnsi="Cambria"/>
          <w:sz w:val="20"/>
          <w:szCs w:val="18"/>
          <w:lang w:val="es-ES_tradnl"/>
        </w:rPr>
        <w:t xml:space="preserve">La legislación bancaria que rige para la fecha en que se inicia la investigación penal de los presuntos delitos ocurridos en el Banco Real, Banco de Desarrollo C.A., es decir la Ley General de Bancos y otras Instituciones Financieras de 31 de julio de 2009, tipifica el delito de apropiación o distracción de recursos en provecho propio de los miembros de la junta administradora, directores, administradores, funcionarios o empleados de un banco (artículo 432). Dicho delito se mantiene en las reformas de la ley que ocurren el 23 de diciembre de 2009 y el 13 de agosto de 2010, cambiando apenas su numeración (artículo 379). No obstante, en la reforma de la ley que sanciona la Asamblea Nacional y es publicada el 28 de diciembre de 2010, el artículo 213 se refiere al tipo penal de apropiación o distracción de </w:t>
      </w:r>
      <w:r w:rsidR="00BC1D9B" w:rsidRPr="001B0458">
        <w:rPr>
          <w:rFonts w:ascii="Cambria" w:hAnsi="Cambria"/>
          <w:sz w:val="20"/>
          <w:szCs w:val="18"/>
          <w:lang w:val="es-ES_tradnl"/>
        </w:rPr>
        <w:t>recursos,</w:t>
      </w:r>
      <w:r w:rsidRPr="001B0458">
        <w:rPr>
          <w:rFonts w:ascii="Cambria" w:hAnsi="Cambria"/>
          <w:sz w:val="20"/>
          <w:szCs w:val="18"/>
          <w:lang w:val="es-ES_tradnl"/>
        </w:rPr>
        <w:t xml:space="preserve"> pero cambia sus exigencias típicas y provoca la abolición de dicho delito. Al efecto lo sustituye por el delito de presentación, entrega o suscripción de balances falsos. De donde, el supuesto delito que bajo falso supuesto se le atribuye a Julio Martín Herrera Velutini deja de existir, no obstante que el Presidente de la República, mediante nueva reforma que realiza por Decreto a dicha </w:t>
      </w:r>
      <w:r w:rsidR="00324EAE" w:rsidRPr="001B0458">
        <w:rPr>
          <w:rFonts w:ascii="Cambria" w:hAnsi="Cambria"/>
          <w:sz w:val="20"/>
          <w:szCs w:val="18"/>
          <w:lang w:val="es-ES_tradnl"/>
        </w:rPr>
        <w:t>ley y que dicta el 2 de marzo de 2011 violentando la Constitución y las competencias exclusivas de la Asamblea Nacional, restablece la tipicidad original del delito de apropiación o distracción de recu</w:t>
      </w:r>
      <w:r w:rsidR="00BC1D9B" w:rsidRPr="001B0458">
        <w:rPr>
          <w:rFonts w:ascii="Cambria" w:hAnsi="Cambria"/>
          <w:sz w:val="20"/>
          <w:szCs w:val="18"/>
          <w:lang w:val="es-ES_tradnl"/>
        </w:rPr>
        <w:t>rsos y sus penas. La ley penal […]</w:t>
      </w:r>
      <w:r w:rsidR="00324EAE" w:rsidRPr="001B0458">
        <w:rPr>
          <w:rFonts w:ascii="Cambria" w:hAnsi="Cambria"/>
          <w:sz w:val="20"/>
          <w:szCs w:val="18"/>
          <w:lang w:val="es-ES_tradnl"/>
        </w:rPr>
        <w:t xml:space="preserve"> no puede aplicarse retroactivamente, salvo en cuanto beneficie al procesado o reo, y sólo pueden crearse delitos y penas mediante ley.</w:t>
      </w:r>
    </w:p>
    <w:p w14:paraId="6857B36E" w14:textId="77777777" w:rsidR="00324EAE" w:rsidRPr="007140EE" w:rsidRDefault="006B1CB5"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8. </w:t>
      </w:r>
      <w:r w:rsidR="00BC1D9B" w:rsidRPr="007140EE">
        <w:rPr>
          <w:rFonts w:ascii="Cambria" w:hAnsi="Cambria"/>
          <w:sz w:val="20"/>
          <w:szCs w:val="20"/>
          <w:lang w:val="es-ES_tradnl"/>
        </w:rPr>
        <w:tab/>
      </w:r>
      <w:r w:rsidR="00D80D30" w:rsidRPr="007140EE">
        <w:rPr>
          <w:rFonts w:ascii="Cambria" w:hAnsi="Cambria"/>
          <w:sz w:val="20"/>
          <w:szCs w:val="20"/>
          <w:lang w:val="es-ES_tradnl"/>
        </w:rPr>
        <w:t xml:space="preserve">Los peticionarios </w:t>
      </w:r>
      <w:r w:rsidR="00324EAE" w:rsidRPr="007140EE">
        <w:rPr>
          <w:rFonts w:ascii="Cambria" w:hAnsi="Cambria"/>
          <w:sz w:val="20"/>
          <w:szCs w:val="20"/>
          <w:lang w:val="es-ES_tradnl"/>
        </w:rPr>
        <w:t xml:space="preserve">expresan </w:t>
      </w:r>
      <w:r w:rsidR="00D80D30" w:rsidRPr="007140EE">
        <w:rPr>
          <w:rFonts w:ascii="Cambria" w:hAnsi="Cambria"/>
          <w:sz w:val="20"/>
          <w:szCs w:val="20"/>
          <w:lang w:val="es-ES_tradnl"/>
        </w:rPr>
        <w:t>también</w:t>
      </w:r>
      <w:r w:rsidR="00324EAE" w:rsidRPr="007140EE">
        <w:rPr>
          <w:rFonts w:ascii="Cambria" w:hAnsi="Cambria"/>
          <w:sz w:val="20"/>
          <w:szCs w:val="20"/>
          <w:lang w:val="es-ES_tradnl"/>
        </w:rPr>
        <w:t xml:space="preserve"> que, en contravención al principio del juez natural y a la legislación doméstica, la Sala Penal y la Sala Constitucional del Tribunal Supremo de Justicia decidieron avocar el conocimiento de la causa penal seguida contra el señor Herrera, causando su paralización indefinida, y vulnerando también su derecho a la doble instancia.</w:t>
      </w:r>
    </w:p>
    <w:p w14:paraId="078B6BCA" w14:textId="77777777" w:rsidR="00206F00" w:rsidRPr="007140EE" w:rsidRDefault="006B1CB5"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9. </w:t>
      </w:r>
      <w:r w:rsidR="00206F00" w:rsidRPr="007140EE">
        <w:rPr>
          <w:rFonts w:ascii="Cambria" w:hAnsi="Cambria"/>
          <w:sz w:val="20"/>
          <w:szCs w:val="20"/>
          <w:lang w:val="es-ES_tradnl"/>
        </w:rPr>
        <w:tab/>
      </w:r>
      <w:r w:rsidR="00776729" w:rsidRPr="007140EE">
        <w:rPr>
          <w:rFonts w:ascii="Cambria" w:hAnsi="Cambria"/>
          <w:sz w:val="20"/>
          <w:szCs w:val="20"/>
          <w:lang w:val="es-ES_tradnl"/>
        </w:rPr>
        <w:t>En criterio de los peticionarios, el señor Herrera no tenía ni tiene la posibilidad de gozar de la garantía de un juicio en libertad conforme al debido proceso en Venezuela, por cuanto el sistema judicial se encuentra</w:t>
      </w:r>
      <w:r w:rsidR="00206F00" w:rsidRPr="007140EE">
        <w:rPr>
          <w:rFonts w:ascii="Cambria" w:hAnsi="Cambria"/>
          <w:sz w:val="20"/>
          <w:szCs w:val="20"/>
          <w:lang w:val="es-ES_tradnl"/>
        </w:rPr>
        <w:t>, según afirman,</w:t>
      </w:r>
      <w:r w:rsidR="00776729" w:rsidRPr="007140EE">
        <w:rPr>
          <w:rFonts w:ascii="Cambria" w:hAnsi="Cambria"/>
          <w:sz w:val="20"/>
          <w:szCs w:val="20"/>
          <w:lang w:val="es-ES_tradnl"/>
        </w:rPr>
        <w:t xml:space="preserve"> subordinado a los imperativos del Gobierno chavista, cuya persecución </w:t>
      </w:r>
      <w:r w:rsidR="00CB6C79" w:rsidRPr="007140EE">
        <w:rPr>
          <w:rFonts w:ascii="Cambria" w:hAnsi="Cambria"/>
          <w:sz w:val="20"/>
          <w:szCs w:val="20"/>
          <w:lang w:val="es-ES_tradnl"/>
        </w:rPr>
        <w:t>y criminalización de</w:t>
      </w:r>
      <w:r w:rsidR="00776729" w:rsidRPr="007140EE">
        <w:rPr>
          <w:rFonts w:ascii="Cambria" w:hAnsi="Cambria"/>
          <w:sz w:val="20"/>
          <w:szCs w:val="20"/>
          <w:lang w:val="es-ES_tradnl"/>
        </w:rPr>
        <w:t xml:space="preserve"> los banqueros y actores financieros privados ha sido expresa y manifiesta, plasmada en documentos que </w:t>
      </w:r>
      <w:r w:rsidR="00CB6C79" w:rsidRPr="007140EE">
        <w:rPr>
          <w:rFonts w:ascii="Cambria" w:hAnsi="Cambria"/>
          <w:sz w:val="20"/>
          <w:szCs w:val="20"/>
          <w:lang w:val="es-ES_tradnl"/>
        </w:rPr>
        <w:t xml:space="preserve">establecen la política del Estado venezolano: </w:t>
      </w:r>
    </w:p>
    <w:p w14:paraId="0AB2DC48" w14:textId="77777777" w:rsidR="00206F00" w:rsidRPr="001B0458" w:rsidRDefault="00CB6C79" w:rsidP="00206F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lang w:val="es-ES_tradnl"/>
        </w:rPr>
      </w:pPr>
      <w:r w:rsidRPr="001B0458">
        <w:rPr>
          <w:rFonts w:ascii="Cambria" w:hAnsi="Cambria"/>
          <w:iCs/>
          <w:sz w:val="20"/>
          <w:szCs w:val="18"/>
          <w:lang w:val="es-ES_tradnl"/>
        </w:rPr>
        <w:t>los altos poderes del Estado venezolano y como política sistemática que siguen sus poderes públicos bajo liderazgo del Jefe del Estado y Presidente de la República, consideran a todo banquero una suerte de enemigo y objetivo de su guerra revolucionaria. Es considerado una especie -la más alta y peligrosa- de los disidentes políticos, por adversar, con sus concepciones de la vida económica y de la libertad, los postulados del marxismo y su concepción del Estado policial, según la inspiración c</w:t>
      </w:r>
      <w:r w:rsidR="00206F00" w:rsidRPr="001B0458">
        <w:rPr>
          <w:rFonts w:ascii="Cambria" w:hAnsi="Cambria"/>
          <w:iCs/>
          <w:sz w:val="20"/>
          <w:szCs w:val="18"/>
          <w:lang w:val="es-ES_tradnl"/>
        </w:rPr>
        <w:t>ubana que se sigue en Venezuela</w:t>
      </w:r>
      <w:r w:rsidRPr="001B0458">
        <w:rPr>
          <w:rFonts w:ascii="Cambria" w:hAnsi="Cambria"/>
          <w:iCs/>
          <w:sz w:val="20"/>
          <w:szCs w:val="18"/>
          <w:lang w:val="es-ES_tradnl"/>
        </w:rPr>
        <w:t>.</w:t>
      </w:r>
      <w:r w:rsidRPr="001B0458">
        <w:rPr>
          <w:rFonts w:ascii="Cambria" w:hAnsi="Cambria"/>
          <w:sz w:val="20"/>
          <w:szCs w:val="18"/>
          <w:lang w:val="es-ES_tradnl"/>
        </w:rPr>
        <w:t xml:space="preserve"> </w:t>
      </w:r>
    </w:p>
    <w:p w14:paraId="0AB97CF8" w14:textId="77777777" w:rsidR="00966D73" w:rsidRPr="007140EE" w:rsidRDefault="00CB6C79" w:rsidP="00206F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140EE">
        <w:rPr>
          <w:rFonts w:ascii="Cambria" w:hAnsi="Cambria"/>
          <w:sz w:val="20"/>
          <w:szCs w:val="20"/>
          <w:lang w:val="es-ES_tradnl"/>
        </w:rPr>
        <w:t>Según alegan, resulta ilusorio esperar que la administración de justicia venezolana avance con autonomía e independencia para proteger los derechos del señor Herrera</w:t>
      </w:r>
      <w:r w:rsidR="007C23B4" w:rsidRPr="007140EE">
        <w:rPr>
          <w:rFonts w:ascii="Cambria" w:hAnsi="Cambria"/>
          <w:sz w:val="20"/>
          <w:szCs w:val="20"/>
          <w:lang w:val="es-ES_tradnl"/>
        </w:rPr>
        <w:t>, mucho menos cuando el proceso penal abierto y adelantado en contra suya obedeció a motivaciones políticas y surgió como efecto inmediato de declaraciones y hostigamientos del Presidente Chávez</w:t>
      </w:r>
      <w:r w:rsidRPr="007140EE">
        <w:rPr>
          <w:rFonts w:ascii="Cambria" w:hAnsi="Cambria"/>
          <w:sz w:val="20"/>
          <w:szCs w:val="20"/>
          <w:lang w:val="es-ES_tradnl"/>
        </w:rPr>
        <w:t>.</w:t>
      </w:r>
      <w:r w:rsidR="002C2258" w:rsidRPr="007140EE">
        <w:rPr>
          <w:rFonts w:ascii="Cambria" w:hAnsi="Cambria"/>
          <w:sz w:val="20"/>
          <w:szCs w:val="20"/>
          <w:lang w:val="es-ES_tradnl"/>
        </w:rPr>
        <w:t xml:space="preserve"> Por ello, consideran aplicable la excepción al deber de agotamiento de los recursos internos consistente en la inexistencia de debido proceso legal y recursos efectivos en el Estado contra el que se dirige la petición. </w:t>
      </w:r>
    </w:p>
    <w:p w14:paraId="08FBDC29" w14:textId="77777777" w:rsidR="00966D73" w:rsidRPr="007140EE" w:rsidRDefault="006B1CB5" w:rsidP="00F165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10. </w:t>
      </w:r>
      <w:r w:rsidR="00F379FF" w:rsidRPr="007140EE">
        <w:rPr>
          <w:rFonts w:ascii="Cambria" w:hAnsi="Cambria"/>
          <w:sz w:val="20"/>
          <w:szCs w:val="20"/>
          <w:lang w:val="es-ES_tradnl"/>
        </w:rPr>
        <w:tab/>
      </w:r>
      <w:r w:rsidR="00966D73" w:rsidRPr="007140EE">
        <w:rPr>
          <w:rFonts w:ascii="Cambria" w:hAnsi="Cambria"/>
          <w:sz w:val="20"/>
          <w:szCs w:val="20"/>
          <w:lang w:val="es-ES_tradnl"/>
        </w:rPr>
        <w:t>Por otra parte, los peticionarios denuncian ante la CIDH la confiscación de la propiedad accionaria del señor Herrera sobre la entidad financiera Helm</w:t>
      </w:r>
      <w:r w:rsidR="00CB6C79" w:rsidRPr="007140EE">
        <w:rPr>
          <w:rFonts w:ascii="Cambria" w:hAnsi="Cambria"/>
          <w:sz w:val="20"/>
          <w:szCs w:val="20"/>
          <w:lang w:val="es-ES_tradnl"/>
        </w:rPr>
        <w:t xml:space="preserve"> Bank de Venezuela</w:t>
      </w:r>
      <w:r w:rsidR="00966D73" w:rsidRPr="007140EE">
        <w:rPr>
          <w:rFonts w:ascii="Cambria" w:hAnsi="Cambria"/>
          <w:sz w:val="20"/>
          <w:szCs w:val="20"/>
          <w:lang w:val="es-ES_tradnl"/>
        </w:rPr>
        <w:t>.</w:t>
      </w:r>
      <w:r w:rsidR="00CB6C79" w:rsidRPr="007140EE">
        <w:rPr>
          <w:rFonts w:ascii="Cambria" w:hAnsi="Cambria"/>
          <w:sz w:val="20"/>
          <w:szCs w:val="20"/>
          <w:lang w:val="es-ES_tradnl"/>
        </w:rPr>
        <w:t xml:space="preserve"> Indican que después de que </w:t>
      </w:r>
      <w:r w:rsidR="00CB6C79" w:rsidRPr="007140EE">
        <w:rPr>
          <w:rFonts w:ascii="Cambria" w:hAnsi="Cambria"/>
          <w:sz w:val="20"/>
          <w:szCs w:val="20"/>
          <w:lang w:val="es-ES_tradnl"/>
        </w:rPr>
        <w:lastRenderedPageBreak/>
        <w:t xml:space="preserve">la SUDEBAN intervino el Banco Real – Banco de Desarrollo C.A., procedió a bloquear la transferencia de las acciones del Helm Bank a una sociedad mercantil española de propiedad del señor Herrera, por medio de una compleja operación gubernamental que se describe en detalle en la petición. Como resultado de este complejo proceso financiero, la agencia estatal Fondo de Garantías de Depósitos Bancarios (FOGADE) eventualmente reclamó ser la propietaria de las acciones de Helm Bank, y asistió en calidad de accionista a la Asamblea de Accionistas del 15 de abril de 2010, en la cual se nombró su nueva Junta Directiva. Según alegan los peticionarios, se trató de un procedimiento confiscatorio emprendido como mecanismo de presión sobre el señor Herrera, para que éste retornara al país a efectos de discutir su propiedad accionaria sobre </w:t>
      </w:r>
      <w:r w:rsidR="00FC5AAB" w:rsidRPr="007140EE">
        <w:rPr>
          <w:rFonts w:ascii="Cambria" w:hAnsi="Cambria"/>
          <w:sz w:val="20"/>
          <w:szCs w:val="20"/>
          <w:lang w:val="es-ES_tradnl"/>
        </w:rPr>
        <w:t>dicho banco</w:t>
      </w:r>
      <w:r w:rsidR="00CB6C79" w:rsidRPr="007140EE">
        <w:rPr>
          <w:rFonts w:ascii="Cambria" w:hAnsi="Cambria"/>
          <w:sz w:val="20"/>
          <w:szCs w:val="20"/>
          <w:lang w:val="es-ES_tradnl"/>
        </w:rPr>
        <w:t>.</w:t>
      </w:r>
    </w:p>
    <w:p w14:paraId="4139CEDC" w14:textId="77777777" w:rsidR="00C7545B" w:rsidRPr="007140EE" w:rsidRDefault="006B1CB5"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11. </w:t>
      </w:r>
      <w:r w:rsidR="00135BFC" w:rsidRPr="007140EE">
        <w:rPr>
          <w:rFonts w:ascii="Cambria" w:hAnsi="Cambria"/>
          <w:sz w:val="20"/>
          <w:szCs w:val="20"/>
          <w:lang w:val="es-ES_tradnl"/>
        </w:rPr>
        <w:tab/>
      </w:r>
      <w:r w:rsidR="00C7545B" w:rsidRPr="007140EE">
        <w:rPr>
          <w:rFonts w:ascii="Cambria" w:hAnsi="Cambria"/>
          <w:sz w:val="20"/>
          <w:szCs w:val="20"/>
          <w:lang w:val="es-ES_tradnl"/>
        </w:rPr>
        <w:t xml:space="preserve">En su contestación, el Estado alega que no se ha cumplido el requisito de agotamiento de los recursos internos en el proceso penal iniciado contra el señor Herrera Velutini el 5 de diciembre de 2009. Señala que el señor Herrera se había ausentado del país el 13 de noviembre de 2009, de lo cual concluye que </w:t>
      </w:r>
      <w:r w:rsidR="00C7545B" w:rsidRPr="007140EE">
        <w:rPr>
          <w:rFonts w:ascii="Cambria" w:hAnsi="Cambria"/>
          <w:i/>
          <w:iCs/>
          <w:sz w:val="20"/>
          <w:szCs w:val="20"/>
          <w:lang w:val="es-ES_tradnl"/>
        </w:rPr>
        <w:t>“el peticionario optó por evadir la justicia venezolana y ausentarse del territorio nacional, incluso antes de que se formalizara el inicio de la investigación penal en su contra”</w:t>
      </w:r>
      <w:r w:rsidR="00C7545B" w:rsidRPr="007140EE">
        <w:rPr>
          <w:rFonts w:ascii="Cambria" w:hAnsi="Cambria"/>
          <w:sz w:val="20"/>
          <w:szCs w:val="20"/>
          <w:lang w:val="es-ES_tradnl"/>
        </w:rPr>
        <w:t xml:space="preserve">. Por tal razón, el proceso penal se encuentra suspendido hasta que se logre la comparecencia del señor </w:t>
      </w:r>
      <w:r w:rsidR="00FC5AAB" w:rsidRPr="007140EE">
        <w:rPr>
          <w:rFonts w:ascii="Cambria" w:hAnsi="Cambria"/>
          <w:sz w:val="20"/>
          <w:szCs w:val="20"/>
          <w:lang w:val="es-ES_tradnl"/>
        </w:rPr>
        <w:t>H</w:t>
      </w:r>
      <w:r w:rsidR="00C7545B" w:rsidRPr="007140EE">
        <w:rPr>
          <w:rFonts w:ascii="Cambria" w:hAnsi="Cambria"/>
          <w:sz w:val="20"/>
          <w:szCs w:val="20"/>
          <w:lang w:val="es-ES_tradnl"/>
        </w:rPr>
        <w:t xml:space="preserve">errera, tomando en cuenta que en Venezuela está prohibido constitucionalmente el juicio en ausencia: </w:t>
      </w:r>
      <w:r w:rsidR="00501314" w:rsidRPr="007140EE">
        <w:rPr>
          <w:rFonts w:ascii="Cambria" w:hAnsi="Cambria"/>
          <w:i/>
          <w:iCs/>
          <w:sz w:val="20"/>
          <w:szCs w:val="20"/>
          <w:lang w:val="es-ES_tradnl"/>
        </w:rPr>
        <w:t>“[e]</w:t>
      </w:r>
      <w:r w:rsidR="00C7545B" w:rsidRPr="007140EE">
        <w:rPr>
          <w:rFonts w:ascii="Cambria" w:hAnsi="Cambria"/>
          <w:i/>
          <w:iCs/>
          <w:sz w:val="20"/>
          <w:szCs w:val="20"/>
          <w:lang w:val="es-ES_tradnl"/>
        </w:rPr>
        <w:t>n este sentido, resulta evidente que los recursos judiciales previstos en el ordenamiento jurídico interno no han sido agotados, y en el supuesto negado que efectivamente hubiese ocurrido algún tipo de afectación a sus derechos humanos, todavía podrían ser protegidos a través de los diferentes recursos judiciales ordinarios y extraordinarios que pudieran eventualmente ejercerse”.</w:t>
      </w:r>
      <w:r w:rsidR="00C7545B" w:rsidRPr="007140EE">
        <w:rPr>
          <w:rFonts w:ascii="Cambria" w:hAnsi="Cambria"/>
          <w:sz w:val="20"/>
          <w:szCs w:val="20"/>
          <w:lang w:val="es-ES_tradnl"/>
        </w:rPr>
        <w:t xml:space="preserve"> </w:t>
      </w:r>
    </w:p>
    <w:p w14:paraId="61C1B014" w14:textId="77777777" w:rsidR="00C7545B" w:rsidRPr="007140EE" w:rsidRDefault="006B1CB5"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12. </w:t>
      </w:r>
      <w:r w:rsidR="000523DE" w:rsidRPr="007140EE">
        <w:rPr>
          <w:rFonts w:ascii="Cambria" w:hAnsi="Cambria"/>
          <w:sz w:val="20"/>
          <w:szCs w:val="20"/>
          <w:lang w:val="es-ES_tradnl"/>
        </w:rPr>
        <w:tab/>
      </w:r>
      <w:r w:rsidR="00C7545B" w:rsidRPr="007140EE">
        <w:rPr>
          <w:rFonts w:ascii="Cambria" w:hAnsi="Cambria"/>
          <w:sz w:val="20"/>
          <w:szCs w:val="20"/>
          <w:lang w:val="es-ES_tradnl"/>
        </w:rPr>
        <w:t>Para el representante del Estado, el presente caso es muy similar al que conoció la Corte Interamericana de Derechos Humanos sobre el abogado Allan Brewer Carias, que también tenía que ver con un proceso penal interno en estado de suspensión dada la salida del procesado del territorio nacional; por lo cual solicita a la Comisión que aplique el precedente establecido en la sentencia de la Corte sobre ese caso</w:t>
      </w:r>
      <w:r w:rsidR="00FC5AAB" w:rsidRPr="007140EE">
        <w:rPr>
          <w:rFonts w:ascii="Cambria" w:hAnsi="Cambria"/>
          <w:sz w:val="20"/>
          <w:szCs w:val="20"/>
          <w:lang w:val="es-ES_tradnl"/>
        </w:rPr>
        <w:t xml:space="preserve"> y declare que no se han agotado en debida forma los recursos domésticos procedentes</w:t>
      </w:r>
      <w:r w:rsidR="00C7545B" w:rsidRPr="007140EE">
        <w:rPr>
          <w:rFonts w:ascii="Cambria" w:hAnsi="Cambria"/>
          <w:sz w:val="20"/>
          <w:szCs w:val="20"/>
          <w:lang w:val="es-ES_tradnl"/>
        </w:rPr>
        <w:t>.</w:t>
      </w:r>
    </w:p>
    <w:p w14:paraId="5E8CC728" w14:textId="77777777" w:rsidR="00C7545B" w:rsidRPr="007140EE" w:rsidRDefault="006B1CB5"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140EE">
        <w:rPr>
          <w:rFonts w:ascii="Cambria" w:hAnsi="Cambria"/>
          <w:sz w:val="20"/>
          <w:szCs w:val="20"/>
          <w:lang w:val="es-ES_tradnl"/>
        </w:rPr>
        <w:t xml:space="preserve">13. </w:t>
      </w:r>
      <w:r w:rsidR="000523DE" w:rsidRPr="007140EE">
        <w:rPr>
          <w:rFonts w:ascii="Cambria" w:hAnsi="Cambria"/>
          <w:sz w:val="20"/>
          <w:szCs w:val="20"/>
          <w:lang w:val="es-ES_tradnl"/>
        </w:rPr>
        <w:tab/>
      </w:r>
      <w:r w:rsidR="00C7545B" w:rsidRPr="007140EE">
        <w:rPr>
          <w:rFonts w:ascii="Cambria" w:hAnsi="Cambria"/>
          <w:sz w:val="20"/>
          <w:szCs w:val="20"/>
          <w:lang w:val="es-ES_tradnl"/>
        </w:rPr>
        <w:t xml:space="preserve">El Estado también alega que no se cumplió con los requisitos formales para la presentación de una petición ante la CIDH, puesto que el escrito inicial presentado por el señor Asdrúbal Aguiar no está firmado, desconociendo así </w:t>
      </w:r>
      <w:r w:rsidR="000523DE" w:rsidRPr="007140EE">
        <w:rPr>
          <w:rFonts w:ascii="Cambria" w:hAnsi="Cambria"/>
          <w:sz w:val="20"/>
          <w:szCs w:val="20"/>
          <w:lang w:val="es-ES_tradnl"/>
        </w:rPr>
        <w:t>el a</w:t>
      </w:r>
      <w:r w:rsidR="00C7545B" w:rsidRPr="007140EE">
        <w:rPr>
          <w:rFonts w:ascii="Cambria" w:hAnsi="Cambria"/>
          <w:sz w:val="20"/>
          <w:szCs w:val="20"/>
          <w:lang w:val="es-ES_tradnl"/>
        </w:rPr>
        <w:t xml:space="preserve">rtículo 46.1.d) de la Convención Americana; </w:t>
      </w:r>
      <w:r w:rsidR="00FC5AAB" w:rsidRPr="007140EE">
        <w:rPr>
          <w:rFonts w:ascii="Cambria" w:hAnsi="Cambria"/>
          <w:sz w:val="20"/>
          <w:szCs w:val="20"/>
          <w:lang w:val="es-ES_tradnl"/>
        </w:rPr>
        <w:t xml:space="preserve">y </w:t>
      </w:r>
      <w:r w:rsidR="00C7545B" w:rsidRPr="007140EE">
        <w:rPr>
          <w:rFonts w:ascii="Cambria" w:hAnsi="Cambria"/>
          <w:sz w:val="20"/>
          <w:szCs w:val="20"/>
          <w:lang w:val="es-ES_tradnl"/>
        </w:rPr>
        <w:t xml:space="preserve">tampoco se ha presentado, alega, poder de representación otorgado por el señor Herrera a dicho abogado para actuar en su nombre ante el SIDH. </w:t>
      </w:r>
    </w:p>
    <w:p w14:paraId="59C125D7" w14:textId="77777777" w:rsidR="003239B8" w:rsidRPr="007140EE" w:rsidRDefault="003239B8" w:rsidP="003239B8">
      <w:pPr>
        <w:spacing w:before="240" w:after="240"/>
        <w:ind w:firstLine="720"/>
        <w:jc w:val="both"/>
        <w:rPr>
          <w:rFonts w:ascii="Cambria" w:hAnsi="Cambria"/>
          <w:sz w:val="20"/>
          <w:szCs w:val="20"/>
          <w:lang w:val="es-ES_tradnl"/>
        </w:rPr>
      </w:pPr>
      <w:r w:rsidRPr="007140EE">
        <w:rPr>
          <w:rFonts w:asciiTheme="majorHAnsi" w:eastAsia="Cambria" w:hAnsiTheme="majorHAnsi" w:cs="Cambria"/>
          <w:b/>
          <w:bCs/>
          <w:color w:val="000000"/>
          <w:sz w:val="20"/>
          <w:szCs w:val="20"/>
          <w:u w:color="000000"/>
          <w:lang w:val="es-ES_tradnl" w:eastAsia="es-ES"/>
        </w:rPr>
        <w:t>VI.</w:t>
      </w:r>
      <w:r w:rsidRPr="007140EE">
        <w:rPr>
          <w:rFonts w:asciiTheme="majorHAnsi" w:eastAsia="Cambria" w:hAnsiTheme="majorHAnsi" w:cs="Cambria"/>
          <w:b/>
          <w:bCs/>
          <w:color w:val="000000"/>
          <w:sz w:val="20"/>
          <w:szCs w:val="20"/>
          <w:u w:color="000000"/>
          <w:lang w:val="es-ES_tradnl" w:eastAsia="es-ES"/>
        </w:rPr>
        <w:tab/>
      </w:r>
      <w:r w:rsidR="004A6A54" w:rsidRPr="007140EE">
        <w:rPr>
          <w:rFonts w:asciiTheme="majorHAnsi" w:hAnsiTheme="majorHAnsi"/>
          <w:b/>
          <w:bCs/>
          <w:sz w:val="20"/>
          <w:szCs w:val="20"/>
          <w:lang w:val="es-ES_tradnl"/>
        </w:rPr>
        <w:t xml:space="preserve">ANÁLISIS DE </w:t>
      </w:r>
      <w:r w:rsidR="00C21FEF" w:rsidRPr="007140EE">
        <w:rPr>
          <w:rFonts w:asciiTheme="majorHAnsi" w:hAnsiTheme="majorHAnsi"/>
          <w:b/>
          <w:sz w:val="20"/>
          <w:szCs w:val="20"/>
          <w:lang w:val="es-ES_tradnl"/>
        </w:rPr>
        <w:t>AGOTAMIENTO DE LOS RECURSOS INTERNOS Y PLAZO DE PRESENTACIÓN</w:t>
      </w:r>
      <w:r w:rsidR="00C21FEF" w:rsidRPr="007140EE">
        <w:rPr>
          <w:rFonts w:asciiTheme="majorHAnsi" w:eastAsia="Cambria" w:hAnsiTheme="majorHAnsi" w:cs="Cambria"/>
          <w:b/>
          <w:bCs/>
          <w:color w:val="000000"/>
          <w:sz w:val="20"/>
          <w:szCs w:val="20"/>
          <w:u w:color="000000"/>
          <w:lang w:val="es-ES_tradnl" w:eastAsia="es-ES"/>
        </w:rPr>
        <w:t xml:space="preserve"> </w:t>
      </w:r>
    </w:p>
    <w:p w14:paraId="61D5A0EA" w14:textId="77777777" w:rsidR="004459F2" w:rsidRPr="007140EE" w:rsidRDefault="006B1CB5" w:rsidP="004459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40EE">
        <w:rPr>
          <w:rFonts w:asciiTheme="majorHAnsi" w:hAnsiTheme="majorHAnsi"/>
          <w:sz w:val="20"/>
          <w:szCs w:val="20"/>
          <w:lang w:val="es-ES_tradnl"/>
        </w:rPr>
        <w:t xml:space="preserve">14. </w:t>
      </w:r>
      <w:r w:rsidR="000523DE" w:rsidRPr="007140EE">
        <w:rPr>
          <w:rFonts w:asciiTheme="majorHAnsi" w:hAnsiTheme="majorHAnsi"/>
          <w:sz w:val="20"/>
          <w:szCs w:val="20"/>
          <w:lang w:val="es-ES_tradnl"/>
        </w:rPr>
        <w:tab/>
      </w:r>
      <w:r w:rsidR="004459F2" w:rsidRPr="007140EE">
        <w:rPr>
          <w:rFonts w:asciiTheme="majorHAnsi" w:hAnsiTheme="majorHAnsi"/>
          <w:sz w:val="20"/>
          <w:szCs w:val="20"/>
          <w:lang w:val="es-ES_tradnl"/>
        </w:rPr>
        <w:t xml:space="preserve">El Estado ha alegado que no se han agotado los recursos internos por cuanto </w:t>
      </w:r>
      <w:r w:rsidR="00A54D37" w:rsidRPr="007140EE">
        <w:rPr>
          <w:rFonts w:asciiTheme="majorHAnsi" w:hAnsiTheme="majorHAnsi"/>
          <w:sz w:val="20"/>
          <w:szCs w:val="20"/>
          <w:lang w:val="es-ES_tradnl"/>
        </w:rPr>
        <w:t>e</w:t>
      </w:r>
      <w:r w:rsidR="004459F2" w:rsidRPr="007140EE">
        <w:rPr>
          <w:rFonts w:asciiTheme="majorHAnsi" w:hAnsiTheme="majorHAnsi"/>
          <w:sz w:val="20"/>
          <w:szCs w:val="20"/>
          <w:lang w:val="es-ES_tradnl"/>
        </w:rPr>
        <w:t>l</w:t>
      </w:r>
      <w:r w:rsidR="00A54D37" w:rsidRPr="007140EE">
        <w:rPr>
          <w:rFonts w:asciiTheme="majorHAnsi" w:hAnsiTheme="majorHAnsi"/>
          <w:sz w:val="20"/>
          <w:szCs w:val="20"/>
          <w:lang w:val="es-ES_tradnl"/>
        </w:rPr>
        <w:t xml:space="preserve"> </w:t>
      </w:r>
      <w:r w:rsidR="004459F2" w:rsidRPr="007140EE">
        <w:rPr>
          <w:rFonts w:asciiTheme="majorHAnsi" w:hAnsiTheme="majorHAnsi"/>
          <w:sz w:val="20"/>
          <w:szCs w:val="20"/>
          <w:lang w:val="es-ES_tradnl"/>
        </w:rPr>
        <w:t>proceso penal</w:t>
      </w:r>
      <w:r w:rsidR="00A54D37" w:rsidRPr="007140EE">
        <w:rPr>
          <w:rFonts w:asciiTheme="majorHAnsi" w:hAnsiTheme="majorHAnsi"/>
          <w:sz w:val="20"/>
          <w:szCs w:val="20"/>
          <w:lang w:val="es-ES_tradnl"/>
        </w:rPr>
        <w:t xml:space="preserve"> doméstico</w:t>
      </w:r>
      <w:r w:rsidR="004459F2" w:rsidRPr="007140EE">
        <w:rPr>
          <w:rFonts w:asciiTheme="majorHAnsi" w:hAnsiTheme="majorHAnsi"/>
          <w:sz w:val="20"/>
          <w:szCs w:val="20"/>
          <w:lang w:val="es-ES_tradnl"/>
        </w:rPr>
        <w:t xml:space="preserve"> se halla paralizado dada la salida del señor </w:t>
      </w:r>
      <w:r w:rsidR="00A54D37" w:rsidRPr="007140EE">
        <w:rPr>
          <w:rFonts w:asciiTheme="majorHAnsi" w:hAnsiTheme="majorHAnsi"/>
          <w:sz w:val="20"/>
          <w:szCs w:val="20"/>
          <w:lang w:val="es-ES_tradnl"/>
        </w:rPr>
        <w:t xml:space="preserve">Herrera Velutini </w:t>
      </w:r>
      <w:r w:rsidR="004459F2" w:rsidRPr="007140EE">
        <w:rPr>
          <w:rFonts w:asciiTheme="majorHAnsi" w:hAnsiTheme="majorHAnsi"/>
          <w:sz w:val="20"/>
          <w:szCs w:val="20"/>
          <w:lang w:val="es-ES_tradnl"/>
        </w:rPr>
        <w:t>del país</w:t>
      </w:r>
      <w:r w:rsidR="00A54D37" w:rsidRPr="007140EE">
        <w:rPr>
          <w:rFonts w:asciiTheme="majorHAnsi" w:hAnsiTheme="majorHAnsi"/>
          <w:sz w:val="20"/>
          <w:szCs w:val="20"/>
          <w:lang w:val="es-ES_tradnl"/>
        </w:rPr>
        <w:t xml:space="preserve"> con anterioridad a su iniciación</w:t>
      </w:r>
      <w:r w:rsidR="004459F2" w:rsidRPr="007140EE">
        <w:rPr>
          <w:rFonts w:asciiTheme="majorHAnsi" w:hAnsiTheme="majorHAnsi"/>
          <w:sz w:val="20"/>
          <w:szCs w:val="20"/>
          <w:lang w:val="es-ES_tradnl"/>
        </w:rPr>
        <w:t>; al tiempo que los peticionarios consideran que es aplicable la excepción al deber de agotamiento de recursos interno</w:t>
      </w:r>
      <w:r w:rsidR="007B5EFF" w:rsidRPr="007140EE">
        <w:rPr>
          <w:rFonts w:asciiTheme="majorHAnsi" w:hAnsiTheme="majorHAnsi"/>
          <w:sz w:val="20"/>
          <w:szCs w:val="20"/>
          <w:lang w:val="es-ES_tradnl"/>
        </w:rPr>
        <w:t>s plasmada en el Artículo 46.2.</w:t>
      </w:r>
      <w:r w:rsidR="004459F2" w:rsidRPr="007140EE">
        <w:rPr>
          <w:rFonts w:asciiTheme="majorHAnsi" w:hAnsiTheme="majorHAnsi"/>
          <w:sz w:val="20"/>
          <w:szCs w:val="20"/>
          <w:lang w:val="es-ES_tradnl"/>
        </w:rPr>
        <w:t xml:space="preserve">a) de la Convención Americana, según el cual </w:t>
      </w:r>
      <w:r w:rsidR="004459F2" w:rsidRPr="007140EE">
        <w:rPr>
          <w:rFonts w:asciiTheme="majorHAnsi" w:hAnsiTheme="majorHAnsi" w:cstheme="minorHAnsi"/>
          <w:color w:val="000000"/>
          <w:sz w:val="20"/>
          <w:szCs w:val="20"/>
          <w:lang w:val="es-ES_tradnl"/>
        </w:rPr>
        <w:t>no será obligatorio agotar tales recursos cuando “</w:t>
      </w:r>
      <w:r w:rsidR="004459F2" w:rsidRPr="007140EE">
        <w:rPr>
          <w:rFonts w:asciiTheme="majorHAnsi" w:hAnsiTheme="majorHAnsi" w:cstheme="minorHAnsi"/>
          <w:i/>
          <w:color w:val="000000"/>
          <w:sz w:val="20"/>
          <w:szCs w:val="20"/>
          <w:lang w:val="es-ES_tradnl"/>
        </w:rPr>
        <w:t>no exista en la legislación interna del Estado de que se trata el debido proceso legal para la protección del derecho o derechos que se alega han sido violados</w:t>
      </w:r>
      <w:r w:rsidR="004459F2" w:rsidRPr="007140EE">
        <w:rPr>
          <w:rFonts w:asciiTheme="majorHAnsi" w:hAnsiTheme="majorHAnsi" w:cstheme="minorHAnsi"/>
          <w:color w:val="000000"/>
          <w:sz w:val="20"/>
          <w:szCs w:val="20"/>
          <w:lang w:val="es-ES_tradnl"/>
        </w:rPr>
        <w:t>”.</w:t>
      </w:r>
    </w:p>
    <w:p w14:paraId="02B87B27" w14:textId="2992D2D0" w:rsidR="004459F2" w:rsidRPr="007140EE" w:rsidRDefault="007B5EFF" w:rsidP="00AE49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7140EE">
        <w:rPr>
          <w:rFonts w:asciiTheme="majorHAnsi" w:hAnsiTheme="majorHAnsi"/>
          <w:sz w:val="20"/>
          <w:szCs w:val="20"/>
          <w:lang w:val="es-ES_tradnl"/>
        </w:rPr>
        <w:t xml:space="preserve">15. </w:t>
      </w:r>
      <w:r w:rsidRPr="007140EE">
        <w:rPr>
          <w:rFonts w:asciiTheme="majorHAnsi" w:hAnsiTheme="majorHAnsi"/>
          <w:sz w:val="20"/>
          <w:szCs w:val="20"/>
          <w:lang w:val="es-ES_tradnl"/>
        </w:rPr>
        <w:tab/>
        <w:t xml:space="preserve">Como primera medida, es importante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Comisión recuerda que </w:t>
      </w:r>
      <w:r w:rsidRPr="007140EE">
        <w:rPr>
          <w:rFonts w:asciiTheme="majorHAnsi" w:hAnsiTheme="majorHAnsi" w:cs="Calibri"/>
          <w:sz w:val="20"/>
          <w:szCs w:val="20"/>
          <w:lang w:val="es-ES_tradnl"/>
        </w:rPr>
        <w:t>el criterio de evaluación de la fase de admisibilidad difiere del que se utiliza para pronunciarse sobre el fondo de una petición;</w:t>
      </w:r>
      <w:r w:rsidR="00AE495B">
        <w:rPr>
          <w:rFonts w:asciiTheme="majorHAnsi" w:hAnsiTheme="majorHAnsi" w:cs="Calibri"/>
          <w:sz w:val="20"/>
          <w:szCs w:val="20"/>
          <w:lang w:val="es-ES_tradnl"/>
        </w:rPr>
        <w:t xml:space="preserve"> en esta primera fase,</w:t>
      </w:r>
      <w:r w:rsidRPr="007140EE">
        <w:rPr>
          <w:rFonts w:asciiTheme="majorHAnsi" w:hAnsiTheme="majorHAnsi" w:cs="Calibri"/>
          <w:sz w:val="20"/>
          <w:szCs w:val="20"/>
          <w:lang w:val="es-ES_tradnl"/>
        </w:rPr>
        <w:t xml:space="preserve"> la Comisión debe realizar una evaluación </w:t>
      </w:r>
      <w:r w:rsidRPr="007140EE">
        <w:rPr>
          <w:rFonts w:asciiTheme="majorHAnsi" w:hAnsiTheme="majorHAnsi" w:cs="Calibri"/>
          <w:i/>
          <w:iCs/>
          <w:sz w:val="20"/>
          <w:szCs w:val="20"/>
          <w:lang w:val="es-ES_tradnl"/>
        </w:rPr>
        <w:t>prima facie</w:t>
      </w:r>
      <w:r w:rsidRPr="007140EE">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w:t>
      </w:r>
      <w:r w:rsidRPr="007140EE">
        <w:rPr>
          <w:rFonts w:asciiTheme="majorHAnsi" w:hAnsiTheme="majorHAnsi" w:cs="Calibri"/>
          <w:sz w:val="20"/>
          <w:szCs w:val="20"/>
          <w:lang w:val="es-ES_tradnl"/>
        </w:rPr>
        <w:lastRenderedPageBreak/>
        <w:t>prejuzgar sobre el fondo del asunto</w:t>
      </w:r>
      <w:r w:rsidRPr="007140EE">
        <w:rPr>
          <w:rStyle w:val="FootnoteReference"/>
          <w:rFonts w:asciiTheme="majorHAnsi" w:hAnsiTheme="majorHAnsi" w:cs="Calibri"/>
          <w:sz w:val="20"/>
          <w:szCs w:val="20"/>
          <w:lang w:val="es-ES_tradnl"/>
        </w:rPr>
        <w:footnoteReference w:id="4"/>
      </w:r>
      <w:r w:rsidRPr="007140EE">
        <w:rPr>
          <w:rFonts w:asciiTheme="majorHAnsi" w:hAnsiTheme="majorHAnsi" w:cs="Calibri"/>
          <w:sz w:val="20"/>
          <w:szCs w:val="20"/>
          <w:lang w:val="es-ES_tradnl"/>
        </w:rPr>
        <w:t xml:space="preserve">. Esto significa que en el presente caso el análisis de la independencia judicial y el debido proceso legal en Venezuela ha de ser materia de un pronunciamiento sustantivo en la fase de fondo del presente procedimiento, pues son los reclamos planteados por los peticionarios; pero al mismo tiempo, estos asuntos han de ser examinados bajo el criterio de evaluación </w:t>
      </w:r>
      <w:r w:rsidRPr="007140EE">
        <w:rPr>
          <w:rFonts w:asciiTheme="majorHAnsi" w:hAnsiTheme="majorHAnsi" w:cs="Calibri"/>
          <w:i/>
          <w:iCs/>
          <w:sz w:val="20"/>
          <w:szCs w:val="20"/>
          <w:lang w:val="es-ES_tradnl"/>
        </w:rPr>
        <w:t>a priori</w:t>
      </w:r>
      <w:r w:rsidRPr="007140EE">
        <w:rPr>
          <w:rFonts w:asciiTheme="majorHAnsi" w:hAnsiTheme="majorHAnsi" w:cs="Calibri"/>
          <w:sz w:val="20"/>
          <w:szCs w:val="20"/>
          <w:lang w:val="es-ES_tradnl"/>
        </w:rPr>
        <w:t xml:space="preserve"> en el presente informe, exclusivamente para los efectos de determinar la admisibilidad de la petición, sin entrar a prejuzgar sobre sus méritos.</w:t>
      </w:r>
    </w:p>
    <w:p w14:paraId="7A592B6E" w14:textId="77777777" w:rsidR="007B5EFF" w:rsidRPr="007140EE" w:rsidRDefault="007B5EFF"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7140EE">
        <w:rPr>
          <w:rFonts w:asciiTheme="majorHAnsi" w:hAnsiTheme="majorHAnsi" w:cs="Calibri"/>
          <w:sz w:val="20"/>
          <w:szCs w:val="20"/>
          <w:lang w:val="es-ES_tradnl"/>
        </w:rPr>
        <w:t xml:space="preserve">16. </w:t>
      </w:r>
      <w:r w:rsidRPr="007140EE">
        <w:rPr>
          <w:rFonts w:asciiTheme="majorHAnsi" w:hAnsiTheme="majorHAnsi" w:cs="Calibri"/>
          <w:sz w:val="20"/>
          <w:szCs w:val="20"/>
          <w:lang w:val="es-ES_tradnl"/>
        </w:rPr>
        <w:tab/>
        <w:t>En este sentido, desde el momento de los hechos planteados en la petición hasta la actualidad, la CIDH ha constatado reiteradamente la falta de independencia judicial en Venezuela. Así sucedió, entre otras: (i) en el Informe Anual de 2008</w:t>
      </w:r>
      <w:r w:rsidRPr="007140EE">
        <w:rPr>
          <w:rStyle w:val="FootnoteReference"/>
          <w:rFonts w:asciiTheme="majorHAnsi" w:hAnsiTheme="majorHAnsi" w:cs="Calibri"/>
          <w:sz w:val="20"/>
          <w:szCs w:val="20"/>
          <w:lang w:val="es-ES_tradnl"/>
        </w:rPr>
        <w:footnoteReference w:id="5"/>
      </w:r>
      <w:r w:rsidRPr="007140EE">
        <w:rPr>
          <w:rFonts w:asciiTheme="majorHAnsi" w:hAnsiTheme="majorHAnsi" w:cs="Calibri"/>
          <w:sz w:val="20"/>
          <w:szCs w:val="20"/>
          <w:lang w:val="es-ES_tradnl"/>
        </w:rPr>
        <w:t>, (ii) en el Informe Anual de 2009</w:t>
      </w:r>
      <w:r w:rsidRPr="007140EE">
        <w:rPr>
          <w:rStyle w:val="FootnoteReference"/>
          <w:rFonts w:asciiTheme="majorHAnsi" w:hAnsiTheme="majorHAnsi" w:cs="Calibri"/>
          <w:sz w:val="20"/>
          <w:szCs w:val="20"/>
          <w:lang w:val="es-ES_tradnl"/>
        </w:rPr>
        <w:footnoteReference w:id="6"/>
      </w:r>
      <w:r w:rsidRPr="007140EE">
        <w:rPr>
          <w:rFonts w:asciiTheme="majorHAnsi" w:hAnsiTheme="majorHAnsi" w:cs="Calibri"/>
          <w:sz w:val="20"/>
          <w:szCs w:val="20"/>
          <w:lang w:val="es-ES_tradnl"/>
        </w:rPr>
        <w:t>, (iii) en el Informe Anual de 2010</w:t>
      </w:r>
      <w:r w:rsidRPr="007140EE">
        <w:rPr>
          <w:rStyle w:val="FootnoteReference"/>
          <w:rFonts w:asciiTheme="majorHAnsi" w:hAnsiTheme="majorHAnsi" w:cs="Calibri"/>
          <w:sz w:val="20"/>
          <w:szCs w:val="20"/>
          <w:lang w:val="es-ES_tradnl"/>
        </w:rPr>
        <w:footnoteReference w:id="7"/>
      </w:r>
      <w:r w:rsidRPr="007140EE">
        <w:rPr>
          <w:rFonts w:asciiTheme="majorHAnsi" w:hAnsiTheme="majorHAnsi" w:cs="Calibri"/>
          <w:sz w:val="20"/>
          <w:szCs w:val="20"/>
          <w:lang w:val="es-ES_tradnl"/>
        </w:rPr>
        <w:t>, (iv) en el Informe Anual de 2011</w:t>
      </w:r>
      <w:r w:rsidRPr="007140EE">
        <w:rPr>
          <w:rStyle w:val="FootnoteReference"/>
          <w:rFonts w:asciiTheme="majorHAnsi" w:hAnsiTheme="majorHAnsi" w:cs="Calibri"/>
          <w:sz w:val="20"/>
          <w:szCs w:val="20"/>
          <w:lang w:val="es-ES_tradnl"/>
        </w:rPr>
        <w:footnoteReference w:id="8"/>
      </w:r>
      <w:r w:rsidRPr="007140EE">
        <w:rPr>
          <w:rFonts w:asciiTheme="majorHAnsi" w:hAnsiTheme="majorHAnsi" w:cs="Calibri"/>
          <w:sz w:val="20"/>
          <w:szCs w:val="20"/>
          <w:lang w:val="es-ES_tradnl"/>
        </w:rPr>
        <w:t>, (v) en el Informe Anual de 2012</w:t>
      </w:r>
      <w:r w:rsidRPr="007140EE">
        <w:rPr>
          <w:rStyle w:val="FootnoteReference"/>
          <w:rFonts w:asciiTheme="majorHAnsi" w:hAnsiTheme="majorHAnsi" w:cs="Calibri"/>
          <w:sz w:val="20"/>
          <w:szCs w:val="20"/>
          <w:lang w:val="es-ES_tradnl"/>
        </w:rPr>
        <w:footnoteReference w:id="9"/>
      </w:r>
      <w:r w:rsidRPr="007140EE">
        <w:rPr>
          <w:rFonts w:asciiTheme="majorHAnsi" w:hAnsiTheme="majorHAnsi" w:cs="Calibri"/>
          <w:sz w:val="20"/>
          <w:szCs w:val="20"/>
          <w:lang w:val="es-ES_tradnl"/>
        </w:rPr>
        <w:t>, (vi) en el Informe Anual de 2013</w:t>
      </w:r>
      <w:r w:rsidRPr="007140EE">
        <w:rPr>
          <w:rStyle w:val="FootnoteReference"/>
          <w:rFonts w:asciiTheme="majorHAnsi" w:hAnsiTheme="majorHAnsi" w:cs="Calibri"/>
          <w:sz w:val="20"/>
          <w:szCs w:val="20"/>
          <w:lang w:val="es-ES_tradnl"/>
        </w:rPr>
        <w:footnoteReference w:id="10"/>
      </w:r>
      <w:r w:rsidRPr="007140EE">
        <w:rPr>
          <w:rFonts w:asciiTheme="majorHAnsi" w:hAnsiTheme="majorHAnsi" w:cs="Calibri"/>
          <w:sz w:val="20"/>
          <w:szCs w:val="20"/>
          <w:lang w:val="es-ES_tradnl"/>
        </w:rPr>
        <w:t>, (vii) en el Informe Anual de 2014</w:t>
      </w:r>
      <w:r w:rsidRPr="007140EE">
        <w:rPr>
          <w:rStyle w:val="FootnoteReference"/>
          <w:rFonts w:asciiTheme="majorHAnsi" w:hAnsiTheme="majorHAnsi" w:cs="Calibri"/>
          <w:sz w:val="20"/>
          <w:szCs w:val="20"/>
          <w:lang w:val="es-ES_tradnl"/>
        </w:rPr>
        <w:footnoteReference w:id="11"/>
      </w:r>
      <w:r w:rsidRPr="007140EE">
        <w:rPr>
          <w:rFonts w:asciiTheme="majorHAnsi" w:hAnsiTheme="majorHAnsi" w:cs="Calibri"/>
          <w:sz w:val="20"/>
          <w:szCs w:val="20"/>
          <w:lang w:val="es-ES_tradnl"/>
        </w:rPr>
        <w:t>, (viii) en el Informe Anual de 2015</w:t>
      </w:r>
      <w:r w:rsidRPr="007140EE">
        <w:rPr>
          <w:rStyle w:val="FootnoteReference"/>
          <w:rFonts w:asciiTheme="majorHAnsi" w:hAnsiTheme="majorHAnsi" w:cs="Calibri"/>
          <w:sz w:val="20"/>
          <w:szCs w:val="20"/>
          <w:lang w:val="es-ES_tradnl"/>
        </w:rPr>
        <w:footnoteReference w:id="12"/>
      </w:r>
      <w:r w:rsidRPr="007140EE">
        <w:rPr>
          <w:rFonts w:asciiTheme="majorHAnsi" w:hAnsiTheme="majorHAnsi" w:cs="Calibri"/>
          <w:sz w:val="20"/>
          <w:szCs w:val="20"/>
          <w:lang w:val="es-ES_tradnl"/>
        </w:rPr>
        <w:t>, (ix) en el Informe Anual de 2016</w:t>
      </w:r>
      <w:r w:rsidRPr="007140EE">
        <w:rPr>
          <w:rStyle w:val="FootnoteReference"/>
          <w:rFonts w:asciiTheme="majorHAnsi" w:hAnsiTheme="majorHAnsi" w:cs="Calibri"/>
          <w:sz w:val="20"/>
          <w:szCs w:val="20"/>
          <w:lang w:val="es-ES_tradnl"/>
        </w:rPr>
        <w:footnoteReference w:id="13"/>
      </w:r>
      <w:r w:rsidRPr="007140EE">
        <w:rPr>
          <w:rFonts w:asciiTheme="majorHAnsi" w:hAnsiTheme="majorHAnsi" w:cs="Calibri"/>
          <w:sz w:val="20"/>
          <w:szCs w:val="20"/>
          <w:lang w:val="es-ES_tradnl"/>
        </w:rPr>
        <w:t>, (x) en el Informe Anual de 2017</w:t>
      </w:r>
      <w:r w:rsidRPr="007140EE">
        <w:rPr>
          <w:rStyle w:val="FootnoteReference"/>
          <w:rFonts w:asciiTheme="majorHAnsi" w:hAnsiTheme="majorHAnsi" w:cs="Calibri"/>
          <w:sz w:val="20"/>
          <w:szCs w:val="20"/>
          <w:lang w:val="es-ES_tradnl"/>
        </w:rPr>
        <w:footnoteReference w:id="14"/>
      </w:r>
      <w:r w:rsidRPr="007140EE">
        <w:rPr>
          <w:rFonts w:asciiTheme="majorHAnsi" w:hAnsiTheme="majorHAnsi" w:cs="Calibri"/>
          <w:sz w:val="20"/>
          <w:szCs w:val="20"/>
          <w:lang w:val="es-ES_tradnl"/>
        </w:rPr>
        <w:t>, (xi) en el Informe Anual de 2018</w:t>
      </w:r>
      <w:r w:rsidRPr="007140EE">
        <w:rPr>
          <w:rStyle w:val="FootnoteReference"/>
          <w:rFonts w:asciiTheme="majorHAnsi" w:hAnsiTheme="majorHAnsi" w:cs="Calibri"/>
          <w:sz w:val="20"/>
          <w:szCs w:val="20"/>
          <w:lang w:val="es-ES_tradnl"/>
        </w:rPr>
        <w:footnoteReference w:id="15"/>
      </w:r>
      <w:r w:rsidRPr="007140EE">
        <w:rPr>
          <w:rFonts w:asciiTheme="majorHAnsi" w:hAnsiTheme="majorHAnsi" w:cs="Calibri"/>
          <w:sz w:val="20"/>
          <w:szCs w:val="20"/>
          <w:lang w:val="es-ES_tradnl"/>
        </w:rPr>
        <w:t xml:space="preserve"> y (xii) en el Informe Anual de 2019</w:t>
      </w:r>
      <w:r w:rsidRPr="007140EE">
        <w:rPr>
          <w:rStyle w:val="FootnoteReference"/>
          <w:rFonts w:asciiTheme="majorHAnsi" w:hAnsiTheme="majorHAnsi" w:cs="Calibri"/>
          <w:sz w:val="20"/>
          <w:szCs w:val="20"/>
          <w:lang w:val="es-ES_tradnl"/>
        </w:rPr>
        <w:footnoteReference w:id="16"/>
      </w:r>
      <w:r w:rsidRPr="007140EE">
        <w:rPr>
          <w:rFonts w:asciiTheme="majorHAnsi" w:hAnsiTheme="majorHAnsi" w:cs="Calibri"/>
          <w:sz w:val="20"/>
          <w:szCs w:val="20"/>
          <w:lang w:val="es-ES_tradnl"/>
        </w:rPr>
        <w:t>. También se examinó en detalle el tema en (xiii) el Informe sobre la Situación de Derechos Humanos en Venezuela de 2017</w:t>
      </w:r>
      <w:r w:rsidRPr="007140EE">
        <w:rPr>
          <w:rStyle w:val="FootnoteReference"/>
          <w:rFonts w:asciiTheme="majorHAnsi" w:hAnsiTheme="majorHAnsi" w:cs="Calibri"/>
          <w:sz w:val="20"/>
          <w:szCs w:val="20"/>
          <w:lang w:val="es-ES_tradnl"/>
        </w:rPr>
        <w:footnoteReference w:id="17"/>
      </w:r>
      <w:r w:rsidRPr="007140EE">
        <w:rPr>
          <w:rFonts w:asciiTheme="majorHAnsi" w:hAnsiTheme="majorHAnsi" w:cs="Calibri"/>
          <w:sz w:val="20"/>
          <w:szCs w:val="20"/>
          <w:lang w:val="es-ES_tradnl"/>
        </w:rPr>
        <w:t xml:space="preserve"> y (xiv) el Informe sobre Democracia y Derechos Humanos en Venezuela de 2009</w:t>
      </w:r>
      <w:r w:rsidRPr="007140EE">
        <w:rPr>
          <w:rStyle w:val="FootnoteReference"/>
          <w:rFonts w:asciiTheme="majorHAnsi" w:hAnsiTheme="majorHAnsi" w:cs="Calibri"/>
          <w:sz w:val="20"/>
          <w:szCs w:val="20"/>
          <w:lang w:val="es-ES_tradnl"/>
        </w:rPr>
        <w:footnoteReference w:id="18"/>
      </w:r>
      <w:r w:rsidRPr="007140EE">
        <w:rPr>
          <w:rFonts w:asciiTheme="majorHAnsi" w:hAnsiTheme="majorHAnsi" w:cs="Calibri"/>
          <w:sz w:val="20"/>
          <w:szCs w:val="20"/>
          <w:lang w:val="es-ES_tradnl"/>
        </w:rPr>
        <w:t xml:space="preserve">. </w:t>
      </w:r>
    </w:p>
    <w:p w14:paraId="49E417DE" w14:textId="66782439" w:rsidR="007B5EFF" w:rsidRPr="007140EE" w:rsidRDefault="007B5EFF"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7140EE">
        <w:rPr>
          <w:rFonts w:asciiTheme="majorHAnsi" w:hAnsiTheme="majorHAnsi" w:cs="Calibri"/>
          <w:sz w:val="20"/>
          <w:szCs w:val="20"/>
          <w:lang w:val="es-ES_tradnl"/>
        </w:rPr>
        <w:t>17.</w:t>
      </w:r>
      <w:r w:rsidRPr="007140EE">
        <w:rPr>
          <w:rFonts w:asciiTheme="majorHAnsi" w:hAnsiTheme="majorHAnsi" w:cs="Calibri"/>
          <w:sz w:val="20"/>
          <w:szCs w:val="20"/>
          <w:lang w:val="es-ES_tradnl"/>
        </w:rPr>
        <w:tab/>
        <w:t xml:space="preserve">Las constataciones de la CIDH en cada uno de estos informes han sido minuciosas y contundentes, en forma tal </w:t>
      </w:r>
      <w:r w:rsidR="007140EE" w:rsidRPr="007140EE">
        <w:rPr>
          <w:rFonts w:asciiTheme="majorHAnsi" w:hAnsiTheme="majorHAnsi" w:cs="Calibri"/>
          <w:sz w:val="20"/>
          <w:szCs w:val="20"/>
          <w:lang w:val="es-ES_tradnl"/>
        </w:rPr>
        <w:t>que,</w:t>
      </w:r>
      <w:r w:rsidRPr="007140EE">
        <w:rPr>
          <w:rFonts w:asciiTheme="majorHAnsi" w:hAnsiTheme="majorHAnsi" w:cs="Calibri"/>
          <w:sz w:val="20"/>
          <w:szCs w:val="20"/>
          <w:lang w:val="es-ES_tradnl"/>
        </w:rPr>
        <w:t xml:space="preserve"> para los propósitos del presente examen de admisibilidad, puede concluirse </w:t>
      </w:r>
      <w:r w:rsidRPr="007140EE">
        <w:rPr>
          <w:rFonts w:ascii="Cambria" w:hAnsi="Cambria"/>
          <w:sz w:val="20"/>
          <w:szCs w:val="20"/>
          <w:lang w:val="es-ES_tradnl"/>
        </w:rPr>
        <w:t>–</w:t>
      </w:r>
      <w:r w:rsidRPr="007140EE">
        <w:rPr>
          <w:rFonts w:asciiTheme="majorHAnsi" w:hAnsiTheme="majorHAnsi" w:cs="Calibri"/>
          <w:sz w:val="20"/>
          <w:szCs w:val="20"/>
          <w:lang w:val="es-ES_tradnl"/>
        </w:rPr>
        <w:t>sin que ello implique pronunciamiento alguno sobre el fondo del presente caso</w:t>
      </w:r>
      <w:r w:rsidRPr="007140EE">
        <w:rPr>
          <w:rFonts w:ascii="Cambria" w:hAnsi="Cambria"/>
          <w:sz w:val="20"/>
          <w:szCs w:val="20"/>
          <w:lang w:val="es-ES_tradnl"/>
        </w:rPr>
        <w:t>–</w:t>
      </w:r>
      <w:r w:rsidRPr="007140EE">
        <w:rPr>
          <w:rFonts w:asciiTheme="majorHAnsi" w:hAnsiTheme="majorHAnsi" w:cs="Calibri"/>
          <w:sz w:val="20"/>
          <w:szCs w:val="20"/>
          <w:lang w:val="es-ES_tradnl"/>
        </w:rPr>
        <w:t xml:space="preserve"> </w:t>
      </w:r>
      <w:r w:rsidR="007140EE" w:rsidRPr="007140EE">
        <w:rPr>
          <w:rFonts w:asciiTheme="majorHAnsi" w:hAnsiTheme="majorHAnsi" w:cs="Calibri"/>
          <w:sz w:val="20"/>
          <w:szCs w:val="20"/>
          <w:lang w:val="es-ES_tradnl"/>
        </w:rPr>
        <w:t>que,</w:t>
      </w:r>
      <w:r w:rsidRPr="007140EE">
        <w:rPr>
          <w:rFonts w:asciiTheme="majorHAnsi" w:hAnsiTheme="majorHAnsi" w:cs="Calibri"/>
          <w:sz w:val="20"/>
          <w:szCs w:val="20"/>
          <w:lang w:val="es-ES_tradnl"/>
        </w:rPr>
        <w:t xml:space="preserve"> en Venezuela, en principio, no se garantiza el debido proceso legal a quienes son procesados por la administración de justicia. En particular, cuando se evidencia, como en el presente caso, que hay un interés dirigido desde las más altas esferas del gobierno de utilizar el derecho penal como arma de persecución contra una persona. Este cúmulo de información verificada por la CIDH respecto de la falta de independencia judicial en Venezuela, particularmente en casos como el presente, sustenta el hecho ex</w:t>
      </w:r>
      <w:r w:rsidR="00AE495B">
        <w:rPr>
          <w:rFonts w:asciiTheme="majorHAnsi" w:hAnsiTheme="majorHAnsi" w:cs="Calibri"/>
          <w:sz w:val="20"/>
          <w:szCs w:val="20"/>
          <w:lang w:val="es-ES_tradnl"/>
        </w:rPr>
        <w:t>traordinario</w:t>
      </w:r>
      <w:r w:rsidRPr="007140EE">
        <w:rPr>
          <w:rFonts w:asciiTheme="majorHAnsi" w:hAnsiTheme="majorHAnsi" w:cs="Calibri"/>
          <w:sz w:val="20"/>
          <w:szCs w:val="20"/>
          <w:lang w:val="es-ES_tradnl"/>
        </w:rPr>
        <w:t xml:space="preserve"> de que se esté aplicado la excepción del artículo 46.1.a) a un caso, como el presente, en el que los recursos internos no se han agotado formalmente debido a la ausencia de la presunta víctima del Estado en el que se le está procesando, lo cual ordinariamente, fuera de estas circunstancias, acarrearía, en principio, la inadmisibilidad de la petición por falta de agotamiento de los recursos internos. </w:t>
      </w:r>
    </w:p>
    <w:p w14:paraId="4E74889F" w14:textId="77777777" w:rsidR="004459F2" w:rsidRPr="007140EE" w:rsidRDefault="007B5EFF" w:rsidP="007B5E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7140EE">
        <w:rPr>
          <w:rFonts w:asciiTheme="majorHAnsi" w:hAnsiTheme="majorHAnsi" w:cs="Calibri"/>
          <w:sz w:val="20"/>
          <w:szCs w:val="20"/>
          <w:lang w:val="es-ES_tradnl"/>
        </w:rPr>
        <w:t>18</w:t>
      </w:r>
      <w:r w:rsidR="004459F2" w:rsidRPr="007140EE">
        <w:rPr>
          <w:rFonts w:asciiTheme="majorHAnsi" w:hAnsiTheme="majorHAnsi" w:cs="Calibri"/>
          <w:sz w:val="20"/>
          <w:szCs w:val="20"/>
          <w:lang w:val="es-ES_tradnl"/>
        </w:rPr>
        <w:t xml:space="preserve">. </w:t>
      </w:r>
      <w:r w:rsidRPr="007140EE">
        <w:rPr>
          <w:rFonts w:asciiTheme="majorHAnsi" w:hAnsiTheme="majorHAnsi" w:cs="Calibri"/>
          <w:sz w:val="20"/>
          <w:szCs w:val="20"/>
          <w:lang w:val="es-ES_tradnl"/>
        </w:rPr>
        <w:tab/>
      </w:r>
      <w:r w:rsidR="004459F2" w:rsidRPr="007140EE">
        <w:rPr>
          <w:rFonts w:asciiTheme="majorHAnsi" w:hAnsiTheme="majorHAnsi" w:cs="Calibri"/>
          <w:sz w:val="20"/>
          <w:szCs w:val="20"/>
          <w:lang w:val="es-ES_tradnl"/>
        </w:rPr>
        <w:t>Por esta razón, la CIDH declara aplicable la excepción al deber de agotamiento de recursos interno</w:t>
      </w:r>
      <w:r w:rsidRPr="007140EE">
        <w:rPr>
          <w:rFonts w:asciiTheme="majorHAnsi" w:hAnsiTheme="majorHAnsi" w:cs="Calibri"/>
          <w:sz w:val="20"/>
          <w:szCs w:val="20"/>
          <w:lang w:val="es-ES_tradnl"/>
        </w:rPr>
        <w:t>s plasmada en el Artículo 46.2.</w:t>
      </w:r>
      <w:r w:rsidR="004459F2" w:rsidRPr="007140EE">
        <w:rPr>
          <w:rFonts w:asciiTheme="majorHAnsi" w:hAnsiTheme="majorHAnsi" w:cs="Calibri"/>
          <w:sz w:val="20"/>
          <w:szCs w:val="20"/>
          <w:lang w:val="es-ES_tradnl"/>
        </w:rPr>
        <w:t xml:space="preserve">a) de la Convención Americana. Dado que </w:t>
      </w:r>
      <w:r w:rsidR="00A54D37" w:rsidRPr="007140EE">
        <w:rPr>
          <w:rFonts w:asciiTheme="majorHAnsi" w:hAnsiTheme="majorHAnsi" w:cs="Calibri"/>
          <w:sz w:val="20"/>
          <w:szCs w:val="20"/>
          <w:lang w:val="es-ES_tradnl"/>
        </w:rPr>
        <w:t xml:space="preserve">el </w:t>
      </w:r>
      <w:r w:rsidR="004459F2" w:rsidRPr="007140EE">
        <w:rPr>
          <w:rFonts w:asciiTheme="majorHAnsi" w:hAnsiTheme="majorHAnsi" w:cs="Calibri"/>
          <w:sz w:val="20"/>
          <w:szCs w:val="20"/>
          <w:lang w:val="es-ES_tradnl"/>
        </w:rPr>
        <w:t xml:space="preserve">proceso penal fue iniciado en </w:t>
      </w:r>
      <w:r w:rsidR="00A54D37" w:rsidRPr="007140EE">
        <w:rPr>
          <w:rFonts w:asciiTheme="majorHAnsi" w:hAnsiTheme="majorHAnsi" w:cs="Calibri"/>
          <w:sz w:val="20"/>
          <w:szCs w:val="20"/>
          <w:lang w:val="es-ES_tradnl"/>
        </w:rPr>
        <w:t xml:space="preserve">diciembre </w:t>
      </w:r>
      <w:r w:rsidR="004459F2" w:rsidRPr="007140EE">
        <w:rPr>
          <w:rFonts w:asciiTheme="majorHAnsi" w:hAnsiTheme="majorHAnsi" w:cs="Calibri"/>
          <w:sz w:val="20"/>
          <w:szCs w:val="20"/>
          <w:lang w:val="es-ES_tradnl"/>
        </w:rPr>
        <w:t>de 20</w:t>
      </w:r>
      <w:r w:rsidR="00A54D37" w:rsidRPr="007140EE">
        <w:rPr>
          <w:rFonts w:asciiTheme="majorHAnsi" w:hAnsiTheme="majorHAnsi" w:cs="Calibri"/>
          <w:sz w:val="20"/>
          <w:szCs w:val="20"/>
          <w:lang w:val="es-ES_tradnl"/>
        </w:rPr>
        <w:t>09</w:t>
      </w:r>
      <w:r w:rsidR="004459F2" w:rsidRPr="007140EE">
        <w:rPr>
          <w:rFonts w:asciiTheme="majorHAnsi" w:hAnsiTheme="majorHAnsi" w:cs="Calibri"/>
          <w:sz w:val="20"/>
          <w:szCs w:val="20"/>
          <w:lang w:val="es-ES_tradnl"/>
        </w:rPr>
        <w:t xml:space="preserve">, que desde entonces están en curso y pesa una orden de aprehensión sobre el señor Herrera, y que la petición fue recibida en la Secretaría Ejecutiva el </w:t>
      </w:r>
      <w:r w:rsidR="00A54D37" w:rsidRPr="007140EE">
        <w:rPr>
          <w:rFonts w:asciiTheme="majorHAnsi" w:hAnsiTheme="majorHAnsi" w:cs="Calibri"/>
          <w:sz w:val="20"/>
          <w:szCs w:val="20"/>
          <w:lang w:val="es-ES_tradnl"/>
        </w:rPr>
        <w:t>20 de septiembre de 2010</w:t>
      </w:r>
      <w:r w:rsidR="004459F2" w:rsidRPr="007140EE">
        <w:rPr>
          <w:rFonts w:asciiTheme="majorHAnsi" w:hAnsiTheme="majorHAnsi" w:cs="Calibri"/>
          <w:sz w:val="20"/>
          <w:szCs w:val="20"/>
          <w:lang w:val="es-ES_tradnl"/>
        </w:rPr>
        <w:t xml:space="preserve">, la Comisión </w:t>
      </w:r>
      <w:r w:rsidR="004459F2" w:rsidRPr="007140EE">
        <w:rPr>
          <w:rFonts w:asciiTheme="majorHAnsi" w:hAnsiTheme="majorHAnsi" w:cs="Calibri"/>
          <w:sz w:val="20"/>
          <w:szCs w:val="20"/>
          <w:lang w:val="es-ES_tradnl"/>
        </w:rPr>
        <w:lastRenderedPageBreak/>
        <w:t>concluye que ésta fue presentada dentro de un término razonable a la luz del artículo 32.2 del Reglamento de la CIDH.</w:t>
      </w:r>
    </w:p>
    <w:p w14:paraId="67AA27F5" w14:textId="22C117DC" w:rsidR="008C5E2D" w:rsidRPr="007140EE" w:rsidRDefault="007B5EFF" w:rsidP="006B1C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7140EE">
        <w:rPr>
          <w:rFonts w:asciiTheme="majorHAnsi" w:hAnsiTheme="majorHAnsi" w:cs="Calibri"/>
          <w:sz w:val="20"/>
          <w:szCs w:val="20"/>
          <w:lang w:val="es-ES_tradnl"/>
        </w:rPr>
        <w:t>19</w:t>
      </w:r>
      <w:r w:rsidR="006B1CB5" w:rsidRPr="007140EE">
        <w:rPr>
          <w:rFonts w:asciiTheme="majorHAnsi" w:hAnsiTheme="majorHAnsi" w:cs="Calibri"/>
          <w:sz w:val="20"/>
          <w:szCs w:val="20"/>
          <w:lang w:val="es-ES_tradnl"/>
        </w:rPr>
        <w:t>.</w:t>
      </w:r>
      <w:r w:rsidRPr="007140EE">
        <w:rPr>
          <w:rFonts w:asciiTheme="majorHAnsi" w:hAnsiTheme="majorHAnsi" w:cs="Calibri"/>
          <w:sz w:val="20"/>
          <w:szCs w:val="20"/>
          <w:lang w:val="es-ES_tradnl"/>
        </w:rPr>
        <w:tab/>
      </w:r>
      <w:r w:rsidR="004459F2" w:rsidRPr="007140EE">
        <w:rPr>
          <w:rFonts w:asciiTheme="majorHAnsi" w:hAnsiTheme="majorHAnsi" w:cs="Calibri"/>
          <w:sz w:val="20"/>
          <w:szCs w:val="20"/>
          <w:lang w:val="es-ES_tradnl"/>
        </w:rPr>
        <w:t>La CIDH nota que el Estado ha solicitado que se dé aplicación al precedente establecido en la sentencia de la Corte Interamericana sobre el caso de Allan Randolph Brewer Carías</w:t>
      </w:r>
      <w:r w:rsidR="004459F2" w:rsidRPr="007140EE">
        <w:rPr>
          <w:rStyle w:val="FootnoteReference"/>
          <w:rFonts w:asciiTheme="majorHAnsi" w:hAnsiTheme="majorHAnsi" w:cs="Calibri"/>
          <w:sz w:val="20"/>
          <w:szCs w:val="20"/>
          <w:lang w:val="es-ES_tradnl"/>
        </w:rPr>
        <w:footnoteReference w:id="19"/>
      </w:r>
      <w:r w:rsidR="004459F2" w:rsidRPr="007140EE">
        <w:rPr>
          <w:rFonts w:asciiTheme="majorHAnsi" w:hAnsiTheme="majorHAnsi" w:cs="Calibri"/>
          <w:sz w:val="20"/>
          <w:szCs w:val="20"/>
          <w:lang w:val="es-ES_tradnl"/>
        </w:rPr>
        <w:t xml:space="preserve">, por considerar que se trata de un caso idéntico al que se está examinando, ya que tanto el señor Brewer como el señor Herrera Velutini salieron del territorio venezolano </w:t>
      </w:r>
      <w:r w:rsidR="00A54D37" w:rsidRPr="007140EE">
        <w:rPr>
          <w:rFonts w:asciiTheme="majorHAnsi" w:hAnsiTheme="majorHAnsi" w:cs="Calibri"/>
          <w:sz w:val="20"/>
          <w:szCs w:val="20"/>
          <w:lang w:val="es-ES_tradnl"/>
        </w:rPr>
        <w:t xml:space="preserve">donde </w:t>
      </w:r>
      <w:r w:rsidR="004459F2" w:rsidRPr="007140EE">
        <w:rPr>
          <w:rFonts w:asciiTheme="majorHAnsi" w:hAnsiTheme="majorHAnsi" w:cs="Calibri"/>
          <w:sz w:val="20"/>
          <w:szCs w:val="20"/>
          <w:lang w:val="es-ES_tradnl"/>
        </w:rPr>
        <w:t xml:space="preserve">estaban en curso procesos penales en su contra. En el caso Brewer, el Estado venezolano planteó la excepción preliminar de falta de agotamiento de los recursos domésticos, y la parte peticionaria </w:t>
      </w:r>
      <w:r w:rsidR="007140EE" w:rsidRPr="007140EE">
        <w:rPr>
          <w:rFonts w:asciiTheme="majorHAnsi" w:hAnsiTheme="majorHAnsi" w:cs="Calibri"/>
          <w:sz w:val="20"/>
          <w:szCs w:val="20"/>
          <w:lang w:val="es-ES_tradnl"/>
        </w:rPr>
        <w:t>contra argumentó</w:t>
      </w:r>
      <w:r w:rsidR="004459F2" w:rsidRPr="007140EE">
        <w:rPr>
          <w:rFonts w:asciiTheme="majorHAnsi" w:hAnsiTheme="majorHAnsi" w:cs="Calibri"/>
          <w:sz w:val="20"/>
          <w:szCs w:val="20"/>
          <w:lang w:val="es-ES_tradnl"/>
        </w:rPr>
        <w:t xml:space="preserve"> ante la Corte que se había configurado la excepción de retardo injustificado en la resolución de los recursos internos. La Corte, en el segmento citado por Venezuela en el presente procedimiento, resolvió que cuando la demora procesal obedece a la falta de presencia de un procesado penalmente ante el tribunal competente, no se puede concluir que hubo un retardo injustificado atribuible al Estado; en palabras de la Corte refiriéndose al señor Brewer Carías, </w:t>
      </w:r>
      <w:r w:rsidR="004459F2" w:rsidRPr="007140EE">
        <w:rPr>
          <w:rFonts w:asciiTheme="majorHAnsi" w:hAnsiTheme="majorHAnsi" w:cs="Calibri"/>
          <w:i/>
          <w:iCs/>
          <w:sz w:val="20"/>
          <w:szCs w:val="20"/>
          <w:lang w:val="es-ES_tradnl"/>
        </w:rPr>
        <w:t>“</w:t>
      </w:r>
      <w:r w:rsidR="004459F2" w:rsidRPr="007140EE">
        <w:rPr>
          <w:rFonts w:asciiTheme="majorHAnsi" w:hAnsiTheme="majorHAnsi"/>
          <w:i/>
          <w:iCs/>
          <w:sz w:val="20"/>
          <w:szCs w:val="20"/>
          <w:lang w:val="es-ES_tradnl"/>
        </w:rPr>
        <w:t>su ausencia ha conllevado que la audiencia preliminar en su contra no haya podido ser llevada a cabo, por lo que es posible afirmar que el retardo en la resolución de las nulidades sería imputable a su decisión de no someterse al proceso e implica un impacto en el análisis del retardo injustificado o plazo razonable”</w:t>
      </w:r>
      <w:r w:rsidR="004459F2" w:rsidRPr="007140EE">
        <w:rPr>
          <w:rStyle w:val="FootnoteReference"/>
          <w:rFonts w:asciiTheme="majorHAnsi" w:hAnsiTheme="majorHAnsi"/>
          <w:i/>
          <w:iCs/>
          <w:sz w:val="20"/>
          <w:szCs w:val="20"/>
          <w:lang w:val="es-ES_tradnl"/>
        </w:rPr>
        <w:footnoteReference w:id="20"/>
      </w:r>
      <w:r w:rsidR="004459F2" w:rsidRPr="007140EE">
        <w:rPr>
          <w:rFonts w:asciiTheme="majorHAnsi" w:hAnsiTheme="majorHAnsi"/>
          <w:i/>
          <w:iCs/>
          <w:sz w:val="20"/>
          <w:szCs w:val="20"/>
          <w:lang w:val="es-ES_tradnl"/>
        </w:rPr>
        <w:t>.</w:t>
      </w:r>
      <w:r w:rsidR="004459F2" w:rsidRPr="007140EE">
        <w:rPr>
          <w:rFonts w:asciiTheme="majorHAnsi" w:hAnsiTheme="majorHAnsi"/>
          <w:sz w:val="20"/>
          <w:szCs w:val="20"/>
          <w:lang w:val="es-ES_tradnl"/>
        </w:rPr>
        <w:t xml:space="preserve"> Como resulta evidente, dicho precedente no es aplicable al caso actual del señor Julio Martín Herrera, puesto que los peticionarios han invocado en este proceso la excepción al deber de agotamiento de los recursos internos consagrada en el literal (a) del Artículo 46.2 de la Convención (inexistencia de debido proceso legal), y no aquella consagrada en el literal (c) del mismo artículo (retardo injustificado en la resolución de los recursos). Por lo tanto, </w:t>
      </w:r>
      <w:r w:rsidR="009D5967">
        <w:rPr>
          <w:rFonts w:asciiTheme="majorHAnsi" w:hAnsiTheme="majorHAnsi"/>
          <w:sz w:val="20"/>
          <w:szCs w:val="20"/>
          <w:lang w:val="es-ES_tradnl"/>
        </w:rPr>
        <w:t xml:space="preserve">la CIDH no lo considera aplicable. </w:t>
      </w:r>
    </w:p>
    <w:p w14:paraId="61065694" w14:textId="26F2EC17" w:rsidR="004B63AF" w:rsidRPr="007140EE" w:rsidRDefault="007B5EFF" w:rsidP="004B63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40EE">
        <w:rPr>
          <w:rFonts w:asciiTheme="majorHAnsi" w:hAnsiTheme="majorHAnsi"/>
          <w:sz w:val="20"/>
          <w:szCs w:val="20"/>
          <w:lang w:val="es-ES_tradnl"/>
        </w:rPr>
        <w:t>20</w:t>
      </w:r>
      <w:r w:rsidR="006B1CB5" w:rsidRPr="007140EE">
        <w:rPr>
          <w:rFonts w:asciiTheme="majorHAnsi" w:hAnsiTheme="majorHAnsi"/>
          <w:sz w:val="20"/>
          <w:szCs w:val="20"/>
          <w:lang w:val="es-ES_tradnl"/>
        </w:rPr>
        <w:t xml:space="preserve">. </w:t>
      </w:r>
      <w:r w:rsidRPr="007140EE">
        <w:rPr>
          <w:rFonts w:asciiTheme="majorHAnsi" w:hAnsiTheme="majorHAnsi"/>
          <w:sz w:val="20"/>
          <w:szCs w:val="20"/>
          <w:lang w:val="es-ES_tradnl"/>
        </w:rPr>
        <w:tab/>
      </w:r>
      <w:r w:rsidR="00A54D37" w:rsidRPr="007140EE">
        <w:rPr>
          <w:rFonts w:asciiTheme="majorHAnsi" w:hAnsiTheme="majorHAnsi"/>
          <w:sz w:val="20"/>
          <w:szCs w:val="20"/>
          <w:lang w:val="es-ES_tradnl"/>
        </w:rPr>
        <w:t xml:space="preserve">En cuanto a los argumentos de tipo formal planteados por el </w:t>
      </w:r>
      <w:r w:rsidR="00B711EC" w:rsidRPr="007140EE">
        <w:rPr>
          <w:rFonts w:asciiTheme="majorHAnsi" w:hAnsiTheme="majorHAnsi"/>
          <w:sz w:val="20"/>
          <w:szCs w:val="20"/>
          <w:lang w:val="es-ES_tradnl"/>
        </w:rPr>
        <w:t xml:space="preserve">Estado, la CIDH observa que </w:t>
      </w:r>
      <w:r w:rsidR="00A54D37" w:rsidRPr="007140EE">
        <w:rPr>
          <w:rFonts w:asciiTheme="majorHAnsi" w:hAnsiTheme="majorHAnsi"/>
          <w:sz w:val="20"/>
          <w:szCs w:val="20"/>
          <w:lang w:val="es-ES_tradnl"/>
        </w:rPr>
        <w:t xml:space="preserve">si bien el escrito inicial no cuenta con una firma manuscrita, está encabezado con el nombre completo del señor Asdrúbal Aguiar, fue acusado recibo del mismo en comunicación de la CIDH del 6 de octubre de 2010 dirigida personalmente a dicho abogado, y en todas las intervenciones subsiguientes el señor Aguiar ha continuado encabezando sus memoriales con su nombre o membrete y efectivamente firmando con su puño y letra cada </w:t>
      </w:r>
      <w:r w:rsidR="00B711EC" w:rsidRPr="007140EE">
        <w:rPr>
          <w:rFonts w:asciiTheme="majorHAnsi" w:hAnsiTheme="majorHAnsi"/>
          <w:sz w:val="20"/>
          <w:szCs w:val="20"/>
          <w:lang w:val="es-ES_tradnl"/>
        </w:rPr>
        <w:t xml:space="preserve">comunicación. Pero más allá de este hecho, la Comisión no considera que la firma del peticionario sea un requisito </w:t>
      </w:r>
      <w:r w:rsidR="00B711EC" w:rsidRPr="007140EE">
        <w:rPr>
          <w:rFonts w:asciiTheme="majorHAnsi" w:hAnsiTheme="majorHAnsi"/>
          <w:i/>
          <w:sz w:val="20"/>
          <w:szCs w:val="20"/>
          <w:lang w:val="es-ES_tradnl"/>
        </w:rPr>
        <w:t>sine qua non</w:t>
      </w:r>
      <w:r w:rsidR="00B711EC" w:rsidRPr="007140EE">
        <w:rPr>
          <w:rFonts w:asciiTheme="majorHAnsi" w:hAnsiTheme="majorHAnsi"/>
          <w:sz w:val="20"/>
          <w:szCs w:val="20"/>
          <w:lang w:val="es-ES_tradnl"/>
        </w:rPr>
        <w:t xml:space="preserve"> para recibir una petición en la CIDH; de hecho, la CIDH promueve la presentación de peticiones por medio de los medios electrónicos actualmente en funcionamiento</w:t>
      </w:r>
      <w:r w:rsidR="00A54D37" w:rsidRPr="007140EE">
        <w:rPr>
          <w:rStyle w:val="FootnoteReference"/>
          <w:rFonts w:asciiTheme="majorHAnsi" w:hAnsiTheme="majorHAnsi"/>
          <w:sz w:val="20"/>
          <w:szCs w:val="20"/>
          <w:lang w:val="es-ES_tradnl"/>
        </w:rPr>
        <w:footnoteReference w:id="21"/>
      </w:r>
      <w:r w:rsidR="00A54D37" w:rsidRPr="007140EE">
        <w:rPr>
          <w:rFonts w:asciiTheme="majorHAnsi" w:hAnsiTheme="majorHAnsi"/>
          <w:sz w:val="20"/>
          <w:szCs w:val="20"/>
          <w:lang w:val="es-ES_tradnl"/>
        </w:rPr>
        <w:t>.</w:t>
      </w:r>
      <w:r w:rsidR="00486971" w:rsidRPr="007140EE">
        <w:rPr>
          <w:rFonts w:asciiTheme="majorHAnsi" w:hAnsiTheme="majorHAnsi"/>
          <w:sz w:val="20"/>
          <w:szCs w:val="20"/>
          <w:lang w:val="es-ES_tradnl"/>
        </w:rPr>
        <w:t xml:space="preserve"> Además, la CIDH verifica el cumplimiento de los requisitos y contenidos básicos de una petición en la etapa de estudio inicial. </w:t>
      </w:r>
      <w:r w:rsidR="004B63AF">
        <w:rPr>
          <w:rFonts w:asciiTheme="majorHAnsi" w:hAnsiTheme="majorHAnsi"/>
          <w:sz w:val="20"/>
          <w:szCs w:val="20"/>
          <w:lang w:val="es-ES_tradnl"/>
        </w:rPr>
        <w:t xml:space="preserve">Por otra parte, </w:t>
      </w:r>
      <w:r w:rsidR="004B63AF" w:rsidRPr="002965A4">
        <w:rPr>
          <w:rFonts w:asciiTheme="majorHAnsi" w:hAnsiTheme="majorHAnsi"/>
          <w:sz w:val="20"/>
          <w:szCs w:val="20"/>
          <w:lang w:val="es-ES"/>
        </w:rPr>
        <w:t xml:space="preserve">es </w:t>
      </w:r>
      <w:r w:rsidR="004B63AF">
        <w:rPr>
          <w:rFonts w:asciiTheme="majorHAnsi" w:hAnsiTheme="majorHAnsi"/>
          <w:sz w:val="20"/>
          <w:szCs w:val="20"/>
          <w:lang w:val="es-ES"/>
        </w:rPr>
        <w:t xml:space="preserve">postura </w:t>
      </w:r>
      <w:r w:rsidR="004B63AF" w:rsidRPr="002965A4">
        <w:rPr>
          <w:rFonts w:asciiTheme="majorHAnsi" w:hAnsiTheme="majorHAnsi"/>
          <w:sz w:val="20"/>
          <w:szCs w:val="20"/>
          <w:lang w:val="es-ES"/>
        </w:rPr>
        <w:t xml:space="preserve">pacífica de la Comisión que para acudir a la CIDH presentando una petición no es necesario acompañarla de un poder de representación formal: </w:t>
      </w:r>
      <w:r w:rsidR="004B63AF" w:rsidRPr="002965A4">
        <w:rPr>
          <w:rFonts w:asciiTheme="majorHAnsi" w:hAnsiTheme="majorHAnsi"/>
          <w:sz w:val="20"/>
          <w:szCs w:val="20"/>
          <w:lang w:val="es-CO"/>
        </w:rPr>
        <w:t>“[E]l artículo 44 de la Convención permite a cualquier persona o grupo de personas, o entidad no gubernamental legalmente reconocida en uno o más Estados miembros de la Organización, presentar denuncias de alegadas violaciones de la Convención sin exigir que tengan autorización de las presuntas víctimas o que presenten poderes de representación legal de las mismas”</w:t>
      </w:r>
      <w:r w:rsidR="004B63AF" w:rsidRPr="002965A4">
        <w:rPr>
          <w:rStyle w:val="FootnoteReference"/>
          <w:rFonts w:asciiTheme="majorHAnsi" w:hAnsiTheme="majorHAnsi"/>
          <w:sz w:val="20"/>
          <w:szCs w:val="20"/>
          <w:lang w:val="es-CO"/>
        </w:rPr>
        <w:footnoteReference w:id="22"/>
      </w:r>
      <w:r w:rsidR="004B63AF" w:rsidRPr="002965A4">
        <w:rPr>
          <w:rFonts w:asciiTheme="majorHAnsi" w:hAnsiTheme="majorHAnsi"/>
          <w:sz w:val="20"/>
          <w:szCs w:val="20"/>
          <w:lang w:val="es-CO"/>
        </w:rPr>
        <w:t>.</w:t>
      </w:r>
    </w:p>
    <w:p w14:paraId="759B8BFF" w14:textId="71FFE984" w:rsidR="003239B8" w:rsidRPr="007140EE" w:rsidRDefault="003239B8" w:rsidP="003239B8">
      <w:pPr>
        <w:pStyle w:val="ListParagraph"/>
        <w:spacing w:before="240" w:after="240"/>
        <w:jc w:val="both"/>
        <w:rPr>
          <w:rFonts w:asciiTheme="majorHAnsi" w:hAnsiTheme="majorHAnsi"/>
          <w:b/>
          <w:sz w:val="20"/>
          <w:szCs w:val="20"/>
          <w:lang w:val="es-ES_tradnl"/>
        </w:rPr>
      </w:pPr>
      <w:r w:rsidRPr="007140EE">
        <w:rPr>
          <w:rFonts w:asciiTheme="majorHAnsi" w:hAnsiTheme="majorHAnsi"/>
          <w:b/>
          <w:bCs/>
          <w:sz w:val="20"/>
          <w:szCs w:val="20"/>
          <w:lang w:val="es-ES_tradnl"/>
        </w:rPr>
        <w:t>VII.</w:t>
      </w:r>
      <w:r w:rsidRPr="007140EE">
        <w:rPr>
          <w:rFonts w:asciiTheme="majorHAnsi" w:hAnsiTheme="majorHAnsi"/>
          <w:b/>
          <w:bCs/>
          <w:sz w:val="20"/>
          <w:szCs w:val="20"/>
          <w:lang w:val="es-ES_tradnl"/>
        </w:rPr>
        <w:tab/>
      </w:r>
      <w:r w:rsidR="004A6A54" w:rsidRPr="007140EE">
        <w:rPr>
          <w:rFonts w:asciiTheme="majorHAnsi" w:hAnsiTheme="majorHAnsi"/>
          <w:b/>
          <w:bCs/>
          <w:sz w:val="20"/>
          <w:szCs w:val="20"/>
          <w:lang w:val="es-ES_tradnl"/>
        </w:rPr>
        <w:t xml:space="preserve">ANÁLISIS DE </w:t>
      </w:r>
      <w:r w:rsidR="00C21FEF" w:rsidRPr="007140EE">
        <w:rPr>
          <w:rFonts w:asciiTheme="majorHAnsi" w:hAnsiTheme="majorHAnsi"/>
          <w:b/>
          <w:bCs/>
          <w:sz w:val="20"/>
          <w:szCs w:val="20"/>
          <w:lang w:val="es-ES_tradnl"/>
        </w:rPr>
        <w:t xml:space="preserve">CARACTERIZACIÓN </w:t>
      </w:r>
    </w:p>
    <w:p w14:paraId="6B56B949" w14:textId="77777777" w:rsidR="00A54D37" w:rsidRPr="007140EE" w:rsidRDefault="007B5EFF" w:rsidP="006B1C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140EE">
        <w:rPr>
          <w:rFonts w:asciiTheme="majorHAnsi" w:hAnsiTheme="majorHAnsi"/>
          <w:sz w:val="20"/>
          <w:szCs w:val="20"/>
          <w:lang w:val="es-ES_tradnl"/>
        </w:rPr>
        <w:t>21</w:t>
      </w:r>
      <w:r w:rsidR="006B1CB5" w:rsidRPr="007140EE">
        <w:rPr>
          <w:rFonts w:asciiTheme="majorHAnsi" w:hAnsiTheme="majorHAnsi"/>
          <w:sz w:val="20"/>
          <w:szCs w:val="20"/>
          <w:lang w:val="es-ES_tradnl"/>
        </w:rPr>
        <w:t xml:space="preserve">. </w:t>
      </w:r>
      <w:r w:rsidRPr="007140EE">
        <w:rPr>
          <w:rFonts w:asciiTheme="majorHAnsi" w:hAnsiTheme="majorHAnsi"/>
          <w:sz w:val="20"/>
          <w:szCs w:val="20"/>
          <w:lang w:val="es-ES_tradnl"/>
        </w:rPr>
        <w:tab/>
      </w:r>
      <w:r w:rsidR="002965A4" w:rsidRPr="007140EE">
        <w:rPr>
          <w:rFonts w:asciiTheme="majorHAnsi" w:hAnsiTheme="majorHAnsi"/>
          <w:sz w:val="20"/>
          <w:szCs w:val="20"/>
          <w:lang w:val="es-ES_tradnl"/>
        </w:rPr>
        <w:t xml:space="preserve">Los peticionarios en su escrito inicial y en sus intervenciones subsiguientes han formulado diversos y detallados argumentos sobre las razones por las cuales consideran que la apertura del proceso penal contra el señor Herrera, la adopción de una orden de detención en su contra, la aludida confiscación de su propiedad accionaria en el banco Helm Bank de Venezuela, y en general su sujeción a un proceso persecutorio por parte de altas autoridades gubernamentales dada su profesión de banquero, configuran violaciones de </w:t>
      </w:r>
      <w:r w:rsidR="002965A4" w:rsidRPr="007140EE">
        <w:rPr>
          <w:rFonts w:asciiTheme="majorHAnsi" w:hAnsiTheme="majorHAnsi"/>
          <w:sz w:val="20"/>
          <w:szCs w:val="20"/>
          <w:lang w:val="es-ES_tradnl"/>
        </w:rPr>
        <w:lastRenderedPageBreak/>
        <w:t xml:space="preserve">diversos derechos consagrados en la Convención Americana. El Estado no ha objetado, en esta etapa de admisibilidad, la caracterización expresa de violaciones de la Convención en la petición. </w:t>
      </w:r>
    </w:p>
    <w:p w14:paraId="790F04E6" w14:textId="77777777" w:rsidR="001A520D" w:rsidRPr="007140EE" w:rsidRDefault="007B5EFF" w:rsidP="006B1C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7140EE">
        <w:rPr>
          <w:rFonts w:asciiTheme="majorHAnsi" w:hAnsiTheme="majorHAnsi"/>
          <w:sz w:val="20"/>
          <w:szCs w:val="20"/>
          <w:lang w:val="es-ES_tradnl"/>
        </w:rPr>
        <w:t>22</w:t>
      </w:r>
      <w:r w:rsidR="006B1CB5" w:rsidRPr="007140EE">
        <w:rPr>
          <w:rFonts w:asciiTheme="majorHAnsi" w:hAnsiTheme="majorHAnsi"/>
          <w:sz w:val="20"/>
          <w:szCs w:val="20"/>
          <w:lang w:val="es-ES_tradnl"/>
        </w:rPr>
        <w:t xml:space="preserve">. </w:t>
      </w:r>
      <w:r w:rsidRPr="007140EE">
        <w:rPr>
          <w:rFonts w:asciiTheme="majorHAnsi" w:hAnsiTheme="majorHAnsi"/>
          <w:sz w:val="20"/>
          <w:szCs w:val="20"/>
          <w:lang w:val="es-ES_tradnl"/>
        </w:rPr>
        <w:tab/>
      </w:r>
      <w:r w:rsidR="008C5E2D" w:rsidRPr="007140EE">
        <w:rPr>
          <w:rFonts w:asciiTheme="majorHAnsi" w:hAnsiTheme="majorHAnsi"/>
          <w:sz w:val="20"/>
          <w:szCs w:val="20"/>
          <w:lang w:val="es-ES_tradnl"/>
        </w:rPr>
        <w:t>En aten</w:t>
      </w:r>
      <w:r w:rsidR="00C25ADB" w:rsidRPr="007140EE">
        <w:rPr>
          <w:rFonts w:asciiTheme="majorHAnsi" w:hAnsiTheme="majorHAnsi"/>
          <w:sz w:val="20"/>
          <w:szCs w:val="20"/>
          <w:lang w:val="es-ES_tradnl"/>
        </w:rPr>
        <w:t>ción a estas consideraciones</w:t>
      </w:r>
      <w:r w:rsidR="002965A4" w:rsidRPr="007140EE">
        <w:rPr>
          <w:rFonts w:asciiTheme="majorHAnsi" w:hAnsiTheme="majorHAnsi"/>
          <w:sz w:val="20"/>
          <w:szCs w:val="20"/>
          <w:lang w:val="es-ES_tradnl"/>
        </w:rPr>
        <w:t>,</w:t>
      </w:r>
      <w:r w:rsidR="00C25ADB" w:rsidRPr="007140EE">
        <w:rPr>
          <w:rFonts w:asciiTheme="majorHAnsi" w:hAnsiTheme="majorHAnsi"/>
          <w:sz w:val="20"/>
          <w:szCs w:val="20"/>
          <w:lang w:val="es-ES_tradnl"/>
        </w:rPr>
        <w:t xml:space="preserve"> y </w:t>
      </w:r>
      <w:r w:rsidR="008C5E2D" w:rsidRPr="007140EE">
        <w:rPr>
          <w:rFonts w:asciiTheme="majorHAnsi" w:hAnsiTheme="majorHAnsi"/>
          <w:sz w:val="20"/>
          <w:szCs w:val="20"/>
          <w:lang w:val="es-ES_tradnl"/>
        </w:rPr>
        <w:t>tras examinar los elementos de hecho y de derecho expuestos por las partes</w:t>
      </w:r>
      <w:r w:rsidR="002965A4" w:rsidRPr="007140EE">
        <w:rPr>
          <w:rFonts w:asciiTheme="majorHAnsi" w:hAnsiTheme="majorHAnsi"/>
          <w:sz w:val="20"/>
          <w:szCs w:val="20"/>
          <w:lang w:val="es-ES_tradnl"/>
        </w:rPr>
        <w:t>,</w:t>
      </w:r>
      <w:r w:rsidR="008C5E2D" w:rsidRPr="007140EE">
        <w:rPr>
          <w:rFonts w:asciiTheme="majorHAnsi" w:hAnsiTheme="majorHAnsi"/>
          <w:sz w:val="20"/>
          <w:szCs w:val="20"/>
          <w:lang w:val="es-ES_tradnl"/>
        </w:rPr>
        <w:t xml:space="preserve"> la Comisión estima que las alegaciones de la parte peticionaria no resultan manifiestamente infundadas y requieren un estudio de fondo</w:t>
      </w:r>
      <w:r w:rsidR="002965A4" w:rsidRPr="007140EE">
        <w:rPr>
          <w:rFonts w:asciiTheme="majorHAnsi" w:hAnsiTheme="majorHAnsi"/>
          <w:sz w:val="20"/>
          <w:szCs w:val="20"/>
          <w:lang w:val="es-ES_tradnl"/>
        </w:rPr>
        <w:t>,</w:t>
      </w:r>
      <w:r w:rsidR="008C5E2D" w:rsidRPr="007140EE">
        <w:rPr>
          <w:rFonts w:asciiTheme="majorHAnsi" w:hAnsiTheme="majorHAnsi"/>
          <w:sz w:val="20"/>
          <w:szCs w:val="20"/>
          <w:lang w:val="es-ES_tradnl"/>
        </w:rPr>
        <w:t xml:space="preserve"> pues los hechos alegados, de corroborarse</w:t>
      </w:r>
      <w:r w:rsidR="002965A4" w:rsidRPr="007140EE">
        <w:rPr>
          <w:rFonts w:asciiTheme="majorHAnsi" w:hAnsiTheme="majorHAnsi"/>
          <w:sz w:val="20"/>
          <w:szCs w:val="20"/>
          <w:lang w:val="es-ES_tradnl"/>
        </w:rPr>
        <w:t xml:space="preserve">, </w:t>
      </w:r>
      <w:r w:rsidR="008C5E2D" w:rsidRPr="007140EE">
        <w:rPr>
          <w:rFonts w:asciiTheme="majorHAnsi" w:hAnsiTheme="majorHAnsi"/>
          <w:sz w:val="20"/>
          <w:szCs w:val="20"/>
          <w:lang w:val="es-ES_tradnl"/>
        </w:rPr>
        <w:t>podrían caracteri</w:t>
      </w:r>
      <w:r w:rsidR="004B421C" w:rsidRPr="007140EE">
        <w:rPr>
          <w:rFonts w:asciiTheme="majorHAnsi" w:hAnsiTheme="majorHAnsi"/>
          <w:sz w:val="20"/>
          <w:szCs w:val="20"/>
          <w:lang w:val="es-ES_tradnl"/>
        </w:rPr>
        <w:t>zar violaciones a los artículos</w:t>
      </w:r>
      <w:r w:rsidR="002965A4" w:rsidRPr="007140EE">
        <w:rPr>
          <w:rFonts w:asciiTheme="majorHAnsi" w:hAnsiTheme="majorHAnsi"/>
          <w:sz w:val="20"/>
          <w:szCs w:val="20"/>
          <w:lang w:val="es-ES_tradnl"/>
        </w:rPr>
        <w:t xml:space="preserve"> 7 (libertad personal), 8 (garantías judiciales), 9 (principio de legalidad y de retroactividad), 11 (protección de la honra y de la dignidad), 21 (propiedad privada) y 25 (protección judicial) de la Convención Americana, en relación con sus artículos 1.1 (obligación de respetar los derechos) y 2 (deber de adoptar disposiciones de derecho interno). </w:t>
      </w:r>
      <w:r w:rsidR="004B421C" w:rsidRPr="007140EE">
        <w:rPr>
          <w:sz w:val="20"/>
          <w:szCs w:val="20"/>
          <w:lang w:val="es-ES_tradnl"/>
        </w:rPr>
        <w:t xml:space="preserve"> </w:t>
      </w:r>
    </w:p>
    <w:p w14:paraId="503BF499" w14:textId="77777777" w:rsidR="003239B8" w:rsidRPr="007140EE" w:rsidRDefault="003239B8" w:rsidP="003239B8">
      <w:pPr>
        <w:pStyle w:val="ListParagraph"/>
        <w:spacing w:before="240" w:after="240"/>
        <w:jc w:val="both"/>
        <w:rPr>
          <w:rFonts w:asciiTheme="majorHAnsi" w:hAnsiTheme="majorHAnsi"/>
          <w:b/>
          <w:bCs/>
          <w:sz w:val="20"/>
          <w:szCs w:val="20"/>
          <w:lang w:val="es-ES_tradnl"/>
        </w:rPr>
      </w:pPr>
      <w:r w:rsidRPr="007140EE">
        <w:rPr>
          <w:rFonts w:asciiTheme="majorHAnsi" w:hAnsiTheme="majorHAnsi"/>
          <w:b/>
          <w:bCs/>
          <w:sz w:val="20"/>
          <w:szCs w:val="20"/>
          <w:lang w:val="es-ES_tradnl"/>
        </w:rPr>
        <w:t xml:space="preserve">VIII. </w:t>
      </w:r>
      <w:r w:rsidRPr="007140EE">
        <w:rPr>
          <w:rFonts w:asciiTheme="majorHAnsi" w:hAnsiTheme="majorHAnsi"/>
          <w:b/>
          <w:bCs/>
          <w:sz w:val="20"/>
          <w:szCs w:val="20"/>
          <w:lang w:val="es-ES_tradnl"/>
        </w:rPr>
        <w:tab/>
        <w:t>DECISIÓN</w:t>
      </w:r>
    </w:p>
    <w:p w14:paraId="272373F7" w14:textId="77777777" w:rsidR="000419AD" w:rsidRPr="007140EE"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140EE">
        <w:rPr>
          <w:rFonts w:asciiTheme="majorHAnsi" w:hAnsiTheme="majorHAnsi"/>
          <w:sz w:val="20"/>
          <w:szCs w:val="20"/>
          <w:lang w:val="es-ES_tradnl"/>
        </w:rPr>
        <w:t xml:space="preserve">Declarar admisible la presente petición en relación con </w:t>
      </w:r>
      <w:r w:rsidR="002965A4" w:rsidRPr="007140EE">
        <w:rPr>
          <w:rFonts w:asciiTheme="majorHAnsi" w:hAnsiTheme="majorHAnsi"/>
          <w:sz w:val="20"/>
          <w:szCs w:val="20"/>
          <w:lang w:val="es-ES_tradnl"/>
        </w:rPr>
        <w:t>los artículos 7, 8, 9, 11, 21 y 25 de la Convención Americana, en conexión con sus artículos 1.1 y 2</w:t>
      </w:r>
      <w:r w:rsidR="00A758AA" w:rsidRPr="007140EE">
        <w:rPr>
          <w:rFonts w:asciiTheme="majorHAnsi" w:hAnsiTheme="majorHAnsi"/>
          <w:sz w:val="20"/>
          <w:szCs w:val="20"/>
          <w:lang w:val="es-ES_tradnl"/>
        </w:rPr>
        <w:t>;</w:t>
      </w:r>
      <w:r w:rsidR="007B76D3" w:rsidRPr="007140EE">
        <w:rPr>
          <w:rFonts w:asciiTheme="majorHAnsi" w:hAnsiTheme="majorHAnsi"/>
          <w:sz w:val="20"/>
          <w:szCs w:val="20"/>
          <w:lang w:val="es-ES_tradnl"/>
        </w:rPr>
        <w:t xml:space="preserve"> y</w:t>
      </w:r>
    </w:p>
    <w:p w14:paraId="1624912A" w14:textId="0439E813"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140E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7DCDF23" w14:textId="62E6C5C0" w:rsidR="00711EE2" w:rsidRPr="00A37B82" w:rsidRDefault="00711EE2" w:rsidP="00711EE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F692764" w14:textId="77777777" w:rsidR="00711EE2" w:rsidRPr="00A37B82" w:rsidRDefault="00711EE2" w:rsidP="00711EE2">
      <w:pPr>
        <w:suppressAutoHyphens/>
        <w:ind w:firstLine="720"/>
        <w:jc w:val="both"/>
        <w:rPr>
          <w:rFonts w:asciiTheme="majorHAnsi" w:hAnsiTheme="majorHAnsi" w:cs="Arial"/>
          <w:noProof/>
          <w:spacing w:val="-2"/>
          <w:sz w:val="20"/>
          <w:szCs w:val="20"/>
          <w:lang w:val="es-CL"/>
        </w:rPr>
      </w:pPr>
    </w:p>
    <w:p w14:paraId="3C88DAAC" w14:textId="77777777" w:rsidR="00711EE2" w:rsidRPr="007140EE" w:rsidRDefault="00711EE2" w:rsidP="00711E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711EE2" w:rsidRPr="007140E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12B1D" w14:textId="77777777" w:rsidR="00484CFE" w:rsidRDefault="00484CFE">
      <w:r>
        <w:separator/>
      </w:r>
    </w:p>
  </w:endnote>
  <w:endnote w:type="continuationSeparator" w:id="0">
    <w:p w14:paraId="62865DAA" w14:textId="77777777" w:rsidR="00484CFE" w:rsidRDefault="0048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DFA8F" w14:textId="77777777" w:rsidR="00F35E71" w:rsidRDefault="00F35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8F15ED7" w14:textId="13CF195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35E71">
          <w:rPr>
            <w:noProof/>
            <w:sz w:val="16"/>
            <w:szCs w:val="22"/>
          </w:rPr>
          <w:t>1</w:t>
        </w:r>
        <w:r w:rsidRPr="00934A2C">
          <w:rPr>
            <w:noProof/>
            <w:sz w:val="16"/>
            <w:szCs w:val="22"/>
          </w:rPr>
          <w:fldChar w:fldCharType="end"/>
        </w:r>
      </w:p>
    </w:sdtContent>
  </w:sdt>
  <w:p w14:paraId="7ED00FC8"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AAAC" w14:textId="77777777" w:rsidR="0070697F" w:rsidRPr="00934A2C" w:rsidRDefault="0070697F">
    <w:pPr>
      <w:pStyle w:val="Footer"/>
      <w:jc w:val="center"/>
      <w:rPr>
        <w:sz w:val="16"/>
        <w:szCs w:val="22"/>
      </w:rPr>
    </w:pPr>
  </w:p>
  <w:p w14:paraId="27DB64CC"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AC902" w14:textId="77777777" w:rsidR="00484CFE" w:rsidRPr="000F35ED" w:rsidRDefault="00484CF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4AC6F0" w14:textId="77777777" w:rsidR="00484CFE" w:rsidRPr="000F35ED" w:rsidRDefault="00484CFE" w:rsidP="000F35ED">
      <w:pPr>
        <w:rPr>
          <w:rFonts w:asciiTheme="majorHAnsi" w:hAnsiTheme="majorHAnsi"/>
          <w:sz w:val="16"/>
          <w:szCs w:val="16"/>
        </w:rPr>
      </w:pPr>
      <w:r w:rsidRPr="000F35ED">
        <w:rPr>
          <w:rFonts w:asciiTheme="majorHAnsi" w:hAnsiTheme="majorHAnsi"/>
          <w:sz w:val="16"/>
          <w:szCs w:val="16"/>
        </w:rPr>
        <w:separator/>
      </w:r>
    </w:p>
    <w:p w14:paraId="58BE9EE2" w14:textId="77777777" w:rsidR="00484CFE" w:rsidRPr="000F35ED" w:rsidRDefault="00484CF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3DA4147" w14:textId="77777777" w:rsidR="00484CFE" w:rsidRPr="000F35ED" w:rsidRDefault="00484CF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6EED772" w14:textId="77777777" w:rsidR="002C2258" w:rsidRPr="002C2258" w:rsidRDefault="002C2258" w:rsidP="001B0458">
      <w:pPr>
        <w:pStyle w:val="FootnoteText"/>
        <w:spacing w:after="120"/>
        <w:ind w:firstLine="720"/>
        <w:rPr>
          <w:rFonts w:asciiTheme="majorHAnsi" w:hAnsiTheme="majorHAnsi"/>
          <w:sz w:val="16"/>
          <w:szCs w:val="16"/>
          <w:lang w:val="es-CO"/>
        </w:rPr>
      </w:pPr>
      <w:r w:rsidRPr="002C2258">
        <w:rPr>
          <w:rStyle w:val="FootnoteReference"/>
          <w:rFonts w:asciiTheme="majorHAnsi" w:hAnsiTheme="majorHAnsi"/>
          <w:sz w:val="16"/>
          <w:szCs w:val="16"/>
        </w:rPr>
        <w:footnoteRef/>
      </w:r>
      <w:r w:rsidRPr="002C2258">
        <w:rPr>
          <w:rFonts w:asciiTheme="majorHAnsi" w:hAnsiTheme="majorHAnsi"/>
          <w:sz w:val="16"/>
          <w:szCs w:val="16"/>
          <w:lang w:val="es-CO"/>
        </w:rPr>
        <w:t xml:space="preserve"> En adelante, “la Convención Americana” o “la Convención”.</w:t>
      </w:r>
    </w:p>
  </w:footnote>
  <w:footnote w:id="3">
    <w:p w14:paraId="73CC25AD" w14:textId="77777777" w:rsidR="008E3BFE" w:rsidRPr="00306F33" w:rsidRDefault="008E3BFE" w:rsidP="001B0458">
      <w:pPr>
        <w:pStyle w:val="FootnoteText"/>
        <w:spacing w:after="120"/>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79CE41F3" w14:textId="77777777" w:rsidR="007B5EFF" w:rsidRPr="00E437E0" w:rsidRDefault="007B5EFF" w:rsidP="001B0458">
      <w:pPr>
        <w:pStyle w:val="FootnoteText"/>
        <w:spacing w:after="120"/>
        <w:ind w:firstLine="720"/>
        <w:jc w:val="both"/>
        <w:rPr>
          <w:rFonts w:asciiTheme="majorHAnsi" w:hAnsiTheme="majorHAnsi"/>
          <w:sz w:val="16"/>
          <w:szCs w:val="16"/>
          <w:lang w:val="pt-BR"/>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E437E0">
        <w:rPr>
          <w:rFonts w:asciiTheme="majorHAnsi" w:hAnsiTheme="majorHAnsi"/>
          <w:sz w:val="16"/>
          <w:szCs w:val="16"/>
          <w:lang w:val="pt-BR"/>
        </w:rPr>
        <w:t>48.</w:t>
      </w:r>
    </w:p>
  </w:footnote>
  <w:footnote w:id="5">
    <w:p w14:paraId="78C4FAE3"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391-403.</w:t>
      </w:r>
    </w:p>
  </w:footnote>
  <w:footnote w:id="6">
    <w:p w14:paraId="37D9E128"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472-483.</w:t>
      </w:r>
    </w:p>
  </w:footnote>
  <w:footnote w:id="7">
    <w:p w14:paraId="3C9F9DC3"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615-649.</w:t>
      </w:r>
    </w:p>
  </w:footnote>
  <w:footnote w:id="8">
    <w:p w14:paraId="527420B3"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447-477.</w:t>
      </w:r>
    </w:p>
  </w:footnote>
  <w:footnote w:id="9">
    <w:p w14:paraId="4C174B38"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464-509.</w:t>
      </w:r>
    </w:p>
  </w:footnote>
  <w:footnote w:id="10">
    <w:p w14:paraId="34AD752B"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632-660.</w:t>
      </w:r>
    </w:p>
  </w:footnote>
  <w:footnote w:id="11">
    <w:p w14:paraId="7D74B395"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536-566.</w:t>
      </w:r>
    </w:p>
  </w:footnote>
  <w:footnote w:id="12">
    <w:p w14:paraId="011A477B"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257-281.</w:t>
      </w:r>
    </w:p>
  </w:footnote>
  <w:footnote w:id="13">
    <w:p w14:paraId="6834DFF8"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57-87.</w:t>
      </w:r>
    </w:p>
  </w:footnote>
  <w:footnote w:id="14">
    <w:p w14:paraId="4F812654"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13-21.</w:t>
      </w:r>
    </w:p>
  </w:footnote>
  <w:footnote w:id="15">
    <w:p w14:paraId="28A845C6" w14:textId="77777777" w:rsidR="007B5EFF" w:rsidRPr="00E437E0" w:rsidRDefault="007B5EFF" w:rsidP="001B0458">
      <w:pPr>
        <w:pStyle w:val="FootnoteText"/>
        <w:spacing w:after="120"/>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IV.B, párrafos 30-57.</w:t>
      </w:r>
    </w:p>
  </w:footnote>
  <w:footnote w:id="16">
    <w:p w14:paraId="5A898DED" w14:textId="77777777" w:rsidR="007B5EFF" w:rsidRPr="00E437E0" w:rsidRDefault="007B5EFF" w:rsidP="001B0458">
      <w:pPr>
        <w:pStyle w:val="FootnoteText"/>
        <w:spacing w:after="120"/>
        <w:ind w:firstLine="720"/>
        <w:rPr>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IV.B, párrafos 30-48.</w:t>
      </w:r>
    </w:p>
  </w:footnote>
  <w:footnote w:id="17">
    <w:p w14:paraId="6A16A47F" w14:textId="77777777" w:rsidR="007B5EFF" w:rsidRPr="00F94050" w:rsidRDefault="007B5EFF" w:rsidP="001B0458">
      <w:pPr>
        <w:pStyle w:val="FootnoteText"/>
        <w:spacing w:after="120"/>
        <w:ind w:firstLine="720"/>
        <w:rPr>
          <w:rFonts w:asciiTheme="majorHAnsi" w:hAnsiTheme="majorHAnsi"/>
          <w:sz w:val="16"/>
          <w:szCs w:val="16"/>
          <w:lang w:val="es-CO"/>
        </w:rPr>
      </w:pPr>
      <w:r w:rsidRPr="00F94050">
        <w:rPr>
          <w:rStyle w:val="FootnoteReference"/>
          <w:rFonts w:asciiTheme="majorHAnsi" w:hAnsiTheme="majorHAnsi"/>
          <w:sz w:val="16"/>
          <w:szCs w:val="16"/>
        </w:rPr>
        <w:footnoteRef/>
      </w:r>
      <w:r w:rsidRPr="00F94050">
        <w:rPr>
          <w:rFonts w:asciiTheme="majorHAnsi" w:hAnsiTheme="majorHAnsi"/>
          <w:sz w:val="16"/>
          <w:szCs w:val="16"/>
          <w:lang w:val="es-CO"/>
        </w:rPr>
        <w:t xml:space="preserve"> “Institucionalidad democrática, Estado de derecho y derechos humanos en Venezuela”, </w:t>
      </w:r>
      <w:r>
        <w:rPr>
          <w:rFonts w:asciiTheme="majorHAnsi" w:hAnsiTheme="majorHAnsi"/>
          <w:sz w:val="16"/>
          <w:szCs w:val="16"/>
          <w:lang w:val="es-CO"/>
        </w:rPr>
        <w:t>p</w:t>
      </w:r>
      <w:r w:rsidRPr="00F94050">
        <w:rPr>
          <w:rFonts w:asciiTheme="majorHAnsi" w:hAnsiTheme="majorHAnsi"/>
          <w:sz w:val="16"/>
          <w:szCs w:val="16"/>
          <w:lang w:val="es-CO"/>
        </w:rPr>
        <w:t>áginas 45 y siguientes.</w:t>
      </w:r>
    </w:p>
  </w:footnote>
  <w:footnote w:id="18">
    <w:p w14:paraId="01B18F75" w14:textId="77777777" w:rsidR="007B5EFF" w:rsidRPr="00F94050" w:rsidRDefault="007B5EFF" w:rsidP="001B0458">
      <w:pPr>
        <w:pStyle w:val="FootnoteText"/>
        <w:spacing w:after="120"/>
        <w:ind w:firstLine="720"/>
        <w:rPr>
          <w:rFonts w:asciiTheme="majorHAnsi" w:hAnsiTheme="majorHAnsi"/>
          <w:sz w:val="16"/>
          <w:szCs w:val="16"/>
          <w:lang w:val="es-CO"/>
        </w:rPr>
      </w:pPr>
      <w:r w:rsidRPr="00F94050">
        <w:rPr>
          <w:rStyle w:val="FootnoteReference"/>
          <w:rFonts w:asciiTheme="majorHAnsi" w:hAnsiTheme="majorHAnsi"/>
          <w:sz w:val="16"/>
          <w:szCs w:val="16"/>
        </w:rPr>
        <w:footnoteRef/>
      </w:r>
      <w:r w:rsidRPr="00E437E0">
        <w:rPr>
          <w:rFonts w:asciiTheme="majorHAnsi" w:hAnsiTheme="majorHAnsi"/>
          <w:sz w:val="16"/>
          <w:szCs w:val="16"/>
          <w:lang w:val="es-CO"/>
        </w:rPr>
        <w:t xml:space="preserve"> </w:t>
      </w:r>
      <w:r w:rsidRPr="00F94050">
        <w:rPr>
          <w:rFonts w:asciiTheme="majorHAnsi" w:hAnsiTheme="majorHAnsi"/>
          <w:sz w:val="16"/>
          <w:szCs w:val="16"/>
          <w:lang w:val="es-CO"/>
        </w:rPr>
        <w:t>Parte III, párrafos 180 a 339.</w:t>
      </w:r>
    </w:p>
  </w:footnote>
  <w:footnote w:id="19">
    <w:p w14:paraId="13D91D86" w14:textId="77777777" w:rsidR="004459F2" w:rsidRPr="008B13FC" w:rsidRDefault="004459F2" w:rsidP="001B0458">
      <w:pPr>
        <w:pStyle w:val="FootnoteText"/>
        <w:spacing w:after="120"/>
        <w:ind w:firstLine="720"/>
        <w:rPr>
          <w:rFonts w:asciiTheme="majorHAnsi" w:hAnsiTheme="majorHAnsi"/>
          <w:sz w:val="16"/>
          <w:szCs w:val="16"/>
          <w:lang w:val="es-CO"/>
        </w:rPr>
      </w:pPr>
      <w:r w:rsidRPr="008B13FC">
        <w:rPr>
          <w:rStyle w:val="FootnoteReference"/>
          <w:rFonts w:asciiTheme="majorHAnsi" w:hAnsiTheme="majorHAnsi"/>
          <w:sz w:val="16"/>
          <w:szCs w:val="16"/>
        </w:rPr>
        <w:footnoteRef/>
      </w:r>
      <w:r w:rsidRPr="008B13FC">
        <w:rPr>
          <w:rFonts w:asciiTheme="majorHAnsi" w:hAnsiTheme="majorHAnsi"/>
          <w:sz w:val="16"/>
          <w:szCs w:val="16"/>
          <w:lang w:val="es-CO"/>
        </w:rPr>
        <w:t xml:space="preserve"> Corte Interamericana de Derechos Humanos. Caso </w:t>
      </w:r>
      <w:proofErr w:type="spellStart"/>
      <w:r w:rsidRPr="008B13FC">
        <w:rPr>
          <w:rFonts w:asciiTheme="majorHAnsi" w:hAnsiTheme="majorHAnsi"/>
          <w:sz w:val="16"/>
          <w:szCs w:val="16"/>
          <w:lang w:val="es-CO"/>
        </w:rPr>
        <w:t>Brewer</w:t>
      </w:r>
      <w:proofErr w:type="spellEnd"/>
      <w:r w:rsidRPr="008B13FC">
        <w:rPr>
          <w:rFonts w:asciiTheme="majorHAnsi" w:hAnsiTheme="majorHAnsi"/>
          <w:sz w:val="16"/>
          <w:szCs w:val="16"/>
          <w:lang w:val="es-CO"/>
        </w:rPr>
        <w:t xml:space="preserve"> Carías v. Venezuela. Excepciones Preliminares. Sentencia del 26 de mayo de 2014. Serie C No. 278.</w:t>
      </w:r>
    </w:p>
  </w:footnote>
  <w:footnote w:id="20">
    <w:p w14:paraId="0B4E62FF" w14:textId="77777777" w:rsidR="004459F2" w:rsidRPr="008B13FC" w:rsidRDefault="004459F2" w:rsidP="001B0458">
      <w:pPr>
        <w:pStyle w:val="FootnoteText"/>
        <w:spacing w:after="120"/>
        <w:ind w:firstLine="720"/>
        <w:rPr>
          <w:rFonts w:asciiTheme="majorHAnsi" w:hAnsiTheme="majorHAnsi"/>
          <w:sz w:val="16"/>
          <w:szCs w:val="16"/>
          <w:lang w:val="es-CO"/>
        </w:rPr>
      </w:pPr>
      <w:r w:rsidRPr="008B13FC">
        <w:rPr>
          <w:rStyle w:val="FootnoteReference"/>
          <w:rFonts w:asciiTheme="majorHAnsi" w:hAnsiTheme="majorHAnsi"/>
          <w:sz w:val="16"/>
          <w:szCs w:val="16"/>
        </w:rPr>
        <w:footnoteRef/>
      </w:r>
      <w:r w:rsidRPr="00495F89">
        <w:rPr>
          <w:rFonts w:asciiTheme="majorHAnsi" w:hAnsiTheme="majorHAnsi"/>
          <w:sz w:val="16"/>
          <w:szCs w:val="16"/>
          <w:lang w:val="es-US"/>
        </w:rPr>
        <w:t xml:space="preserve"> </w:t>
      </w:r>
      <w:r w:rsidRPr="008B13FC">
        <w:rPr>
          <w:rFonts w:asciiTheme="majorHAnsi" w:hAnsiTheme="majorHAnsi"/>
          <w:sz w:val="16"/>
          <w:szCs w:val="16"/>
          <w:lang w:val="es-CO"/>
        </w:rPr>
        <w:t>Id., párr. 143.</w:t>
      </w:r>
    </w:p>
  </w:footnote>
  <w:footnote w:id="21">
    <w:p w14:paraId="5938756D" w14:textId="77777777" w:rsidR="00A54D37" w:rsidRPr="00A54D37" w:rsidRDefault="00A54D37" w:rsidP="001B0458">
      <w:pPr>
        <w:pStyle w:val="FootnoteText"/>
        <w:spacing w:after="120"/>
        <w:ind w:firstLine="720"/>
        <w:jc w:val="both"/>
        <w:rPr>
          <w:rFonts w:asciiTheme="majorHAnsi" w:hAnsiTheme="majorHAnsi"/>
          <w:sz w:val="16"/>
          <w:szCs w:val="16"/>
          <w:lang w:val="es-CO"/>
        </w:rPr>
      </w:pPr>
      <w:r w:rsidRPr="00A54D37">
        <w:rPr>
          <w:rStyle w:val="FootnoteReference"/>
          <w:rFonts w:asciiTheme="majorHAnsi" w:hAnsiTheme="majorHAnsi"/>
          <w:sz w:val="16"/>
          <w:szCs w:val="16"/>
        </w:rPr>
        <w:footnoteRef/>
      </w:r>
      <w:r w:rsidRPr="00A54D37">
        <w:rPr>
          <w:rFonts w:asciiTheme="majorHAnsi" w:hAnsiTheme="majorHAnsi"/>
          <w:sz w:val="16"/>
          <w:szCs w:val="16"/>
          <w:lang w:val="es-CO"/>
        </w:rPr>
        <w:t xml:space="preserve"> </w:t>
      </w:r>
      <w:r w:rsidR="00B711EC" w:rsidRPr="00B711EC">
        <w:rPr>
          <w:rFonts w:asciiTheme="majorHAnsi" w:hAnsiTheme="majorHAnsi"/>
          <w:sz w:val="16"/>
          <w:szCs w:val="16"/>
          <w:lang w:val="es-CO"/>
        </w:rPr>
        <w:t xml:space="preserve">CIDH, Informe No. 20/17, Petición 1500-08. Admisibilidad. </w:t>
      </w:r>
      <w:r w:rsidR="00B711EC" w:rsidRPr="00B711EC">
        <w:rPr>
          <w:rFonts w:asciiTheme="majorHAnsi" w:hAnsiTheme="majorHAnsi"/>
          <w:sz w:val="16"/>
          <w:szCs w:val="16"/>
          <w:lang w:val="pt-BR"/>
        </w:rPr>
        <w:t xml:space="preserve">Rodolfo David Piñeyro Ríos. Argentina. </w:t>
      </w:r>
      <w:r w:rsidR="00B711EC" w:rsidRPr="00B711EC">
        <w:rPr>
          <w:rFonts w:asciiTheme="majorHAnsi" w:hAnsiTheme="majorHAnsi"/>
          <w:sz w:val="16"/>
          <w:szCs w:val="16"/>
          <w:lang w:val="es-CO"/>
        </w:rPr>
        <w:t>12 de marzo de 2017, párr. 8.</w:t>
      </w:r>
    </w:p>
  </w:footnote>
  <w:footnote w:id="22">
    <w:p w14:paraId="7C74A74C" w14:textId="77777777" w:rsidR="004B63AF" w:rsidRPr="00A54D37" w:rsidRDefault="004B63AF" w:rsidP="001B0458">
      <w:pPr>
        <w:pStyle w:val="FootnoteText"/>
        <w:spacing w:after="120"/>
        <w:ind w:firstLine="720"/>
        <w:jc w:val="both"/>
        <w:rPr>
          <w:rFonts w:asciiTheme="majorHAnsi" w:hAnsiTheme="majorHAnsi"/>
          <w:sz w:val="16"/>
          <w:szCs w:val="16"/>
          <w:lang w:val="es-CO"/>
        </w:rPr>
      </w:pPr>
      <w:r w:rsidRPr="00A54D37">
        <w:rPr>
          <w:rStyle w:val="FootnoteReference"/>
          <w:rFonts w:asciiTheme="majorHAnsi" w:hAnsiTheme="majorHAnsi"/>
          <w:sz w:val="16"/>
          <w:szCs w:val="16"/>
        </w:rPr>
        <w:footnoteRef/>
      </w:r>
      <w:r w:rsidRPr="00A54D37">
        <w:rPr>
          <w:rFonts w:asciiTheme="majorHAnsi" w:hAnsiTheme="majorHAnsi"/>
          <w:sz w:val="16"/>
          <w:szCs w:val="16"/>
          <w:lang w:val="es-CO"/>
        </w:rPr>
        <w:t xml:space="preserve"> CIDH, Informe No. 71/16, Petición 765-09. Admisibilidad. Comunidad </w:t>
      </w:r>
      <w:proofErr w:type="spellStart"/>
      <w:r w:rsidRPr="00A54D37">
        <w:rPr>
          <w:rFonts w:asciiTheme="majorHAnsi" w:hAnsiTheme="majorHAnsi"/>
          <w:sz w:val="16"/>
          <w:szCs w:val="16"/>
          <w:lang w:val="es-CO"/>
        </w:rPr>
        <w:t>Q’oq’ob</w:t>
      </w:r>
      <w:proofErr w:type="spellEnd"/>
      <w:r w:rsidRPr="00A54D37">
        <w:rPr>
          <w:rFonts w:asciiTheme="majorHAnsi" w:hAnsiTheme="majorHAnsi"/>
          <w:sz w:val="16"/>
          <w:szCs w:val="16"/>
          <w:lang w:val="es-CO"/>
        </w:rPr>
        <w:t xml:space="preserve"> del Municipio de Santa María </w:t>
      </w:r>
      <w:proofErr w:type="spellStart"/>
      <w:r w:rsidRPr="00A54D37">
        <w:rPr>
          <w:rFonts w:asciiTheme="majorHAnsi" w:hAnsiTheme="majorHAnsi"/>
          <w:sz w:val="16"/>
          <w:szCs w:val="16"/>
          <w:lang w:val="es-CO"/>
        </w:rPr>
        <w:t>Nebaj</w:t>
      </w:r>
      <w:proofErr w:type="spellEnd"/>
      <w:r w:rsidRPr="00A54D37">
        <w:rPr>
          <w:rFonts w:asciiTheme="majorHAnsi" w:hAnsiTheme="majorHAnsi"/>
          <w:sz w:val="16"/>
          <w:szCs w:val="16"/>
          <w:lang w:val="es-CO"/>
        </w:rPr>
        <w:t xml:space="preserve">. </w:t>
      </w:r>
      <w:r w:rsidRPr="00A54D37">
        <w:rPr>
          <w:rFonts w:asciiTheme="majorHAnsi" w:hAnsiTheme="majorHAnsi"/>
          <w:sz w:val="16"/>
          <w:szCs w:val="16"/>
        </w:rPr>
        <w:t xml:space="preserve">Guatemala. 6 de </w:t>
      </w:r>
      <w:proofErr w:type="spellStart"/>
      <w:r w:rsidRPr="00A54D37">
        <w:rPr>
          <w:rFonts w:asciiTheme="majorHAnsi" w:hAnsiTheme="majorHAnsi"/>
          <w:sz w:val="16"/>
          <w:szCs w:val="16"/>
        </w:rPr>
        <w:t>diciembre</w:t>
      </w:r>
      <w:proofErr w:type="spellEnd"/>
      <w:r w:rsidRPr="00A54D37">
        <w:rPr>
          <w:rFonts w:asciiTheme="majorHAnsi" w:hAnsiTheme="majorHAnsi"/>
          <w:sz w:val="16"/>
          <w:szCs w:val="16"/>
        </w:rPr>
        <w:t xml:space="preserve"> de 2016, </w:t>
      </w:r>
      <w:proofErr w:type="spellStart"/>
      <w:r w:rsidRPr="00A54D37">
        <w:rPr>
          <w:rFonts w:asciiTheme="majorHAnsi" w:hAnsiTheme="majorHAnsi"/>
          <w:sz w:val="16"/>
          <w:szCs w:val="16"/>
        </w:rPr>
        <w:t>párr</w:t>
      </w:r>
      <w:proofErr w:type="spellEnd"/>
      <w:r w:rsidRPr="00A54D37">
        <w:rPr>
          <w:rFonts w:asciiTheme="majorHAnsi" w:hAnsiTheme="majorHAnsi"/>
          <w:sz w:val="16"/>
          <w:szCs w:val="16"/>
        </w:rPr>
        <w:t>. 23</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122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5D3275"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338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D8655E9" wp14:editId="059ABCA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21B68C7" w14:textId="77777777" w:rsidR="00040C3A" w:rsidRPr="00EC7D62" w:rsidRDefault="00484CFE" w:rsidP="00A50FCF">
    <w:pPr>
      <w:pStyle w:val="Header"/>
      <w:tabs>
        <w:tab w:val="clear" w:pos="4320"/>
        <w:tab w:val="clear" w:pos="8640"/>
      </w:tabs>
      <w:jc w:val="center"/>
      <w:rPr>
        <w:sz w:val="22"/>
        <w:szCs w:val="22"/>
      </w:rPr>
    </w:pPr>
    <w:r>
      <w:rPr>
        <w:sz w:val="22"/>
        <w:szCs w:val="22"/>
      </w:rPr>
      <w:pict w14:anchorId="1C438FC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5BE0C" w14:textId="77777777" w:rsidR="00F35E71" w:rsidRDefault="00F35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263A"/>
    <w:rsid w:val="000337EF"/>
    <w:rsid w:val="00040C3A"/>
    <w:rsid w:val="000419AD"/>
    <w:rsid w:val="000433C9"/>
    <w:rsid w:val="00043AD6"/>
    <w:rsid w:val="000523DE"/>
    <w:rsid w:val="00071174"/>
    <w:rsid w:val="000716C5"/>
    <w:rsid w:val="00075E23"/>
    <w:rsid w:val="00092CEA"/>
    <w:rsid w:val="0009344A"/>
    <w:rsid w:val="000A392E"/>
    <w:rsid w:val="000A4DDC"/>
    <w:rsid w:val="000A575F"/>
    <w:rsid w:val="000D05CB"/>
    <w:rsid w:val="000D10DB"/>
    <w:rsid w:val="000E2878"/>
    <w:rsid w:val="000E5EB5"/>
    <w:rsid w:val="000F35ED"/>
    <w:rsid w:val="000F5E4F"/>
    <w:rsid w:val="00107131"/>
    <w:rsid w:val="0010736F"/>
    <w:rsid w:val="00113F73"/>
    <w:rsid w:val="00121CC2"/>
    <w:rsid w:val="0012381B"/>
    <w:rsid w:val="00131425"/>
    <w:rsid w:val="00133EE5"/>
    <w:rsid w:val="00135BFC"/>
    <w:rsid w:val="001433FF"/>
    <w:rsid w:val="00167A34"/>
    <w:rsid w:val="00180035"/>
    <w:rsid w:val="001A520D"/>
    <w:rsid w:val="001A7870"/>
    <w:rsid w:val="001B0458"/>
    <w:rsid w:val="001B3A00"/>
    <w:rsid w:val="001C1B41"/>
    <w:rsid w:val="001D65EF"/>
    <w:rsid w:val="001E49E7"/>
    <w:rsid w:val="001F7201"/>
    <w:rsid w:val="00206F00"/>
    <w:rsid w:val="00223A29"/>
    <w:rsid w:val="002250A3"/>
    <w:rsid w:val="00235217"/>
    <w:rsid w:val="00246D1F"/>
    <w:rsid w:val="00247403"/>
    <w:rsid w:val="00247542"/>
    <w:rsid w:val="00266B61"/>
    <w:rsid w:val="0026712A"/>
    <w:rsid w:val="002704DB"/>
    <w:rsid w:val="0027407A"/>
    <w:rsid w:val="00274F4F"/>
    <w:rsid w:val="002965A4"/>
    <w:rsid w:val="002A0AAE"/>
    <w:rsid w:val="002A5820"/>
    <w:rsid w:val="002C2258"/>
    <w:rsid w:val="002D2B26"/>
    <w:rsid w:val="002D7EA2"/>
    <w:rsid w:val="002E187C"/>
    <w:rsid w:val="00302733"/>
    <w:rsid w:val="00305835"/>
    <w:rsid w:val="00306F33"/>
    <w:rsid w:val="00314078"/>
    <w:rsid w:val="0031535D"/>
    <w:rsid w:val="003239B8"/>
    <w:rsid w:val="00324EAE"/>
    <w:rsid w:val="0033169F"/>
    <w:rsid w:val="00344977"/>
    <w:rsid w:val="00346C95"/>
    <w:rsid w:val="00356185"/>
    <w:rsid w:val="00360380"/>
    <w:rsid w:val="0037519E"/>
    <w:rsid w:val="00386CF0"/>
    <w:rsid w:val="003B70FB"/>
    <w:rsid w:val="003B780B"/>
    <w:rsid w:val="003C496C"/>
    <w:rsid w:val="003C676B"/>
    <w:rsid w:val="003D3BC2"/>
    <w:rsid w:val="003E6CA1"/>
    <w:rsid w:val="003F5154"/>
    <w:rsid w:val="00405F9C"/>
    <w:rsid w:val="004065A8"/>
    <w:rsid w:val="004165C2"/>
    <w:rsid w:val="00441ECB"/>
    <w:rsid w:val="00445193"/>
    <w:rsid w:val="004459F2"/>
    <w:rsid w:val="00462C1B"/>
    <w:rsid w:val="00467B7E"/>
    <w:rsid w:val="00473BB4"/>
    <w:rsid w:val="00477592"/>
    <w:rsid w:val="00484CFE"/>
    <w:rsid w:val="00486971"/>
    <w:rsid w:val="00486F1C"/>
    <w:rsid w:val="0049419D"/>
    <w:rsid w:val="00495F89"/>
    <w:rsid w:val="004A6A54"/>
    <w:rsid w:val="004B421C"/>
    <w:rsid w:val="004B63AF"/>
    <w:rsid w:val="004C20D2"/>
    <w:rsid w:val="004C2312"/>
    <w:rsid w:val="004C4B62"/>
    <w:rsid w:val="004C54C9"/>
    <w:rsid w:val="004D4ABA"/>
    <w:rsid w:val="004D6025"/>
    <w:rsid w:val="004E2649"/>
    <w:rsid w:val="004F626F"/>
    <w:rsid w:val="00501314"/>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272BA"/>
    <w:rsid w:val="00627C9F"/>
    <w:rsid w:val="006311E9"/>
    <w:rsid w:val="00632354"/>
    <w:rsid w:val="00635421"/>
    <w:rsid w:val="00642810"/>
    <w:rsid w:val="00652333"/>
    <w:rsid w:val="0068009E"/>
    <w:rsid w:val="00692219"/>
    <w:rsid w:val="006A17D2"/>
    <w:rsid w:val="006A73E6"/>
    <w:rsid w:val="006B1CB5"/>
    <w:rsid w:val="006B2D5C"/>
    <w:rsid w:val="006B3C4A"/>
    <w:rsid w:val="006C0ECF"/>
    <w:rsid w:val="006C4EB1"/>
    <w:rsid w:val="006D4021"/>
    <w:rsid w:val="006E0166"/>
    <w:rsid w:val="006E2FFB"/>
    <w:rsid w:val="006E7B34"/>
    <w:rsid w:val="0070697F"/>
    <w:rsid w:val="007103C4"/>
    <w:rsid w:val="00711EE2"/>
    <w:rsid w:val="007140EE"/>
    <w:rsid w:val="0072199C"/>
    <w:rsid w:val="00722C9F"/>
    <w:rsid w:val="007253B8"/>
    <w:rsid w:val="0073741F"/>
    <w:rsid w:val="0076643F"/>
    <w:rsid w:val="00776729"/>
    <w:rsid w:val="00777F63"/>
    <w:rsid w:val="007A5817"/>
    <w:rsid w:val="007B05C4"/>
    <w:rsid w:val="007B5EFF"/>
    <w:rsid w:val="007B60E9"/>
    <w:rsid w:val="007B6CC3"/>
    <w:rsid w:val="007B76D3"/>
    <w:rsid w:val="007C23B4"/>
    <w:rsid w:val="007C3334"/>
    <w:rsid w:val="007D0E10"/>
    <w:rsid w:val="007D2B98"/>
    <w:rsid w:val="007D77F8"/>
    <w:rsid w:val="007E21BC"/>
    <w:rsid w:val="007E7C82"/>
    <w:rsid w:val="007F2AA1"/>
    <w:rsid w:val="007F588D"/>
    <w:rsid w:val="008019B6"/>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F1912"/>
    <w:rsid w:val="009010A7"/>
    <w:rsid w:val="0090270B"/>
    <w:rsid w:val="009041DC"/>
    <w:rsid w:val="00917B5A"/>
    <w:rsid w:val="00920A58"/>
    <w:rsid w:val="00920A8C"/>
    <w:rsid w:val="00934A2C"/>
    <w:rsid w:val="00966D73"/>
    <w:rsid w:val="0096706E"/>
    <w:rsid w:val="00974491"/>
    <w:rsid w:val="00975C4E"/>
    <w:rsid w:val="00981FBA"/>
    <w:rsid w:val="00997BC5"/>
    <w:rsid w:val="009A4F41"/>
    <w:rsid w:val="009B381B"/>
    <w:rsid w:val="009D1753"/>
    <w:rsid w:val="009D5967"/>
    <w:rsid w:val="009D7611"/>
    <w:rsid w:val="009E0B61"/>
    <w:rsid w:val="009E53DE"/>
    <w:rsid w:val="009F5D44"/>
    <w:rsid w:val="00A11212"/>
    <w:rsid w:val="00A11E44"/>
    <w:rsid w:val="00A30100"/>
    <w:rsid w:val="00A328B3"/>
    <w:rsid w:val="00A50FCF"/>
    <w:rsid w:val="00A528D1"/>
    <w:rsid w:val="00A54D37"/>
    <w:rsid w:val="00A610CD"/>
    <w:rsid w:val="00A758AA"/>
    <w:rsid w:val="00AA09A2"/>
    <w:rsid w:val="00AA7996"/>
    <w:rsid w:val="00AB2293"/>
    <w:rsid w:val="00AC19CB"/>
    <w:rsid w:val="00AE495B"/>
    <w:rsid w:val="00AE5488"/>
    <w:rsid w:val="00AE6F91"/>
    <w:rsid w:val="00AF5571"/>
    <w:rsid w:val="00B07341"/>
    <w:rsid w:val="00B30539"/>
    <w:rsid w:val="00B314DB"/>
    <w:rsid w:val="00B361F2"/>
    <w:rsid w:val="00B3718B"/>
    <w:rsid w:val="00B3745F"/>
    <w:rsid w:val="00B4632A"/>
    <w:rsid w:val="00B530F1"/>
    <w:rsid w:val="00B7110D"/>
    <w:rsid w:val="00B711EC"/>
    <w:rsid w:val="00B93D7F"/>
    <w:rsid w:val="00BA276C"/>
    <w:rsid w:val="00BB019D"/>
    <w:rsid w:val="00BB306F"/>
    <w:rsid w:val="00BC1D9B"/>
    <w:rsid w:val="00BD0FF5"/>
    <w:rsid w:val="00BD4B89"/>
    <w:rsid w:val="00BD5922"/>
    <w:rsid w:val="00BF02CB"/>
    <w:rsid w:val="00BF3799"/>
    <w:rsid w:val="00BF6FD8"/>
    <w:rsid w:val="00BF7DA9"/>
    <w:rsid w:val="00C03680"/>
    <w:rsid w:val="00C054DF"/>
    <w:rsid w:val="00C21762"/>
    <w:rsid w:val="00C21FEF"/>
    <w:rsid w:val="00C23BA4"/>
    <w:rsid w:val="00C24468"/>
    <w:rsid w:val="00C24543"/>
    <w:rsid w:val="00C256A2"/>
    <w:rsid w:val="00C25ADB"/>
    <w:rsid w:val="00C51515"/>
    <w:rsid w:val="00C5660B"/>
    <w:rsid w:val="00C66B72"/>
    <w:rsid w:val="00C7545B"/>
    <w:rsid w:val="00C87AC4"/>
    <w:rsid w:val="00C9567A"/>
    <w:rsid w:val="00CB212D"/>
    <w:rsid w:val="00CB2660"/>
    <w:rsid w:val="00CB6C79"/>
    <w:rsid w:val="00CC5E90"/>
    <w:rsid w:val="00CD046C"/>
    <w:rsid w:val="00CD5794"/>
    <w:rsid w:val="00CE076C"/>
    <w:rsid w:val="00CE5199"/>
    <w:rsid w:val="00CE66D5"/>
    <w:rsid w:val="00CF637A"/>
    <w:rsid w:val="00CF66BF"/>
    <w:rsid w:val="00D059DE"/>
    <w:rsid w:val="00D05ABD"/>
    <w:rsid w:val="00D13FCE"/>
    <w:rsid w:val="00D306D1"/>
    <w:rsid w:val="00D30800"/>
    <w:rsid w:val="00D34786"/>
    <w:rsid w:val="00D37BFC"/>
    <w:rsid w:val="00D423EC"/>
    <w:rsid w:val="00D43820"/>
    <w:rsid w:val="00D47A8E"/>
    <w:rsid w:val="00D52D14"/>
    <w:rsid w:val="00D54DBE"/>
    <w:rsid w:val="00D712D3"/>
    <w:rsid w:val="00D71422"/>
    <w:rsid w:val="00D72DC6"/>
    <w:rsid w:val="00D7558D"/>
    <w:rsid w:val="00D80D30"/>
    <w:rsid w:val="00D81D92"/>
    <w:rsid w:val="00D876F9"/>
    <w:rsid w:val="00DA7B5F"/>
    <w:rsid w:val="00DC11E7"/>
    <w:rsid w:val="00DC24E3"/>
    <w:rsid w:val="00DC7023"/>
    <w:rsid w:val="00DC769A"/>
    <w:rsid w:val="00DD3D86"/>
    <w:rsid w:val="00DD4AD2"/>
    <w:rsid w:val="00DE2862"/>
    <w:rsid w:val="00DF1EC4"/>
    <w:rsid w:val="00E0240C"/>
    <w:rsid w:val="00E0340B"/>
    <w:rsid w:val="00E04A90"/>
    <w:rsid w:val="00E0551F"/>
    <w:rsid w:val="00E219C7"/>
    <w:rsid w:val="00E4118C"/>
    <w:rsid w:val="00E43157"/>
    <w:rsid w:val="00E461CE"/>
    <w:rsid w:val="00E573E4"/>
    <w:rsid w:val="00E64C3D"/>
    <w:rsid w:val="00E720CA"/>
    <w:rsid w:val="00E84EB5"/>
    <w:rsid w:val="00E85662"/>
    <w:rsid w:val="00E8789F"/>
    <w:rsid w:val="00E87AFB"/>
    <w:rsid w:val="00E97B71"/>
    <w:rsid w:val="00EA3D34"/>
    <w:rsid w:val="00EB454D"/>
    <w:rsid w:val="00EB4870"/>
    <w:rsid w:val="00ED549D"/>
    <w:rsid w:val="00ED5E10"/>
    <w:rsid w:val="00ED76BE"/>
    <w:rsid w:val="00EE00E9"/>
    <w:rsid w:val="00EF1AAA"/>
    <w:rsid w:val="00EF619B"/>
    <w:rsid w:val="00F00B55"/>
    <w:rsid w:val="00F02AD1"/>
    <w:rsid w:val="00F165A2"/>
    <w:rsid w:val="00F253CC"/>
    <w:rsid w:val="00F35E71"/>
    <w:rsid w:val="00F37106"/>
    <w:rsid w:val="00F379FF"/>
    <w:rsid w:val="00F44E25"/>
    <w:rsid w:val="00F519CF"/>
    <w:rsid w:val="00F56BA5"/>
    <w:rsid w:val="00F60E22"/>
    <w:rsid w:val="00F7542E"/>
    <w:rsid w:val="00F81395"/>
    <w:rsid w:val="00F81BB8"/>
    <w:rsid w:val="00F82B59"/>
    <w:rsid w:val="00F90C64"/>
    <w:rsid w:val="00F917D1"/>
    <w:rsid w:val="00F9653B"/>
    <w:rsid w:val="00FA53CD"/>
    <w:rsid w:val="00FB62CF"/>
    <w:rsid w:val="00FC5AAB"/>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0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459F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053D4"/>
    <w:rsid w:val="00200821"/>
    <w:rsid w:val="0025245B"/>
    <w:rsid w:val="002529DA"/>
    <w:rsid w:val="002A3923"/>
    <w:rsid w:val="00394049"/>
    <w:rsid w:val="003B0C71"/>
    <w:rsid w:val="004B5BBB"/>
    <w:rsid w:val="004F2DF8"/>
    <w:rsid w:val="00517E2A"/>
    <w:rsid w:val="00555194"/>
    <w:rsid w:val="006F24A1"/>
    <w:rsid w:val="00885200"/>
    <w:rsid w:val="009A261B"/>
    <w:rsid w:val="00AA2E17"/>
    <w:rsid w:val="00AC15A4"/>
    <w:rsid w:val="00B0336C"/>
    <w:rsid w:val="00B82626"/>
    <w:rsid w:val="00BA2209"/>
    <w:rsid w:val="00D241E9"/>
    <w:rsid w:val="00D7750D"/>
    <w:rsid w:val="00E40E4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1B52E-2D43-45C4-9FF2-4A88821C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4919</Words>
  <Characters>25776</Characters>
  <Application>Microsoft Office Word</Application>
  <DocSecurity>0</DocSecurity>
  <Lines>368</Lines>
  <Paragraphs>65</Paragraphs>
  <ScaleCrop>false</ScaleCrop>
  <Company/>
  <LinksUpToDate>false</LinksUpToDate>
  <CharactersWithSpaces>30630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7/21</dc:title>
  <dc:creator/>
  <cp:lastModifiedBy/>
  <cp:revision>1</cp:revision>
  <dcterms:created xsi:type="dcterms:W3CDTF">2021-03-30T14:15:00Z</dcterms:created>
  <dcterms:modified xsi:type="dcterms:W3CDTF">2021-03-30T14:15:00Z</dcterms:modified>
</cp:coreProperties>
</file>