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91BB3"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lang w:eastAsia="zh-CN"/>
        </w:rPr>
        <mc:AlternateContent>
          <mc:Choice Requires="wps">
            <w:drawing>
              <wp:anchor distT="0" distB="0" distL="114300" distR="114300" simplePos="0" relativeHeight="251661311" behindDoc="0" locked="0" layoutInCell="1" allowOverlap="1" wp14:anchorId="179A3F0F" wp14:editId="5DE2E985">
                <wp:simplePos x="0" y="0"/>
                <wp:positionH relativeFrom="column">
                  <wp:posOffset>-416115</wp:posOffset>
                </wp:positionH>
                <wp:positionV relativeFrom="paragraph">
                  <wp:posOffset>-439420</wp:posOffset>
                </wp:positionV>
                <wp:extent cx="1543050" cy="909637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solidFill>
                            <a:srgbClr val="4A719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ECD3D6"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" fillcolor="#4a7194" strokecolor="#4a7194" strokeweight="2pt"/>
            </w:pict>
          </mc:Fallback>
        </mc:AlternateContent>
      </w:r>
      <w:r w:rsidR="003E6CA1" w:rsidRPr="0090270B">
        <w:rPr>
          <w:rFonts w:asciiTheme="majorHAnsi" w:hAnsiTheme="majorHAnsi"/>
          <w:noProof/>
          <w:sz w:val="22"/>
          <w:szCs w:val="22"/>
          <w:lang w:eastAsia="zh-CN"/>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664FD9" w:rsidRDefault="00664FD9" w:rsidP="00AE5488">
                            <w:r>
                              <w:rPr>
                                <w:noProof/>
                                <w:lang w:eastAsia="zh-CN"/>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" filled="f" stroked="f" strokeweight=".5pt">
                <v:textbox>
                  <w:txbxContent>
                    <w:p w14:paraId="349218F2" w14:textId="77777777" w:rsidR="00664FD9" w:rsidRDefault="00664FD9" w:rsidP="00AE5488">
                      <w:r>
                        <w:rPr>
                          <w:noProof/>
                          <w:lang w:eastAsia="zh-CN"/>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14:paraId="47386BAF"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2A36B2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2252093D" w14:textId="77777777" w:rsidR="005128E4" w:rsidRPr="0090270B" w:rsidRDefault="005128E4" w:rsidP="00040C3A">
      <w:pPr>
        <w:tabs>
          <w:tab w:val="center" w:pos="5400"/>
        </w:tabs>
        <w:suppressAutoHyphens/>
        <w:rPr>
          <w:rFonts w:asciiTheme="majorHAnsi" w:hAnsiTheme="majorHAnsi"/>
          <w:sz w:val="22"/>
          <w:szCs w:val="22"/>
          <w:lang w:val="es-ES_tradnl"/>
        </w:rPr>
      </w:pPr>
    </w:p>
    <w:p w14:paraId="403935BD"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6DCF5F8F"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4791F13A"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44E016B6"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3D4196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5ADEB99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D81B7E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4791D04"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lang w:eastAsia="zh-CN"/>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5C44BA75" w:rsidR="00664FD9" w:rsidRPr="004E2649" w:rsidRDefault="00664FD9"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EA1433">
                              <w:rPr>
                                <w:rFonts w:asciiTheme="majorHAnsi" w:hAnsiTheme="majorHAnsi" w:cs="Arial"/>
                                <w:b/>
                                <w:bCs/>
                                <w:color w:val="0D0D0D" w:themeColor="text1" w:themeTint="F2"/>
                                <w:sz w:val="36"/>
                                <w:szCs w:val="22"/>
                                <w:lang w:val="es-ES_tradnl"/>
                              </w:rPr>
                              <w:t>312</w:t>
                            </w:r>
                            <w:r>
                              <w:rPr>
                                <w:rFonts w:asciiTheme="majorHAnsi" w:hAnsiTheme="majorHAnsi" w:cs="Arial"/>
                                <w:b/>
                                <w:bCs/>
                                <w:color w:val="0D0D0D" w:themeColor="text1" w:themeTint="F2"/>
                                <w:sz w:val="36"/>
                                <w:szCs w:val="22"/>
                                <w:lang w:val="es-ES_tradnl"/>
                              </w:rPr>
                              <w:t>/</w:t>
                            </w:r>
                            <w:r w:rsidR="00880D34">
                              <w:rPr>
                                <w:rFonts w:asciiTheme="majorHAnsi" w:hAnsiTheme="majorHAnsi" w:cs="Arial"/>
                                <w:b/>
                                <w:bCs/>
                                <w:color w:val="0D0D0D" w:themeColor="text1" w:themeTint="F2"/>
                                <w:sz w:val="36"/>
                                <w:szCs w:val="22"/>
                                <w:lang w:val="es-ES_tradnl"/>
                              </w:rPr>
                              <w:t>21</w:t>
                            </w:r>
                          </w:p>
                          <w:p w14:paraId="09C54AB3" w14:textId="23301F30" w:rsidR="00664FD9" w:rsidRDefault="00664FD9"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961</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10</w:t>
                            </w:r>
                            <w:r w:rsidRPr="004E2649">
                              <w:rPr>
                                <w:rFonts w:asciiTheme="majorHAnsi" w:hAnsiTheme="majorHAnsi" w:cs="Arial"/>
                                <w:b/>
                                <w:color w:val="0D0D0D" w:themeColor="text1" w:themeTint="F2"/>
                                <w:sz w:val="36"/>
                                <w:szCs w:val="22"/>
                                <w:lang w:val="es-ES_tradnl"/>
                              </w:rPr>
                              <w:t xml:space="preserve"> </w:t>
                            </w:r>
                          </w:p>
                          <w:p w14:paraId="70CF6833" w14:textId="6B73CA43" w:rsidR="00664FD9" w:rsidRPr="0010736F" w:rsidRDefault="00664FD9"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14:paraId="5FDD6F0D" w14:textId="77777777" w:rsidR="00664FD9" w:rsidRPr="0010736F" w:rsidRDefault="00664FD9" w:rsidP="00997BC5">
                            <w:pPr>
                              <w:spacing w:line="276" w:lineRule="auto"/>
                              <w:rPr>
                                <w:rFonts w:asciiTheme="majorHAnsi" w:hAnsiTheme="majorHAnsi" w:cs="Arial"/>
                                <w:color w:val="0D0D0D" w:themeColor="text1" w:themeTint="F2"/>
                                <w:szCs w:val="22"/>
                                <w:lang w:val="es-ES_tradnl"/>
                              </w:rPr>
                            </w:pPr>
                            <w:bookmarkStart w:id="0" w:name="_ftnref1"/>
                          </w:p>
                          <w:p w14:paraId="4CFA2FBF" w14:textId="0D458C6A" w:rsidR="00664FD9" w:rsidRPr="0010736F" w:rsidRDefault="00664FD9"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NELSON J. MEZERHANE GOSEN</w:t>
                            </w:r>
                          </w:p>
                          <w:bookmarkEnd w:id="0"/>
                          <w:p w14:paraId="35068D0D" w14:textId="2A0FBFEE" w:rsidR="00664FD9" w:rsidRPr="0010736F" w:rsidRDefault="00664FD9"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VENEZUELA</w:t>
                            </w:r>
                          </w:p>
                          <w:p w14:paraId="575DFD52" w14:textId="77777777" w:rsidR="00664FD9" w:rsidRPr="00AE5488" w:rsidRDefault="00664FD9"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80ED94"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5C44BA75" w:rsidR="00664FD9" w:rsidRPr="004E2649" w:rsidRDefault="00664FD9"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EA1433">
                        <w:rPr>
                          <w:rFonts w:asciiTheme="majorHAnsi" w:hAnsiTheme="majorHAnsi" w:cs="Arial"/>
                          <w:b/>
                          <w:bCs/>
                          <w:color w:val="0D0D0D" w:themeColor="text1" w:themeTint="F2"/>
                          <w:sz w:val="36"/>
                          <w:szCs w:val="22"/>
                          <w:lang w:val="es-ES_tradnl"/>
                        </w:rPr>
                        <w:t>312</w:t>
                      </w:r>
                      <w:r>
                        <w:rPr>
                          <w:rFonts w:asciiTheme="majorHAnsi" w:hAnsiTheme="majorHAnsi" w:cs="Arial"/>
                          <w:b/>
                          <w:bCs/>
                          <w:color w:val="0D0D0D" w:themeColor="text1" w:themeTint="F2"/>
                          <w:sz w:val="36"/>
                          <w:szCs w:val="22"/>
                          <w:lang w:val="es-ES_tradnl"/>
                        </w:rPr>
                        <w:t>/</w:t>
                      </w:r>
                      <w:r w:rsidR="00880D34">
                        <w:rPr>
                          <w:rFonts w:asciiTheme="majorHAnsi" w:hAnsiTheme="majorHAnsi" w:cs="Arial"/>
                          <w:b/>
                          <w:bCs/>
                          <w:color w:val="0D0D0D" w:themeColor="text1" w:themeTint="F2"/>
                          <w:sz w:val="36"/>
                          <w:szCs w:val="22"/>
                          <w:lang w:val="es-ES_tradnl"/>
                        </w:rPr>
                        <w:t>21</w:t>
                      </w:r>
                    </w:p>
                    <w:p w14:paraId="09C54AB3" w14:textId="23301F30" w:rsidR="00664FD9" w:rsidRDefault="00664FD9"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961</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10</w:t>
                      </w:r>
                      <w:r w:rsidRPr="004E2649">
                        <w:rPr>
                          <w:rFonts w:asciiTheme="majorHAnsi" w:hAnsiTheme="majorHAnsi" w:cs="Arial"/>
                          <w:b/>
                          <w:color w:val="0D0D0D" w:themeColor="text1" w:themeTint="F2"/>
                          <w:sz w:val="36"/>
                          <w:szCs w:val="22"/>
                          <w:lang w:val="es-ES_tradnl"/>
                        </w:rPr>
                        <w:t xml:space="preserve"> </w:t>
                      </w:r>
                    </w:p>
                    <w:p w14:paraId="70CF6833" w14:textId="6B73CA43" w:rsidR="00664FD9" w:rsidRPr="0010736F" w:rsidRDefault="00664FD9"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14:paraId="5FDD6F0D" w14:textId="77777777" w:rsidR="00664FD9" w:rsidRPr="0010736F" w:rsidRDefault="00664FD9" w:rsidP="00997BC5">
                      <w:pPr>
                        <w:spacing w:line="276" w:lineRule="auto"/>
                        <w:rPr>
                          <w:rFonts w:asciiTheme="majorHAnsi" w:hAnsiTheme="majorHAnsi" w:cs="Arial"/>
                          <w:color w:val="0D0D0D" w:themeColor="text1" w:themeTint="F2"/>
                          <w:szCs w:val="22"/>
                          <w:lang w:val="es-ES_tradnl"/>
                        </w:rPr>
                      </w:pPr>
                      <w:bookmarkStart w:id="1" w:name="_ftnref1"/>
                    </w:p>
                    <w:p w14:paraId="4CFA2FBF" w14:textId="0D458C6A" w:rsidR="00664FD9" w:rsidRPr="0010736F" w:rsidRDefault="00664FD9"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NELSON J. MEZERHANE GOSEN</w:t>
                      </w:r>
                    </w:p>
                    <w:bookmarkEnd w:id="1"/>
                    <w:p w14:paraId="35068D0D" w14:textId="2A0FBFEE" w:rsidR="00664FD9" w:rsidRPr="0010736F" w:rsidRDefault="00664FD9"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VENEZUELA</w:t>
                      </w:r>
                    </w:p>
                    <w:p w14:paraId="575DFD52" w14:textId="77777777" w:rsidR="00664FD9" w:rsidRPr="00AE5488" w:rsidRDefault="00664FD9"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lang w:eastAsia="zh-CN"/>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6CDDC6CD" w:rsidR="00664FD9" w:rsidRPr="0092397B" w:rsidRDefault="00664FD9" w:rsidP="007A5817">
                            <w:pPr>
                              <w:spacing w:line="276" w:lineRule="auto"/>
                              <w:jc w:val="right"/>
                              <w:rPr>
                                <w:rFonts w:asciiTheme="minorHAnsi" w:hAnsiTheme="minorHAnsi"/>
                                <w:color w:val="FFFFFF" w:themeColor="background1"/>
                                <w:sz w:val="22"/>
                                <w:lang w:val="es-419"/>
                              </w:rPr>
                            </w:pPr>
                            <w:r w:rsidRPr="0092397B">
                              <w:rPr>
                                <w:rFonts w:asciiTheme="minorHAnsi" w:hAnsiTheme="minorHAnsi"/>
                                <w:color w:val="FFFFFF" w:themeColor="background1"/>
                                <w:sz w:val="22"/>
                                <w:lang w:val="es-419"/>
                              </w:rPr>
                              <w:t>OEA/Ser.L/V/II</w:t>
                            </w:r>
                          </w:p>
                          <w:p w14:paraId="6A41611B" w14:textId="3701E9F3" w:rsidR="00664FD9" w:rsidRPr="00EA1433" w:rsidRDefault="00664FD9" w:rsidP="007A5817">
                            <w:pPr>
                              <w:spacing w:line="276" w:lineRule="auto"/>
                              <w:jc w:val="right"/>
                              <w:rPr>
                                <w:rFonts w:asciiTheme="minorHAnsi" w:hAnsiTheme="minorHAnsi"/>
                                <w:color w:val="FFFFFF" w:themeColor="background1"/>
                                <w:sz w:val="22"/>
                                <w:lang w:val="es-419"/>
                              </w:rPr>
                            </w:pPr>
                            <w:r w:rsidRPr="00EA1433">
                              <w:rPr>
                                <w:rFonts w:asciiTheme="minorHAnsi" w:hAnsiTheme="minorHAnsi"/>
                                <w:color w:val="FFFFFF" w:themeColor="background1"/>
                                <w:sz w:val="22"/>
                                <w:lang w:val="es-419"/>
                              </w:rPr>
                              <w:t xml:space="preserve">Doc. </w:t>
                            </w:r>
                            <w:r w:rsidR="00EA1433">
                              <w:rPr>
                                <w:rFonts w:asciiTheme="minorHAnsi" w:hAnsiTheme="minorHAnsi"/>
                                <w:color w:val="FFFFFF" w:themeColor="background1"/>
                                <w:sz w:val="22"/>
                                <w:lang w:val="es-419"/>
                              </w:rPr>
                              <w:t>322</w:t>
                            </w:r>
                          </w:p>
                          <w:p w14:paraId="69373ED2" w14:textId="712475EA" w:rsidR="00664FD9" w:rsidRPr="00E63ADB" w:rsidRDefault="00EA1433" w:rsidP="007A5817">
                            <w:pPr>
                              <w:spacing w:line="276" w:lineRule="auto"/>
                              <w:jc w:val="right"/>
                              <w:rPr>
                                <w:rFonts w:asciiTheme="minorHAnsi" w:hAnsiTheme="minorHAnsi"/>
                                <w:color w:val="FFFFFF" w:themeColor="background1"/>
                                <w:sz w:val="22"/>
                                <w:lang w:val="es-AR"/>
                              </w:rPr>
                            </w:pPr>
                            <w:r>
                              <w:rPr>
                                <w:rFonts w:asciiTheme="minorHAnsi" w:hAnsiTheme="minorHAnsi"/>
                                <w:color w:val="FFFFFF" w:themeColor="background1"/>
                                <w:sz w:val="22"/>
                                <w:lang w:val="es-AR"/>
                              </w:rPr>
                              <w:t>2 noviembre</w:t>
                            </w:r>
                            <w:r w:rsidR="00664FD9" w:rsidRPr="00E63ADB">
                              <w:rPr>
                                <w:rFonts w:asciiTheme="minorHAnsi" w:hAnsiTheme="minorHAnsi"/>
                                <w:color w:val="FFFFFF" w:themeColor="background1"/>
                                <w:sz w:val="22"/>
                                <w:lang w:val="es-AR"/>
                              </w:rPr>
                              <w:t xml:space="preserve"> 20</w:t>
                            </w:r>
                            <w:r w:rsidR="0051565F">
                              <w:rPr>
                                <w:rFonts w:asciiTheme="minorHAnsi" w:hAnsiTheme="minorHAnsi"/>
                                <w:color w:val="FFFFFF" w:themeColor="background1"/>
                                <w:sz w:val="22"/>
                                <w:lang w:val="es-AR"/>
                              </w:rPr>
                              <w:t>21</w:t>
                            </w:r>
                          </w:p>
                          <w:p w14:paraId="0771DB5B" w14:textId="77777777" w:rsidR="00664FD9" w:rsidRPr="00E63ADB" w:rsidRDefault="00664FD9" w:rsidP="007A5817">
                            <w:pPr>
                              <w:spacing w:line="276" w:lineRule="auto"/>
                              <w:jc w:val="right"/>
                              <w:rPr>
                                <w:rFonts w:asciiTheme="minorHAnsi" w:hAnsiTheme="minorHAnsi"/>
                                <w:color w:val="FFFFFF" w:themeColor="background1"/>
                                <w:sz w:val="22"/>
                                <w:lang w:val="es-AR"/>
                              </w:rPr>
                            </w:pPr>
                            <w:r w:rsidRPr="00E63ADB">
                              <w:rPr>
                                <w:rFonts w:asciiTheme="minorHAnsi" w:hAnsiTheme="minorHAnsi"/>
                                <w:color w:val="FFFFFF" w:themeColor="background1"/>
                                <w:sz w:val="22"/>
                                <w:lang w:val="es-AR"/>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BE5919" id="_x0000_t202" coordsize="21600,21600" o:spt="202" path="m,l,21600r21600,l21600,xe">
                <v:stroke joinstyle="miter"/>
                <v:path gradientshapeok="t" o:connecttype="rect"/>
              </v:shapetype>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6CDDC6CD" w:rsidR="00664FD9" w:rsidRPr="0092397B" w:rsidRDefault="00664FD9" w:rsidP="007A5817">
                      <w:pPr>
                        <w:spacing w:line="276" w:lineRule="auto"/>
                        <w:jc w:val="right"/>
                        <w:rPr>
                          <w:rFonts w:asciiTheme="minorHAnsi" w:hAnsiTheme="minorHAnsi"/>
                          <w:color w:val="FFFFFF" w:themeColor="background1"/>
                          <w:sz w:val="22"/>
                          <w:lang w:val="es-419"/>
                        </w:rPr>
                      </w:pPr>
                      <w:r w:rsidRPr="0092397B">
                        <w:rPr>
                          <w:rFonts w:asciiTheme="minorHAnsi" w:hAnsiTheme="minorHAnsi"/>
                          <w:color w:val="FFFFFF" w:themeColor="background1"/>
                          <w:sz w:val="22"/>
                          <w:lang w:val="es-419"/>
                        </w:rPr>
                        <w:t>OEA/Ser.L/V/II</w:t>
                      </w:r>
                    </w:p>
                    <w:p w14:paraId="6A41611B" w14:textId="3701E9F3" w:rsidR="00664FD9" w:rsidRPr="00EA1433" w:rsidRDefault="00664FD9" w:rsidP="007A5817">
                      <w:pPr>
                        <w:spacing w:line="276" w:lineRule="auto"/>
                        <w:jc w:val="right"/>
                        <w:rPr>
                          <w:rFonts w:asciiTheme="minorHAnsi" w:hAnsiTheme="minorHAnsi"/>
                          <w:color w:val="FFFFFF" w:themeColor="background1"/>
                          <w:sz w:val="22"/>
                          <w:lang w:val="es-419"/>
                        </w:rPr>
                      </w:pPr>
                      <w:r w:rsidRPr="00EA1433">
                        <w:rPr>
                          <w:rFonts w:asciiTheme="minorHAnsi" w:hAnsiTheme="minorHAnsi"/>
                          <w:color w:val="FFFFFF" w:themeColor="background1"/>
                          <w:sz w:val="22"/>
                          <w:lang w:val="es-419"/>
                        </w:rPr>
                        <w:t xml:space="preserve">Doc. </w:t>
                      </w:r>
                      <w:r w:rsidR="00EA1433">
                        <w:rPr>
                          <w:rFonts w:asciiTheme="minorHAnsi" w:hAnsiTheme="minorHAnsi"/>
                          <w:color w:val="FFFFFF" w:themeColor="background1"/>
                          <w:sz w:val="22"/>
                          <w:lang w:val="es-419"/>
                        </w:rPr>
                        <w:t>322</w:t>
                      </w:r>
                    </w:p>
                    <w:p w14:paraId="69373ED2" w14:textId="712475EA" w:rsidR="00664FD9" w:rsidRPr="00E63ADB" w:rsidRDefault="00EA1433" w:rsidP="007A5817">
                      <w:pPr>
                        <w:spacing w:line="276" w:lineRule="auto"/>
                        <w:jc w:val="right"/>
                        <w:rPr>
                          <w:rFonts w:asciiTheme="minorHAnsi" w:hAnsiTheme="minorHAnsi"/>
                          <w:color w:val="FFFFFF" w:themeColor="background1"/>
                          <w:sz w:val="22"/>
                          <w:lang w:val="es-AR"/>
                        </w:rPr>
                      </w:pPr>
                      <w:r>
                        <w:rPr>
                          <w:rFonts w:asciiTheme="minorHAnsi" w:hAnsiTheme="minorHAnsi"/>
                          <w:color w:val="FFFFFF" w:themeColor="background1"/>
                          <w:sz w:val="22"/>
                          <w:lang w:val="es-AR"/>
                        </w:rPr>
                        <w:t>2 noviembre</w:t>
                      </w:r>
                      <w:r w:rsidR="00664FD9" w:rsidRPr="00E63ADB">
                        <w:rPr>
                          <w:rFonts w:asciiTheme="minorHAnsi" w:hAnsiTheme="minorHAnsi"/>
                          <w:color w:val="FFFFFF" w:themeColor="background1"/>
                          <w:sz w:val="22"/>
                          <w:lang w:val="es-AR"/>
                        </w:rPr>
                        <w:t xml:space="preserve"> 20</w:t>
                      </w:r>
                      <w:r w:rsidR="0051565F">
                        <w:rPr>
                          <w:rFonts w:asciiTheme="minorHAnsi" w:hAnsiTheme="minorHAnsi"/>
                          <w:color w:val="FFFFFF" w:themeColor="background1"/>
                          <w:sz w:val="22"/>
                          <w:lang w:val="es-AR"/>
                        </w:rPr>
                        <w:t>21</w:t>
                      </w:r>
                    </w:p>
                    <w:p w14:paraId="0771DB5B" w14:textId="77777777" w:rsidR="00664FD9" w:rsidRPr="00E63ADB" w:rsidRDefault="00664FD9" w:rsidP="007A5817">
                      <w:pPr>
                        <w:spacing w:line="276" w:lineRule="auto"/>
                        <w:jc w:val="right"/>
                        <w:rPr>
                          <w:rFonts w:asciiTheme="minorHAnsi" w:hAnsiTheme="minorHAnsi"/>
                          <w:color w:val="FFFFFF" w:themeColor="background1"/>
                          <w:sz w:val="22"/>
                          <w:lang w:val="es-AR"/>
                        </w:rPr>
                      </w:pPr>
                      <w:r w:rsidRPr="00E63ADB">
                        <w:rPr>
                          <w:rFonts w:asciiTheme="minorHAnsi" w:hAnsiTheme="minorHAnsi"/>
                          <w:color w:val="FFFFFF" w:themeColor="background1"/>
                          <w:sz w:val="22"/>
                          <w:lang w:val="es-AR"/>
                        </w:rPr>
                        <w:t>Original: español</w:t>
                      </w:r>
                    </w:p>
                  </w:txbxContent>
                </v:textbox>
              </v:shape>
            </w:pict>
          </mc:Fallback>
        </mc:AlternateContent>
      </w:r>
    </w:p>
    <w:p w14:paraId="155B053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FE3AB8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383BC0"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5459093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6C291D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161B44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4EEE0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B0E464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AAF36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2496A1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5772DB3"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820FAD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54445A5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D4A404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48FBB2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90ABFB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C69004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3CA43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74DEE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98D0D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F90782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45D9AC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6068EE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4A4A43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3B735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2C5C44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06A2B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19C392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14A0182"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lang w:eastAsia="zh-CN"/>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7766A80D" w:rsidR="00664FD9" w:rsidRPr="00890650" w:rsidRDefault="00664FD9" w:rsidP="00524058">
                            <w:pPr>
                              <w:tabs>
                                <w:tab w:val="center" w:pos="5400"/>
                              </w:tabs>
                              <w:suppressAutoHyphens/>
                              <w:spacing w:before="60"/>
                              <w:jc w:val="both"/>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EA1433">
                              <w:rPr>
                                <w:rFonts w:asciiTheme="majorHAnsi" w:hAnsiTheme="majorHAnsi"/>
                                <w:color w:val="0D0D0D" w:themeColor="text1" w:themeTint="F2"/>
                                <w:sz w:val="18"/>
                                <w:szCs w:val="22"/>
                                <w:lang w:val="es-ES"/>
                              </w:rPr>
                              <w:t>2</w:t>
                            </w:r>
                            <w:r w:rsidRPr="00890650">
                              <w:rPr>
                                <w:rFonts w:asciiTheme="majorHAnsi" w:hAnsiTheme="majorHAnsi"/>
                                <w:color w:val="0D0D0D" w:themeColor="text1" w:themeTint="F2"/>
                                <w:sz w:val="18"/>
                                <w:szCs w:val="22"/>
                                <w:lang w:val="es-ES"/>
                              </w:rPr>
                              <w:t xml:space="preserve"> de </w:t>
                            </w:r>
                            <w:r w:rsidR="00EA1433">
                              <w:rPr>
                                <w:rFonts w:asciiTheme="majorHAnsi" w:hAnsiTheme="majorHAnsi"/>
                                <w:color w:val="0D0D0D" w:themeColor="text1" w:themeTint="F2"/>
                                <w:sz w:val="18"/>
                                <w:szCs w:val="22"/>
                                <w:lang w:val="es-ES"/>
                              </w:rPr>
                              <w:t>noviembre</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51565F">
                              <w:rPr>
                                <w:rFonts w:asciiTheme="majorHAnsi" w:hAnsiTheme="majorHAnsi"/>
                                <w:color w:val="0D0D0D" w:themeColor="text1" w:themeTint="F2"/>
                                <w:sz w:val="18"/>
                                <w:szCs w:val="22"/>
                                <w:lang w:val="es-ES"/>
                              </w:rPr>
                              <w:t>21</w:t>
                            </w:r>
                            <w:r w:rsidR="00625BFB">
                              <w:rPr>
                                <w:rFonts w:asciiTheme="majorHAnsi" w:hAnsiTheme="majorHAnsi"/>
                                <w:color w:val="0D0D0D" w:themeColor="text1" w:themeTint="F2"/>
                                <w:sz w:val="18"/>
                                <w:szCs w:val="22"/>
                                <w:lang w:val="es-ES"/>
                              </w:rPr>
                              <w:t>.</w:t>
                            </w:r>
                          </w:p>
                          <w:p w14:paraId="4BDF3581" w14:textId="77777777" w:rsidR="00664FD9" w:rsidRPr="007A5817" w:rsidRDefault="00664FD9"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664FD9" w:rsidRPr="00167A34" w:rsidRDefault="00664FD9"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B0B44F"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2944B4F7" w14:textId="7766A80D" w:rsidR="00664FD9" w:rsidRPr="00890650" w:rsidRDefault="00664FD9" w:rsidP="00524058">
                      <w:pPr>
                        <w:tabs>
                          <w:tab w:val="center" w:pos="5400"/>
                        </w:tabs>
                        <w:suppressAutoHyphens/>
                        <w:spacing w:before="60"/>
                        <w:jc w:val="both"/>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EA1433">
                        <w:rPr>
                          <w:rFonts w:asciiTheme="majorHAnsi" w:hAnsiTheme="majorHAnsi"/>
                          <w:color w:val="0D0D0D" w:themeColor="text1" w:themeTint="F2"/>
                          <w:sz w:val="18"/>
                          <w:szCs w:val="22"/>
                          <w:lang w:val="es-ES"/>
                        </w:rPr>
                        <w:t>2</w:t>
                      </w:r>
                      <w:r w:rsidRPr="00890650">
                        <w:rPr>
                          <w:rFonts w:asciiTheme="majorHAnsi" w:hAnsiTheme="majorHAnsi"/>
                          <w:color w:val="0D0D0D" w:themeColor="text1" w:themeTint="F2"/>
                          <w:sz w:val="18"/>
                          <w:szCs w:val="22"/>
                          <w:lang w:val="es-ES"/>
                        </w:rPr>
                        <w:t xml:space="preserve"> de </w:t>
                      </w:r>
                      <w:r w:rsidR="00EA1433">
                        <w:rPr>
                          <w:rFonts w:asciiTheme="majorHAnsi" w:hAnsiTheme="majorHAnsi"/>
                          <w:color w:val="0D0D0D" w:themeColor="text1" w:themeTint="F2"/>
                          <w:sz w:val="18"/>
                          <w:szCs w:val="22"/>
                          <w:lang w:val="es-ES"/>
                        </w:rPr>
                        <w:t>noviembre</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51565F">
                        <w:rPr>
                          <w:rFonts w:asciiTheme="majorHAnsi" w:hAnsiTheme="majorHAnsi"/>
                          <w:color w:val="0D0D0D" w:themeColor="text1" w:themeTint="F2"/>
                          <w:sz w:val="18"/>
                          <w:szCs w:val="22"/>
                          <w:lang w:val="es-ES"/>
                        </w:rPr>
                        <w:t>21</w:t>
                      </w:r>
                      <w:r w:rsidR="00625BFB">
                        <w:rPr>
                          <w:rFonts w:asciiTheme="majorHAnsi" w:hAnsiTheme="majorHAnsi"/>
                          <w:color w:val="0D0D0D" w:themeColor="text1" w:themeTint="F2"/>
                          <w:sz w:val="18"/>
                          <w:szCs w:val="22"/>
                          <w:lang w:val="es-ES"/>
                        </w:rPr>
                        <w:t>.</w:t>
                      </w:r>
                    </w:p>
                    <w:p w14:paraId="4BDF3581" w14:textId="77777777" w:rsidR="00664FD9" w:rsidRPr="007A5817" w:rsidRDefault="00664FD9"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664FD9" w:rsidRPr="00167A34" w:rsidRDefault="00664FD9"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929D1F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469D0B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A79F05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30672AE"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lang w:eastAsia="zh-CN"/>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3849E1AD" w:rsidR="00664FD9" w:rsidRPr="007B05C4" w:rsidRDefault="00664FD9" w:rsidP="00524058">
                            <w:pPr>
                              <w:spacing w:line="276" w:lineRule="auto"/>
                              <w:jc w:val="both"/>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EA1433" w:rsidRPr="00EA1433">
                              <w:rPr>
                                <w:rFonts w:asciiTheme="majorHAnsi" w:hAnsiTheme="majorHAnsi"/>
                                <w:color w:val="595959" w:themeColor="text1" w:themeTint="A6"/>
                                <w:sz w:val="18"/>
                                <w:szCs w:val="18"/>
                                <w:lang w:val="pt-BR"/>
                              </w:rPr>
                              <w:t>312</w:t>
                            </w:r>
                            <w:r w:rsidRPr="00EA1433">
                              <w:rPr>
                                <w:rFonts w:asciiTheme="majorHAnsi" w:hAnsiTheme="majorHAnsi"/>
                                <w:color w:val="595959" w:themeColor="text1" w:themeTint="A6"/>
                                <w:sz w:val="18"/>
                                <w:szCs w:val="18"/>
                                <w:lang w:val="pt-BR"/>
                              </w:rPr>
                              <w:t>/</w:t>
                            </w:r>
                            <w:r w:rsidR="00EA1433" w:rsidRPr="00EA1433">
                              <w:rPr>
                                <w:rFonts w:asciiTheme="majorHAnsi" w:hAnsiTheme="majorHAnsi"/>
                                <w:color w:val="595959" w:themeColor="text1" w:themeTint="A6"/>
                                <w:sz w:val="18"/>
                                <w:szCs w:val="18"/>
                                <w:lang w:val="pt-BR"/>
                              </w:rPr>
                              <w:t>2</w:t>
                            </w:r>
                            <w:r w:rsidRPr="00EA1433">
                              <w:rPr>
                                <w:rFonts w:asciiTheme="majorHAnsi" w:hAnsiTheme="majorHAnsi"/>
                                <w:color w:val="595959" w:themeColor="text1" w:themeTint="A6"/>
                                <w:sz w:val="18"/>
                                <w:szCs w:val="18"/>
                                <w:lang w:val="pt-BR"/>
                              </w:rPr>
                              <w:t xml:space="preserve">1. </w:t>
                            </w:r>
                            <w:proofErr w:type="spellStart"/>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ón</w:t>
                            </w:r>
                            <w:proofErr w:type="spellEnd"/>
                            <w:r>
                              <w:rPr>
                                <w:rFonts w:asciiTheme="majorHAnsi" w:hAnsiTheme="majorHAnsi"/>
                                <w:color w:val="595959" w:themeColor="text1" w:themeTint="A6"/>
                                <w:sz w:val="18"/>
                                <w:szCs w:val="18"/>
                                <w:lang w:val="es-ES"/>
                              </w:rPr>
                              <w:t xml:space="preserve"> 961-10. </w:t>
                            </w:r>
                            <w:r>
                              <w:rPr>
                                <w:rFonts w:asciiTheme="majorHAnsi" w:hAnsiTheme="majorHAnsi"/>
                                <w:color w:val="595959" w:themeColor="text1" w:themeTint="A6"/>
                                <w:sz w:val="18"/>
                                <w:szCs w:val="18"/>
                                <w:lang w:val="es-ES_tradnl"/>
                              </w:rPr>
                              <w:t>Admisibilidad</w:t>
                            </w:r>
                            <w:r w:rsidRPr="00890650">
                              <w:rPr>
                                <w:rFonts w:asciiTheme="majorHAnsi" w:hAnsiTheme="majorHAnsi"/>
                                <w:color w:val="595959" w:themeColor="text1" w:themeTint="A6"/>
                                <w:sz w:val="18"/>
                                <w:szCs w:val="18"/>
                                <w:lang w:val="es-ES_tradnl"/>
                              </w:rPr>
                              <w:t>.</w:t>
                            </w:r>
                            <w:r>
                              <w:rPr>
                                <w:rFonts w:asciiTheme="majorHAnsi" w:hAnsiTheme="majorHAnsi"/>
                                <w:color w:val="595959" w:themeColor="text1" w:themeTint="A6"/>
                                <w:sz w:val="18"/>
                                <w:szCs w:val="18"/>
                                <w:lang w:val="es-ES_tradnl"/>
                              </w:rPr>
                              <w:t xml:space="preserve"> Nelson J. </w:t>
                            </w:r>
                            <w:proofErr w:type="spellStart"/>
                            <w:r>
                              <w:rPr>
                                <w:rFonts w:asciiTheme="majorHAnsi" w:hAnsiTheme="majorHAnsi"/>
                                <w:color w:val="595959" w:themeColor="text1" w:themeTint="A6"/>
                                <w:sz w:val="18"/>
                                <w:szCs w:val="18"/>
                                <w:lang w:val="es-ES_tradnl"/>
                              </w:rPr>
                              <w:t>Mezerhane</w:t>
                            </w:r>
                            <w:proofErr w:type="spellEnd"/>
                            <w:r>
                              <w:rPr>
                                <w:rFonts w:asciiTheme="majorHAnsi" w:hAnsiTheme="majorHAnsi"/>
                                <w:color w:val="595959" w:themeColor="text1" w:themeTint="A6"/>
                                <w:sz w:val="18"/>
                                <w:szCs w:val="18"/>
                                <w:lang w:val="es-ES_tradnl"/>
                              </w:rPr>
                              <w:t xml:space="preserve"> </w:t>
                            </w:r>
                            <w:proofErr w:type="spellStart"/>
                            <w:r>
                              <w:rPr>
                                <w:rFonts w:asciiTheme="majorHAnsi" w:hAnsiTheme="majorHAnsi"/>
                                <w:color w:val="595959" w:themeColor="text1" w:themeTint="A6"/>
                                <w:sz w:val="18"/>
                                <w:szCs w:val="18"/>
                                <w:lang w:val="es-ES_tradnl"/>
                              </w:rPr>
                              <w:t>Gosen</w:t>
                            </w:r>
                            <w:proofErr w:type="spellEnd"/>
                            <w:r>
                              <w:rPr>
                                <w:rFonts w:asciiTheme="majorHAnsi" w:hAnsiTheme="majorHAnsi"/>
                                <w:color w:val="595959" w:themeColor="text1" w:themeTint="A6"/>
                                <w:sz w:val="18"/>
                                <w:szCs w:val="18"/>
                                <w:lang w:val="es-ES_tradnl"/>
                              </w:rPr>
                              <w:t xml:space="preserve">. Venezuela. </w:t>
                            </w:r>
                            <w:r w:rsidR="00EA1433">
                              <w:rPr>
                                <w:rFonts w:asciiTheme="majorHAnsi" w:hAnsiTheme="majorHAnsi"/>
                                <w:color w:val="595959" w:themeColor="text1" w:themeTint="A6"/>
                                <w:sz w:val="18"/>
                                <w:szCs w:val="18"/>
                                <w:lang w:val="es-ES_tradnl"/>
                              </w:rPr>
                              <w:t>2</w:t>
                            </w:r>
                            <w:r>
                              <w:rPr>
                                <w:rFonts w:asciiTheme="majorHAnsi" w:hAnsiTheme="majorHAnsi"/>
                                <w:color w:val="595959" w:themeColor="text1" w:themeTint="A6"/>
                                <w:sz w:val="18"/>
                                <w:szCs w:val="18"/>
                                <w:lang w:val="es-ES_tradnl"/>
                              </w:rPr>
                              <w:t xml:space="preserve"> de </w:t>
                            </w:r>
                            <w:r w:rsidR="00EA1433">
                              <w:rPr>
                                <w:rFonts w:asciiTheme="majorHAnsi" w:hAnsiTheme="majorHAnsi"/>
                                <w:color w:val="595959" w:themeColor="text1" w:themeTint="A6"/>
                                <w:sz w:val="18"/>
                                <w:szCs w:val="18"/>
                                <w:lang w:val="es-ES_tradnl"/>
                              </w:rPr>
                              <w:t>noviembre</w:t>
                            </w:r>
                            <w:r>
                              <w:rPr>
                                <w:rFonts w:asciiTheme="majorHAnsi" w:hAnsiTheme="majorHAnsi"/>
                                <w:color w:val="595959" w:themeColor="text1" w:themeTint="A6"/>
                                <w:sz w:val="18"/>
                                <w:szCs w:val="18"/>
                                <w:lang w:val="es-ES_tradnl"/>
                              </w:rPr>
                              <w:t xml:space="preserve"> de 20</w:t>
                            </w:r>
                            <w:r w:rsidR="00EA1433">
                              <w:rPr>
                                <w:rFonts w:asciiTheme="majorHAnsi" w:hAnsiTheme="majorHAnsi"/>
                                <w:color w:val="595959" w:themeColor="text1" w:themeTint="A6"/>
                                <w:sz w:val="18"/>
                                <w:szCs w:val="18"/>
                                <w:lang w:val="es-ES_tradnl"/>
                              </w:rPr>
                              <w:t>2</w:t>
                            </w:r>
                            <w:r>
                              <w:rPr>
                                <w:rFonts w:asciiTheme="majorHAnsi" w:hAnsiTheme="majorHAnsi"/>
                                <w:color w:val="595959" w:themeColor="text1" w:themeTint="A6"/>
                                <w:sz w:val="18"/>
                                <w:szCs w:val="18"/>
                                <w:lang w:val="es-ES_tradnl"/>
                              </w:rPr>
                              <w:t xml:space="preserve">1. </w:t>
                            </w:r>
                            <w:r w:rsidRPr="00890650">
                              <w:rPr>
                                <w:rFonts w:asciiTheme="majorHAnsi" w:hAnsiTheme="majorHAnsi"/>
                                <w:color w:val="595959" w:themeColor="text1" w:themeTint="A6"/>
                                <w:sz w:val="18"/>
                                <w:szCs w:val="18"/>
                                <w:lang w:val="es-ES_tradnl"/>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0D1B22CF" w14:textId="3849E1AD" w:rsidR="00664FD9" w:rsidRPr="007B05C4" w:rsidRDefault="00664FD9" w:rsidP="00524058">
                      <w:pPr>
                        <w:spacing w:line="276" w:lineRule="auto"/>
                        <w:jc w:val="both"/>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EA1433" w:rsidRPr="00EA1433">
                        <w:rPr>
                          <w:rFonts w:asciiTheme="majorHAnsi" w:hAnsiTheme="majorHAnsi"/>
                          <w:color w:val="595959" w:themeColor="text1" w:themeTint="A6"/>
                          <w:sz w:val="18"/>
                          <w:szCs w:val="18"/>
                          <w:lang w:val="pt-BR"/>
                        </w:rPr>
                        <w:t>312</w:t>
                      </w:r>
                      <w:r w:rsidRPr="00EA1433">
                        <w:rPr>
                          <w:rFonts w:asciiTheme="majorHAnsi" w:hAnsiTheme="majorHAnsi"/>
                          <w:color w:val="595959" w:themeColor="text1" w:themeTint="A6"/>
                          <w:sz w:val="18"/>
                          <w:szCs w:val="18"/>
                          <w:lang w:val="pt-BR"/>
                        </w:rPr>
                        <w:t>/</w:t>
                      </w:r>
                      <w:r w:rsidR="00EA1433" w:rsidRPr="00EA1433">
                        <w:rPr>
                          <w:rFonts w:asciiTheme="majorHAnsi" w:hAnsiTheme="majorHAnsi"/>
                          <w:color w:val="595959" w:themeColor="text1" w:themeTint="A6"/>
                          <w:sz w:val="18"/>
                          <w:szCs w:val="18"/>
                          <w:lang w:val="pt-BR"/>
                        </w:rPr>
                        <w:t>2</w:t>
                      </w:r>
                      <w:r w:rsidRPr="00EA1433">
                        <w:rPr>
                          <w:rFonts w:asciiTheme="majorHAnsi" w:hAnsiTheme="majorHAnsi"/>
                          <w:color w:val="595959" w:themeColor="text1" w:themeTint="A6"/>
                          <w:sz w:val="18"/>
                          <w:szCs w:val="18"/>
                          <w:lang w:val="pt-BR"/>
                        </w:rPr>
                        <w:t xml:space="preserve">1. </w:t>
                      </w:r>
                      <w:proofErr w:type="spellStart"/>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ón</w:t>
                      </w:r>
                      <w:proofErr w:type="spellEnd"/>
                      <w:r>
                        <w:rPr>
                          <w:rFonts w:asciiTheme="majorHAnsi" w:hAnsiTheme="majorHAnsi"/>
                          <w:color w:val="595959" w:themeColor="text1" w:themeTint="A6"/>
                          <w:sz w:val="18"/>
                          <w:szCs w:val="18"/>
                          <w:lang w:val="es-ES"/>
                        </w:rPr>
                        <w:t xml:space="preserve"> 961-10. </w:t>
                      </w:r>
                      <w:r>
                        <w:rPr>
                          <w:rFonts w:asciiTheme="majorHAnsi" w:hAnsiTheme="majorHAnsi"/>
                          <w:color w:val="595959" w:themeColor="text1" w:themeTint="A6"/>
                          <w:sz w:val="18"/>
                          <w:szCs w:val="18"/>
                          <w:lang w:val="es-ES_tradnl"/>
                        </w:rPr>
                        <w:t>Admisibilidad</w:t>
                      </w:r>
                      <w:r w:rsidRPr="00890650">
                        <w:rPr>
                          <w:rFonts w:asciiTheme="majorHAnsi" w:hAnsiTheme="majorHAnsi"/>
                          <w:color w:val="595959" w:themeColor="text1" w:themeTint="A6"/>
                          <w:sz w:val="18"/>
                          <w:szCs w:val="18"/>
                          <w:lang w:val="es-ES_tradnl"/>
                        </w:rPr>
                        <w:t>.</w:t>
                      </w:r>
                      <w:r>
                        <w:rPr>
                          <w:rFonts w:asciiTheme="majorHAnsi" w:hAnsiTheme="majorHAnsi"/>
                          <w:color w:val="595959" w:themeColor="text1" w:themeTint="A6"/>
                          <w:sz w:val="18"/>
                          <w:szCs w:val="18"/>
                          <w:lang w:val="es-ES_tradnl"/>
                        </w:rPr>
                        <w:t xml:space="preserve"> Nelson J. </w:t>
                      </w:r>
                      <w:proofErr w:type="spellStart"/>
                      <w:r>
                        <w:rPr>
                          <w:rFonts w:asciiTheme="majorHAnsi" w:hAnsiTheme="majorHAnsi"/>
                          <w:color w:val="595959" w:themeColor="text1" w:themeTint="A6"/>
                          <w:sz w:val="18"/>
                          <w:szCs w:val="18"/>
                          <w:lang w:val="es-ES_tradnl"/>
                        </w:rPr>
                        <w:t>Mezerhane</w:t>
                      </w:r>
                      <w:proofErr w:type="spellEnd"/>
                      <w:r>
                        <w:rPr>
                          <w:rFonts w:asciiTheme="majorHAnsi" w:hAnsiTheme="majorHAnsi"/>
                          <w:color w:val="595959" w:themeColor="text1" w:themeTint="A6"/>
                          <w:sz w:val="18"/>
                          <w:szCs w:val="18"/>
                          <w:lang w:val="es-ES_tradnl"/>
                        </w:rPr>
                        <w:t xml:space="preserve"> </w:t>
                      </w:r>
                      <w:proofErr w:type="spellStart"/>
                      <w:r>
                        <w:rPr>
                          <w:rFonts w:asciiTheme="majorHAnsi" w:hAnsiTheme="majorHAnsi"/>
                          <w:color w:val="595959" w:themeColor="text1" w:themeTint="A6"/>
                          <w:sz w:val="18"/>
                          <w:szCs w:val="18"/>
                          <w:lang w:val="es-ES_tradnl"/>
                        </w:rPr>
                        <w:t>Gosen</w:t>
                      </w:r>
                      <w:proofErr w:type="spellEnd"/>
                      <w:r>
                        <w:rPr>
                          <w:rFonts w:asciiTheme="majorHAnsi" w:hAnsiTheme="majorHAnsi"/>
                          <w:color w:val="595959" w:themeColor="text1" w:themeTint="A6"/>
                          <w:sz w:val="18"/>
                          <w:szCs w:val="18"/>
                          <w:lang w:val="es-ES_tradnl"/>
                        </w:rPr>
                        <w:t xml:space="preserve">. Venezuela. </w:t>
                      </w:r>
                      <w:r w:rsidR="00EA1433">
                        <w:rPr>
                          <w:rFonts w:asciiTheme="majorHAnsi" w:hAnsiTheme="majorHAnsi"/>
                          <w:color w:val="595959" w:themeColor="text1" w:themeTint="A6"/>
                          <w:sz w:val="18"/>
                          <w:szCs w:val="18"/>
                          <w:lang w:val="es-ES_tradnl"/>
                        </w:rPr>
                        <w:t>2</w:t>
                      </w:r>
                      <w:r>
                        <w:rPr>
                          <w:rFonts w:asciiTheme="majorHAnsi" w:hAnsiTheme="majorHAnsi"/>
                          <w:color w:val="595959" w:themeColor="text1" w:themeTint="A6"/>
                          <w:sz w:val="18"/>
                          <w:szCs w:val="18"/>
                          <w:lang w:val="es-ES_tradnl"/>
                        </w:rPr>
                        <w:t xml:space="preserve"> de </w:t>
                      </w:r>
                      <w:r w:rsidR="00EA1433">
                        <w:rPr>
                          <w:rFonts w:asciiTheme="majorHAnsi" w:hAnsiTheme="majorHAnsi"/>
                          <w:color w:val="595959" w:themeColor="text1" w:themeTint="A6"/>
                          <w:sz w:val="18"/>
                          <w:szCs w:val="18"/>
                          <w:lang w:val="es-ES_tradnl"/>
                        </w:rPr>
                        <w:t>noviembre</w:t>
                      </w:r>
                      <w:r>
                        <w:rPr>
                          <w:rFonts w:asciiTheme="majorHAnsi" w:hAnsiTheme="majorHAnsi"/>
                          <w:color w:val="595959" w:themeColor="text1" w:themeTint="A6"/>
                          <w:sz w:val="18"/>
                          <w:szCs w:val="18"/>
                          <w:lang w:val="es-ES_tradnl"/>
                        </w:rPr>
                        <w:t xml:space="preserve"> de 20</w:t>
                      </w:r>
                      <w:r w:rsidR="00EA1433">
                        <w:rPr>
                          <w:rFonts w:asciiTheme="majorHAnsi" w:hAnsiTheme="majorHAnsi"/>
                          <w:color w:val="595959" w:themeColor="text1" w:themeTint="A6"/>
                          <w:sz w:val="18"/>
                          <w:szCs w:val="18"/>
                          <w:lang w:val="es-ES_tradnl"/>
                        </w:rPr>
                        <w:t>2</w:t>
                      </w:r>
                      <w:r>
                        <w:rPr>
                          <w:rFonts w:asciiTheme="majorHAnsi" w:hAnsiTheme="majorHAnsi"/>
                          <w:color w:val="595959" w:themeColor="text1" w:themeTint="A6"/>
                          <w:sz w:val="18"/>
                          <w:szCs w:val="18"/>
                          <w:lang w:val="es-ES_tradnl"/>
                        </w:rPr>
                        <w:t xml:space="preserve">1. </w:t>
                      </w:r>
                      <w:r w:rsidRPr="00890650">
                        <w:rPr>
                          <w:rFonts w:asciiTheme="majorHAnsi" w:hAnsiTheme="majorHAnsi"/>
                          <w:color w:val="595959" w:themeColor="text1" w:themeTint="A6"/>
                          <w:sz w:val="18"/>
                          <w:szCs w:val="18"/>
                          <w:lang w:val="es-ES_tradnl"/>
                        </w:rPr>
                        <w:t xml:space="preserve"> </w:t>
                      </w:r>
                    </w:p>
                  </w:txbxContent>
                </v:textbox>
              </v:shape>
            </w:pict>
          </mc:Fallback>
        </mc:AlternateContent>
      </w:r>
    </w:p>
    <w:p w14:paraId="196A49D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DA07629" w14:textId="77777777"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lang w:eastAsia="zh-CN"/>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6D5FAB71" w:rsidR="00664FD9" w:rsidRPr="00D72DC6" w:rsidRDefault="00EA1433" w:rsidP="00F02AD1">
                            <w:pPr>
                              <w:rPr>
                                <w:color w:val="FFFFFF" w:themeColor="background1"/>
                                <w14:textFill>
                                  <w14:noFill/>
                                </w14:textFill>
                              </w:rPr>
                            </w:pPr>
                            <w:r>
                              <w:rPr>
                                <w:noProof/>
                                <w:color w:val="FFFFFF" w:themeColor="background1"/>
                              </w:rPr>
                              <w:drawing>
                                <wp:inline distT="0" distB="0" distL="0" distR="0" wp14:anchorId="0A411214" wp14:editId="7D5F3ED6">
                                  <wp:extent cx="1824355" cy="469265"/>
                                  <wp:effectExtent l="0" t="0" r="4445" b="6985"/>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A1ECD3C" w14:textId="6D5FAB71" w:rsidR="00664FD9" w:rsidRPr="00D72DC6" w:rsidRDefault="00EA1433" w:rsidP="00F02AD1">
                      <w:pPr>
                        <w:rPr>
                          <w:color w:val="FFFFFF" w:themeColor="background1"/>
                          <w14:textFill>
                            <w14:noFill/>
                          </w14:textFill>
                        </w:rPr>
                      </w:pPr>
                      <w:r>
                        <w:rPr>
                          <w:noProof/>
                          <w:color w:val="FFFFFF" w:themeColor="background1"/>
                        </w:rPr>
                        <w:drawing>
                          <wp:inline distT="0" distB="0" distL="0" distR="0" wp14:anchorId="0A411214" wp14:editId="7D5F3ED6">
                            <wp:extent cx="1824355" cy="469265"/>
                            <wp:effectExtent l="0" t="0" r="4445" b="6985"/>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625030">
        <w:rPr>
          <w:rFonts w:asciiTheme="majorHAnsi" w:hAnsiTheme="majorHAnsi"/>
          <w:noProof/>
          <w:sz w:val="22"/>
          <w:szCs w:val="22"/>
          <w:lang w:eastAsia="zh-CN"/>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664FD9" w:rsidRPr="004B7EB6" w:rsidRDefault="00664FD9"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" filled="f" stroked="f" strokeweight=".5pt">
                <v:textbox>
                  <w:txbxContent>
                    <w:p w14:paraId="6EA0DBC3" w14:textId="77777777" w:rsidR="00664FD9" w:rsidRPr="004B7EB6" w:rsidRDefault="00664FD9"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4E43B8E7" w:rsidR="0070697F" w:rsidRDefault="004A6A54" w:rsidP="005516A1">
      <w:pPr>
        <w:tabs>
          <w:tab w:val="center" w:pos="5400"/>
        </w:tabs>
        <w:suppressAutoHyphens/>
        <w:jc w:val="center"/>
        <w:rPr>
          <w:rFonts w:asciiTheme="majorHAnsi" w:hAnsiTheme="majorHAnsi"/>
          <w:b/>
          <w:sz w:val="20"/>
          <w:lang w:val="es-ES_tradnl"/>
        </w:rPr>
        <w:sectPr w:rsidR="0070697F" w:rsidSect="00C054DF">
          <w:headerReference w:type="even" r:id="rId12"/>
          <w:headerReference w:type="default" r:id="rId13"/>
          <w:footerReference w:type="default" r:id="rId14"/>
          <w:footerReference w:type="first" r:id="rId15"/>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14:paraId="376DDC8B" w14:textId="591623F7" w:rsidR="003239B8" w:rsidRPr="000419AD" w:rsidRDefault="003239B8" w:rsidP="00186E4C">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2709E5" w14:paraId="5A79D1F7" w14:textId="77777777" w:rsidTr="00436BCA">
        <w:tc>
          <w:tcPr>
            <w:tcW w:w="3600" w:type="dxa"/>
            <w:tcBorders>
              <w:top w:val="single" w:sz="4" w:space="0" w:color="auto"/>
              <w:bottom w:val="single" w:sz="6" w:space="0" w:color="auto"/>
            </w:tcBorders>
            <w:shd w:val="clear" w:color="auto" w:fill="4A7194"/>
            <w:vAlign w:val="center"/>
          </w:tcPr>
          <w:p w14:paraId="0CB2A43B" w14:textId="77777777" w:rsidR="003239B8" w:rsidRPr="000D05CB" w:rsidRDefault="003239B8" w:rsidP="003958D0">
            <w:pPr>
              <w:jc w:val="center"/>
              <w:rPr>
                <w:rFonts w:ascii="Cambria" w:hAnsi="Cambria"/>
                <w:b/>
                <w:bCs/>
                <w:color w:val="FFFFFF" w:themeColor="background1"/>
                <w:sz w:val="20"/>
                <w:szCs w:val="20"/>
              </w:rPr>
            </w:pPr>
            <w:proofErr w:type="spellStart"/>
            <w:r w:rsidRPr="000D05CB">
              <w:rPr>
                <w:rFonts w:ascii="Cambria" w:hAnsi="Cambria"/>
                <w:b/>
                <w:bCs/>
                <w:color w:val="FFFFFF" w:themeColor="background1"/>
                <w:sz w:val="20"/>
                <w:szCs w:val="20"/>
              </w:rPr>
              <w:t>Parte</w:t>
            </w:r>
            <w:proofErr w:type="spellEnd"/>
            <w:r w:rsidRPr="000D05CB">
              <w:rPr>
                <w:rFonts w:ascii="Cambria" w:hAnsi="Cambria"/>
                <w:b/>
                <w:bCs/>
                <w:color w:val="FFFFFF" w:themeColor="background1"/>
                <w:sz w:val="20"/>
                <w:szCs w:val="20"/>
              </w:rPr>
              <w:t xml:space="preserve"> </w:t>
            </w:r>
            <w:proofErr w:type="spellStart"/>
            <w:r w:rsidRPr="000D05CB">
              <w:rPr>
                <w:rFonts w:ascii="Cambria" w:hAnsi="Cambria"/>
                <w:b/>
                <w:bCs/>
                <w:color w:val="FFFFFF" w:themeColor="background1"/>
                <w:sz w:val="20"/>
                <w:szCs w:val="20"/>
              </w:rPr>
              <w:t>peticionaria</w:t>
            </w:r>
            <w:proofErr w:type="spellEnd"/>
            <w:r w:rsidRPr="000D05CB">
              <w:rPr>
                <w:rFonts w:ascii="Cambria" w:hAnsi="Cambria"/>
                <w:b/>
                <w:bCs/>
                <w:color w:val="FFFFFF" w:themeColor="background1"/>
                <w:sz w:val="20"/>
                <w:szCs w:val="20"/>
              </w:rPr>
              <w:t>:</w:t>
            </w:r>
          </w:p>
        </w:tc>
        <w:tc>
          <w:tcPr>
            <w:tcW w:w="5760" w:type="dxa"/>
            <w:vAlign w:val="center"/>
          </w:tcPr>
          <w:p w14:paraId="3C5315D8" w14:textId="33109BB0" w:rsidR="003239B8" w:rsidRPr="000310D6" w:rsidRDefault="002709E5" w:rsidP="000310D6">
            <w:pPr>
              <w:jc w:val="both"/>
              <w:rPr>
                <w:rFonts w:ascii="Cambria" w:hAnsi="Cambria"/>
                <w:bCs/>
                <w:sz w:val="20"/>
                <w:szCs w:val="20"/>
                <w:lang w:val="pt-BR"/>
              </w:rPr>
            </w:pPr>
            <w:r>
              <w:rPr>
                <w:rFonts w:ascii="Cambria" w:hAnsi="Cambria"/>
                <w:bCs/>
                <w:sz w:val="20"/>
                <w:szCs w:val="20"/>
                <w:lang w:val="pt-BR"/>
              </w:rPr>
              <w:t>Asdrúbal Aguiar</w:t>
            </w:r>
          </w:p>
        </w:tc>
      </w:tr>
      <w:tr w:rsidR="003239B8" w:rsidRPr="00614DC8" w14:paraId="593A7E45" w14:textId="77777777" w:rsidTr="00436BCA">
        <w:tc>
          <w:tcPr>
            <w:tcW w:w="3600" w:type="dxa"/>
            <w:tcBorders>
              <w:top w:val="single" w:sz="6" w:space="0" w:color="auto"/>
              <w:bottom w:val="single" w:sz="6" w:space="0" w:color="auto"/>
            </w:tcBorders>
            <w:shd w:val="clear" w:color="auto" w:fill="4A7194"/>
            <w:vAlign w:val="center"/>
          </w:tcPr>
          <w:p w14:paraId="0E78CA0C" w14:textId="77777777" w:rsidR="003239B8" w:rsidRPr="00E63ADB" w:rsidRDefault="00482204" w:rsidP="003958D0">
            <w:pPr>
              <w:jc w:val="center"/>
              <w:rPr>
                <w:rFonts w:ascii="Cambria" w:hAnsi="Cambria"/>
                <w:b/>
                <w:bCs/>
                <w:color w:val="FFFFFF" w:themeColor="background1"/>
                <w:sz w:val="20"/>
                <w:szCs w:val="20"/>
                <w:lang w:val="es-AR"/>
              </w:rPr>
            </w:pPr>
            <w:sdt>
              <w:sdtPr>
                <w:rPr>
                  <w:rFonts w:ascii="Cambria" w:hAnsi="Cambria"/>
                  <w:b/>
                  <w:bCs/>
                  <w:color w:val="FFFFFF" w:themeColor="background1"/>
                  <w:sz w:val="20"/>
                  <w:szCs w:val="20"/>
                  <w:lang w:val="es-AR"/>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E63ADB">
                  <w:rPr>
                    <w:rFonts w:ascii="Cambria" w:hAnsi="Cambria"/>
                    <w:b/>
                    <w:bCs/>
                    <w:color w:val="FFFFFF" w:themeColor="background1"/>
                    <w:sz w:val="20"/>
                    <w:szCs w:val="20"/>
                    <w:lang w:val="es-AR"/>
                  </w:rPr>
                  <w:t>Presunta víctima</w:t>
                </w:r>
              </w:sdtContent>
            </w:sdt>
            <w:r w:rsidR="003239B8" w:rsidRPr="00E63ADB">
              <w:rPr>
                <w:rFonts w:ascii="Cambria" w:hAnsi="Cambria"/>
                <w:b/>
                <w:bCs/>
                <w:color w:val="FFFFFF" w:themeColor="background1"/>
                <w:sz w:val="20"/>
                <w:szCs w:val="20"/>
                <w:lang w:val="es-AR"/>
              </w:rPr>
              <w:t>:</w:t>
            </w:r>
          </w:p>
        </w:tc>
        <w:tc>
          <w:tcPr>
            <w:tcW w:w="5760" w:type="dxa"/>
            <w:vAlign w:val="center"/>
          </w:tcPr>
          <w:p w14:paraId="4AEBF59E" w14:textId="402863F9" w:rsidR="003239B8" w:rsidRPr="00C960BD" w:rsidRDefault="002709E5" w:rsidP="003958D0">
            <w:pPr>
              <w:jc w:val="both"/>
              <w:rPr>
                <w:rFonts w:ascii="Cambria" w:hAnsi="Cambria"/>
                <w:bCs/>
                <w:sz w:val="20"/>
                <w:szCs w:val="20"/>
                <w:lang w:val="es-ES_tradnl"/>
              </w:rPr>
            </w:pPr>
            <w:r>
              <w:rPr>
                <w:rFonts w:ascii="Cambria" w:hAnsi="Cambria"/>
                <w:bCs/>
                <w:sz w:val="20"/>
                <w:szCs w:val="20"/>
                <w:lang w:val="es-ES_tradnl"/>
              </w:rPr>
              <w:t xml:space="preserve">Nelson </w:t>
            </w:r>
            <w:r w:rsidR="00614DC8">
              <w:rPr>
                <w:rFonts w:ascii="Cambria" w:hAnsi="Cambria"/>
                <w:bCs/>
                <w:sz w:val="20"/>
                <w:szCs w:val="20"/>
                <w:lang w:val="es-ES_tradnl"/>
              </w:rPr>
              <w:t xml:space="preserve">J. </w:t>
            </w:r>
            <w:proofErr w:type="spellStart"/>
            <w:r>
              <w:rPr>
                <w:rFonts w:ascii="Cambria" w:hAnsi="Cambria"/>
                <w:bCs/>
                <w:sz w:val="20"/>
                <w:szCs w:val="20"/>
                <w:lang w:val="es-ES_tradnl"/>
              </w:rPr>
              <w:t>Mezerhane</w:t>
            </w:r>
            <w:proofErr w:type="spellEnd"/>
            <w:r>
              <w:rPr>
                <w:rFonts w:ascii="Cambria" w:hAnsi="Cambria"/>
                <w:bCs/>
                <w:sz w:val="20"/>
                <w:szCs w:val="20"/>
                <w:lang w:val="es-ES_tradnl"/>
              </w:rPr>
              <w:t xml:space="preserve"> </w:t>
            </w:r>
            <w:proofErr w:type="spellStart"/>
            <w:r>
              <w:rPr>
                <w:rFonts w:ascii="Cambria" w:hAnsi="Cambria"/>
                <w:bCs/>
                <w:sz w:val="20"/>
                <w:szCs w:val="20"/>
                <w:lang w:val="es-ES_tradnl"/>
              </w:rPr>
              <w:t>Gosen</w:t>
            </w:r>
            <w:proofErr w:type="spellEnd"/>
          </w:p>
        </w:tc>
      </w:tr>
      <w:tr w:rsidR="003239B8" w:rsidRPr="00614DC8" w14:paraId="3E62E1D3" w14:textId="77777777" w:rsidTr="00436BCA">
        <w:tc>
          <w:tcPr>
            <w:tcW w:w="3600" w:type="dxa"/>
            <w:tcBorders>
              <w:top w:val="single" w:sz="6" w:space="0" w:color="auto"/>
              <w:bottom w:val="single" w:sz="6" w:space="0" w:color="auto"/>
            </w:tcBorders>
            <w:shd w:val="clear" w:color="auto" w:fill="4A7194"/>
            <w:vAlign w:val="center"/>
          </w:tcPr>
          <w:p w14:paraId="340B0F09" w14:textId="77777777" w:rsidR="003239B8" w:rsidRPr="00E63ADB" w:rsidRDefault="003239B8" w:rsidP="003958D0">
            <w:pPr>
              <w:jc w:val="center"/>
              <w:rPr>
                <w:rFonts w:ascii="Cambria" w:hAnsi="Cambria"/>
                <w:b/>
                <w:bCs/>
                <w:color w:val="FFFFFF" w:themeColor="background1"/>
                <w:sz w:val="20"/>
                <w:szCs w:val="20"/>
                <w:lang w:val="es-AR"/>
              </w:rPr>
            </w:pPr>
            <w:r w:rsidRPr="00E63ADB">
              <w:rPr>
                <w:rFonts w:ascii="Cambria" w:hAnsi="Cambria"/>
                <w:b/>
                <w:bCs/>
                <w:color w:val="FFFFFF" w:themeColor="background1"/>
                <w:sz w:val="20"/>
                <w:szCs w:val="20"/>
                <w:lang w:val="es-AR"/>
              </w:rPr>
              <w:t>Estado denunciado:</w:t>
            </w:r>
          </w:p>
        </w:tc>
        <w:tc>
          <w:tcPr>
            <w:tcW w:w="5760" w:type="dxa"/>
            <w:vAlign w:val="center"/>
          </w:tcPr>
          <w:p w14:paraId="274C8A50" w14:textId="490FDE09" w:rsidR="003239B8" w:rsidRPr="00E63ADB" w:rsidRDefault="002709E5" w:rsidP="002709E5">
            <w:pPr>
              <w:jc w:val="both"/>
              <w:rPr>
                <w:rFonts w:ascii="Cambria" w:hAnsi="Cambria"/>
                <w:bCs/>
                <w:sz w:val="20"/>
                <w:szCs w:val="20"/>
                <w:lang w:val="es-AR"/>
              </w:rPr>
            </w:pPr>
            <w:r>
              <w:rPr>
                <w:rFonts w:ascii="Cambria" w:hAnsi="Cambria"/>
                <w:bCs/>
                <w:sz w:val="20"/>
                <w:szCs w:val="20"/>
                <w:lang w:val="es-AR"/>
              </w:rPr>
              <w:t>Venezuela</w:t>
            </w:r>
          </w:p>
        </w:tc>
      </w:tr>
      <w:tr w:rsidR="00223A29" w:rsidRPr="00625BFB" w14:paraId="632511BC" w14:textId="77777777" w:rsidTr="00436BCA">
        <w:tc>
          <w:tcPr>
            <w:tcW w:w="3600" w:type="dxa"/>
            <w:tcBorders>
              <w:top w:val="single" w:sz="6" w:space="0" w:color="auto"/>
              <w:bottom w:val="single" w:sz="6" w:space="0" w:color="auto"/>
            </w:tcBorders>
            <w:shd w:val="clear" w:color="auto" w:fill="4A7194"/>
            <w:vAlign w:val="center"/>
          </w:tcPr>
          <w:p w14:paraId="727E2F6B" w14:textId="60AEE329" w:rsidR="00223A29" w:rsidRPr="00E63ADB" w:rsidRDefault="001B3A00" w:rsidP="00E4118C">
            <w:pPr>
              <w:jc w:val="center"/>
              <w:rPr>
                <w:rFonts w:ascii="Cambria" w:hAnsi="Cambria"/>
                <w:b/>
                <w:bCs/>
                <w:color w:val="FFFFFF" w:themeColor="background1"/>
                <w:sz w:val="20"/>
                <w:szCs w:val="20"/>
                <w:lang w:val="es-AR"/>
              </w:rPr>
            </w:pPr>
            <w:r w:rsidRPr="00E63ADB">
              <w:rPr>
                <w:rFonts w:ascii="Cambria" w:hAnsi="Cambria"/>
                <w:b/>
                <w:bCs/>
                <w:color w:val="FFFFFF" w:themeColor="background1"/>
                <w:sz w:val="20"/>
                <w:szCs w:val="20"/>
                <w:lang w:val="es-AR"/>
              </w:rPr>
              <w:t xml:space="preserve">Derechos </w:t>
            </w:r>
            <w:r w:rsidR="00E4118C" w:rsidRPr="00E63ADB">
              <w:rPr>
                <w:rFonts w:ascii="Cambria" w:hAnsi="Cambria"/>
                <w:b/>
                <w:bCs/>
                <w:color w:val="FFFFFF" w:themeColor="background1"/>
                <w:sz w:val="20"/>
                <w:szCs w:val="20"/>
                <w:lang w:val="es-AR"/>
              </w:rPr>
              <w:t>invocados</w:t>
            </w:r>
            <w:r w:rsidRPr="00E63ADB">
              <w:rPr>
                <w:rFonts w:ascii="Cambria" w:hAnsi="Cambria"/>
                <w:b/>
                <w:bCs/>
                <w:color w:val="FFFFFF" w:themeColor="background1"/>
                <w:sz w:val="20"/>
                <w:szCs w:val="20"/>
                <w:lang w:val="es-AR"/>
              </w:rPr>
              <w:t>:</w:t>
            </w:r>
          </w:p>
        </w:tc>
        <w:tc>
          <w:tcPr>
            <w:tcW w:w="5760" w:type="dxa"/>
            <w:vAlign w:val="center"/>
          </w:tcPr>
          <w:p w14:paraId="6DEE1EEB" w14:textId="44744B6C" w:rsidR="00223A29" w:rsidRPr="00C960BD" w:rsidRDefault="002709E5" w:rsidP="002709E5">
            <w:pPr>
              <w:jc w:val="both"/>
              <w:rPr>
                <w:rFonts w:ascii="Cambria" w:hAnsi="Cambria"/>
                <w:bCs/>
                <w:sz w:val="20"/>
                <w:szCs w:val="20"/>
                <w:lang w:val="es-CO"/>
              </w:rPr>
            </w:pPr>
            <w:r>
              <w:rPr>
                <w:rFonts w:ascii="Cambria" w:hAnsi="Cambria"/>
                <w:bCs/>
                <w:sz w:val="20"/>
                <w:szCs w:val="20"/>
                <w:lang w:val="es-AR"/>
              </w:rPr>
              <w:t xml:space="preserve">Artículos 7 (libertad personal), 8 (garantías judiciales), 11 (protección de la honra y de la dignidad), </w:t>
            </w:r>
            <w:r w:rsidR="00061DBE">
              <w:rPr>
                <w:rFonts w:ascii="Cambria" w:hAnsi="Cambria"/>
                <w:bCs/>
                <w:sz w:val="20"/>
                <w:szCs w:val="20"/>
                <w:lang w:val="es-CO"/>
              </w:rPr>
              <w:t>13 (Libertad de Expresión)</w:t>
            </w:r>
            <w:r>
              <w:rPr>
                <w:rFonts w:ascii="Cambria" w:hAnsi="Cambria"/>
                <w:bCs/>
                <w:sz w:val="20"/>
                <w:szCs w:val="20"/>
                <w:lang w:val="es-CO"/>
              </w:rPr>
              <w:t xml:space="preserve"> y 25.1 (protección judicial)</w:t>
            </w:r>
            <w:r w:rsidR="00061DBE">
              <w:rPr>
                <w:rFonts w:ascii="Cambria" w:hAnsi="Cambria"/>
                <w:bCs/>
                <w:sz w:val="20"/>
                <w:szCs w:val="20"/>
                <w:lang w:val="es-CO"/>
              </w:rPr>
              <w:t xml:space="preserve"> de la Convención Americana sobre Derechos Humanos</w:t>
            </w:r>
            <w:r w:rsidR="0012608B">
              <w:rPr>
                <w:rStyle w:val="FootnoteReference"/>
                <w:rFonts w:ascii="Cambria" w:hAnsi="Cambria"/>
                <w:bCs/>
                <w:sz w:val="20"/>
                <w:szCs w:val="20"/>
                <w:lang w:val="es-CO"/>
              </w:rPr>
              <w:footnoteReference w:id="2"/>
            </w:r>
          </w:p>
        </w:tc>
      </w:tr>
    </w:tbl>
    <w:p w14:paraId="20263696" w14:textId="77777777" w:rsidR="003239B8" w:rsidRPr="00180EBD" w:rsidRDefault="003239B8" w:rsidP="003239B8">
      <w:pPr>
        <w:spacing w:before="240" w:after="240"/>
        <w:ind w:firstLine="720"/>
        <w:jc w:val="both"/>
        <w:rPr>
          <w:rFonts w:asciiTheme="majorHAnsi" w:hAnsiTheme="majorHAnsi"/>
          <w:b/>
          <w:bCs/>
          <w:sz w:val="20"/>
          <w:szCs w:val="20"/>
          <w:lang w:val="es-CO"/>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2709E5" w14:paraId="306EFCB0" w14:textId="77777777" w:rsidTr="00436BCA">
        <w:tc>
          <w:tcPr>
            <w:tcW w:w="3600" w:type="dxa"/>
            <w:tcBorders>
              <w:top w:val="single" w:sz="6" w:space="0" w:color="auto"/>
              <w:bottom w:val="single" w:sz="6" w:space="0" w:color="auto"/>
            </w:tcBorders>
            <w:shd w:val="clear" w:color="auto" w:fill="4A7194"/>
            <w:vAlign w:val="center"/>
          </w:tcPr>
          <w:p w14:paraId="7508D16F" w14:textId="653461D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760" w:type="dxa"/>
            <w:vAlign w:val="center"/>
          </w:tcPr>
          <w:p w14:paraId="6E579153" w14:textId="284011D5" w:rsidR="004C2312" w:rsidRPr="007558F6" w:rsidRDefault="001C537A" w:rsidP="003958D0">
            <w:pPr>
              <w:jc w:val="both"/>
              <w:rPr>
                <w:rFonts w:ascii="Cambria" w:hAnsi="Cambria"/>
                <w:bCs/>
                <w:sz w:val="20"/>
                <w:szCs w:val="20"/>
                <w:lang w:val="es-ES"/>
              </w:rPr>
            </w:pPr>
            <w:r>
              <w:rPr>
                <w:rFonts w:ascii="Cambria" w:hAnsi="Cambria"/>
                <w:bCs/>
                <w:sz w:val="20"/>
                <w:szCs w:val="20"/>
                <w:lang w:val="es-ES"/>
              </w:rPr>
              <w:t>29 de junio de 2010</w:t>
            </w:r>
          </w:p>
        </w:tc>
      </w:tr>
      <w:tr w:rsidR="001C537A" w:rsidRPr="00625BFB" w14:paraId="1F8F500A" w14:textId="77777777" w:rsidTr="00436BCA">
        <w:tc>
          <w:tcPr>
            <w:tcW w:w="3600" w:type="dxa"/>
            <w:tcBorders>
              <w:top w:val="single" w:sz="6" w:space="0" w:color="auto"/>
              <w:bottom w:val="single" w:sz="6" w:space="0" w:color="auto"/>
            </w:tcBorders>
            <w:shd w:val="clear" w:color="auto" w:fill="4A7194"/>
            <w:vAlign w:val="center"/>
          </w:tcPr>
          <w:p w14:paraId="6E21074B" w14:textId="4EE90ADB" w:rsidR="001C537A" w:rsidRDefault="003C1D3E" w:rsidP="004A6A54">
            <w:pPr>
              <w:jc w:val="center"/>
              <w:rPr>
                <w:rFonts w:ascii="Cambria" w:hAnsi="Cambria"/>
                <w:b/>
                <w:bCs/>
                <w:color w:val="FFFFFF" w:themeColor="background1"/>
                <w:sz w:val="20"/>
                <w:szCs w:val="20"/>
                <w:lang w:val="es-ES"/>
              </w:rPr>
            </w:pPr>
            <w:r w:rsidRPr="00F37C68">
              <w:rPr>
                <w:rFonts w:ascii="Cambria" w:hAnsi="Cambria"/>
                <w:b/>
                <w:bCs/>
                <w:color w:val="FFFFFF" w:themeColor="background1"/>
                <w:sz w:val="20"/>
                <w:szCs w:val="20"/>
                <w:lang w:val="es-CO"/>
              </w:rPr>
              <w:t>Información adicional recibida durante la etapa de estudio:</w:t>
            </w:r>
          </w:p>
        </w:tc>
        <w:tc>
          <w:tcPr>
            <w:tcW w:w="5760" w:type="dxa"/>
            <w:vAlign w:val="center"/>
          </w:tcPr>
          <w:p w14:paraId="0421CBAD" w14:textId="16D91A1F" w:rsidR="001C537A" w:rsidRDefault="003C1D3E" w:rsidP="003958D0">
            <w:pPr>
              <w:jc w:val="both"/>
              <w:rPr>
                <w:rFonts w:ascii="Cambria" w:hAnsi="Cambria"/>
                <w:bCs/>
                <w:sz w:val="20"/>
                <w:szCs w:val="20"/>
                <w:lang w:val="es-ES"/>
              </w:rPr>
            </w:pPr>
            <w:r>
              <w:rPr>
                <w:rFonts w:ascii="Cambria" w:hAnsi="Cambria"/>
                <w:bCs/>
                <w:sz w:val="20"/>
                <w:szCs w:val="20"/>
                <w:lang w:val="es-ES"/>
              </w:rPr>
              <w:t>19 de agosto de 2010;</w:t>
            </w:r>
            <w:r w:rsidR="001C537A">
              <w:rPr>
                <w:rFonts w:ascii="Cambria" w:hAnsi="Cambria"/>
                <w:bCs/>
                <w:sz w:val="20"/>
                <w:szCs w:val="20"/>
                <w:lang w:val="es-ES"/>
              </w:rPr>
              <w:t xml:space="preserve"> 7 y 20 </w:t>
            </w:r>
            <w:r>
              <w:rPr>
                <w:rFonts w:ascii="Cambria" w:hAnsi="Cambria"/>
                <w:bCs/>
                <w:sz w:val="20"/>
                <w:szCs w:val="20"/>
                <w:lang w:val="es-ES"/>
              </w:rPr>
              <w:t>de septiembre de 2010;</w:t>
            </w:r>
            <w:r w:rsidR="001C537A">
              <w:rPr>
                <w:rFonts w:ascii="Cambria" w:hAnsi="Cambria"/>
                <w:bCs/>
                <w:sz w:val="20"/>
                <w:szCs w:val="20"/>
                <w:lang w:val="es-ES"/>
              </w:rPr>
              <w:t xml:space="preserve"> </w:t>
            </w:r>
            <w:r>
              <w:rPr>
                <w:rFonts w:ascii="Cambria" w:hAnsi="Cambria"/>
                <w:bCs/>
                <w:sz w:val="20"/>
                <w:szCs w:val="20"/>
                <w:lang w:val="es-ES"/>
              </w:rPr>
              <w:t>14 de enero de 2011;</w:t>
            </w:r>
            <w:r w:rsidR="001C537A">
              <w:rPr>
                <w:rFonts w:ascii="Cambria" w:hAnsi="Cambria"/>
                <w:bCs/>
                <w:sz w:val="20"/>
                <w:szCs w:val="20"/>
                <w:lang w:val="es-ES"/>
              </w:rPr>
              <w:t xml:space="preserve"> </w:t>
            </w:r>
            <w:r>
              <w:rPr>
                <w:rFonts w:ascii="Cambria" w:hAnsi="Cambria"/>
                <w:bCs/>
                <w:sz w:val="20"/>
                <w:szCs w:val="20"/>
                <w:lang w:val="es-ES"/>
              </w:rPr>
              <w:t>16 de marzo de 2011;</w:t>
            </w:r>
            <w:r w:rsidR="001C537A">
              <w:rPr>
                <w:rFonts w:ascii="Cambria" w:hAnsi="Cambria"/>
                <w:bCs/>
                <w:sz w:val="20"/>
                <w:szCs w:val="20"/>
                <w:lang w:val="es-ES"/>
              </w:rPr>
              <w:t xml:space="preserve"> </w:t>
            </w:r>
            <w:r>
              <w:rPr>
                <w:rFonts w:ascii="Cambria" w:hAnsi="Cambria"/>
                <w:bCs/>
                <w:sz w:val="20"/>
                <w:szCs w:val="20"/>
                <w:lang w:val="es-ES"/>
              </w:rPr>
              <w:t>26 de julio de 2011;</w:t>
            </w:r>
            <w:r w:rsidR="001C537A">
              <w:rPr>
                <w:rFonts w:ascii="Cambria" w:hAnsi="Cambria"/>
                <w:bCs/>
                <w:sz w:val="20"/>
                <w:szCs w:val="20"/>
                <w:lang w:val="es-ES"/>
              </w:rPr>
              <w:t xml:space="preserve"> 4 </w:t>
            </w:r>
            <w:r w:rsidR="00282EB5">
              <w:rPr>
                <w:rFonts w:ascii="Cambria" w:hAnsi="Cambria"/>
                <w:bCs/>
                <w:sz w:val="20"/>
                <w:szCs w:val="20"/>
                <w:lang w:val="es-ES"/>
              </w:rPr>
              <w:t xml:space="preserve">y 8 </w:t>
            </w:r>
            <w:r>
              <w:rPr>
                <w:rFonts w:ascii="Cambria" w:hAnsi="Cambria"/>
                <w:bCs/>
                <w:sz w:val="20"/>
                <w:szCs w:val="20"/>
                <w:lang w:val="es-ES"/>
              </w:rPr>
              <w:t>de agosto de 2011;</w:t>
            </w:r>
            <w:r w:rsidR="001C537A">
              <w:rPr>
                <w:rFonts w:ascii="Cambria" w:hAnsi="Cambria"/>
                <w:bCs/>
                <w:sz w:val="20"/>
                <w:szCs w:val="20"/>
                <w:lang w:val="es-ES"/>
              </w:rPr>
              <w:t xml:space="preserve"> </w:t>
            </w:r>
            <w:r>
              <w:rPr>
                <w:rFonts w:ascii="Cambria" w:hAnsi="Cambria"/>
                <w:bCs/>
                <w:sz w:val="20"/>
                <w:szCs w:val="20"/>
                <w:lang w:val="es-ES"/>
              </w:rPr>
              <w:t>6 de febrero de 2012;</w:t>
            </w:r>
            <w:r w:rsidR="00282EB5">
              <w:rPr>
                <w:rFonts w:ascii="Cambria" w:hAnsi="Cambria"/>
                <w:bCs/>
                <w:sz w:val="20"/>
                <w:szCs w:val="20"/>
                <w:lang w:val="es-ES"/>
              </w:rPr>
              <w:t xml:space="preserve"> 12 y 20 </w:t>
            </w:r>
            <w:r>
              <w:rPr>
                <w:rFonts w:ascii="Cambria" w:hAnsi="Cambria"/>
                <w:bCs/>
                <w:sz w:val="20"/>
                <w:szCs w:val="20"/>
                <w:lang w:val="es-ES"/>
              </w:rPr>
              <w:t>de abril de 2012;</w:t>
            </w:r>
            <w:r w:rsidR="00282EB5">
              <w:rPr>
                <w:rFonts w:ascii="Cambria" w:hAnsi="Cambria"/>
                <w:bCs/>
                <w:sz w:val="20"/>
                <w:szCs w:val="20"/>
                <w:lang w:val="es-ES"/>
              </w:rPr>
              <w:t xml:space="preserve"> </w:t>
            </w:r>
            <w:r w:rsidR="00295DD7">
              <w:rPr>
                <w:rFonts w:ascii="Cambria" w:hAnsi="Cambria"/>
                <w:bCs/>
                <w:sz w:val="20"/>
                <w:szCs w:val="20"/>
                <w:lang w:val="es-ES"/>
              </w:rPr>
              <w:t>9</w:t>
            </w:r>
            <w:r w:rsidR="00282EB5">
              <w:rPr>
                <w:rFonts w:ascii="Cambria" w:hAnsi="Cambria"/>
                <w:bCs/>
                <w:sz w:val="20"/>
                <w:szCs w:val="20"/>
                <w:lang w:val="es-ES"/>
              </w:rPr>
              <w:t xml:space="preserve"> y 22 </w:t>
            </w:r>
            <w:r>
              <w:rPr>
                <w:rFonts w:ascii="Cambria" w:hAnsi="Cambria"/>
                <w:bCs/>
                <w:sz w:val="20"/>
                <w:szCs w:val="20"/>
                <w:lang w:val="es-ES"/>
              </w:rPr>
              <w:t>de mayo de 2012;</w:t>
            </w:r>
            <w:r w:rsidR="00295DD7">
              <w:rPr>
                <w:rFonts w:ascii="Cambria" w:hAnsi="Cambria"/>
                <w:bCs/>
                <w:sz w:val="20"/>
                <w:szCs w:val="20"/>
                <w:lang w:val="es-ES"/>
              </w:rPr>
              <w:t xml:space="preserve"> 31 de agost</w:t>
            </w:r>
            <w:r>
              <w:rPr>
                <w:rFonts w:ascii="Cambria" w:hAnsi="Cambria"/>
                <w:bCs/>
                <w:sz w:val="20"/>
                <w:szCs w:val="20"/>
                <w:lang w:val="es-ES"/>
              </w:rPr>
              <w:t>o de 2012;</w:t>
            </w:r>
            <w:r w:rsidR="00282EB5">
              <w:rPr>
                <w:rFonts w:ascii="Cambria" w:hAnsi="Cambria"/>
                <w:bCs/>
                <w:sz w:val="20"/>
                <w:szCs w:val="20"/>
                <w:lang w:val="es-ES"/>
              </w:rPr>
              <w:t xml:space="preserve"> </w:t>
            </w:r>
            <w:r>
              <w:rPr>
                <w:rFonts w:ascii="Cambria" w:hAnsi="Cambria"/>
                <w:bCs/>
                <w:sz w:val="20"/>
                <w:szCs w:val="20"/>
                <w:lang w:val="es-ES"/>
              </w:rPr>
              <w:t>17 de septiembre de 2012;</w:t>
            </w:r>
            <w:r w:rsidR="00295DD7">
              <w:rPr>
                <w:rFonts w:ascii="Cambria" w:hAnsi="Cambria"/>
                <w:bCs/>
                <w:sz w:val="20"/>
                <w:szCs w:val="20"/>
                <w:lang w:val="es-ES"/>
              </w:rPr>
              <w:t xml:space="preserve"> </w:t>
            </w:r>
            <w:r>
              <w:rPr>
                <w:rFonts w:ascii="Cambria" w:hAnsi="Cambria"/>
                <w:bCs/>
                <w:sz w:val="20"/>
                <w:szCs w:val="20"/>
                <w:lang w:val="es-ES"/>
              </w:rPr>
              <w:t>25 de enero de 2013;</w:t>
            </w:r>
            <w:r w:rsidR="00295DD7">
              <w:rPr>
                <w:rFonts w:ascii="Cambria" w:hAnsi="Cambria"/>
                <w:bCs/>
                <w:sz w:val="20"/>
                <w:szCs w:val="20"/>
                <w:lang w:val="es-ES"/>
              </w:rPr>
              <w:t xml:space="preserve"> </w:t>
            </w:r>
            <w:r>
              <w:rPr>
                <w:rFonts w:ascii="Cambria" w:hAnsi="Cambria"/>
                <w:bCs/>
                <w:sz w:val="20"/>
                <w:szCs w:val="20"/>
                <w:lang w:val="es-ES"/>
              </w:rPr>
              <w:t>28 de febrero de 2013;</w:t>
            </w:r>
            <w:r w:rsidR="00295DD7">
              <w:rPr>
                <w:rFonts w:ascii="Cambria" w:hAnsi="Cambria"/>
                <w:bCs/>
                <w:sz w:val="20"/>
                <w:szCs w:val="20"/>
                <w:lang w:val="es-ES"/>
              </w:rPr>
              <w:t xml:space="preserve"> 13 y </w:t>
            </w:r>
            <w:r>
              <w:rPr>
                <w:rFonts w:ascii="Cambria" w:hAnsi="Cambria"/>
                <w:bCs/>
                <w:sz w:val="20"/>
                <w:szCs w:val="20"/>
                <w:lang w:val="es-ES"/>
              </w:rPr>
              <w:t>20 de marzo de 2013;</w:t>
            </w:r>
            <w:r w:rsidR="00295DD7">
              <w:rPr>
                <w:rFonts w:ascii="Cambria" w:hAnsi="Cambria"/>
                <w:bCs/>
                <w:sz w:val="20"/>
                <w:szCs w:val="20"/>
                <w:lang w:val="es-ES"/>
              </w:rPr>
              <w:t xml:space="preserve"> 5 y 16 </w:t>
            </w:r>
            <w:r>
              <w:rPr>
                <w:rFonts w:ascii="Cambria" w:hAnsi="Cambria"/>
                <w:bCs/>
                <w:sz w:val="20"/>
                <w:szCs w:val="20"/>
                <w:lang w:val="es-ES"/>
              </w:rPr>
              <w:t>de abril de 2013;</w:t>
            </w:r>
            <w:r w:rsidR="00295DD7">
              <w:rPr>
                <w:rFonts w:ascii="Cambria" w:hAnsi="Cambria"/>
                <w:bCs/>
                <w:sz w:val="20"/>
                <w:szCs w:val="20"/>
                <w:lang w:val="es-ES"/>
              </w:rPr>
              <w:t xml:space="preserve"> </w:t>
            </w:r>
            <w:r>
              <w:rPr>
                <w:rFonts w:ascii="Cambria" w:hAnsi="Cambria"/>
                <w:bCs/>
                <w:sz w:val="20"/>
                <w:szCs w:val="20"/>
                <w:lang w:val="es-ES"/>
              </w:rPr>
              <w:t>9 de septiembre de 2013;</w:t>
            </w:r>
            <w:r w:rsidR="00295DD7">
              <w:rPr>
                <w:rFonts w:ascii="Cambria" w:hAnsi="Cambria"/>
                <w:bCs/>
                <w:sz w:val="20"/>
                <w:szCs w:val="20"/>
                <w:lang w:val="es-ES"/>
              </w:rPr>
              <w:t xml:space="preserve"> 18 de diciembre de 2013,</w:t>
            </w:r>
            <w:r w:rsidR="00F64E32">
              <w:rPr>
                <w:rFonts w:ascii="Cambria" w:hAnsi="Cambria"/>
                <w:bCs/>
                <w:sz w:val="20"/>
                <w:szCs w:val="20"/>
                <w:lang w:val="es-ES"/>
              </w:rPr>
              <w:t xml:space="preserve"> 5 de enero de 2018; 7 de octubre de 2018; 31 de marzo de 2019; 21 de julio de 2019; 12 de junio de 2020; 8 de octubre de 2020.</w:t>
            </w:r>
          </w:p>
        </w:tc>
      </w:tr>
      <w:tr w:rsidR="004C2312" w:rsidRPr="001C537A" w14:paraId="1BDCD5C6" w14:textId="77777777" w:rsidTr="00436BCA">
        <w:tc>
          <w:tcPr>
            <w:tcW w:w="3600" w:type="dxa"/>
            <w:tcBorders>
              <w:top w:val="single" w:sz="6" w:space="0" w:color="auto"/>
              <w:bottom w:val="single" w:sz="6" w:space="0" w:color="auto"/>
            </w:tcBorders>
            <w:shd w:val="clear" w:color="auto" w:fill="4A7194"/>
            <w:vAlign w:val="center"/>
          </w:tcPr>
          <w:p w14:paraId="7A18664F" w14:textId="73FE510C"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760" w:type="dxa"/>
            <w:vAlign w:val="center"/>
          </w:tcPr>
          <w:p w14:paraId="1519DA6A" w14:textId="29A3CE8A" w:rsidR="004C2312" w:rsidRPr="007558F6" w:rsidRDefault="00295DD7" w:rsidP="003958D0">
            <w:pPr>
              <w:jc w:val="both"/>
              <w:rPr>
                <w:rFonts w:ascii="Cambria" w:hAnsi="Cambria"/>
                <w:bCs/>
                <w:sz w:val="20"/>
                <w:szCs w:val="20"/>
                <w:lang w:val="es-ES"/>
              </w:rPr>
            </w:pPr>
            <w:r>
              <w:rPr>
                <w:rFonts w:ascii="Cambria" w:hAnsi="Cambria"/>
                <w:bCs/>
                <w:sz w:val="20"/>
                <w:szCs w:val="20"/>
                <w:lang w:val="es-ES"/>
              </w:rPr>
              <w:t>24 de marzo de 2017</w:t>
            </w:r>
          </w:p>
        </w:tc>
      </w:tr>
      <w:tr w:rsidR="004C2312" w:rsidRPr="004A6A54" w14:paraId="6147A8D5" w14:textId="77777777" w:rsidTr="00436BCA">
        <w:tc>
          <w:tcPr>
            <w:tcW w:w="3600" w:type="dxa"/>
            <w:tcBorders>
              <w:top w:val="single" w:sz="6" w:space="0" w:color="auto"/>
              <w:bottom w:val="single" w:sz="6" w:space="0" w:color="auto"/>
            </w:tcBorders>
            <w:shd w:val="clear" w:color="auto" w:fill="4A7194"/>
            <w:vAlign w:val="center"/>
          </w:tcPr>
          <w:p w14:paraId="0201C86D" w14:textId="4A5EC6F9"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760" w:type="dxa"/>
            <w:vAlign w:val="center"/>
          </w:tcPr>
          <w:p w14:paraId="1972B99E" w14:textId="3F2358E9" w:rsidR="004C2312" w:rsidRPr="007558F6" w:rsidRDefault="00295DD7" w:rsidP="003958D0">
            <w:pPr>
              <w:jc w:val="both"/>
              <w:rPr>
                <w:rFonts w:ascii="Cambria" w:hAnsi="Cambria"/>
                <w:bCs/>
                <w:sz w:val="20"/>
                <w:szCs w:val="20"/>
                <w:lang w:val="es-ES"/>
              </w:rPr>
            </w:pPr>
            <w:r>
              <w:rPr>
                <w:rFonts w:ascii="Cambria" w:hAnsi="Cambria"/>
                <w:bCs/>
                <w:sz w:val="20"/>
                <w:szCs w:val="20"/>
                <w:lang w:val="es-ES"/>
              </w:rPr>
              <w:t>4 de mayo de 2018</w:t>
            </w:r>
          </w:p>
        </w:tc>
      </w:tr>
      <w:tr w:rsidR="004C2312" w:rsidRPr="00E63ADB" w14:paraId="322668B6" w14:textId="77777777" w:rsidTr="00436BCA">
        <w:tc>
          <w:tcPr>
            <w:tcW w:w="3600" w:type="dxa"/>
            <w:tcBorders>
              <w:top w:val="single" w:sz="6" w:space="0" w:color="auto"/>
              <w:bottom w:val="single" w:sz="6" w:space="0" w:color="auto"/>
            </w:tcBorders>
            <w:shd w:val="clear" w:color="auto" w:fill="4A7194"/>
            <w:vAlign w:val="center"/>
          </w:tcPr>
          <w:p w14:paraId="1524DA55" w14:textId="77777777" w:rsidR="004C2312" w:rsidRPr="003239B8" w:rsidRDefault="008E3BFE" w:rsidP="008E3BFE">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Observaciones adicionales de la parte peticionaria:</w:t>
            </w:r>
          </w:p>
        </w:tc>
        <w:tc>
          <w:tcPr>
            <w:tcW w:w="5760" w:type="dxa"/>
            <w:vAlign w:val="center"/>
          </w:tcPr>
          <w:p w14:paraId="41D8B862" w14:textId="7D8A722C" w:rsidR="004C2312" w:rsidRPr="007558F6" w:rsidRDefault="003C1D3E" w:rsidP="003958D0">
            <w:pPr>
              <w:jc w:val="both"/>
              <w:rPr>
                <w:rFonts w:ascii="Cambria" w:hAnsi="Cambria"/>
                <w:bCs/>
                <w:sz w:val="20"/>
                <w:szCs w:val="20"/>
                <w:lang w:val="es-ES"/>
              </w:rPr>
            </w:pPr>
            <w:r>
              <w:rPr>
                <w:rFonts w:ascii="Cambria" w:hAnsi="Cambria"/>
                <w:bCs/>
                <w:sz w:val="20"/>
                <w:szCs w:val="20"/>
                <w:lang w:val="es-ES"/>
              </w:rPr>
              <w:t>10 de julio de 2018</w:t>
            </w:r>
          </w:p>
        </w:tc>
      </w:tr>
    </w:tbl>
    <w:p w14:paraId="21DAA666"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792A50" w14:paraId="072532AD" w14:textId="77777777" w:rsidTr="00436BCA">
        <w:trPr>
          <w:cantSplit/>
        </w:trPr>
        <w:tc>
          <w:tcPr>
            <w:tcW w:w="3600" w:type="dxa"/>
            <w:tcBorders>
              <w:top w:val="single" w:sz="4" w:space="0" w:color="auto"/>
              <w:bottom w:val="single" w:sz="6" w:space="0" w:color="auto"/>
            </w:tcBorders>
            <w:shd w:val="clear" w:color="auto" w:fill="4A7194"/>
            <w:vAlign w:val="center"/>
          </w:tcPr>
          <w:p w14:paraId="5C2E4B34" w14:textId="77777777" w:rsidR="003239B8" w:rsidRPr="00792A50" w:rsidRDefault="003239B8" w:rsidP="003958D0">
            <w:pPr>
              <w:jc w:val="center"/>
              <w:rPr>
                <w:rFonts w:ascii="Cambria" w:hAnsi="Cambria"/>
                <w:b/>
                <w:bCs/>
                <w:i/>
                <w:color w:val="FFFFFF" w:themeColor="background1"/>
                <w:sz w:val="20"/>
                <w:szCs w:val="20"/>
                <w:lang w:val="es-AR"/>
              </w:rPr>
            </w:pPr>
            <w:r w:rsidRPr="00792A50">
              <w:rPr>
                <w:rFonts w:ascii="Cambria" w:hAnsi="Cambria"/>
                <w:b/>
                <w:bCs/>
                <w:color w:val="FFFFFF" w:themeColor="background1"/>
                <w:sz w:val="20"/>
                <w:szCs w:val="20"/>
                <w:lang w:val="es-AR"/>
              </w:rPr>
              <w:t>Competencia</w:t>
            </w:r>
            <w:r w:rsidRPr="00792A50">
              <w:rPr>
                <w:rFonts w:ascii="Cambria" w:hAnsi="Cambria"/>
                <w:b/>
                <w:bCs/>
                <w:i/>
                <w:color w:val="FFFFFF" w:themeColor="background1"/>
                <w:sz w:val="20"/>
                <w:szCs w:val="20"/>
                <w:lang w:val="es-AR"/>
              </w:rPr>
              <w:t xml:space="preserve"> Ratione personae:</w:t>
            </w:r>
          </w:p>
        </w:tc>
        <w:tc>
          <w:tcPr>
            <w:tcW w:w="5760" w:type="dxa"/>
            <w:vAlign w:val="center"/>
          </w:tcPr>
          <w:p w14:paraId="7707F3E9" w14:textId="5ADCF5A7" w:rsidR="003239B8" w:rsidRPr="00792A50" w:rsidRDefault="00792A50" w:rsidP="003958D0">
            <w:pPr>
              <w:rPr>
                <w:rFonts w:ascii="Cambria" w:hAnsi="Cambria"/>
                <w:bCs/>
                <w:sz w:val="20"/>
                <w:szCs w:val="20"/>
                <w:lang w:val="es-AR"/>
              </w:rPr>
            </w:pPr>
            <w:r>
              <w:rPr>
                <w:rFonts w:ascii="Cambria" w:hAnsi="Cambria"/>
                <w:bCs/>
                <w:sz w:val="20"/>
                <w:szCs w:val="20"/>
                <w:lang w:val="es-AR"/>
              </w:rPr>
              <w:t>Sí</w:t>
            </w:r>
          </w:p>
        </w:tc>
      </w:tr>
      <w:tr w:rsidR="003239B8" w:rsidRPr="00792A50" w14:paraId="4B8802DA" w14:textId="77777777" w:rsidTr="00436BCA">
        <w:trPr>
          <w:cantSplit/>
        </w:trPr>
        <w:tc>
          <w:tcPr>
            <w:tcW w:w="3600" w:type="dxa"/>
            <w:tcBorders>
              <w:top w:val="single" w:sz="6" w:space="0" w:color="auto"/>
              <w:bottom w:val="single" w:sz="6" w:space="0" w:color="auto"/>
            </w:tcBorders>
            <w:shd w:val="clear" w:color="auto" w:fill="4A7194"/>
            <w:vAlign w:val="center"/>
          </w:tcPr>
          <w:p w14:paraId="3915C23B" w14:textId="77777777" w:rsidR="003239B8" w:rsidRPr="00792A50" w:rsidRDefault="003239B8" w:rsidP="003958D0">
            <w:pPr>
              <w:jc w:val="center"/>
              <w:rPr>
                <w:rFonts w:ascii="Cambria" w:hAnsi="Cambria"/>
                <w:b/>
                <w:bCs/>
                <w:color w:val="FFFFFF" w:themeColor="background1"/>
                <w:sz w:val="20"/>
                <w:szCs w:val="20"/>
                <w:lang w:val="es-AR"/>
              </w:rPr>
            </w:pPr>
            <w:r w:rsidRPr="00792A50">
              <w:rPr>
                <w:rFonts w:ascii="Cambria" w:hAnsi="Cambria"/>
                <w:b/>
                <w:bCs/>
                <w:color w:val="FFFFFF" w:themeColor="background1"/>
                <w:sz w:val="20"/>
                <w:szCs w:val="20"/>
                <w:lang w:val="es-AR"/>
              </w:rPr>
              <w:t>Competencia</w:t>
            </w:r>
            <w:r w:rsidRPr="00792A50">
              <w:rPr>
                <w:rFonts w:ascii="Cambria" w:hAnsi="Cambria"/>
                <w:b/>
                <w:bCs/>
                <w:i/>
                <w:color w:val="FFFFFF" w:themeColor="background1"/>
                <w:sz w:val="20"/>
                <w:szCs w:val="20"/>
                <w:lang w:val="es-AR"/>
              </w:rPr>
              <w:t xml:space="preserve"> Ratione loci</w:t>
            </w:r>
            <w:r w:rsidRPr="00792A50">
              <w:rPr>
                <w:rFonts w:ascii="Cambria" w:hAnsi="Cambria"/>
                <w:b/>
                <w:bCs/>
                <w:color w:val="FFFFFF" w:themeColor="background1"/>
                <w:sz w:val="20"/>
                <w:szCs w:val="20"/>
                <w:lang w:val="es-AR"/>
              </w:rPr>
              <w:t>:</w:t>
            </w:r>
          </w:p>
        </w:tc>
        <w:tc>
          <w:tcPr>
            <w:tcW w:w="5760" w:type="dxa"/>
            <w:vAlign w:val="center"/>
          </w:tcPr>
          <w:p w14:paraId="12C931CB" w14:textId="5ECCF85D" w:rsidR="003239B8" w:rsidRPr="00792A50" w:rsidRDefault="00792A50" w:rsidP="003958D0">
            <w:pPr>
              <w:rPr>
                <w:rFonts w:ascii="Cambria" w:hAnsi="Cambria"/>
                <w:bCs/>
                <w:sz w:val="20"/>
                <w:szCs w:val="20"/>
                <w:lang w:val="es-AR"/>
              </w:rPr>
            </w:pPr>
            <w:r>
              <w:rPr>
                <w:rFonts w:ascii="Cambria" w:hAnsi="Cambria"/>
                <w:bCs/>
                <w:sz w:val="20"/>
                <w:szCs w:val="20"/>
                <w:lang w:val="es-AR"/>
              </w:rPr>
              <w:t>Sí</w:t>
            </w:r>
          </w:p>
        </w:tc>
      </w:tr>
      <w:tr w:rsidR="003239B8" w:rsidRPr="0086105A" w14:paraId="4362FDF3" w14:textId="77777777" w:rsidTr="00436BCA">
        <w:trPr>
          <w:cantSplit/>
        </w:trPr>
        <w:tc>
          <w:tcPr>
            <w:tcW w:w="3600" w:type="dxa"/>
            <w:tcBorders>
              <w:top w:val="single" w:sz="6" w:space="0" w:color="auto"/>
              <w:bottom w:val="single" w:sz="6" w:space="0" w:color="auto"/>
            </w:tcBorders>
            <w:shd w:val="clear" w:color="auto" w:fill="4A7194"/>
            <w:vAlign w:val="center"/>
          </w:tcPr>
          <w:p w14:paraId="3BE23153" w14:textId="77777777" w:rsidR="003239B8" w:rsidRPr="00B3745F" w:rsidRDefault="003239B8" w:rsidP="003958D0">
            <w:pPr>
              <w:jc w:val="center"/>
              <w:rPr>
                <w:rFonts w:ascii="Cambria" w:hAnsi="Cambria"/>
                <w:b/>
                <w:bCs/>
                <w:color w:val="FFFFFF" w:themeColor="background1"/>
                <w:sz w:val="20"/>
                <w:szCs w:val="20"/>
              </w:rPr>
            </w:pPr>
            <w:r w:rsidRPr="00792A50">
              <w:rPr>
                <w:rFonts w:ascii="Cambria" w:hAnsi="Cambria"/>
                <w:b/>
                <w:bCs/>
                <w:color w:val="FFFFFF" w:themeColor="background1"/>
                <w:sz w:val="20"/>
                <w:szCs w:val="20"/>
                <w:lang w:val="es-AR"/>
              </w:rPr>
              <w:t>Competencia</w:t>
            </w:r>
            <w:r w:rsidRPr="00792A50">
              <w:rPr>
                <w:rFonts w:ascii="Cambria" w:hAnsi="Cambria"/>
                <w:b/>
                <w:bCs/>
                <w:i/>
                <w:color w:val="FFFFFF" w:themeColor="background1"/>
                <w:sz w:val="20"/>
                <w:szCs w:val="20"/>
                <w:lang w:val="es-AR"/>
              </w:rPr>
              <w:t xml:space="preserve"> Ra</w:t>
            </w:r>
            <w:proofErr w:type="spellStart"/>
            <w:r w:rsidRPr="00B3745F">
              <w:rPr>
                <w:rFonts w:ascii="Cambria" w:hAnsi="Cambria"/>
                <w:b/>
                <w:bCs/>
                <w:i/>
                <w:color w:val="FFFFFF" w:themeColor="background1"/>
                <w:sz w:val="20"/>
                <w:szCs w:val="20"/>
              </w:rPr>
              <w:t>tione</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temporis</w:t>
            </w:r>
            <w:proofErr w:type="spellEnd"/>
            <w:r w:rsidRPr="00B3745F">
              <w:rPr>
                <w:rFonts w:ascii="Cambria" w:hAnsi="Cambria"/>
                <w:b/>
                <w:bCs/>
                <w:color w:val="FFFFFF" w:themeColor="background1"/>
                <w:sz w:val="20"/>
                <w:szCs w:val="20"/>
              </w:rPr>
              <w:t>:</w:t>
            </w:r>
          </w:p>
        </w:tc>
        <w:tc>
          <w:tcPr>
            <w:tcW w:w="5760" w:type="dxa"/>
            <w:vAlign w:val="center"/>
          </w:tcPr>
          <w:p w14:paraId="6F8B059B" w14:textId="7B938CE0" w:rsidR="003239B8" w:rsidRPr="003A42B1" w:rsidRDefault="00792A50" w:rsidP="003A42B1">
            <w:pPr>
              <w:jc w:val="both"/>
              <w:rPr>
                <w:rFonts w:ascii="Cambria" w:hAnsi="Cambria"/>
                <w:bCs/>
                <w:sz w:val="20"/>
                <w:szCs w:val="20"/>
                <w:lang w:val="es-ES"/>
              </w:rPr>
            </w:pPr>
            <w:r w:rsidRPr="007C5660">
              <w:rPr>
                <w:rFonts w:ascii="Cambria" w:hAnsi="Cambria"/>
                <w:bCs/>
                <w:sz w:val="20"/>
                <w:szCs w:val="20"/>
                <w:lang w:val="es-ES"/>
              </w:rPr>
              <w:t>Sí</w:t>
            </w:r>
          </w:p>
        </w:tc>
      </w:tr>
      <w:tr w:rsidR="003239B8" w:rsidRPr="00625BFB" w14:paraId="30ABEC3E" w14:textId="77777777" w:rsidTr="00436BCA">
        <w:trPr>
          <w:cantSplit/>
        </w:trPr>
        <w:tc>
          <w:tcPr>
            <w:tcW w:w="3600" w:type="dxa"/>
            <w:tcBorders>
              <w:top w:val="single" w:sz="6" w:space="0" w:color="auto"/>
              <w:bottom w:val="single" w:sz="6" w:space="0" w:color="auto"/>
            </w:tcBorders>
            <w:shd w:val="clear" w:color="auto" w:fill="4A7194"/>
            <w:vAlign w:val="center"/>
          </w:tcPr>
          <w:p w14:paraId="47B529D2" w14:textId="77777777" w:rsidR="003239B8" w:rsidRPr="00B3745F" w:rsidRDefault="003239B8" w:rsidP="003958D0">
            <w:pPr>
              <w:jc w:val="center"/>
              <w:rPr>
                <w:rFonts w:ascii="Cambria" w:hAnsi="Cambria"/>
                <w:b/>
                <w:bCs/>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materia</w:t>
            </w:r>
            <w:r w:rsidR="00EE00E9" w:rsidRPr="00B3745F">
              <w:rPr>
                <w:rFonts w:ascii="Cambria" w:hAnsi="Cambria"/>
                <w:b/>
                <w:bCs/>
                <w:i/>
                <w:color w:val="FFFFFF" w:themeColor="background1"/>
                <w:sz w:val="20"/>
                <w:szCs w:val="20"/>
              </w:rPr>
              <w:t>e</w:t>
            </w:r>
            <w:proofErr w:type="spellEnd"/>
            <w:r w:rsidRPr="00B3745F">
              <w:rPr>
                <w:rFonts w:ascii="Cambria" w:hAnsi="Cambria"/>
                <w:b/>
                <w:bCs/>
                <w:color w:val="FFFFFF" w:themeColor="background1"/>
                <w:sz w:val="20"/>
                <w:szCs w:val="20"/>
              </w:rPr>
              <w:t>:</w:t>
            </w:r>
          </w:p>
        </w:tc>
        <w:tc>
          <w:tcPr>
            <w:tcW w:w="5760" w:type="dxa"/>
            <w:vAlign w:val="center"/>
          </w:tcPr>
          <w:p w14:paraId="0C122F44" w14:textId="46960BE2" w:rsidR="003239B8" w:rsidRPr="007C5660" w:rsidRDefault="00124A8F" w:rsidP="00D97772">
            <w:pPr>
              <w:jc w:val="both"/>
              <w:rPr>
                <w:rFonts w:asciiTheme="majorHAnsi" w:hAnsiTheme="majorHAnsi"/>
                <w:bCs/>
                <w:sz w:val="20"/>
                <w:szCs w:val="20"/>
                <w:lang w:val="es-ES"/>
              </w:rPr>
            </w:pPr>
            <w:r w:rsidRPr="007C5660">
              <w:rPr>
                <w:rFonts w:asciiTheme="majorHAnsi" w:hAnsiTheme="majorHAnsi"/>
                <w:bCs/>
                <w:sz w:val="20"/>
                <w:szCs w:val="20"/>
                <w:lang w:val="es-ES"/>
              </w:rPr>
              <w:t>Sí</w:t>
            </w:r>
            <w:r w:rsidR="007C5660" w:rsidRPr="007C5660">
              <w:rPr>
                <w:rFonts w:asciiTheme="majorHAnsi" w:hAnsiTheme="majorHAnsi"/>
                <w:bCs/>
                <w:sz w:val="20"/>
                <w:szCs w:val="20"/>
                <w:lang w:val="es-ES"/>
              </w:rPr>
              <w:t xml:space="preserve">, </w:t>
            </w:r>
            <w:r w:rsidR="007C5660" w:rsidRPr="007C5660">
              <w:rPr>
                <w:rFonts w:asciiTheme="majorHAnsi" w:hAnsiTheme="majorHAnsi"/>
                <w:sz w:val="20"/>
                <w:szCs w:val="20"/>
                <w:lang w:val="es-ES"/>
              </w:rPr>
              <w:t>Convención Americana (depósito del instrumento de ratificación realizado el 9 de agosto de 1977)</w:t>
            </w:r>
            <w:r w:rsidR="00792A50" w:rsidRPr="007C5660">
              <w:rPr>
                <w:rFonts w:asciiTheme="majorHAnsi" w:hAnsiTheme="majorHAnsi"/>
                <w:bCs/>
                <w:sz w:val="20"/>
                <w:szCs w:val="20"/>
                <w:lang w:val="es-ES"/>
              </w:rPr>
              <w:t xml:space="preserve"> </w:t>
            </w:r>
          </w:p>
        </w:tc>
      </w:tr>
    </w:tbl>
    <w:p w14:paraId="4E92C444" w14:textId="1DAF1B79"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proofErr w:type="gramStart"/>
      <w:r w:rsidR="00EE00E9" w:rsidRPr="003239B8">
        <w:rPr>
          <w:rFonts w:asciiTheme="majorHAnsi" w:hAnsiTheme="majorHAnsi"/>
          <w:b/>
          <w:bCs/>
          <w:sz w:val="20"/>
          <w:szCs w:val="20"/>
          <w:lang w:val="es-ES"/>
        </w:rPr>
        <w:t>INTERNACIONAL</w:t>
      </w:r>
      <w:r w:rsidR="00EE00E9">
        <w:rPr>
          <w:rFonts w:asciiTheme="majorHAnsi" w:hAnsiTheme="majorHAnsi"/>
          <w:b/>
          <w:bCs/>
          <w:sz w:val="20"/>
          <w:szCs w:val="20"/>
          <w:lang w:val="es-ES"/>
        </w:rPr>
        <w:t xml:space="preserve">, </w:t>
      </w:r>
      <w:r w:rsidRPr="003239B8">
        <w:rPr>
          <w:rFonts w:asciiTheme="majorHAnsi" w:hAnsiTheme="majorHAnsi"/>
          <w:b/>
          <w:bCs/>
          <w:sz w:val="20"/>
          <w:szCs w:val="20"/>
          <w:lang w:val="es-ES"/>
        </w:rPr>
        <w:t xml:space="preserve"> CARACTERIZACIÓN</w:t>
      </w:r>
      <w:proofErr w:type="gramEnd"/>
      <w:r w:rsidRPr="003239B8">
        <w:rPr>
          <w:rFonts w:asciiTheme="majorHAnsi" w:hAnsiTheme="majorHAnsi"/>
          <w:b/>
          <w:bCs/>
          <w:sz w:val="20"/>
          <w:szCs w:val="20"/>
          <w:lang w:val="es-ES"/>
        </w:rPr>
        <w:t xml:space="preserve">,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5"/>
        <w:gridCol w:w="5677"/>
      </w:tblGrid>
      <w:tr w:rsidR="00EE00E9" w:rsidRPr="00E63ADB" w14:paraId="1231C988" w14:textId="77777777" w:rsidTr="00436BCA">
        <w:trPr>
          <w:cantSplit/>
        </w:trPr>
        <w:tc>
          <w:tcPr>
            <w:tcW w:w="3600" w:type="dxa"/>
            <w:tcBorders>
              <w:top w:val="single" w:sz="4" w:space="0" w:color="auto"/>
              <w:bottom w:val="single" w:sz="6" w:space="0" w:color="auto"/>
            </w:tcBorders>
            <w:shd w:val="clear" w:color="auto" w:fill="4A7194"/>
            <w:vAlign w:val="center"/>
          </w:tcPr>
          <w:p w14:paraId="6F8031F4" w14:textId="77777777" w:rsidR="00EE00E9" w:rsidRPr="00DC24E3" w:rsidRDefault="00EE00E9" w:rsidP="003958D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60" w:type="dxa"/>
            <w:vAlign w:val="center"/>
          </w:tcPr>
          <w:p w14:paraId="240941E6" w14:textId="7B84DDAE" w:rsidR="00EE00E9" w:rsidRPr="00DC24E3" w:rsidRDefault="00792A50" w:rsidP="003958D0">
            <w:pPr>
              <w:jc w:val="both"/>
              <w:rPr>
                <w:rFonts w:ascii="Cambria" w:hAnsi="Cambria"/>
                <w:bCs/>
                <w:sz w:val="20"/>
                <w:szCs w:val="20"/>
                <w:lang w:val="es-ES"/>
              </w:rPr>
            </w:pPr>
            <w:r>
              <w:rPr>
                <w:rFonts w:ascii="Cambria" w:hAnsi="Cambria"/>
                <w:bCs/>
                <w:sz w:val="20"/>
                <w:szCs w:val="20"/>
                <w:lang w:val="es-ES"/>
              </w:rPr>
              <w:t>No</w:t>
            </w:r>
          </w:p>
        </w:tc>
      </w:tr>
      <w:tr w:rsidR="003239B8" w:rsidRPr="00625BFB" w14:paraId="15FAA7D1" w14:textId="77777777" w:rsidTr="00436BCA">
        <w:trPr>
          <w:cantSplit/>
        </w:trPr>
        <w:tc>
          <w:tcPr>
            <w:tcW w:w="3600" w:type="dxa"/>
            <w:tcBorders>
              <w:top w:val="single" w:sz="4" w:space="0" w:color="auto"/>
              <w:bottom w:val="single" w:sz="6" w:space="0" w:color="auto"/>
            </w:tcBorders>
            <w:shd w:val="clear" w:color="auto" w:fill="4A7194"/>
            <w:vAlign w:val="center"/>
          </w:tcPr>
          <w:p w14:paraId="1B0D29FF" w14:textId="77777777" w:rsidR="003239B8" w:rsidRPr="00DC24E3" w:rsidRDefault="003239B8" w:rsidP="003958D0">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 xml:space="preserve">Derechos </w:t>
            </w:r>
            <w:proofErr w:type="spellStart"/>
            <w:r w:rsidRPr="00DC24E3">
              <w:rPr>
                <w:rFonts w:ascii="Cambria" w:hAnsi="Cambria"/>
                <w:b/>
                <w:bCs/>
                <w:color w:val="FFFFFF" w:themeColor="background1"/>
                <w:sz w:val="20"/>
                <w:szCs w:val="20"/>
              </w:rPr>
              <w:t>declarados</w:t>
            </w:r>
            <w:proofErr w:type="spellEnd"/>
            <w:r w:rsidRPr="00DC24E3">
              <w:rPr>
                <w:rFonts w:ascii="Cambria" w:hAnsi="Cambria"/>
                <w:b/>
                <w:bCs/>
                <w:color w:val="FFFFFF" w:themeColor="background1"/>
                <w:sz w:val="20"/>
                <w:szCs w:val="20"/>
              </w:rPr>
              <w:t xml:space="preserve"> </w:t>
            </w:r>
            <w:proofErr w:type="spellStart"/>
            <w:r w:rsidRPr="00DC24E3">
              <w:rPr>
                <w:rFonts w:ascii="Cambria" w:hAnsi="Cambria"/>
                <w:b/>
                <w:bCs/>
                <w:color w:val="FFFFFF" w:themeColor="background1"/>
                <w:sz w:val="20"/>
                <w:szCs w:val="20"/>
              </w:rPr>
              <w:t>admisibles</w:t>
            </w:r>
            <w:proofErr w:type="spellEnd"/>
            <w:r w:rsidRPr="00DC24E3">
              <w:rPr>
                <w:rFonts w:ascii="Cambria" w:hAnsi="Cambria"/>
                <w:b/>
                <w:bCs/>
                <w:i/>
                <w:color w:val="FFFFFF" w:themeColor="background1"/>
                <w:sz w:val="20"/>
                <w:szCs w:val="20"/>
              </w:rPr>
              <w:t>:</w:t>
            </w:r>
          </w:p>
        </w:tc>
        <w:tc>
          <w:tcPr>
            <w:tcW w:w="5760" w:type="dxa"/>
            <w:vAlign w:val="center"/>
          </w:tcPr>
          <w:p w14:paraId="6310C8F7" w14:textId="029DBD05" w:rsidR="003239B8" w:rsidRPr="001C4900" w:rsidRDefault="002709E5" w:rsidP="002117C5">
            <w:pPr>
              <w:jc w:val="both"/>
              <w:rPr>
                <w:rFonts w:ascii="Cambria" w:hAnsi="Cambria"/>
                <w:bCs/>
                <w:sz w:val="20"/>
                <w:szCs w:val="20"/>
                <w:lang w:val="es-AR"/>
              </w:rPr>
            </w:pPr>
            <w:r>
              <w:rPr>
                <w:rFonts w:ascii="Cambria" w:hAnsi="Cambria"/>
                <w:bCs/>
                <w:sz w:val="20"/>
                <w:szCs w:val="20"/>
                <w:lang w:val="es-AR"/>
              </w:rPr>
              <w:t xml:space="preserve">Artículos </w:t>
            </w:r>
            <w:r w:rsidRPr="00ED01FB">
              <w:rPr>
                <w:rFonts w:ascii="Cambria" w:hAnsi="Cambria"/>
                <w:bCs/>
                <w:sz w:val="20"/>
                <w:szCs w:val="20"/>
                <w:lang w:val="es-AR"/>
              </w:rPr>
              <w:t>7 (libertad perso</w:t>
            </w:r>
            <w:r w:rsidR="002117C5" w:rsidRPr="00ED01FB">
              <w:rPr>
                <w:rFonts w:ascii="Cambria" w:hAnsi="Cambria"/>
                <w:bCs/>
                <w:sz w:val="20"/>
                <w:szCs w:val="20"/>
                <w:lang w:val="es-AR"/>
              </w:rPr>
              <w:t xml:space="preserve">nal), 8 (garantías judiciales), </w:t>
            </w:r>
            <w:r w:rsidR="00124A8F" w:rsidRPr="00ED01FB">
              <w:rPr>
                <w:rFonts w:ascii="Cambria" w:hAnsi="Cambria"/>
                <w:bCs/>
                <w:sz w:val="20"/>
                <w:szCs w:val="20"/>
                <w:lang w:val="es-AR"/>
              </w:rPr>
              <w:t xml:space="preserve">11 (honra y dignidad), </w:t>
            </w:r>
            <w:r w:rsidRPr="00ED01FB">
              <w:rPr>
                <w:rFonts w:ascii="Cambria" w:hAnsi="Cambria"/>
                <w:bCs/>
                <w:sz w:val="20"/>
                <w:szCs w:val="20"/>
                <w:lang w:val="es-CO"/>
              </w:rPr>
              <w:t>13 (Libertad de Expresión) y 25.1 (protección judicial) de la Convención Americana sobre Derechos Humanos</w:t>
            </w:r>
            <w:r w:rsidR="000310D6" w:rsidRPr="00ED01FB">
              <w:rPr>
                <w:rFonts w:ascii="Cambria" w:hAnsi="Cambria"/>
                <w:bCs/>
                <w:sz w:val="20"/>
                <w:szCs w:val="20"/>
                <w:lang w:val="es-AR"/>
              </w:rPr>
              <w:t xml:space="preserve">, </w:t>
            </w:r>
            <w:r w:rsidRPr="00ED01FB">
              <w:rPr>
                <w:rFonts w:asciiTheme="majorHAnsi" w:hAnsiTheme="majorHAnsi"/>
                <w:sz w:val="20"/>
                <w:szCs w:val="20"/>
                <w:lang w:val="es-ES"/>
              </w:rPr>
              <w:t>en relación con su artículo</w:t>
            </w:r>
            <w:r w:rsidR="000310D6" w:rsidRPr="00ED01FB">
              <w:rPr>
                <w:rFonts w:asciiTheme="majorHAnsi" w:hAnsiTheme="majorHAnsi"/>
                <w:sz w:val="20"/>
                <w:szCs w:val="20"/>
                <w:lang w:val="es-ES"/>
              </w:rPr>
              <w:t xml:space="preserve"> 1.1 (obligación de respetar los derechos)</w:t>
            </w:r>
            <w:r w:rsidR="000310D6">
              <w:rPr>
                <w:rFonts w:asciiTheme="majorHAnsi" w:hAnsiTheme="majorHAnsi"/>
                <w:sz w:val="20"/>
                <w:szCs w:val="20"/>
                <w:lang w:val="es-ES"/>
              </w:rPr>
              <w:t xml:space="preserve"> </w:t>
            </w:r>
          </w:p>
        </w:tc>
      </w:tr>
      <w:tr w:rsidR="003239B8" w:rsidRPr="00625BFB" w14:paraId="4EFD141E" w14:textId="77777777" w:rsidTr="00436BCA">
        <w:trPr>
          <w:cantSplit/>
        </w:trPr>
        <w:tc>
          <w:tcPr>
            <w:tcW w:w="3600" w:type="dxa"/>
            <w:tcBorders>
              <w:top w:val="single" w:sz="6" w:space="0" w:color="auto"/>
              <w:bottom w:val="single" w:sz="6" w:space="0" w:color="auto"/>
            </w:tcBorders>
            <w:shd w:val="clear" w:color="auto" w:fill="4A7194"/>
            <w:vAlign w:val="center"/>
          </w:tcPr>
          <w:p w14:paraId="4C04A89C" w14:textId="77777777" w:rsidR="003239B8" w:rsidRPr="00DC24E3" w:rsidRDefault="003239B8" w:rsidP="003958D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60" w:type="dxa"/>
            <w:vAlign w:val="center"/>
          </w:tcPr>
          <w:p w14:paraId="69C53E8A" w14:textId="30E5A046" w:rsidR="003239B8" w:rsidRPr="002117C5" w:rsidRDefault="00124A8F" w:rsidP="002117C5">
            <w:pPr>
              <w:jc w:val="both"/>
              <w:rPr>
                <w:rFonts w:ascii="Cambria" w:hAnsi="Cambria"/>
                <w:bCs/>
                <w:sz w:val="20"/>
                <w:szCs w:val="20"/>
                <w:lang w:val="es-ES"/>
              </w:rPr>
            </w:pPr>
            <w:r>
              <w:rPr>
                <w:rFonts w:ascii="Cambria" w:hAnsi="Cambria"/>
                <w:bCs/>
                <w:sz w:val="20"/>
                <w:szCs w:val="20"/>
                <w:lang w:val="es-ES"/>
              </w:rPr>
              <w:t>Sí</w:t>
            </w:r>
            <w:r w:rsidR="002A2767" w:rsidRPr="002117C5">
              <w:rPr>
                <w:rFonts w:ascii="Cambria" w:hAnsi="Cambria"/>
                <w:bCs/>
                <w:sz w:val="20"/>
                <w:szCs w:val="20"/>
                <w:lang w:val="es-ES"/>
              </w:rPr>
              <w:t xml:space="preserve">, </w:t>
            </w:r>
            <w:r w:rsidR="002117C5" w:rsidRPr="002117C5">
              <w:rPr>
                <w:rFonts w:ascii="Cambria" w:hAnsi="Cambria"/>
                <w:bCs/>
                <w:sz w:val="20"/>
                <w:szCs w:val="20"/>
                <w:lang w:val="es-ES"/>
              </w:rPr>
              <w:t>en los términos de la sesión VI</w:t>
            </w:r>
          </w:p>
        </w:tc>
      </w:tr>
      <w:tr w:rsidR="003239B8" w:rsidRPr="00625BFB" w14:paraId="52B5BA17" w14:textId="77777777" w:rsidTr="00436BCA">
        <w:trPr>
          <w:cantSplit/>
        </w:trPr>
        <w:tc>
          <w:tcPr>
            <w:tcW w:w="3600" w:type="dxa"/>
            <w:tcBorders>
              <w:top w:val="single" w:sz="6" w:space="0" w:color="auto"/>
              <w:bottom w:val="single" w:sz="6" w:space="0" w:color="auto"/>
            </w:tcBorders>
            <w:shd w:val="clear" w:color="auto" w:fill="4A7194"/>
            <w:vAlign w:val="center"/>
          </w:tcPr>
          <w:p w14:paraId="5DF99086" w14:textId="77777777" w:rsidR="003239B8" w:rsidRPr="00DC24E3" w:rsidRDefault="003239B8" w:rsidP="003958D0">
            <w:pPr>
              <w:jc w:val="center"/>
              <w:rPr>
                <w:rFonts w:ascii="Cambria" w:hAnsi="Cambria"/>
                <w:b/>
                <w:bCs/>
                <w:color w:val="FFFFFF" w:themeColor="background1"/>
                <w:sz w:val="20"/>
                <w:szCs w:val="20"/>
              </w:rPr>
            </w:pPr>
            <w:proofErr w:type="spellStart"/>
            <w:r w:rsidRPr="00DC24E3">
              <w:rPr>
                <w:rFonts w:ascii="Cambria" w:hAnsi="Cambria"/>
                <w:b/>
                <w:bCs/>
                <w:color w:val="FFFFFF" w:themeColor="background1"/>
                <w:sz w:val="20"/>
                <w:szCs w:val="20"/>
              </w:rPr>
              <w:t>Presentación</w:t>
            </w:r>
            <w:proofErr w:type="spellEnd"/>
            <w:r w:rsidRPr="00DC24E3">
              <w:rPr>
                <w:rFonts w:ascii="Cambria" w:hAnsi="Cambria"/>
                <w:b/>
                <w:bCs/>
                <w:color w:val="FFFFFF" w:themeColor="background1"/>
                <w:sz w:val="20"/>
                <w:szCs w:val="20"/>
              </w:rPr>
              <w:t xml:space="preserve"> dentro de </w:t>
            </w:r>
            <w:proofErr w:type="spellStart"/>
            <w:r w:rsidRPr="00DC24E3">
              <w:rPr>
                <w:rFonts w:ascii="Cambria" w:hAnsi="Cambria"/>
                <w:b/>
                <w:bCs/>
                <w:color w:val="FFFFFF" w:themeColor="background1"/>
                <w:sz w:val="20"/>
                <w:szCs w:val="20"/>
              </w:rPr>
              <w:t>plazo</w:t>
            </w:r>
            <w:proofErr w:type="spellEnd"/>
            <w:r w:rsidRPr="00DC24E3">
              <w:rPr>
                <w:rFonts w:ascii="Cambria" w:hAnsi="Cambria"/>
                <w:b/>
                <w:bCs/>
                <w:color w:val="FFFFFF" w:themeColor="background1"/>
                <w:sz w:val="20"/>
                <w:szCs w:val="20"/>
              </w:rPr>
              <w:t>:</w:t>
            </w:r>
          </w:p>
        </w:tc>
        <w:tc>
          <w:tcPr>
            <w:tcW w:w="5760" w:type="dxa"/>
            <w:vAlign w:val="center"/>
          </w:tcPr>
          <w:p w14:paraId="4A2A4569" w14:textId="6CE8A2DA" w:rsidR="003239B8" w:rsidRPr="002117C5" w:rsidRDefault="002117C5" w:rsidP="003958D0">
            <w:pPr>
              <w:rPr>
                <w:rFonts w:ascii="Cambria" w:hAnsi="Cambria"/>
                <w:bCs/>
                <w:sz w:val="20"/>
                <w:szCs w:val="20"/>
                <w:lang w:val="es-ES"/>
              </w:rPr>
            </w:pPr>
            <w:r w:rsidRPr="002117C5">
              <w:rPr>
                <w:rFonts w:ascii="Cambria" w:hAnsi="Cambria"/>
                <w:bCs/>
                <w:sz w:val="20"/>
                <w:szCs w:val="20"/>
                <w:lang w:val="es-ES"/>
              </w:rPr>
              <w:t>Sí, en los términos de la sesión VI</w:t>
            </w:r>
          </w:p>
        </w:tc>
      </w:tr>
    </w:tbl>
    <w:p w14:paraId="18E6423B" w14:textId="77777777" w:rsidR="003239B8" w:rsidRDefault="00223A29" w:rsidP="00A64A73">
      <w:pPr>
        <w:spacing w:before="240" w:after="240"/>
        <w:ind w:firstLine="720"/>
        <w:jc w:val="both"/>
        <w:rPr>
          <w:rFonts w:asciiTheme="majorHAnsi" w:hAnsiTheme="majorHAnsi"/>
          <w:b/>
          <w:sz w:val="20"/>
          <w:szCs w:val="20"/>
          <w:lang w:val="es-UY"/>
        </w:rPr>
      </w:pPr>
      <w:r>
        <w:rPr>
          <w:rFonts w:asciiTheme="majorHAnsi" w:hAnsiTheme="majorHAnsi"/>
          <w:b/>
          <w:sz w:val="20"/>
          <w:szCs w:val="20"/>
          <w:lang w:val="es-UY"/>
        </w:rPr>
        <w:lastRenderedPageBreak/>
        <w:t xml:space="preserve">V. </w:t>
      </w:r>
      <w:r>
        <w:rPr>
          <w:rFonts w:asciiTheme="majorHAnsi" w:hAnsiTheme="majorHAnsi"/>
          <w:b/>
          <w:sz w:val="20"/>
          <w:szCs w:val="20"/>
          <w:lang w:val="es-UY"/>
        </w:rPr>
        <w:tab/>
      </w:r>
      <w:r w:rsidR="003239B8">
        <w:rPr>
          <w:rFonts w:asciiTheme="majorHAnsi" w:hAnsiTheme="majorHAnsi"/>
          <w:b/>
          <w:sz w:val="20"/>
          <w:szCs w:val="20"/>
          <w:lang w:val="es-UY"/>
        </w:rPr>
        <w:t xml:space="preserve">HECHOS ALEGADOS </w:t>
      </w:r>
    </w:p>
    <w:p w14:paraId="6F64CAFD" w14:textId="65A776C6" w:rsidR="00E40FD9" w:rsidRPr="008D5126" w:rsidRDefault="007F7826" w:rsidP="008D512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 xml:space="preserve">La parte peticionaria </w:t>
      </w:r>
      <w:r w:rsidRPr="007F7826">
        <w:rPr>
          <w:rFonts w:ascii="Cambria" w:hAnsi="Cambria"/>
          <w:sz w:val="20"/>
          <w:szCs w:val="20"/>
          <w:lang w:val="es-ES"/>
        </w:rPr>
        <w:t xml:space="preserve">acude a la CIDH para que ésta declare la responsabilidad internacional de Venezuela por la violación de los derechos humanos de </w:t>
      </w:r>
      <w:r w:rsidR="00E40FD9">
        <w:rPr>
          <w:rFonts w:ascii="Cambria" w:hAnsi="Cambria"/>
          <w:sz w:val="20"/>
          <w:szCs w:val="20"/>
          <w:lang w:val="es-ES"/>
        </w:rPr>
        <w:t xml:space="preserve">Nelson José </w:t>
      </w:r>
      <w:proofErr w:type="spellStart"/>
      <w:r w:rsidR="00E40FD9" w:rsidRPr="00861CAA">
        <w:rPr>
          <w:rFonts w:ascii="Cambria" w:hAnsi="Cambria"/>
          <w:sz w:val="20"/>
          <w:szCs w:val="20"/>
          <w:lang w:val="es-ES"/>
        </w:rPr>
        <w:t>Mezerhane</w:t>
      </w:r>
      <w:proofErr w:type="spellEnd"/>
      <w:r w:rsidR="00E40FD9">
        <w:rPr>
          <w:rFonts w:ascii="Cambria" w:hAnsi="Cambria"/>
          <w:sz w:val="20"/>
          <w:szCs w:val="20"/>
          <w:lang w:val="es-ES"/>
        </w:rPr>
        <w:t xml:space="preserve"> </w:t>
      </w:r>
      <w:proofErr w:type="spellStart"/>
      <w:r w:rsidR="00E40FD9">
        <w:rPr>
          <w:rFonts w:ascii="Cambria" w:hAnsi="Cambria"/>
          <w:sz w:val="20"/>
          <w:szCs w:val="20"/>
          <w:lang w:val="es-ES"/>
        </w:rPr>
        <w:t>Gosen</w:t>
      </w:r>
      <w:proofErr w:type="spellEnd"/>
      <w:r w:rsidRPr="007F7826">
        <w:rPr>
          <w:rFonts w:ascii="Cambria" w:hAnsi="Cambria"/>
          <w:sz w:val="20"/>
          <w:szCs w:val="20"/>
          <w:lang w:val="es-ES"/>
        </w:rPr>
        <w:t xml:space="preserve">, en virtud de la aludida persecución </w:t>
      </w:r>
      <w:r w:rsidR="0086105A">
        <w:rPr>
          <w:rFonts w:ascii="Cambria" w:hAnsi="Cambria"/>
          <w:sz w:val="20"/>
          <w:szCs w:val="20"/>
          <w:lang w:val="es-ES"/>
        </w:rPr>
        <w:t xml:space="preserve">política </w:t>
      </w:r>
      <w:r w:rsidRPr="007F7826">
        <w:rPr>
          <w:rFonts w:ascii="Cambria" w:hAnsi="Cambria"/>
          <w:sz w:val="20"/>
          <w:szCs w:val="20"/>
          <w:lang w:val="es-ES"/>
        </w:rPr>
        <w:t xml:space="preserve">de la que fue objeto en su calidad de </w:t>
      </w:r>
      <w:r w:rsidR="00E40FD9">
        <w:rPr>
          <w:rFonts w:ascii="Cambria" w:hAnsi="Cambria"/>
          <w:sz w:val="20"/>
          <w:szCs w:val="20"/>
          <w:lang w:val="es-AR"/>
        </w:rPr>
        <w:t>cofundador</w:t>
      </w:r>
      <w:r w:rsidR="00103FDE">
        <w:rPr>
          <w:rFonts w:ascii="Cambria" w:hAnsi="Cambria"/>
          <w:sz w:val="20"/>
          <w:szCs w:val="20"/>
          <w:lang w:val="es-AR"/>
        </w:rPr>
        <w:t>, director principal</w:t>
      </w:r>
      <w:r w:rsidR="00E40FD9">
        <w:rPr>
          <w:rFonts w:ascii="Cambria" w:hAnsi="Cambria"/>
          <w:sz w:val="20"/>
          <w:szCs w:val="20"/>
          <w:lang w:val="es-AR"/>
        </w:rPr>
        <w:t xml:space="preserve"> y accionista </w:t>
      </w:r>
      <w:r w:rsidRPr="007F7826">
        <w:rPr>
          <w:rFonts w:ascii="Cambria" w:hAnsi="Cambria"/>
          <w:sz w:val="20"/>
          <w:szCs w:val="20"/>
          <w:lang w:val="es-ES"/>
        </w:rPr>
        <w:t>del medio de comunicación televisivo Globovisión</w:t>
      </w:r>
      <w:r w:rsidR="0086105A">
        <w:rPr>
          <w:rFonts w:ascii="Cambria" w:hAnsi="Cambria"/>
          <w:sz w:val="20"/>
          <w:szCs w:val="20"/>
          <w:lang w:val="es-ES"/>
        </w:rPr>
        <w:t xml:space="preserve">. Dicha persecución habría tenido </w:t>
      </w:r>
      <w:r w:rsidR="0086105A">
        <w:rPr>
          <w:rFonts w:ascii="Cambria" w:hAnsi="Cambria"/>
          <w:sz w:val="20"/>
          <w:szCs w:val="20"/>
          <w:lang w:val="es-AR"/>
        </w:rPr>
        <w:t>el propósito de silenciar a la estación de televisión Globovisión</w:t>
      </w:r>
      <w:r w:rsidRPr="007F7826">
        <w:rPr>
          <w:rFonts w:ascii="Cambria" w:hAnsi="Cambria"/>
          <w:sz w:val="20"/>
          <w:szCs w:val="20"/>
          <w:lang w:val="es-ES"/>
        </w:rPr>
        <w:t xml:space="preserve">, dada su línea editorial independiente y crítica del entonces gobierno de Hugo Chávez. </w:t>
      </w:r>
      <w:r w:rsidR="00292B47">
        <w:rPr>
          <w:rFonts w:ascii="Cambria" w:hAnsi="Cambria"/>
          <w:sz w:val="20"/>
          <w:szCs w:val="20"/>
          <w:lang w:val="es-ES"/>
        </w:rPr>
        <w:t>É</w:t>
      </w:r>
      <w:r w:rsidR="0086105A">
        <w:rPr>
          <w:rFonts w:ascii="Cambria" w:hAnsi="Cambria"/>
          <w:sz w:val="20"/>
          <w:szCs w:val="20"/>
          <w:lang w:val="es-ES"/>
        </w:rPr>
        <w:t>sta</w:t>
      </w:r>
      <w:r w:rsidRPr="007F7826">
        <w:rPr>
          <w:rFonts w:ascii="Cambria" w:hAnsi="Cambria"/>
          <w:sz w:val="20"/>
          <w:szCs w:val="20"/>
          <w:lang w:val="es-ES"/>
        </w:rPr>
        <w:t xml:space="preserve"> se habría concretado, principalmente, en la apertura arbitraria de </w:t>
      </w:r>
      <w:r w:rsidR="00E40FD9" w:rsidRPr="00E40FD9">
        <w:rPr>
          <w:rFonts w:ascii="Cambria" w:hAnsi="Cambria"/>
          <w:sz w:val="20"/>
          <w:szCs w:val="20"/>
          <w:lang w:val="es-ES"/>
        </w:rPr>
        <w:t>tres</w:t>
      </w:r>
      <w:r w:rsidRPr="007F7826">
        <w:rPr>
          <w:rFonts w:ascii="Cambria" w:hAnsi="Cambria"/>
          <w:sz w:val="20"/>
          <w:szCs w:val="20"/>
          <w:lang w:val="es-ES"/>
        </w:rPr>
        <w:t xml:space="preserve"> procesos </w:t>
      </w:r>
      <w:r w:rsidR="00920C88">
        <w:rPr>
          <w:rFonts w:ascii="Cambria" w:hAnsi="Cambria"/>
          <w:sz w:val="20"/>
          <w:szCs w:val="20"/>
          <w:lang w:val="es-ES"/>
        </w:rPr>
        <w:t>judiciales</w:t>
      </w:r>
      <w:r w:rsidR="00E40FD9" w:rsidRPr="00E40FD9">
        <w:rPr>
          <w:rFonts w:ascii="Cambria" w:hAnsi="Cambria"/>
          <w:sz w:val="20"/>
          <w:szCs w:val="20"/>
          <w:lang w:val="es-ES"/>
        </w:rPr>
        <w:t xml:space="preserve"> </w:t>
      </w:r>
      <w:r w:rsidRPr="007F7826">
        <w:rPr>
          <w:rFonts w:ascii="Cambria" w:hAnsi="Cambria"/>
          <w:sz w:val="20"/>
          <w:szCs w:val="20"/>
          <w:lang w:val="es-ES"/>
        </w:rPr>
        <w:t>en su contra, que implicaron</w:t>
      </w:r>
      <w:r w:rsidR="00065765">
        <w:rPr>
          <w:rFonts w:ascii="Cambria" w:hAnsi="Cambria"/>
          <w:sz w:val="20"/>
          <w:szCs w:val="20"/>
          <w:lang w:val="es-ES"/>
        </w:rPr>
        <w:t xml:space="preserve"> la confiscación progresiva de </w:t>
      </w:r>
      <w:r w:rsidR="00065765" w:rsidRPr="003D48A1">
        <w:rPr>
          <w:rFonts w:asciiTheme="majorHAnsi" w:hAnsiTheme="majorHAnsi"/>
          <w:bCs/>
          <w:sz w:val="20"/>
          <w:szCs w:val="20"/>
          <w:lang w:val="es-ES_tradnl"/>
        </w:rPr>
        <w:t>todos sus activos patrimoniales y bienes</w:t>
      </w:r>
      <w:r w:rsidR="00920C88">
        <w:rPr>
          <w:rFonts w:asciiTheme="majorHAnsi" w:hAnsiTheme="majorHAnsi"/>
          <w:bCs/>
          <w:sz w:val="20"/>
          <w:szCs w:val="20"/>
          <w:lang w:val="es-ES_tradnl"/>
        </w:rPr>
        <w:t>, la privación de su libertad</w:t>
      </w:r>
      <w:r w:rsidRPr="007F7826">
        <w:rPr>
          <w:rFonts w:ascii="Cambria" w:hAnsi="Cambria"/>
          <w:sz w:val="20"/>
          <w:szCs w:val="20"/>
          <w:lang w:val="es-ES"/>
        </w:rPr>
        <w:t xml:space="preserve">, así como en sucesivas declaraciones públicas efectuadas por el </w:t>
      </w:r>
      <w:r w:rsidR="00EA7D54">
        <w:rPr>
          <w:rFonts w:ascii="Cambria" w:hAnsi="Cambria"/>
          <w:sz w:val="20"/>
          <w:szCs w:val="20"/>
          <w:lang w:val="es-ES"/>
        </w:rPr>
        <w:t>p</w:t>
      </w:r>
      <w:r w:rsidRPr="007F7826">
        <w:rPr>
          <w:rFonts w:ascii="Cambria" w:hAnsi="Cambria"/>
          <w:sz w:val="20"/>
          <w:szCs w:val="20"/>
          <w:lang w:val="es-ES"/>
        </w:rPr>
        <w:t xml:space="preserve">residente de la República y varios otros altos funcionarios públicos en contra del señor </w:t>
      </w:r>
      <w:proofErr w:type="spellStart"/>
      <w:r w:rsidR="00E40FD9" w:rsidRPr="00E40FD9">
        <w:rPr>
          <w:rFonts w:ascii="Cambria" w:hAnsi="Cambria"/>
          <w:sz w:val="20"/>
          <w:szCs w:val="20"/>
          <w:lang w:val="es-ES"/>
        </w:rPr>
        <w:t>Mezerhane</w:t>
      </w:r>
      <w:proofErr w:type="spellEnd"/>
      <w:r w:rsidRPr="007F7826">
        <w:rPr>
          <w:rFonts w:ascii="Cambria" w:hAnsi="Cambria"/>
          <w:sz w:val="20"/>
          <w:szCs w:val="20"/>
          <w:lang w:val="es-ES"/>
        </w:rPr>
        <w:t>.</w:t>
      </w:r>
      <w:r w:rsidR="008D5126">
        <w:rPr>
          <w:rFonts w:ascii="Cambria" w:hAnsi="Cambria"/>
          <w:sz w:val="20"/>
          <w:szCs w:val="20"/>
          <w:lang w:val="es-ES"/>
        </w:rPr>
        <w:t xml:space="preserve"> </w:t>
      </w:r>
      <w:r w:rsidR="008D5126" w:rsidRPr="00920C88">
        <w:rPr>
          <w:rFonts w:ascii="Cambria" w:hAnsi="Cambria"/>
          <w:sz w:val="20"/>
          <w:szCs w:val="20"/>
          <w:lang w:val="es-ES"/>
        </w:rPr>
        <w:t>La parte peticionaria señala que el conjunto de</w:t>
      </w:r>
      <w:r w:rsidR="002E6106" w:rsidRPr="00920C88">
        <w:rPr>
          <w:rFonts w:ascii="Cambria" w:hAnsi="Cambria"/>
          <w:sz w:val="20"/>
          <w:szCs w:val="20"/>
          <w:lang w:val="es-ES"/>
        </w:rPr>
        <w:t xml:space="preserve"> hechos motivos de la denuncia </w:t>
      </w:r>
      <w:r w:rsidR="008D5126" w:rsidRPr="00920C88">
        <w:rPr>
          <w:rFonts w:ascii="Cambria" w:hAnsi="Cambria"/>
          <w:sz w:val="20"/>
          <w:szCs w:val="20"/>
          <w:lang w:val="es-ES"/>
        </w:rPr>
        <w:t xml:space="preserve">tienen por denominador común </w:t>
      </w:r>
      <w:r w:rsidR="002E6106" w:rsidRPr="00920C88">
        <w:rPr>
          <w:rFonts w:ascii="Cambria" w:hAnsi="Cambria"/>
          <w:sz w:val="20"/>
          <w:szCs w:val="20"/>
          <w:lang w:val="es-ES"/>
        </w:rPr>
        <w:t>atentados graves al debido proceso, a la tutela judicial efectiva y a la libertad de expresión</w:t>
      </w:r>
      <w:r w:rsidR="008D5126" w:rsidRPr="00920C88">
        <w:rPr>
          <w:rFonts w:ascii="Cambria" w:hAnsi="Cambria"/>
          <w:sz w:val="20"/>
          <w:szCs w:val="20"/>
          <w:lang w:val="es-ES"/>
        </w:rPr>
        <w:t>.</w:t>
      </w:r>
    </w:p>
    <w:p w14:paraId="6002E532" w14:textId="30EE6E81" w:rsidR="00AD482D" w:rsidRPr="00FD3F91" w:rsidRDefault="00920C88" w:rsidP="00A174C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AR"/>
        </w:rPr>
        <w:t>Respecto del</w:t>
      </w:r>
      <w:r w:rsidR="00F465CF" w:rsidRPr="00A174C8">
        <w:rPr>
          <w:rFonts w:ascii="Cambria" w:hAnsi="Cambria"/>
          <w:sz w:val="20"/>
          <w:szCs w:val="20"/>
          <w:lang w:val="es-AR"/>
        </w:rPr>
        <w:t xml:space="preserve"> primer proceso</w:t>
      </w:r>
      <w:r>
        <w:rPr>
          <w:rFonts w:ascii="Cambria" w:hAnsi="Cambria"/>
          <w:sz w:val="20"/>
          <w:szCs w:val="20"/>
          <w:lang w:val="es-AR"/>
        </w:rPr>
        <w:t xml:space="preserve"> judicial</w:t>
      </w:r>
      <w:r w:rsidR="00F465CF" w:rsidRPr="00A174C8">
        <w:rPr>
          <w:rFonts w:ascii="Cambria" w:hAnsi="Cambria"/>
          <w:sz w:val="20"/>
          <w:szCs w:val="20"/>
          <w:lang w:val="es-AR"/>
        </w:rPr>
        <w:t>,</w:t>
      </w:r>
      <w:r w:rsidR="008E3CC8">
        <w:rPr>
          <w:rFonts w:ascii="Cambria" w:hAnsi="Cambria"/>
          <w:sz w:val="20"/>
          <w:szCs w:val="20"/>
          <w:lang w:val="es-AR"/>
        </w:rPr>
        <w:t xml:space="preserve"> la parte peticionaria</w:t>
      </w:r>
      <w:r w:rsidR="003F46CA" w:rsidRPr="00A174C8">
        <w:rPr>
          <w:rFonts w:ascii="Cambria" w:hAnsi="Cambria"/>
          <w:sz w:val="20"/>
          <w:szCs w:val="20"/>
          <w:lang w:val="es-AR"/>
        </w:rPr>
        <w:t xml:space="preserve"> </w:t>
      </w:r>
      <w:r w:rsidR="00F465CF" w:rsidRPr="00A174C8">
        <w:rPr>
          <w:rFonts w:ascii="Cambria" w:hAnsi="Cambria"/>
          <w:sz w:val="20"/>
          <w:szCs w:val="20"/>
          <w:lang w:val="es-AR"/>
        </w:rPr>
        <w:t>informa</w:t>
      </w:r>
      <w:r w:rsidR="0054598E" w:rsidRPr="00A174C8">
        <w:rPr>
          <w:rFonts w:ascii="Cambria" w:hAnsi="Cambria"/>
          <w:sz w:val="20"/>
          <w:szCs w:val="20"/>
          <w:lang w:val="es-AR"/>
        </w:rPr>
        <w:t xml:space="preserve"> que </w:t>
      </w:r>
      <w:r w:rsidR="00AD482D">
        <w:rPr>
          <w:rFonts w:ascii="Cambria" w:hAnsi="Cambria"/>
          <w:sz w:val="20"/>
          <w:szCs w:val="20"/>
          <w:lang w:val="es-AR"/>
        </w:rPr>
        <w:t xml:space="preserve">el 4 de noviembre de 2005, el Tribunal 34º de </w:t>
      </w:r>
      <w:r w:rsidR="00E338B2">
        <w:rPr>
          <w:rFonts w:ascii="Cambria" w:hAnsi="Cambria"/>
          <w:sz w:val="20"/>
          <w:szCs w:val="20"/>
          <w:lang w:val="es-AR"/>
        </w:rPr>
        <w:t>P</w:t>
      </w:r>
      <w:r w:rsidR="00AD482D">
        <w:rPr>
          <w:rFonts w:ascii="Cambria" w:hAnsi="Cambria"/>
          <w:sz w:val="20"/>
          <w:szCs w:val="20"/>
          <w:lang w:val="es-AR"/>
        </w:rPr>
        <w:t xml:space="preserve">rimera </w:t>
      </w:r>
      <w:r w:rsidR="00E338B2">
        <w:rPr>
          <w:rFonts w:ascii="Cambria" w:hAnsi="Cambria"/>
          <w:sz w:val="20"/>
          <w:szCs w:val="20"/>
          <w:lang w:val="es-AR"/>
        </w:rPr>
        <w:t>I</w:t>
      </w:r>
      <w:r w:rsidR="00AD482D">
        <w:rPr>
          <w:rFonts w:ascii="Cambria" w:hAnsi="Cambria"/>
          <w:sz w:val="20"/>
          <w:szCs w:val="20"/>
          <w:lang w:val="es-AR"/>
        </w:rPr>
        <w:t xml:space="preserve">nstancia en lo </w:t>
      </w:r>
      <w:r w:rsidR="00E338B2">
        <w:rPr>
          <w:rFonts w:ascii="Cambria" w:hAnsi="Cambria"/>
          <w:sz w:val="20"/>
          <w:szCs w:val="20"/>
          <w:lang w:val="es-AR"/>
        </w:rPr>
        <w:t>P</w:t>
      </w:r>
      <w:r w:rsidR="00AD482D">
        <w:rPr>
          <w:rFonts w:ascii="Cambria" w:hAnsi="Cambria"/>
          <w:sz w:val="20"/>
          <w:szCs w:val="20"/>
          <w:lang w:val="es-AR"/>
        </w:rPr>
        <w:t xml:space="preserve">enal en </w:t>
      </w:r>
      <w:r w:rsidR="00E338B2">
        <w:rPr>
          <w:rFonts w:ascii="Cambria" w:hAnsi="Cambria"/>
          <w:sz w:val="20"/>
          <w:szCs w:val="20"/>
          <w:lang w:val="es-AR"/>
        </w:rPr>
        <w:t>F</w:t>
      </w:r>
      <w:r w:rsidR="00AD482D">
        <w:rPr>
          <w:rFonts w:ascii="Cambria" w:hAnsi="Cambria"/>
          <w:sz w:val="20"/>
          <w:szCs w:val="20"/>
          <w:lang w:val="es-AR"/>
        </w:rPr>
        <w:t xml:space="preserve">unciones de </w:t>
      </w:r>
      <w:r w:rsidR="00E338B2">
        <w:rPr>
          <w:rFonts w:ascii="Cambria" w:hAnsi="Cambria"/>
          <w:sz w:val="20"/>
          <w:szCs w:val="20"/>
          <w:lang w:val="es-AR"/>
        </w:rPr>
        <w:t>C</w:t>
      </w:r>
      <w:r w:rsidR="00AD482D">
        <w:rPr>
          <w:rFonts w:ascii="Cambria" w:hAnsi="Cambria"/>
          <w:sz w:val="20"/>
          <w:szCs w:val="20"/>
          <w:lang w:val="es-AR"/>
        </w:rPr>
        <w:t>ontrol dictó,</w:t>
      </w:r>
      <w:r w:rsidR="0077038A">
        <w:rPr>
          <w:rFonts w:ascii="Cambria" w:hAnsi="Cambria"/>
          <w:sz w:val="20"/>
          <w:szCs w:val="20"/>
          <w:lang w:val="es-AR"/>
        </w:rPr>
        <w:t xml:space="preserve"> </w:t>
      </w:r>
      <w:r w:rsidR="00AD482D">
        <w:rPr>
          <w:rFonts w:ascii="Cambria" w:hAnsi="Cambria"/>
          <w:sz w:val="20"/>
          <w:szCs w:val="20"/>
          <w:lang w:val="es-AR"/>
        </w:rPr>
        <w:t xml:space="preserve">a pedido del Ministerio Público, </w:t>
      </w:r>
      <w:r w:rsidR="0077038A">
        <w:rPr>
          <w:rFonts w:ascii="Cambria" w:hAnsi="Cambria"/>
          <w:sz w:val="20"/>
          <w:szCs w:val="20"/>
          <w:lang w:val="es-AR"/>
        </w:rPr>
        <w:t>una orden de aprehensión en contra del señor Mezerhane, por considerarlo como uno de los autores intelectuales del asesinato de</w:t>
      </w:r>
      <w:r w:rsidR="002E6106">
        <w:rPr>
          <w:rFonts w:ascii="Cambria" w:hAnsi="Cambria"/>
          <w:sz w:val="20"/>
          <w:szCs w:val="20"/>
          <w:lang w:val="es-AR"/>
        </w:rPr>
        <w:t>l</w:t>
      </w:r>
      <w:r w:rsidR="0077038A">
        <w:rPr>
          <w:rFonts w:ascii="Cambria" w:hAnsi="Cambria"/>
          <w:sz w:val="20"/>
          <w:szCs w:val="20"/>
          <w:lang w:val="es-AR"/>
        </w:rPr>
        <w:t xml:space="preserve"> fiscal </w:t>
      </w:r>
      <w:r w:rsidR="002E6106">
        <w:rPr>
          <w:rFonts w:ascii="Cambria" w:hAnsi="Cambria"/>
          <w:sz w:val="20"/>
          <w:szCs w:val="20"/>
          <w:lang w:val="es-AR"/>
        </w:rPr>
        <w:t>Danilo Anderson</w:t>
      </w:r>
      <w:r w:rsidR="0077038A">
        <w:rPr>
          <w:rFonts w:ascii="Cambria" w:hAnsi="Cambria"/>
          <w:sz w:val="20"/>
          <w:szCs w:val="20"/>
          <w:lang w:val="es-AR"/>
        </w:rPr>
        <w:t>, ocurrido en noviembre de 2004. A raíz de esta orden, dos páginas web de apoyo al gobierno publicaron una foto del señor Mezerhane con expresiones como “que no se escape” y “se busca”, acusándolo de ser uno de los autores intelectuales del asesinato.</w:t>
      </w:r>
      <w:r w:rsidR="00E338B2">
        <w:rPr>
          <w:rFonts w:ascii="Cambria" w:hAnsi="Cambria"/>
          <w:sz w:val="20"/>
          <w:szCs w:val="20"/>
          <w:lang w:val="es-AR"/>
        </w:rPr>
        <w:t xml:space="preserve"> El entonces vicepresidente José Vicente Rangel también instó públicamente a que la pre</w:t>
      </w:r>
      <w:r w:rsidR="00876126">
        <w:rPr>
          <w:rFonts w:ascii="Cambria" w:hAnsi="Cambria"/>
          <w:sz w:val="20"/>
          <w:szCs w:val="20"/>
          <w:lang w:val="es-AR"/>
        </w:rPr>
        <w:t>s</w:t>
      </w:r>
      <w:r w:rsidR="00E338B2">
        <w:rPr>
          <w:rFonts w:ascii="Cambria" w:hAnsi="Cambria"/>
          <w:sz w:val="20"/>
          <w:szCs w:val="20"/>
          <w:lang w:val="es-AR"/>
        </w:rPr>
        <w:t xml:space="preserve">unta víctima se </w:t>
      </w:r>
      <w:r w:rsidR="00632F50">
        <w:rPr>
          <w:rFonts w:ascii="Cambria" w:hAnsi="Cambria"/>
          <w:sz w:val="20"/>
          <w:szCs w:val="20"/>
          <w:lang w:val="es-AR"/>
        </w:rPr>
        <w:t>entregara a la Justicia.</w:t>
      </w:r>
      <w:r w:rsidR="00E338B2">
        <w:rPr>
          <w:rFonts w:ascii="Cambria" w:hAnsi="Cambria"/>
          <w:sz w:val="20"/>
          <w:szCs w:val="20"/>
          <w:lang w:val="es-AR"/>
        </w:rPr>
        <w:t xml:space="preserve"> </w:t>
      </w:r>
      <w:r w:rsidR="00E338B2" w:rsidRPr="00C41F63">
        <w:rPr>
          <w:rFonts w:ascii="Cambria" w:hAnsi="Cambria"/>
          <w:sz w:val="20"/>
          <w:szCs w:val="20"/>
          <w:lang w:val="es-AR"/>
        </w:rPr>
        <w:t>El 14 de noviembre el señor Mezerhane se presentó voluntar</w:t>
      </w:r>
      <w:r w:rsidR="00AA5C10" w:rsidRPr="00C41F63">
        <w:rPr>
          <w:rFonts w:ascii="Cambria" w:hAnsi="Cambria"/>
          <w:sz w:val="20"/>
          <w:szCs w:val="20"/>
          <w:lang w:val="es-AR"/>
        </w:rPr>
        <w:t>i</w:t>
      </w:r>
      <w:r w:rsidR="00E338B2" w:rsidRPr="00C41F63">
        <w:rPr>
          <w:rFonts w:ascii="Cambria" w:hAnsi="Cambria"/>
          <w:sz w:val="20"/>
          <w:szCs w:val="20"/>
          <w:lang w:val="es-AR"/>
        </w:rPr>
        <w:t>amente ante el Tribunal de Control</w:t>
      </w:r>
      <w:r w:rsidR="00C41F63" w:rsidRPr="00C41F63">
        <w:rPr>
          <w:rFonts w:ascii="Cambria" w:hAnsi="Cambria"/>
          <w:sz w:val="20"/>
          <w:szCs w:val="20"/>
          <w:lang w:val="es-AR"/>
        </w:rPr>
        <w:t>.</w:t>
      </w:r>
    </w:p>
    <w:p w14:paraId="4E10048B" w14:textId="65658E14" w:rsidR="00D840F3" w:rsidRDefault="00AA5C10" w:rsidP="0004329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 xml:space="preserve">La parte peticionaria narra una serie de graves irregularidades en el marco de este proceso, que han tenido consecuencias gravosas para la vida personal y la actividad económica y comercial del señor </w:t>
      </w:r>
      <w:proofErr w:type="spellStart"/>
      <w:r>
        <w:rPr>
          <w:rFonts w:ascii="Cambria" w:hAnsi="Cambria"/>
          <w:sz w:val="20"/>
          <w:szCs w:val="20"/>
          <w:lang w:val="es-ES"/>
        </w:rPr>
        <w:t>Mezerhane</w:t>
      </w:r>
      <w:proofErr w:type="spellEnd"/>
      <w:r>
        <w:rPr>
          <w:rFonts w:ascii="Cambria" w:hAnsi="Cambria"/>
          <w:sz w:val="20"/>
          <w:szCs w:val="20"/>
          <w:lang w:val="es-ES"/>
        </w:rPr>
        <w:t xml:space="preserve">, y que </w:t>
      </w:r>
      <w:r w:rsidR="00EC7BAC">
        <w:rPr>
          <w:rFonts w:ascii="Cambria" w:hAnsi="Cambria"/>
          <w:sz w:val="20"/>
          <w:szCs w:val="20"/>
          <w:lang w:val="es-ES"/>
        </w:rPr>
        <w:t>habrían constituido</w:t>
      </w:r>
      <w:r>
        <w:rPr>
          <w:rFonts w:ascii="Cambria" w:hAnsi="Cambria"/>
          <w:sz w:val="20"/>
          <w:szCs w:val="20"/>
          <w:lang w:val="es-ES"/>
        </w:rPr>
        <w:t xml:space="preserve"> una forma de persecución</w:t>
      </w:r>
      <w:r w:rsidR="00A50B9C">
        <w:rPr>
          <w:rFonts w:ascii="Cambria" w:hAnsi="Cambria"/>
          <w:sz w:val="20"/>
          <w:szCs w:val="20"/>
          <w:lang w:val="es-ES"/>
        </w:rPr>
        <w:t>, producto de una política de Estado</w:t>
      </w:r>
      <w:r>
        <w:rPr>
          <w:rFonts w:ascii="Cambria" w:hAnsi="Cambria"/>
          <w:sz w:val="20"/>
          <w:szCs w:val="20"/>
          <w:lang w:val="es-ES"/>
        </w:rPr>
        <w:t>.</w:t>
      </w:r>
      <w:r w:rsidR="00043299">
        <w:rPr>
          <w:rFonts w:ascii="Cambria" w:hAnsi="Cambria"/>
          <w:sz w:val="20"/>
          <w:szCs w:val="20"/>
          <w:lang w:val="es-ES"/>
        </w:rPr>
        <w:t xml:space="preserve"> </w:t>
      </w:r>
    </w:p>
    <w:p w14:paraId="5ED023FA" w14:textId="77777777" w:rsidR="007F1023" w:rsidRPr="007F1023" w:rsidRDefault="00D840F3" w:rsidP="00D840F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AR"/>
        </w:rPr>
      </w:pPr>
      <w:r>
        <w:rPr>
          <w:rFonts w:ascii="Cambria" w:hAnsi="Cambria"/>
          <w:sz w:val="20"/>
          <w:szCs w:val="20"/>
          <w:lang w:val="es-ES"/>
        </w:rPr>
        <w:t>En primer lugar, sostiene que en este proceso se violó la garantía de juez natural. Ello, dado que en noviembre de 2004 la Comisión Judicial del Tribunal Supremo de Justicia calificó-sin mediar juicio- al asesinato del fiscal como un hecho terrorista, mediante la Resoluc</w:t>
      </w:r>
      <w:r w:rsidRPr="00C2181D">
        <w:rPr>
          <w:rFonts w:ascii="Cambria" w:hAnsi="Cambria"/>
          <w:sz w:val="20"/>
          <w:szCs w:val="20"/>
          <w:lang w:val="es-ES"/>
        </w:rPr>
        <w:t>ión</w:t>
      </w:r>
      <w:r>
        <w:rPr>
          <w:rFonts w:ascii="Cambria" w:hAnsi="Cambria"/>
          <w:sz w:val="20"/>
          <w:szCs w:val="20"/>
          <w:lang w:val="es-ES"/>
        </w:rPr>
        <w:t xml:space="preserve"> 2004-0217, creando una jurisdicción especial para conocer la causa del señor </w:t>
      </w:r>
      <w:proofErr w:type="spellStart"/>
      <w:r>
        <w:rPr>
          <w:rFonts w:ascii="Cambria" w:hAnsi="Cambria"/>
          <w:sz w:val="20"/>
          <w:szCs w:val="20"/>
          <w:lang w:val="es-ES"/>
        </w:rPr>
        <w:t>Mezerhane</w:t>
      </w:r>
      <w:proofErr w:type="spellEnd"/>
      <w:r>
        <w:rPr>
          <w:rFonts w:ascii="Cambria" w:hAnsi="Cambria"/>
          <w:sz w:val="20"/>
          <w:szCs w:val="20"/>
          <w:lang w:val="es-ES"/>
        </w:rPr>
        <w:t xml:space="preserve"> por delitos vinculados al terrorismo. </w:t>
      </w:r>
      <w:r w:rsidRPr="005B6367">
        <w:rPr>
          <w:rFonts w:ascii="Cambria" w:hAnsi="Cambria"/>
          <w:sz w:val="20"/>
          <w:szCs w:val="20"/>
          <w:lang w:val="es-AR"/>
        </w:rPr>
        <w:t xml:space="preserve">Alega que esta jurisdicción </w:t>
      </w:r>
      <w:r w:rsidRPr="005B6367">
        <w:rPr>
          <w:rFonts w:ascii="Cambria" w:hAnsi="Cambria"/>
          <w:i/>
          <w:sz w:val="20"/>
          <w:szCs w:val="20"/>
          <w:lang w:val="es-AR"/>
        </w:rPr>
        <w:t>ad hoc</w:t>
      </w:r>
      <w:r w:rsidRPr="005B6367">
        <w:rPr>
          <w:rFonts w:ascii="Cambria" w:hAnsi="Cambria"/>
          <w:sz w:val="20"/>
          <w:szCs w:val="20"/>
          <w:lang w:val="es-AR"/>
        </w:rPr>
        <w:t xml:space="preserve"> no tiene lugar mediante normas de rango legal y viola su derecho al juez natural al someterle</w:t>
      </w:r>
      <w:r w:rsidRPr="005B6367">
        <w:rPr>
          <w:rFonts w:ascii="Cambria" w:hAnsi="Cambria"/>
          <w:bCs/>
          <w:sz w:val="20"/>
          <w:szCs w:val="20"/>
          <w:lang w:val="es-ES_tradnl"/>
        </w:rPr>
        <w:t xml:space="preserve"> a una jurisdicción creada con posterioridad a los hechos. </w:t>
      </w:r>
      <w:r w:rsidRPr="00D840F3">
        <w:rPr>
          <w:rFonts w:ascii="Cambria" w:hAnsi="Cambria"/>
          <w:sz w:val="20"/>
          <w:szCs w:val="20"/>
          <w:lang w:val="es-ES"/>
        </w:rPr>
        <w:t>Asimismo</w:t>
      </w:r>
      <w:r w:rsidR="00043299" w:rsidRPr="00D840F3">
        <w:rPr>
          <w:rFonts w:ascii="Cambria" w:hAnsi="Cambria"/>
          <w:sz w:val="20"/>
          <w:szCs w:val="20"/>
          <w:lang w:val="es-ES"/>
        </w:rPr>
        <w:t>, señala que l</w:t>
      </w:r>
      <w:r w:rsidR="00EA4D57" w:rsidRPr="00D840F3">
        <w:rPr>
          <w:rFonts w:ascii="Cambria" w:hAnsi="Cambria"/>
          <w:sz w:val="20"/>
          <w:szCs w:val="20"/>
          <w:lang w:val="es-ES"/>
        </w:rPr>
        <w:t>os</w:t>
      </w:r>
      <w:r w:rsidR="00714E68" w:rsidRPr="00D840F3">
        <w:rPr>
          <w:rFonts w:ascii="Cambria" w:hAnsi="Cambria"/>
          <w:sz w:val="20"/>
          <w:szCs w:val="20"/>
          <w:lang w:val="es-AR"/>
        </w:rPr>
        <w:t xml:space="preserve"> fiscales </w:t>
      </w:r>
      <w:r w:rsidR="00632F50" w:rsidRPr="00D840F3">
        <w:rPr>
          <w:rFonts w:ascii="Cambria" w:hAnsi="Cambria"/>
          <w:sz w:val="20"/>
          <w:szCs w:val="20"/>
          <w:lang w:val="es-AR"/>
        </w:rPr>
        <w:t xml:space="preserve">del caso </w:t>
      </w:r>
      <w:r w:rsidR="00714E68" w:rsidRPr="00D840F3">
        <w:rPr>
          <w:rFonts w:ascii="Cambria" w:hAnsi="Cambria"/>
          <w:sz w:val="20"/>
          <w:szCs w:val="20"/>
          <w:lang w:val="es-AR"/>
        </w:rPr>
        <w:t xml:space="preserve">recusaron a la jueza </w:t>
      </w:r>
      <w:r>
        <w:rPr>
          <w:rFonts w:ascii="Cambria" w:hAnsi="Cambria"/>
          <w:sz w:val="20"/>
          <w:szCs w:val="20"/>
          <w:lang w:val="es-AR"/>
        </w:rPr>
        <w:t xml:space="preserve">que se encontraba </w:t>
      </w:r>
      <w:r w:rsidR="00714E68" w:rsidRPr="00D840F3">
        <w:rPr>
          <w:rFonts w:ascii="Cambria" w:hAnsi="Cambria"/>
          <w:sz w:val="20"/>
          <w:szCs w:val="20"/>
          <w:lang w:val="es-AR"/>
        </w:rPr>
        <w:t>a cargo de</w:t>
      </w:r>
      <w:r>
        <w:rPr>
          <w:rFonts w:ascii="Cambria" w:hAnsi="Cambria"/>
          <w:sz w:val="20"/>
          <w:szCs w:val="20"/>
          <w:lang w:val="es-AR"/>
        </w:rPr>
        <w:t xml:space="preserve"> la causa</w:t>
      </w:r>
      <w:r w:rsidR="00714E68" w:rsidRPr="00D840F3">
        <w:rPr>
          <w:rFonts w:ascii="Cambria" w:hAnsi="Cambria"/>
          <w:sz w:val="20"/>
          <w:szCs w:val="20"/>
          <w:lang w:val="es-AR"/>
        </w:rPr>
        <w:t>, y se asign</w:t>
      </w:r>
      <w:r w:rsidR="00EA4D57" w:rsidRPr="00D840F3">
        <w:rPr>
          <w:rFonts w:ascii="Cambria" w:hAnsi="Cambria"/>
          <w:sz w:val="20"/>
          <w:szCs w:val="20"/>
          <w:lang w:val="es-AR"/>
        </w:rPr>
        <w:t>ó</w:t>
      </w:r>
      <w:r w:rsidR="00714E68" w:rsidRPr="00D840F3">
        <w:rPr>
          <w:rFonts w:ascii="Cambria" w:hAnsi="Cambria"/>
          <w:sz w:val="20"/>
          <w:szCs w:val="20"/>
          <w:lang w:val="es-AR"/>
        </w:rPr>
        <w:t xml:space="preserve"> el conocimiento de </w:t>
      </w:r>
      <w:proofErr w:type="gramStart"/>
      <w:r w:rsidR="00714E68" w:rsidRPr="00D840F3">
        <w:rPr>
          <w:rFonts w:ascii="Cambria" w:hAnsi="Cambria"/>
          <w:sz w:val="20"/>
          <w:szCs w:val="20"/>
          <w:lang w:val="es-AR"/>
        </w:rPr>
        <w:t xml:space="preserve">la </w:t>
      </w:r>
      <w:r>
        <w:rPr>
          <w:rFonts w:ascii="Cambria" w:hAnsi="Cambria"/>
          <w:sz w:val="20"/>
          <w:szCs w:val="20"/>
          <w:lang w:val="es-AR"/>
        </w:rPr>
        <w:t>misma</w:t>
      </w:r>
      <w:proofErr w:type="gramEnd"/>
      <w:r w:rsidRPr="00D840F3">
        <w:rPr>
          <w:rFonts w:ascii="Cambria" w:hAnsi="Cambria"/>
          <w:sz w:val="20"/>
          <w:szCs w:val="20"/>
          <w:lang w:val="es-AR"/>
        </w:rPr>
        <w:t xml:space="preserve"> </w:t>
      </w:r>
      <w:r w:rsidR="00714E68" w:rsidRPr="00D840F3">
        <w:rPr>
          <w:rFonts w:ascii="Cambria" w:hAnsi="Cambria"/>
          <w:sz w:val="20"/>
          <w:szCs w:val="20"/>
          <w:lang w:val="es-AR"/>
        </w:rPr>
        <w:t xml:space="preserve">al Juez Sexto de Primera Instancia en Funciones de Control. </w:t>
      </w:r>
      <w:r w:rsidR="00EA4D57" w:rsidRPr="00D840F3">
        <w:rPr>
          <w:rFonts w:ascii="Cambria" w:hAnsi="Cambria"/>
          <w:sz w:val="20"/>
          <w:szCs w:val="20"/>
          <w:lang w:val="es-AR"/>
        </w:rPr>
        <w:t xml:space="preserve">La parte peticionaria manifiesta que se trató de una distribución ilegal, ya que no se encontraba presente el tercer tribunal al cual se le otorga competencia en materia de terrorismo. </w:t>
      </w:r>
      <w:r w:rsidR="00714E68" w:rsidRPr="00D840F3">
        <w:rPr>
          <w:rFonts w:ascii="Cambria" w:hAnsi="Cambria"/>
          <w:sz w:val="20"/>
          <w:szCs w:val="20"/>
          <w:lang w:val="es-AR"/>
        </w:rPr>
        <w:t>E</w:t>
      </w:r>
      <w:r w:rsidR="00EA4D57" w:rsidRPr="00D840F3">
        <w:rPr>
          <w:rFonts w:ascii="Cambria" w:hAnsi="Cambria"/>
          <w:sz w:val="20"/>
          <w:szCs w:val="20"/>
          <w:lang w:val="es-AR"/>
        </w:rPr>
        <w:t>l 16 de noviembre de 2005, e</w:t>
      </w:r>
      <w:r w:rsidR="00714E68" w:rsidRPr="00D840F3">
        <w:rPr>
          <w:rFonts w:ascii="Cambria" w:hAnsi="Cambria"/>
          <w:sz w:val="20"/>
          <w:szCs w:val="20"/>
          <w:lang w:val="es-AR"/>
        </w:rPr>
        <w:t xml:space="preserve">n la audiencia de presentación, </w:t>
      </w:r>
      <w:r w:rsidR="00632F50" w:rsidRPr="00FD6475">
        <w:rPr>
          <w:rFonts w:ascii="Cambria" w:hAnsi="Cambria"/>
          <w:sz w:val="20"/>
          <w:szCs w:val="20"/>
          <w:lang w:val="es-AR"/>
        </w:rPr>
        <w:t xml:space="preserve">el Juez </w:t>
      </w:r>
      <w:r w:rsidRPr="006F578E">
        <w:rPr>
          <w:rFonts w:ascii="Cambria" w:hAnsi="Cambria"/>
          <w:sz w:val="20"/>
          <w:szCs w:val="20"/>
          <w:lang w:val="es-AR"/>
        </w:rPr>
        <w:t>rec</w:t>
      </w:r>
      <w:r w:rsidRPr="00D840F3">
        <w:rPr>
          <w:rFonts w:ascii="Cambria" w:hAnsi="Cambria"/>
          <w:sz w:val="20"/>
          <w:szCs w:val="20"/>
          <w:lang w:val="es-AR"/>
        </w:rPr>
        <w:t xml:space="preserve">ientemente designado </w:t>
      </w:r>
      <w:r w:rsidR="00714E68" w:rsidRPr="00D840F3">
        <w:rPr>
          <w:rFonts w:ascii="Cambria" w:hAnsi="Cambria"/>
          <w:sz w:val="20"/>
          <w:szCs w:val="20"/>
          <w:lang w:val="es-AR"/>
        </w:rPr>
        <w:t>decidió mantener la privación de libertad del señor Mezerhane, incluso a falta de elem</w:t>
      </w:r>
      <w:r w:rsidR="00632F50" w:rsidRPr="00D840F3">
        <w:rPr>
          <w:rFonts w:ascii="Cambria" w:hAnsi="Cambria"/>
          <w:sz w:val="20"/>
          <w:szCs w:val="20"/>
          <w:lang w:val="es-AR"/>
        </w:rPr>
        <w:t>en</w:t>
      </w:r>
      <w:r w:rsidR="00714E68" w:rsidRPr="00D840F3">
        <w:rPr>
          <w:rFonts w:ascii="Cambria" w:hAnsi="Cambria"/>
          <w:sz w:val="20"/>
          <w:szCs w:val="20"/>
          <w:lang w:val="es-AR"/>
        </w:rPr>
        <w:t>tos de convicción respecto de su presunta participación intelectual en el crimen.</w:t>
      </w:r>
      <w:r w:rsidR="00FD3F91" w:rsidRPr="00D840F3">
        <w:rPr>
          <w:rFonts w:ascii="Cambria" w:hAnsi="Cambria"/>
          <w:sz w:val="20"/>
          <w:szCs w:val="20"/>
          <w:lang w:val="es-AR"/>
        </w:rPr>
        <w:t xml:space="preserve"> </w:t>
      </w:r>
    </w:p>
    <w:p w14:paraId="28EC0965" w14:textId="24798218" w:rsidR="00714E68" w:rsidRDefault="00714E68" w:rsidP="00D840F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AR"/>
        </w:rPr>
      </w:pPr>
      <w:r w:rsidRPr="00D840F3">
        <w:rPr>
          <w:rFonts w:asciiTheme="majorHAnsi" w:hAnsiTheme="majorHAnsi"/>
          <w:sz w:val="20"/>
          <w:szCs w:val="20"/>
          <w:lang w:val="es-AR"/>
        </w:rPr>
        <w:t xml:space="preserve">De acuerdo con la parte peticionaria, la solicitud de privación judicial preventiva de la libertad del señor Mezerhane por parte del Ministerio Público se basó únicamente en elementos que acreditan la muerte del fiscal, en un cruce de llamadas entre dos ciudadanos y en la declaración de un testigo, promovida por el Ministerio Público como prueba anticipada. </w:t>
      </w:r>
      <w:r w:rsidR="00A32521" w:rsidRPr="00D840F3">
        <w:rPr>
          <w:rFonts w:asciiTheme="majorHAnsi" w:hAnsiTheme="majorHAnsi"/>
          <w:sz w:val="20"/>
          <w:szCs w:val="20"/>
          <w:lang w:val="es-AR"/>
        </w:rPr>
        <w:t xml:space="preserve">El Fiscal General de la República afirmó que un testigo colombiano se habría dirigido directamente a él, y le habría permitido dar con los autores intelectuales. </w:t>
      </w:r>
      <w:r w:rsidR="00E077F1" w:rsidRPr="00D840F3">
        <w:rPr>
          <w:rFonts w:asciiTheme="majorHAnsi" w:hAnsiTheme="majorHAnsi"/>
          <w:sz w:val="20"/>
          <w:szCs w:val="20"/>
          <w:lang w:val="es-AR"/>
        </w:rPr>
        <w:t>Sin embargo, la parte peticionaria afirma que f</w:t>
      </w:r>
      <w:r w:rsidRPr="00D840F3">
        <w:rPr>
          <w:rFonts w:asciiTheme="majorHAnsi" w:hAnsiTheme="majorHAnsi"/>
          <w:sz w:val="20"/>
          <w:szCs w:val="20"/>
          <w:lang w:val="es-AR"/>
        </w:rPr>
        <w:t xml:space="preserve">ue demostrado que el supuesto testigo nunca compareció a declarar al Tribunal, y que se trató de un “montaje fraudulento deliberado procurado por el mismo Ministerio Público Venezolano” y que junto al Juez habían elaborado varias actas diferentes sobre el mismo acto. </w:t>
      </w:r>
      <w:r w:rsidR="009E162E" w:rsidRPr="00D840F3">
        <w:rPr>
          <w:rFonts w:asciiTheme="majorHAnsi" w:hAnsiTheme="majorHAnsi"/>
          <w:sz w:val="20"/>
          <w:szCs w:val="20"/>
          <w:lang w:val="es-AR"/>
        </w:rPr>
        <w:t>Al ser advertido sobre la insuficiencia del testigo</w:t>
      </w:r>
      <w:r w:rsidR="00E077F1" w:rsidRPr="00D840F3">
        <w:rPr>
          <w:rFonts w:asciiTheme="majorHAnsi" w:hAnsiTheme="majorHAnsi"/>
          <w:sz w:val="20"/>
          <w:szCs w:val="20"/>
          <w:lang w:val="es-AR"/>
        </w:rPr>
        <w:t xml:space="preserve"> por otros fiscales</w:t>
      </w:r>
      <w:r w:rsidR="009E162E" w:rsidRPr="00D840F3">
        <w:rPr>
          <w:rFonts w:asciiTheme="majorHAnsi" w:hAnsiTheme="majorHAnsi"/>
          <w:sz w:val="20"/>
          <w:szCs w:val="20"/>
          <w:lang w:val="es-AR"/>
        </w:rPr>
        <w:t>, el Fiscal General habría afirmado: “Ustedes despreocúpense, este caso está entubado hasta el Tribunal Supremo de Justicia”</w:t>
      </w:r>
      <w:r w:rsidR="00EC7BAC" w:rsidRPr="00D840F3">
        <w:rPr>
          <w:rFonts w:asciiTheme="majorHAnsi" w:hAnsiTheme="majorHAnsi"/>
          <w:sz w:val="20"/>
          <w:szCs w:val="20"/>
          <w:lang w:val="es-AR"/>
        </w:rPr>
        <w:t>.</w:t>
      </w:r>
      <w:r w:rsidRPr="00D840F3">
        <w:rPr>
          <w:rFonts w:asciiTheme="majorHAnsi" w:hAnsiTheme="majorHAnsi"/>
          <w:sz w:val="20"/>
          <w:szCs w:val="20"/>
          <w:lang w:val="es-AR"/>
        </w:rPr>
        <w:t xml:space="preserve"> Por tanto, la parte peticionaria sostiene que el auto de privación de libertad incumplió con el requisito del númeral 2 del artículo 250 del Código Orgánico Procesal Penal, que exige del Ministerio Público acreditar fundados elem</w:t>
      </w:r>
      <w:r w:rsidR="00FD5B3B" w:rsidRPr="00D840F3">
        <w:rPr>
          <w:rFonts w:asciiTheme="majorHAnsi" w:hAnsiTheme="majorHAnsi"/>
          <w:sz w:val="20"/>
          <w:szCs w:val="20"/>
          <w:lang w:val="es-AR"/>
        </w:rPr>
        <w:t>e</w:t>
      </w:r>
      <w:r w:rsidRPr="00D840F3">
        <w:rPr>
          <w:rFonts w:asciiTheme="majorHAnsi" w:hAnsiTheme="majorHAnsi"/>
          <w:sz w:val="20"/>
          <w:szCs w:val="20"/>
          <w:lang w:val="es-AR"/>
        </w:rPr>
        <w:t>ntos de convicción.</w:t>
      </w:r>
      <w:r w:rsidR="007029FD" w:rsidRPr="00D840F3">
        <w:rPr>
          <w:rFonts w:asciiTheme="majorHAnsi" w:hAnsiTheme="majorHAnsi"/>
          <w:sz w:val="20"/>
          <w:szCs w:val="20"/>
          <w:lang w:val="es-AR"/>
        </w:rPr>
        <w:t xml:space="preserve"> </w:t>
      </w:r>
    </w:p>
    <w:p w14:paraId="6480891D" w14:textId="77777777" w:rsidR="00CD2D5C" w:rsidRDefault="00CD2D5C" w:rsidP="00CD2D5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sz w:val="20"/>
          <w:szCs w:val="20"/>
          <w:lang w:val="es-AR"/>
        </w:rPr>
      </w:pPr>
    </w:p>
    <w:p w14:paraId="6D753816" w14:textId="2CCBFEAB" w:rsidR="00E077F1" w:rsidRPr="00D840F3" w:rsidRDefault="00D840F3" w:rsidP="00D840F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AR"/>
        </w:rPr>
      </w:pPr>
      <w:r w:rsidRPr="00FD6475">
        <w:rPr>
          <w:rFonts w:ascii="Cambria" w:hAnsi="Cambria"/>
          <w:bCs/>
          <w:sz w:val="20"/>
          <w:szCs w:val="20"/>
          <w:lang w:val="es-ES_tradnl"/>
        </w:rPr>
        <w:lastRenderedPageBreak/>
        <w:t xml:space="preserve">En el marco de este proceso, la parte peticionaria </w:t>
      </w:r>
      <w:r w:rsidRPr="00FD6475">
        <w:rPr>
          <w:rFonts w:ascii="Cambria" w:hAnsi="Cambria"/>
          <w:sz w:val="20"/>
          <w:szCs w:val="20"/>
          <w:lang w:val="es-ES"/>
        </w:rPr>
        <w:t>alega</w:t>
      </w:r>
      <w:r w:rsidRPr="00FD6475">
        <w:rPr>
          <w:rFonts w:ascii="Cambria" w:hAnsi="Cambria"/>
          <w:sz w:val="20"/>
          <w:szCs w:val="20"/>
          <w:lang w:val="es-AR"/>
        </w:rPr>
        <w:t xml:space="preserve"> que</w:t>
      </w:r>
      <w:r w:rsidRPr="006F578E">
        <w:rPr>
          <w:rFonts w:ascii="Cambria" w:hAnsi="Cambria"/>
          <w:sz w:val="20"/>
          <w:szCs w:val="20"/>
          <w:lang w:val="es-AR"/>
        </w:rPr>
        <w:t xml:space="preserve"> </w:t>
      </w:r>
      <w:r w:rsidRPr="00FD6475">
        <w:rPr>
          <w:rFonts w:ascii="Cambria" w:hAnsi="Cambria"/>
          <w:sz w:val="20"/>
          <w:szCs w:val="20"/>
          <w:lang w:val="es-AR"/>
        </w:rPr>
        <w:t>la presunta víctima fue privada ilegítimamente de su libertad en 2005 en la sede de la antigua Dirección de los Servicios de Inteligencia y Prevención (DISIP), hoy conocida como Servicio Bolivariano de Inteligencia (SEBIN), durante 45 días. Indica que su defensa interpuso recurso de apelación</w:t>
      </w:r>
      <w:r w:rsidR="00FD6475" w:rsidRPr="00FD6475">
        <w:rPr>
          <w:rFonts w:ascii="Cambria" w:hAnsi="Cambria"/>
          <w:sz w:val="20"/>
          <w:szCs w:val="20"/>
          <w:lang w:val="es-AR"/>
        </w:rPr>
        <w:t xml:space="preserve"> contra la decisión que decretó su privación de libertad</w:t>
      </w:r>
      <w:r w:rsidRPr="00FD6475">
        <w:rPr>
          <w:rFonts w:ascii="Cambria" w:hAnsi="Cambria"/>
          <w:sz w:val="20"/>
          <w:szCs w:val="20"/>
          <w:lang w:val="es-AR"/>
        </w:rPr>
        <w:t xml:space="preserve"> y que el 8 de diciembre de 2005 la Sala Séptima de la Corte de Apelaciones del Circuito Judicial Penal del Área Metropolitana de Caracas ratificó la medida de privación judicial preventiva de libertad decretada en su contra, por la presunta comisión del delito de homicidio calificado realizado con alevosía y mediante incendio a título de determinador (autor intelectual). Ante esta decisión, el 16 de diciembre de 2005 interpusieron una acción de amparo constitucional ante la Sala Constitucional del Tribunal Supremo de Justicia por presuntas violaciones a sus derechos a la libertad personal, a la defensa y a ser juzgado por un juez natural. </w:t>
      </w:r>
    </w:p>
    <w:p w14:paraId="036BAAE2" w14:textId="28F5B65F" w:rsidR="00E077F1" w:rsidRPr="00073FBF" w:rsidRDefault="00E077F1" w:rsidP="00E077F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Pr>
          <w:rFonts w:asciiTheme="majorHAnsi" w:hAnsiTheme="majorHAnsi"/>
          <w:sz w:val="20"/>
          <w:szCs w:val="20"/>
          <w:lang w:val="es-AR"/>
        </w:rPr>
        <w:t>Asimismo, r</w:t>
      </w:r>
      <w:r w:rsidRPr="00E077F1">
        <w:rPr>
          <w:rFonts w:asciiTheme="majorHAnsi" w:hAnsiTheme="majorHAnsi"/>
          <w:sz w:val="20"/>
          <w:szCs w:val="20"/>
          <w:lang w:val="es-AR"/>
        </w:rPr>
        <w:t xml:space="preserve">especto del </w:t>
      </w:r>
      <w:r w:rsidR="00D840F3">
        <w:rPr>
          <w:rFonts w:asciiTheme="majorHAnsi" w:hAnsiTheme="majorHAnsi"/>
          <w:sz w:val="20"/>
          <w:szCs w:val="20"/>
          <w:lang w:val="es-AR"/>
        </w:rPr>
        <w:t xml:space="preserve">ya mencionado </w:t>
      </w:r>
      <w:r w:rsidRPr="00E077F1">
        <w:rPr>
          <w:rFonts w:asciiTheme="majorHAnsi" w:hAnsiTheme="majorHAnsi"/>
          <w:sz w:val="20"/>
          <w:szCs w:val="20"/>
          <w:lang w:val="es-AR"/>
        </w:rPr>
        <w:t>testigo presentado en la causa, la parte peticionaria indica que presentó ante la Sala Constitucional del Tribunal Supremo los despachos fiscales y el tribunal de la causa certificaciones emitidas por el Juzgado Penal de Santa Marta, Colombia, que evidencian que el supuesto testigo del Ministerio Público estuvo preso desde el 22 de agosto hasta el 18 de diciembre de 2002, por lo que no podría haber presenciado la supuesta reunión llevada a cabo en la selva del Darién en Panama entre el 3 y 6 de septiembre de 2003, donde se habría fraguado el crimen del fiscal, tal como señala el testigo. Finalmente</w:t>
      </w:r>
      <w:r w:rsidR="00D840F3">
        <w:rPr>
          <w:rFonts w:asciiTheme="majorHAnsi" w:hAnsiTheme="majorHAnsi"/>
          <w:sz w:val="20"/>
          <w:szCs w:val="20"/>
          <w:lang w:val="es-AR"/>
        </w:rPr>
        <w:t>,</w:t>
      </w:r>
      <w:r w:rsidRPr="00E077F1">
        <w:rPr>
          <w:rFonts w:asciiTheme="majorHAnsi" w:hAnsiTheme="majorHAnsi"/>
          <w:sz w:val="20"/>
          <w:szCs w:val="20"/>
          <w:lang w:val="es-AR"/>
        </w:rPr>
        <w:t xml:space="preserve"> en 2018, el Ministerio Público imputó el forjamiento de actas</w:t>
      </w:r>
      <w:r w:rsidR="00D840F3">
        <w:rPr>
          <w:rFonts w:asciiTheme="majorHAnsi" w:hAnsiTheme="majorHAnsi"/>
          <w:sz w:val="20"/>
          <w:szCs w:val="20"/>
          <w:lang w:val="es-AR"/>
        </w:rPr>
        <w:t xml:space="preserve"> sobre el testigo</w:t>
      </w:r>
      <w:r w:rsidRPr="00E077F1">
        <w:rPr>
          <w:rFonts w:asciiTheme="majorHAnsi" w:hAnsiTheme="majorHAnsi"/>
          <w:sz w:val="20"/>
          <w:szCs w:val="20"/>
          <w:lang w:val="es-AR"/>
        </w:rPr>
        <w:t xml:space="preserve"> al ex fiscal Gilberto Landaeta, uno de los investigadores del asesinato del fiscal Danilo Anderson. </w:t>
      </w:r>
    </w:p>
    <w:p w14:paraId="3E4887B4" w14:textId="7CF06127" w:rsidR="00340A31" w:rsidRPr="00FD6475" w:rsidRDefault="00205447" w:rsidP="00FD647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AR"/>
        </w:rPr>
        <w:t>La parte peticionaria</w:t>
      </w:r>
      <w:r>
        <w:rPr>
          <w:rFonts w:ascii="Cambria" w:hAnsi="Cambria"/>
          <w:sz w:val="20"/>
          <w:szCs w:val="20"/>
          <w:lang w:val="es-ES"/>
        </w:rPr>
        <w:t xml:space="preserve"> </w:t>
      </w:r>
      <w:r>
        <w:rPr>
          <w:rFonts w:ascii="Cambria" w:hAnsi="Cambria"/>
          <w:sz w:val="20"/>
          <w:szCs w:val="20"/>
          <w:lang w:val="es-AR"/>
        </w:rPr>
        <w:t>a</w:t>
      </w:r>
      <w:r w:rsidR="00881AC5" w:rsidRPr="00205447">
        <w:rPr>
          <w:rFonts w:ascii="Cambria" w:hAnsi="Cambria"/>
          <w:sz w:val="20"/>
          <w:szCs w:val="20"/>
          <w:lang w:val="es-AR"/>
        </w:rPr>
        <w:t xml:space="preserve">lega que </w:t>
      </w:r>
      <w:r w:rsidR="00FC24C2" w:rsidRPr="00205447">
        <w:rPr>
          <w:rFonts w:ascii="Cambria" w:hAnsi="Cambria"/>
          <w:sz w:val="20"/>
          <w:szCs w:val="20"/>
          <w:lang w:val="es-AR"/>
        </w:rPr>
        <w:t xml:space="preserve">el 20 de diciembre de 2005 </w:t>
      </w:r>
      <w:r w:rsidR="00B43C44" w:rsidRPr="00205447">
        <w:rPr>
          <w:rFonts w:ascii="Cambria" w:hAnsi="Cambria"/>
          <w:sz w:val="20"/>
          <w:szCs w:val="20"/>
          <w:lang w:val="es-AR"/>
        </w:rPr>
        <w:t xml:space="preserve">el Tribunal Sexto de Control sustituyó la medida de privación de libertad por medidas cautelares </w:t>
      </w:r>
      <w:r w:rsidR="003F01E7">
        <w:rPr>
          <w:rFonts w:ascii="Cambria" w:hAnsi="Cambria"/>
          <w:sz w:val="20"/>
          <w:szCs w:val="20"/>
          <w:lang w:val="es-AR"/>
        </w:rPr>
        <w:t xml:space="preserve">alternativas a la prisión </w:t>
      </w:r>
      <w:r w:rsidR="008760F5" w:rsidRPr="00205447">
        <w:rPr>
          <w:rFonts w:ascii="Cambria" w:hAnsi="Cambria"/>
          <w:sz w:val="20"/>
          <w:szCs w:val="20"/>
          <w:lang w:val="es-AR"/>
        </w:rPr>
        <w:t>en un número superior a los contemplados legalmente, y que inclu</w:t>
      </w:r>
      <w:r>
        <w:rPr>
          <w:rFonts w:ascii="Cambria" w:hAnsi="Cambria"/>
          <w:sz w:val="20"/>
          <w:szCs w:val="20"/>
          <w:lang w:val="es-AR"/>
        </w:rPr>
        <w:t>yó</w:t>
      </w:r>
      <w:r w:rsidR="008760F5" w:rsidRPr="00205447">
        <w:rPr>
          <w:rFonts w:ascii="Cambria" w:hAnsi="Cambria"/>
          <w:sz w:val="20"/>
          <w:szCs w:val="20"/>
          <w:lang w:val="es-AR"/>
        </w:rPr>
        <w:t xml:space="preserve">, por ejemplo, </w:t>
      </w:r>
      <w:r w:rsidR="00B43C44" w:rsidRPr="00205447">
        <w:rPr>
          <w:rFonts w:ascii="Cambria" w:hAnsi="Cambria"/>
          <w:sz w:val="20"/>
          <w:szCs w:val="20"/>
          <w:lang w:val="es-AR"/>
        </w:rPr>
        <w:t xml:space="preserve">la prohibición </w:t>
      </w:r>
      <w:r w:rsidR="008760F5" w:rsidRPr="00205447">
        <w:rPr>
          <w:rFonts w:ascii="Cambria" w:hAnsi="Cambria"/>
          <w:sz w:val="20"/>
          <w:szCs w:val="20"/>
          <w:lang w:val="es-AR"/>
        </w:rPr>
        <w:t>de salida del país</w:t>
      </w:r>
      <w:r w:rsidR="00536F58" w:rsidRPr="00205447">
        <w:rPr>
          <w:rFonts w:ascii="Cambria" w:hAnsi="Cambria"/>
          <w:sz w:val="20"/>
          <w:szCs w:val="20"/>
          <w:lang w:val="es-AR"/>
        </w:rPr>
        <w:t xml:space="preserve"> y la obligación de presentarse regularmente ante el juez</w:t>
      </w:r>
      <w:r w:rsidR="008760F5" w:rsidRPr="00205447">
        <w:rPr>
          <w:rFonts w:ascii="Cambria" w:hAnsi="Cambria"/>
          <w:sz w:val="20"/>
          <w:szCs w:val="20"/>
          <w:lang w:val="es-AR"/>
        </w:rPr>
        <w:t xml:space="preserve">. </w:t>
      </w:r>
      <w:r w:rsidRPr="00FD6475">
        <w:rPr>
          <w:rFonts w:ascii="Cambria" w:hAnsi="Cambria"/>
          <w:bCs/>
          <w:sz w:val="20"/>
          <w:szCs w:val="20"/>
          <w:lang w:val="es-ES_tradnl"/>
        </w:rPr>
        <w:t xml:space="preserve">El 23 de enero de 2006, el </w:t>
      </w:r>
      <w:r w:rsidR="00FD6475">
        <w:rPr>
          <w:rFonts w:ascii="Cambria" w:hAnsi="Cambria"/>
          <w:bCs/>
          <w:sz w:val="20"/>
          <w:szCs w:val="20"/>
          <w:lang w:val="es-ES_tradnl"/>
        </w:rPr>
        <w:t>mismo t</w:t>
      </w:r>
      <w:r w:rsidRPr="00FD6475">
        <w:rPr>
          <w:rFonts w:ascii="Cambria" w:hAnsi="Cambria"/>
          <w:sz w:val="20"/>
          <w:szCs w:val="20"/>
          <w:lang w:val="es-AR"/>
        </w:rPr>
        <w:t>ribunal prohibió a los medios de comunicación venezolanos referirse o hacer pública cualquier información relacionada con el</w:t>
      </w:r>
      <w:r w:rsidR="00D840F3" w:rsidRPr="00FD6475">
        <w:rPr>
          <w:rFonts w:ascii="Cambria" w:hAnsi="Cambria"/>
          <w:sz w:val="20"/>
          <w:szCs w:val="20"/>
          <w:lang w:val="es-AR"/>
        </w:rPr>
        <w:t xml:space="preserve"> ya mencionado</w:t>
      </w:r>
      <w:r w:rsidRPr="00FD6475">
        <w:rPr>
          <w:rFonts w:ascii="Cambria" w:hAnsi="Cambria"/>
          <w:sz w:val="20"/>
          <w:szCs w:val="20"/>
          <w:lang w:val="es-AR"/>
        </w:rPr>
        <w:t xml:space="preserve"> testigo, lo cual consideran “un grave atentado al derecho a la información en toda democracia”</w:t>
      </w:r>
      <w:r w:rsidR="0040366D" w:rsidRPr="00FD6475">
        <w:rPr>
          <w:rFonts w:ascii="Cambria" w:hAnsi="Cambria"/>
          <w:sz w:val="20"/>
          <w:szCs w:val="20"/>
          <w:lang w:val="es-ES"/>
        </w:rPr>
        <w:t xml:space="preserve">. </w:t>
      </w:r>
    </w:p>
    <w:p w14:paraId="2BC9544A" w14:textId="1B7DA5A6" w:rsidR="00C2181D" w:rsidRPr="0040366D" w:rsidRDefault="00FC24C2" w:rsidP="0040366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40366D">
        <w:rPr>
          <w:rFonts w:ascii="Cambria" w:hAnsi="Cambria"/>
          <w:sz w:val="20"/>
          <w:szCs w:val="20"/>
          <w:lang w:val="es-AR"/>
        </w:rPr>
        <w:t>Posteriormente</w:t>
      </w:r>
      <w:r w:rsidR="00536F58" w:rsidRPr="0040366D">
        <w:rPr>
          <w:rFonts w:ascii="Cambria" w:hAnsi="Cambria"/>
          <w:sz w:val="20"/>
          <w:szCs w:val="20"/>
          <w:lang w:val="es-AR"/>
        </w:rPr>
        <w:t xml:space="preserve">, </w:t>
      </w:r>
      <w:r w:rsidR="00FD3F91" w:rsidRPr="0040366D">
        <w:rPr>
          <w:rFonts w:ascii="Cambria" w:hAnsi="Cambria"/>
          <w:sz w:val="20"/>
          <w:szCs w:val="20"/>
          <w:lang w:val="es-AR"/>
        </w:rPr>
        <w:t>el 10 de</w:t>
      </w:r>
      <w:r w:rsidR="00536F58" w:rsidRPr="0040366D">
        <w:rPr>
          <w:rFonts w:ascii="Cambria" w:hAnsi="Cambria"/>
          <w:sz w:val="20"/>
          <w:szCs w:val="20"/>
          <w:lang w:val="es-AR"/>
        </w:rPr>
        <w:t xml:space="preserve"> marzo de 2006</w:t>
      </w:r>
      <w:r w:rsidR="00991E54" w:rsidRPr="0040366D">
        <w:rPr>
          <w:rFonts w:ascii="Cambria" w:hAnsi="Cambria"/>
          <w:sz w:val="20"/>
          <w:szCs w:val="20"/>
          <w:lang w:val="es-AR"/>
        </w:rPr>
        <w:t>,</w:t>
      </w:r>
      <w:r w:rsidR="00536F58" w:rsidRPr="0040366D">
        <w:rPr>
          <w:rFonts w:ascii="Cambria" w:hAnsi="Cambria"/>
          <w:sz w:val="20"/>
          <w:szCs w:val="20"/>
          <w:lang w:val="es-AR"/>
        </w:rPr>
        <w:t xml:space="preserve"> la defensa de la presunta víctima procedió a recusar al juez a cargo del Tribunal Sexto por considerar que existirían razones graves que comprometerían su imparcialidad y </w:t>
      </w:r>
      <w:r w:rsidR="00FD3F91" w:rsidRPr="0040366D">
        <w:rPr>
          <w:rFonts w:ascii="Cambria" w:hAnsi="Cambria"/>
          <w:sz w:val="20"/>
          <w:szCs w:val="20"/>
          <w:lang w:val="es-AR"/>
        </w:rPr>
        <w:t>por haber mediado</w:t>
      </w:r>
      <w:r w:rsidR="00536F58" w:rsidRPr="0040366D">
        <w:rPr>
          <w:rFonts w:ascii="Cambria" w:hAnsi="Cambria"/>
          <w:sz w:val="20"/>
          <w:szCs w:val="20"/>
          <w:lang w:val="es-AR"/>
        </w:rPr>
        <w:t xml:space="preserve"> sin justificación alguna una ampliación de las medidas cautelares sustitutivas decretadas en diciembre de 2005</w:t>
      </w:r>
      <w:r w:rsidR="00EC7BAC" w:rsidRPr="0040366D">
        <w:rPr>
          <w:rFonts w:ascii="Cambria" w:hAnsi="Cambria"/>
          <w:sz w:val="20"/>
          <w:szCs w:val="20"/>
          <w:lang w:val="es-AR"/>
        </w:rPr>
        <w:t xml:space="preserve">, que incluían una </w:t>
      </w:r>
      <w:r w:rsidR="00FD3F91" w:rsidRPr="0040366D">
        <w:rPr>
          <w:rFonts w:ascii="Cambria" w:hAnsi="Cambria"/>
          <w:sz w:val="20"/>
          <w:szCs w:val="20"/>
          <w:lang w:val="es-AR"/>
        </w:rPr>
        <w:t>prohibición de moverse fuera de los límites jurisdiccionales del Tribuna</w:t>
      </w:r>
      <w:r w:rsidR="00EC7BAC" w:rsidRPr="0040366D">
        <w:rPr>
          <w:rFonts w:ascii="Cambria" w:hAnsi="Cambria"/>
          <w:sz w:val="20"/>
          <w:szCs w:val="20"/>
          <w:lang w:val="es-AR"/>
        </w:rPr>
        <w:t>l</w:t>
      </w:r>
      <w:r w:rsidR="00536F58" w:rsidRPr="0040366D">
        <w:rPr>
          <w:rFonts w:ascii="Cambria" w:hAnsi="Cambria"/>
          <w:sz w:val="20"/>
          <w:szCs w:val="20"/>
          <w:lang w:val="es-AR"/>
        </w:rPr>
        <w:t xml:space="preserve">. </w:t>
      </w:r>
      <w:r w:rsidR="009E4AF4" w:rsidRPr="0040366D">
        <w:rPr>
          <w:rFonts w:ascii="Cambria" w:hAnsi="Cambria"/>
          <w:sz w:val="20"/>
          <w:szCs w:val="20"/>
          <w:lang w:val="es-AR"/>
        </w:rPr>
        <w:t xml:space="preserve">Afirma que esta recusación, así como sucedería con todos los recursos y acciones ejercidas por la defensa de la presunta víctima, fue declarada sin lugar. </w:t>
      </w:r>
    </w:p>
    <w:p w14:paraId="12C14FD4" w14:textId="73279387" w:rsidR="003007A2" w:rsidRPr="00C2181D" w:rsidRDefault="00773EAD" w:rsidP="003007A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AR"/>
        </w:rPr>
        <w:t>De acuerdo con la parte peticionaria, habiéndose cumplido seis meses de la individualización de la presunta víctima como supuesto autor intelectual del asesinato del Fiscal, su defensa</w:t>
      </w:r>
      <w:r w:rsidR="00FD3F91">
        <w:rPr>
          <w:rFonts w:ascii="Cambria" w:hAnsi="Cambria"/>
          <w:sz w:val="20"/>
          <w:szCs w:val="20"/>
          <w:lang w:val="es-AR"/>
        </w:rPr>
        <w:t xml:space="preserve"> solicitó</w:t>
      </w:r>
      <w:r>
        <w:rPr>
          <w:rFonts w:ascii="Cambria" w:hAnsi="Cambria"/>
          <w:sz w:val="20"/>
          <w:szCs w:val="20"/>
          <w:lang w:val="es-AR"/>
        </w:rPr>
        <w:t xml:space="preserve"> </w:t>
      </w:r>
      <w:r w:rsidR="00FC24C2">
        <w:rPr>
          <w:rFonts w:ascii="Cambria" w:hAnsi="Cambria"/>
          <w:sz w:val="20"/>
          <w:szCs w:val="20"/>
          <w:lang w:val="es-AR"/>
        </w:rPr>
        <w:t xml:space="preserve">el 23 de mayo de 2006 </w:t>
      </w:r>
      <w:r>
        <w:rPr>
          <w:rFonts w:ascii="Cambria" w:hAnsi="Cambria"/>
          <w:sz w:val="20"/>
          <w:szCs w:val="20"/>
          <w:lang w:val="es-AR"/>
        </w:rPr>
        <w:t xml:space="preserve">al Juez Sexto de Control que fijara un plazo prudencial para que el Ministerio Público </w:t>
      </w:r>
      <w:r w:rsidR="004A1261">
        <w:rPr>
          <w:rFonts w:ascii="Cambria" w:hAnsi="Cambria"/>
          <w:sz w:val="20"/>
          <w:szCs w:val="20"/>
          <w:lang w:val="es-AR"/>
        </w:rPr>
        <w:t>concluyera</w:t>
      </w:r>
      <w:r>
        <w:rPr>
          <w:rFonts w:ascii="Cambria" w:hAnsi="Cambria"/>
          <w:sz w:val="20"/>
          <w:szCs w:val="20"/>
          <w:lang w:val="es-AR"/>
        </w:rPr>
        <w:t xml:space="preserve"> la investigación en </w:t>
      </w:r>
      <w:r w:rsidR="00FC24C2">
        <w:rPr>
          <w:rFonts w:ascii="Cambria" w:hAnsi="Cambria"/>
          <w:sz w:val="20"/>
          <w:szCs w:val="20"/>
          <w:lang w:val="es-AR"/>
        </w:rPr>
        <w:t>su contra</w:t>
      </w:r>
      <w:r>
        <w:rPr>
          <w:rFonts w:ascii="Cambria" w:hAnsi="Cambria"/>
          <w:bCs/>
          <w:sz w:val="20"/>
          <w:szCs w:val="20"/>
          <w:lang w:val="es-ES_tradnl"/>
        </w:rPr>
        <w:t xml:space="preserve">. </w:t>
      </w:r>
      <w:r w:rsidR="00FC24C2">
        <w:rPr>
          <w:rFonts w:ascii="Cambria" w:hAnsi="Cambria"/>
          <w:bCs/>
          <w:sz w:val="20"/>
          <w:szCs w:val="20"/>
          <w:lang w:val="es-ES_tradnl"/>
        </w:rPr>
        <w:t>I</w:t>
      </w:r>
      <w:r>
        <w:rPr>
          <w:rFonts w:ascii="Cambria" w:hAnsi="Cambria"/>
          <w:bCs/>
          <w:sz w:val="20"/>
          <w:szCs w:val="20"/>
          <w:lang w:val="es-ES_tradnl"/>
        </w:rPr>
        <w:t>ndica que el Tribunal fijo un plazo de sesenta</w:t>
      </w:r>
      <w:r w:rsidR="004A1261">
        <w:rPr>
          <w:rFonts w:ascii="Cambria" w:hAnsi="Cambria"/>
          <w:bCs/>
          <w:sz w:val="20"/>
          <w:szCs w:val="20"/>
          <w:lang w:val="es-ES_tradnl"/>
        </w:rPr>
        <w:t xml:space="preserve"> </w:t>
      </w:r>
      <w:r>
        <w:rPr>
          <w:rFonts w:ascii="Cambria" w:hAnsi="Cambria"/>
          <w:bCs/>
          <w:sz w:val="20"/>
          <w:szCs w:val="20"/>
          <w:lang w:val="es-ES_tradnl"/>
        </w:rPr>
        <w:t>días</w:t>
      </w:r>
      <w:r w:rsidR="004A1261">
        <w:rPr>
          <w:rFonts w:ascii="Cambria" w:hAnsi="Cambria"/>
          <w:bCs/>
          <w:sz w:val="20"/>
          <w:szCs w:val="20"/>
          <w:lang w:val="es-ES_tradnl"/>
        </w:rPr>
        <w:t xml:space="preserve">, pero vencido este plazo el Ministerio Público solicitó una prórroga, la cual le fue otorgada por sesenta días. Según la parte peticionaria, pasado este plazo, en conformidad con el artículo 314 del Código Orgánico Procesal </w:t>
      </w:r>
      <w:r w:rsidR="00021189">
        <w:rPr>
          <w:rFonts w:ascii="Cambria" w:hAnsi="Cambria"/>
          <w:bCs/>
          <w:sz w:val="20"/>
          <w:szCs w:val="20"/>
          <w:lang w:val="es-ES_tradnl"/>
        </w:rPr>
        <w:t>Penal, el Ministerio Público tenía</w:t>
      </w:r>
      <w:r w:rsidR="004A1261">
        <w:rPr>
          <w:rFonts w:ascii="Cambria" w:hAnsi="Cambria"/>
          <w:bCs/>
          <w:sz w:val="20"/>
          <w:szCs w:val="20"/>
          <w:lang w:val="es-ES_tradnl"/>
        </w:rPr>
        <w:t xml:space="preserve"> que presentar la acusación o solicitar el sobreseimiento</w:t>
      </w:r>
      <w:r w:rsidR="00FC24C2">
        <w:rPr>
          <w:rFonts w:ascii="Cambria" w:hAnsi="Cambria"/>
          <w:bCs/>
          <w:sz w:val="20"/>
          <w:szCs w:val="20"/>
          <w:lang w:val="es-ES_tradnl"/>
        </w:rPr>
        <w:t>. E</w:t>
      </w:r>
      <w:r w:rsidR="004A1261">
        <w:rPr>
          <w:rFonts w:ascii="Cambria" w:hAnsi="Cambria"/>
          <w:bCs/>
          <w:sz w:val="20"/>
          <w:szCs w:val="20"/>
          <w:lang w:val="es-ES_tradnl"/>
        </w:rPr>
        <w:t xml:space="preserve">n caso </w:t>
      </w:r>
      <w:r w:rsidR="00073FBF">
        <w:rPr>
          <w:rFonts w:ascii="Cambria" w:hAnsi="Cambria"/>
          <w:bCs/>
          <w:sz w:val="20"/>
          <w:szCs w:val="20"/>
          <w:lang w:val="es-ES_tradnl"/>
        </w:rPr>
        <w:t xml:space="preserve">de </w:t>
      </w:r>
      <w:r w:rsidR="004A1261">
        <w:rPr>
          <w:rFonts w:ascii="Cambria" w:hAnsi="Cambria"/>
          <w:bCs/>
          <w:sz w:val="20"/>
          <w:szCs w:val="20"/>
          <w:lang w:val="es-ES_tradnl"/>
        </w:rPr>
        <w:t>que no lo hiciera, informa que</w:t>
      </w:r>
      <w:r w:rsidR="00073FBF">
        <w:rPr>
          <w:rFonts w:ascii="Cambria" w:hAnsi="Cambria"/>
          <w:bCs/>
          <w:sz w:val="20"/>
          <w:szCs w:val="20"/>
          <w:lang w:val="es-ES_tradnl"/>
        </w:rPr>
        <w:t xml:space="preserve">, </w:t>
      </w:r>
      <w:r w:rsidR="004A1261">
        <w:rPr>
          <w:rFonts w:ascii="Cambria" w:hAnsi="Cambria"/>
          <w:bCs/>
          <w:sz w:val="20"/>
          <w:szCs w:val="20"/>
          <w:lang w:val="es-ES_tradnl"/>
        </w:rPr>
        <w:t xml:space="preserve">según dicha normativa, el juez </w:t>
      </w:r>
      <w:r w:rsidR="00340A31">
        <w:rPr>
          <w:rFonts w:ascii="Cambria" w:hAnsi="Cambria"/>
          <w:bCs/>
          <w:sz w:val="20"/>
          <w:szCs w:val="20"/>
          <w:lang w:val="es-ES_tradnl"/>
        </w:rPr>
        <w:t>debía decretar</w:t>
      </w:r>
      <w:r w:rsidR="004A1261">
        <w:rPr>
          <w:rFonts w:ascii="Cambria" w:hAnsi="Cambria"/>
          <w:bCs/>
          <w:sz w:val="20"/>
          <w:szCs w:val="20"/>
          <w:lang w:val="es-ES_tradnl"/>
        </w:rPr>
        <w:t xml:space="preserve"> el archivo de las actuaciones. </w:t>
      </w:r>
      <w:r w:rsidR="003007A2">
        <w:rPr>
          <w:rFonts w:ascii="Cambria" w:hAnsi="Cambria"/>
          <w:sz w:val="20"/>
          <w:szCs w:val="20"/>
          <w:lang w:val="es-ES"/>
        </w:rPr>
        <w:t xml:space="preserve"> </w:t>
      </w:r>
      <w:r w:rsidR="00991E54" w:rsidRPr="00073FBF">
        <w:rPr>
          <w:rFonts w:ascii="Cambria" w:hAnsi="Cambria"/>
          <w:bCs/>
          <w:sz w:val="20"/>
          <w:szCs w:val="20"/>
          <w:lang w:val="es-ES_tradnl"/>
        </w:rPr>
        <w:t xml:space="preserve">Además, el 26 de septiembre de 2006 </w:t>
      </w:r>
      <w:r w:rsidR="003007A2" w:rsidRPr="00073FBF">
        <w:rPr>
          <w:rFonts w:ascii="Cambria" w:hAnsi="Cambria"/>
          <w:bCs/>
          <w:sz w:val="20"/>
          <w:szCs w:val="20"/>
          <w:lang w:val="es-ES_tradnl"/>
        </w:rPr>
        <w:t xml:space="preserve">con ocasión de interponerse un tercer impulso a la </w:t>
      </w:r>
      <w:r w:rsidR="00991E54" w:rsidRPr="00073FBF">
        <w:rPr>
          <w:rFonts w:ascii="Cambria" w:hAnsi="Cambria"/>
          <w:bCs/>
          <w:sz w:val="20"/>
          <w:szCs w:val="20"/>
          <w:lang w:val="es-ES_tradnl"/>
        </w:rPr>
        <w:t>acción de amparo constitucional</w:t>
      </w:r>
      <w:r w:rsidR="003007A2" w:rsidRPr="00073FBF">
        <w:rPr>
          <w:rFonts w:ascii="Cambria" w:hAnsi="Cambria"/>
          <w:bCs/>
          <w:sz w:val="20"/>
          <w:szCs w:val="20"/>
          <w:lang w:val="es-ES_tradnl"/>
        </w:rPr>
        <w:t xml:space="preserve">, </w:t>
      </w:r>
      <w:r w:rsidR="00991E54" w:rsidRPr="00073FBF">
        <w:rPr>
          <w:rFonts w:ascii="Cambria" w:hAnsi="Cambria"/>
          <w:bCs/>
          <w:sz w:val="20"/>
          <w:szCs w:val="20"/>
          <w:lang w:val="es-ES_tradnl"/>
        </w:rPr>
        <w:t>su</w:t>
      </w:r>
      <w:r w:rsidR="003007A2" w:rsidRPr="00073FBF">
        <w:rPr>
          <w:rFonts w:ascii="Cambria" w:hAnsi="Cambria"/>
          <w:bCs/>
          <w:sz w:val="20"/>
          <w:szCs w:val="20"/>
          <w:lang w:val="es-ES_tradnl"/>
        </w:rPr>
        <w:t xml:space="preserve"> defensa hizo del conocimiento de la Sala Constitucional del Tribunal Supremo de Justicia las presuntas violaciones en contra del señor </w:t>
      </w:r>
      <w:proofErr w:type="spellStart"/>
      <w:r w:rsidR="003007A2" w:rsidRPr="00073FBF">
        <w:rPr>
          <w:rFonts w:ascii="Cambria" w:hAnsi="Cambria"/>
          <w:bCs/>
          <w:sz w:val="20"/>
          <w:szCs w:val="20"/>
          <w:lang w:val="es-ES_tradnl"/>
        </w:rPr>
        <w:t>Mezerhane</w:t>
      </w:r>
      <w:proofErr w:type="spellEnd"/>
      <w:r w:rsidR="003007A2" w:rsidRPr="00073FBF">
        <w:rPr>
          <w:rFonts w:ascii="Cambria" w:hAnsi="Cambria"/>
          <w:bCs/>
          <w:sz w:val="20"/>
          <w:szCs w:val="20"/>
          <w:lang w:val="es-ES_tradnl"/>
        </w:rPr>
        <w:t xml:space="preserve">, al </w:t>
      </w:r>
      <w:r w:rsidR="00A16E1E">
        <w:rPr>
          <w:rFonts w:ascii="Cambria" w:hAnsi="Cambria"/>
          <w:bCs/>
          <w:sz w:val="20"/>
          <w:szCs w:val="20"/>
          <w:lang w:val="es-ES_tradnl"/>
        </w:rPr>
        <w:t>considerar</w:t>
      </w:r>
      <w:r w:rsidR="003007A2" w:rsidRPr="00073FBF">
        <w:rPr>
          <w:rFonts w:ascii="Cambria" w:hAnsi="Cambria"/>
          <w:bCs/>
          <w:sz w:val="20"/>
          <w:szCs w:val="20"/>
          <w:lang w:val="es-ES_tradnl"/>
        </w:rPr>
        <w:t>, entre otros, que el Ministerio Público incumpliría el deber de probidad al “retardar indebidamente el decreto de un acto conclusivo pendiente”, así como de “dar valor a un acto falso como lo es la supuesta declaración [del presunto testigo]”.</w:t>
      </w:r>
      <w:r w:rsidR="003007A2" w:rsidRPr="003007A2">
        <w:rPr>
          <w:rFonts w:ascii="Cambria" w:hAnsi="Cambria"/>
          <w:bCs/>
          <w:sz w:val="20"/>
          <w:szCs w:val="20"/>
          <w:lang w:val="es-ES_tradnl"/>
        </w:rPr>
        <w:t xml:space="preserve">  </w:t>
      </w:r>
    </w:p>
    <w:p w14:paraId="71D46A67" w14:textId="4ED72654" w:rsidR="006731F5" w:rsidRPr="00E67A09" w:rsidRDefault="00D47965" w:rsidP="003007A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bCs/>
          <w:sz w:val="20"/>
          <w:szCs w:val="20"/>
          <w:lang w:val="es-ES_tradnl"/>
        </w:rPr>
        <w:t xml:space="preserve">Señala que el 13 de diciembre de 2006, vencida la prorroga otorgada al Ministerio Público, así como el plazo para que </w:t>
      </w:r>
      <w:r w:rsidR="00073FBF">
        <w:rPr>
          <w:rFonts w:ascii="Cambria" w:hAnsi="Cambria"/>
          <w:bCs/>
          <w:sz w:val="20"/>
          <w:szCs w:val="20"/>
          <w:lang w:val="es-ES_tradnl"/>
        </w:rPr>
        <w:t>é</w:t>
      </w:r>
      <w:r>
        <w:rPr>
          <w:rFonts w:ascii="Cambria" w:hAnsi="Cambria"/>
          <w:bCs/>
          <w:sz w:val="20"/>
          <w:szCs w:val="20"/>
          <w:lang w:val="es-ES_tradnl"/>
        </w:rPr>
        <w:t>ste presentara la acusación o</w:t>
      </w:r>
      <w:r w:rsidR="00700B57">
        <w:rPr>
          <w:rFonts w:ascii="Cambria" w:hAnsi="Cambria"/>
          <w:bCs/>
          <w:sz w:val="20"/>
          <w:szCs w:val="20"/>
          <w:lang w:val="es-ES_tradnl"/>
        </w:rPr>
        <w:t xml:space="preserve"> el</w:t>
      </w:r>
      <w:r>
        <w:rPr>
          <w:rFonts w:ascii="Cambria" w:hAnsi="Cambria"/>
          <w:bCs/>
          <w:sz w:val="20"/>
          <w:szCs w:val="20"/>
          <w:lang w:val="es-ES_tradnl"/>
        </w:rPr>
        <w:t xml:space="preserve"> sobreseimiento, el Fiscal General a través de una intervención televisada anunció el decreto de un acto conclusivo dentro del proceso e</w:t>
      </w:r>
      <w:r w:rsidR="004976F8">
        <w:rPr>
          <w:rFonts w:ascii="Cambria" w:hAnsi="Cambria"/>
          <w:bCs/>
          <w:sz w:val="20"/>
          <w:szCs w:val="20"/>
          <w:lang w:val="es-ES_tradnl"/>
        </w:rPr>
        <w:t>n contra de la presunta víctima,</w:t>
      </w:r>
      <w:r>
        <w:rPr>
          <w:rFonts w:ascii="Cambria" w:hAnsi="Cambria"/>
          <w:bCs/>
          <w:sz w:val="20"/>
          <w:szCs w:val="20"/>
          <w:lang w:val="es-ES_tradnl"/>
        </w:rPr>
        <w:t xml:space="preserve"> y pidió al juez que homologara su decreto, como Fiscal General, de “archivo fiscal”. La parte petic</w:t>
      </w:r>
      <w:r w:rsidR="00021189">
        <w:rPr>
          <w:rFonts w:ascii="Cambria" w:hAnsi="Cambria"/>
          <w:bCs/>
          <w:sz w:val="20"/>
          <w:szCs w:val="20"/>
          <w:lang w:val="es-ES_tradnl"/>
        </w:rPr>
        <w:t>ionaria afirma que lo anterior e</w:t>
      </w:r>
      <w:r w:rsidR="006731F5">
        <w:rPr>
          <w:rFonts w:ascii="Cambria" w:hAnsi="Cambria"/>
          <w:bCs/>
          <w:sz w:val="20"/>
          <w:szCs w:val="20"/>
          <w:lang w:val="es-ES_tradnl"/>
        </w:rPr>
        <w:t>ra</w:t>
      </w:r>
      <w:r w:rsidR="00700B57">
        <w:rPr>
          <w:rFonts w:ascii="Cambria" w:hAnsi="Cambria"/>
          <w:bCs/>
          <w:sz w:val="20"/>
          <w:szCs w:val="20"/>
          <w:lang w:val="es-ES_tradnl"/>
        </w:rPr>
        <w:t xml:space="preserve"> contrario a la normativa</w:t>
      </w:r>
      <w:r w:rsidR="009E2A4B">
        <w:rPr>
          <w:rFonts w:ascii="Cambria" w:hAnsi="Cambria"/>
          <w:bCs/>
          <w:sz w:val="20"/>
          <w:szCs w:val="20"/>
          <w:lang w:val="es-ES_tradnl"/>
        </w:rPr>
        <w:t>,</w:t>
      </w:r>
      <w:r>
        <w:rPr>
          <w:rFonts w:ascii="Cambria" w:hAnsi="Cambria"/>
          <w:bCs/>
          <w:sz w:val="20"/>
          <w:szCs w:val="20"/>
          <w:lang w:val="es-ES_tradnl"/>
        </w:rPr>
        <w:t xml:space="preserve"> y que </w:t>
      </w:r>
      <w:r w:rsidR="006731F5">
        <w:rPr>
          <w:rFonts w:ascii="Cambria" w:hAnsi="Cambria"/>
          <w:bCs/>
          <w:sz w:val="20"/>
          <w:szCs w:val="20"/>
          <w:lang w:val="es-ES_tradnl"/>
        </w:rPr>
        <w:t>buscaba</w:t>
      </w:r>
      <w:r>
        <w:rPr>
          <w:rFonts w:ascii="Cambria" w:hAnsi="Cambria"/>
          <w:bCs/>
          <w:sz w:val="20"/>
          <w:szCs w:val="20"/>
          <w:lang w:val="es-ES_tradnl"/>
        </w:rPr>
        <w:t xml:space="preserve"> mantener al señor </w:t>
      </w:r>
      <w:proofErr w:type="spellStart"/>
      <w:r w:rsidRPr="003007A2">
        <w:rPr>
          <w:rFonts w:ascii="Cambria" w:hAnsi="Cambria"/>
          <w:bCs/>
          <w:sz w:val="20"/>
          <w:szCs w:val="20"/>
          <w:lang w:val="es-ES_tradnl"/>
        </w:rPr>
        <w:t>Mezerhane</w:t>
      </w:r>
      <w:proofErr w:type="spellEnd"/>
      <w:r w:rsidR="00FA6263">
        <w:rPr>
          <w:rFonts w:ascii="Cambria" w:hAnsi="Cambria"/>
          <w:bCs/>
          <w:sz w:val="20"/>
          <w:szCs w:val="20"/>
          <w:lang w:val="es-ES_tradnl"/>
        </w:rPr>
        <w:t xml:space="preserve"> sujeto a la j</w:t>
      </w:r>
      <w:r>
        <w:rPr>
          <w:rFonts w:ascii="Cambria" w:hAnsi="Cambria"/>
          <w:bCs/>
          <w:sz w:val="20"/>
          <w:szCs w:val="20"/>
          <w:lang w:val="es-ES_tradnl"/>
        </w:rPr>
        <w:t>usticia</w:t>
      </w:r>
      <w:r w:rsidR="008C15B3">
        <w:rPr>
          <w:rFonts w:ascii="Cambria" w:hAnsi="Cambria"/>
          <w:bCs/>
          <w:sz w:val="20"/>
          <w:szCs w:val="20"/>
          <w:lang w:val="es-ES_tradnl"/>
        </w:rPr>
        <w:t xml:space="preserve"> </w:t>
      </w:r>
      <w:r w:rsidR="008C15B3" w:rsidRPr="000324B6">
        <w:rPr>
          <w:rFonts w:ascii="Cambria" w:hAnsi="Cambria"/>
          <w:bCs/>
          <w:sz w:val="20"/>
          <w:szCs w:val="20"/>
          <w:lang w:val="es-ES_tradnl"/>
        </w:rPr>
        <w:t>en calidad de imputado</w:t>
      </w:r>
      <w:r w:rsidR="001713A6" w:rsidRPr="000324B6">
        <w:rPr>
          <w:rFonts w:ascii="Cambria" w:hAnsi="Cambria"/>
          <w:bCs/>
          <w:sz w:val="20"/>
          <w:szCs w:val="20"/>
          <w:lang w:val="es-ES_tradnl"/>
        </w:rPr>
        <w:t>, en total incertidumbre e inseguridad jurídica</w:t>
      </w:r>
      <w:r w:rsidR="008C15B3" w:rsidRPr="000324B6">
        <w:rPr>
          <w:rFonts w:ascii="Cambria" w:hAnsi="Cambria"/>
          <w:bCs/>
          <w:sz w:val="20"/>
          <w:szCs w:val="20"/>
          <w:lang w:val="es-ES_tradnl"/>
        </w:rPr>
        <w:t xml:space="preserve"> ya que </w:t>
      </w:r>
      <w:r w:rsidR="006731F5" w:rsidRPr="000324B6">
        <w:rPr>
          <w:rFonts w:ascii="Cambria" w:hAnsi="Cambria"/>
          <w:bCs/>
          <w:sz w:val="20"/>
          <w:szCs w:val="20"/>
          <w:lang w:val="es-ES_tradnl"/>
        </w:rPr>
        <w:t>existe la posibilidad de</w:t>
      </w:r>
      <w:r w:rsidR="008C15B3" w:rsidRPr="000324B6">
        <w:rPr>
          <w:rFonts w:ascii="Cambria" w:hAnsi="Cambria"/>
          <w:bCs/>
          <w:sz w:val="20"/>
          <w:szCs w:val="20"/>
          <w:lang w:val="es-ES_tradnl"/>
        </w:rPr>
        <w:t xml:space="preserve"> decretar la reapertura de la investigación cuando aparezcan nuevos elementos de convicción</w:t>
      </w:r>
      <w:r w:rsidR="001713A6" w:rsidRPr="000324B6">
        <w:rPr>
          <w:rFonts w:ascii="Cambria" w:hAnsi="Cambria"/>
          <w:bCs/>
          <w:sz w:val="20"/>
          <w:szCs w:val="20"/>
          <w:lang w:val="es-ES_tradnl"/>
        </w:rPr>
        <w:t>,</w:t>
      </w:r>
      <w:r w:rsidRPr="000324B6">
        <w:rPr>
          <w:rFonts w:ascii="Cambria" w:hAnsi="Cambria"/>
          <w:bCs/>
          <w:sz w:val="20"/>
          <w:szCs w:val="20"/>
          <w:lang w:val="es-ES_tradnl"/>
        </w:rPr>
        <w:t xml:space="preserve"> por razones de </w:t>
      </w:r>
      <w:r w:rsidRPr="000324B6">
        <w:rPr>
          <w:rFonts w:ascii="Cambria" w:hAnsi="Cambria"/>
          <w:bCs/>
          <w:sz w:val="20"/>
          <w:szCs w:val="20"/>
          <w:lang w:val="es-ES_tradnl"/>
        </w:rPr>
        <w:lastRenderedPageBreak/>
        <w:t xml:space="preserve">evidente y manifiesta retaliación por ser uno de los accionistas de Globovisión. </w:t>
      </w:r>
      <w:r w:rsidR="000324B6">
        <w:rPr>
          <w:rFonts w:ascii="Cambria" w:hAnsi="Cambria"/>
          <w:bCs/>
          <w:sz w:val="20"/>
          <w:szCs w:val="20"/>
          <w:lang w:val="es-ES_tradnl"/>
        </w:rPr>
        <w:t>Indica que l</w:t>
      </w:r>
      <w:r w:rsidR="008C15B3" w:rsidRPr="000324B6">
        <w:rPr>
          <w:rFonts w:ascii="Cambria" w:hAnsi="Cambria"/>
          <w:bCs/>
          <w:sz w:val="20"/>
          <w:szCs w:val="20"/>
          <w:lang w:val="es-ES_tradnl"/>
        </w:rPr>
        <w:t>a única consecuencia a favor del imputado es el cese de las medidas cautelares.</w:t>
      </w:r>
      <w:r w:rsidR="008C15B3">
        <w:rPr>
          <w:rFonts w:ascii="Cambria" w:hAnsi="Cambria"/>
          <w:bCs/>
          <w:sz w:val="20"/>
          <w:szCs w:val="20"/>
          <w:lang w:val="es-ES_tradnl"/>
        </w:rPr>
        <w:t xml:space="preserve"> </w:t>
      </w:r>
      <w:r w:rsidR="00E67A09">
        <w:rPr>
          <w:rFonts w:ascii="Cambria" w:hAnsi="Cambria"/>
          <w:bCs/>
          <w:sz w:val="20"/>
          <w:szCs w:val="20"/>
          <w:lang w:val="es-ES_tradnl"/>
        </w:rPr>
        <w:t>Asimismo, o</w:t>
      </w:r>
      <w:r>
        <w:rPr>
          <w:rFonts w:ascii="Cambria" w:hAnsi="Cambria"/>
          <w:bCs/>
          <w:sz w:val="20"/>
          <w:szCs w:val="20"/>
          <w:lang w:val="es-ES_tradnl"/>
        </w:rPr>
        <w:t xml:space="preserve">bserva que el Ministerio Público admitió </w:t>
      </w:r>
      <w:r w:rsidR="003F2427">
        <w:rPr>
          <w:rFonts w:ascii="Cambria" w:hAnsi="Cambria"/>
          <w:bCs/>
          <w:sz w:val="20"/>
          <w:szCs w:val="20"/>
          <w:lang w:val="es-ES_tradnl"/>
        </w:rPr>
        <w:t xml:space="preserve">en la rueda de prensa </w:t>
      </w:r>
      <w:r>
        <w:rPr>
          <w:rFonts w:ascii="Cambria" w:hAnsi="Cambria"/>
          <w:bCs/>
          <w:sz w:val="20"/>
          <w:szCs w:val="20"/>
          <w:lang w:val="es-ES_tradnl"/>
        </w:rPr>
        <w:t>que no exist</w:t>
      </w:r>
      <w:r w:rsidR="00021189">
        <w:rPr>
          <w:rFonts w:ascii="Cambria" w:hAnsi="Cambria"/>
          <w:bCs/>
          <w:sz w:val="20"/>
          <w:szCs w:val="20"/>
          <w:lang w:val="es-ES_tradnl"/>
        </w:rPr>
        <w:t>en</w:t>
      </w:r>
      <w:r w:rsidR="00FA6263">
        <w:rPr>
          <w:rFonts w:ascii="Cambria" w:hAnsi="Cambria"/>
          <w:bCs/>
          <w:sz w:val="20"/>
          <w:szCs w:val="20"/>
          <w:lang w:val="es-ES_tradnl"/>
        </w:rPr>
        <w:t xml:space="preserve"> elementos para </w:t>
      </w:r>
      <w:r w:rsidR="007C0428">
        <w:rPr>
          <w:rFonts w:ascii="Cambria" w:hAnsi="Cambria"/>
          <w:bCs/>
          <w:sz w:val="20"/>
          <w:szCs w:val="20"/>
          <w:lang w:val="es-ES_tradnl"/>
        </w:rPr>
        <w:t>acusarlo</w:t>
      </w:r>
      <w:r>
        <w:rPr>
          <w:rFonts w:ascii="Cambria" w:hAnsi="Cambria"/>
          <w:bCs/>
          <w:sz w:val="20"/>
          <w:szCs w:val="20"/>
          <w:lang w:val="es-ES_tradnl"/>
        </w:rPr>
        <w:t xml:space="preserve">, pero se </w:t>
      </w:r>
      <w:r w:rsidR="00021189">
        <w:rPr>
          <w:rFonts w:ascii="Cambria" w:hAnsi="Cambria"/>
          <w:bCs/>
          <w:sz w:val="20"/>
          <w:szCs w:val="20"/>
          <w:lang w:val="es-ES_tradnl"/>
        </w:rPr>
        <w:t>negó</w:t>
      </w:r>
      <w:r w:rsidR="00FA6263">
        <w:rPr>
          <w:rFonts w:ascii="Cambria" w:hAnsi="Cambria"/>
          <w:bCs/>
          <w:sz w:val="20"/>
          <w:szCs w:val="20"/>
          <w:lang w:val="es-ES_tradnl"/>
        </w:rPr>
        <w:t xml:space="preserve"> a solicitar su sobreseimiento</w:t>
      </w:r>
      <w:r>
        <w:rPr>
          <w:rFonts w:ascii="Cambria" w:hAnsi="Cambria"/>
          <w:bCs/>
          <w:sz w:val="20"/>
          <w:szCs w:val="20"/>
          <w:lang w:val="es-ES_tradnl"/>
        </w:rPr>
        <w:t xml:space="preserve"> al alegar que </w:t>
      </w:r>
      <w:r w:rsidR="00E67A09">
        <w:rPr>
          <w:rFonts w:ascii="Cambria" w:hAnsi="Cambria"/>
          <w:bCs/>
          <w:sz w:val="20"/>
          <w:szCs w:val="20"/>
          <w:lang w:val="es-ES_tradnl"/>
        </w:rPr>
        <w:t>el cierre de una investigación en un momento crucial sería</w:t>
      </w:r>
      <w:r>
        <w:rPr>
          <w:rFonts w:ascii="Cambria" w:hAnsi="Cambria"/>
          <w:bCs/>
          <w:sz w:val="20"/>
          <w:szCs w:val="20"/>
          <w:lang w:val="es-ES_tradnl"/>
        </w:rPr>
        <w:t xml:space="preserve"> “irresponsable</w:t>
      </w:r>
      <w:r w:rsidRPr="00E67A09">
        <w:rPr>
          <w:rFonts w:ascii="Cambria" w:hAnsi="Cambria"/>
          <w:bCs/>
          <w:sz w:val="20"/>
          <w:szCs w:val="20"/>
          <w:lang w:val="es-ES_tradnl"/>
        </w:rPr>
        <w:t>”</w:t>
      </w:r>
      <w:r w:rsidR="00E67A09" w:rsidRPr="00E67A09">
        <w:rPr>
          <w:rFonts w:ascii="Cambria" w:hAnsi="Cambria"/>
          <w:bCs/>
          <w:sz w:val="20"/>
          <w:szCs w:val="20"/>
          <w:lang w:val="es-ES_tradnl"/>
        </w:rPr>
        <w:t xml:space="preserve"> e “</w:t>
      </w:r>
      <w:r w:rsidR="00F9371A" w:rsidRPr="00E67A09">
        <w:rPr>
          <w:rFonts w:ascii="Cambria" w:hAnsi="Cambria"/>
          <w:bCs/>
          <w:sz w:val="20"/>
          <w:szCs w:val="20"/>
          <w:lang w:val="es-ES_tradnl"/>
        </w:rPr>
        <w:t>inconstitucional</w:t>
      </w:r>
      <w:r w:rsidR="00E67A09" w:rsidRPr="00E67A09">
        <w:rPr>
          <w:rFonts w:ascii="Cambria" w:hAnsi="Cambria"/>
          <w:bCs/>
          <w:sz w:val="20"/>
          <w:szCs w:val="20"/>
          <w:lang w:val="es-ES_tradnl"/>
        </w:rPr>
        <w:t>”, ya que estimularía la impunidad.</w:t>
      </w:r>
      <w:r w:rsidRPr="00E67A09">
        <w:rPr>
          <w:rFonts w:ascii="Cambria" w:hAnsi="Cambria"/>
          <w:bCs/>
          <w:sz w:val="20"/>
          <w:szCs w:val="20"/>
          <w:lang w:val="es-ES_tradnl"/>
        </w:rPr>
        <w:t xml:space="preserve"> </w:t>
      </w:r>
    </w:p>
    <w:p w14:paraId="53AD0335" w14:textId="5A338D0B" w:rsidR="003007A2" w:rsidRPr="003007A2" w:rsidRDefault="008B470E" w:rsidP="003007A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bCs/>
          <w:sz w:val="20"/>
          <w:szCs w:val="20"/>
          <w:lang w:val="es-ES_tradnl"/>
        </w:rPr>
        <w:t xml:space="preserve">Ante </w:t>
      </w:r>
      <w:r w:rsidR="00FA6263">
        <w:rPr>
          <w:rFonts w:ascii="Cambria" w:hAnsi="Cambria"/>
          <w:bCs/>
          <w:sz w:val="20"/>
          <w:szCs w:val="20"/>
          <w:lang w:val="es-ES_tradnl"/>
        </w:rPr>
        <w:t>lo anterior</w:t>
      </w:r>
      <w:r>
        <w:rPr>
          <w:rFonts w:ascii="Cambria" w:hAnsi="Cambria"/>
          <w:bCs/>
          <w:sz w:val="20"/>
          <w:szCs w:val="20"/>
          <w:lang w:val="es-ES_tradnl"/>
        </w:rPr>
        <w:t>,</w:t>
      </w:r>
      <w:r w:rsidR="006731F5">
        <w:rPr>
          <w:rFonts w:ascii="Cambria" w:hAnsi="Cambria"/>
          <w:bCs/>
          <w:sz w:val="20"/>
          <w:szCs w:val="20"/>
          <w:lang w:val="es-ES_tradnl"/>
        </w:rPr>
        <w:t xml:space="preserve"> la parte peticionaria</w:t>
      </w:r>
      <w:r>
        <w:rPr>
          <w:rFonts w:ascii="Cambria" w:hAnsi="Cambria"/>
          <w:bCs/>
          <w:sz w:val="20"/>
          <w:szCs w:val="20"/>
          <w:lang w:val="es-ES_tradnl"/>
        </w:rPr>
        <w:t xml:space="preserve"> informa que </w:t>
      </w:r>
      <w:r w:rsidR="00FA6263">
        <w:rPr>
          <w:rFonts w:ascii="Cambria" w:hAnsi="Cambria"/>
          <w:bCs/>
          <w:sz w:val="20"/>
          <w:szCs w:val="20"/>
          <w:lang w:val="es-ES_tradnl"/>
        </w:rPr>
        <w:t xml:space="preserve">su </w:t>
      </w:r>
      <w:r>
        <w:rPr>
          <w:rFonts w:ascii="Cambria" w:hAnsi="Cambria"/>
          <w:bCs/>
          <w:sz w:val="20"/>
          <w:szCs w:val="20"/>
          <w:lang w:val="es-ES_tradnl"/>
        </w:rPr>
        <w:t>defensa interpuso ante el juez las razones de la improcedencia de dicho “archivo fiscal”</w:t>
      </w:r>
      <w:r w:rsidR="001713A6">
        <w:rPr>
          <w:rFonts w:ascii="Cambria" w:hAnsi="Cambria"/>
          <w:bCs/>
          <w:sz w:val="20"/>
          <w:szCs w:val="20"/>
          <w:lang w:val="es-ES_tradnl"/>
        </w:rPr>
        <w:t xml:space="preserve">, </w:t>
      </w:r>
      <w:r w:rsidR="00700B57">
        <w:rPr>
          <w:rFonts w:ascii="Cambria" w:hAnsi="Cambria"/>
          <w:bCs/>
          <w:sz w:val="20"/>
          <w:szCs w:val="20"/>
          <w:lang w:val="es-ES_tradnl"/>
        </w:rPr>
        <w:t xml:space="preserve">y que </w:t>
      </w:r>
      <w:r>
        <w:rPr>
          <w:rFonts w:ascii="Cambria" w:hAnsi="Cambria"/>
          <w:bCs/>
          <w:sz w:val="20"/>
          <w:szCs w:val="20"/>
          <w:lang w:val="es-ES_tradnl"/>
        </w:rPr>
        <w:t>el 13 de febrero de 2007 el juez de Control declaró procedente dicho archivo</w:t>
      </w:r>
      <w:r w:rsidR="00F55EA3">
        <w:rPr>
          <w:rFonts w:ascii="Cambria" w:hAnsi="Cambria"/>
          <w:bCs/>
          <w:sz w:val="20"/>
          <w:szCs w:val="20"/>
          <w:lang w:val="es-ES_tradnl"/>
        </w:rPr>
        <w:t>, valorando como inconstitucional el artículo 314 de la Constitución que obligaba al Ministerio Público a presentar la acusación o solicitar el sobreseimiento del imputado</w:t>
      </w:r>
      <w:r>
        <w:rPr>
          <w:rFonts w:ascii="Cambria" w:hAnsi="Cambria"/>
          <w:bCs/>
          <w:sz w:val="20"/>
          <w:szCs w:val="20"/>
          <w:lang w:val="es-ES_tradnl"/>
        </w:rPr>
        <w:t xml:space="preserve">. </w:t>
      </w:r>
      <w:r w:rsidR="00700B57">
        <w:rPr>
          <w:rFonts w:ascii="Cambria" w:hAnsi="Cambria"/>
          <w:bCs/>
          <w:sz w:val="20"/>
          <w:szCs w:val="20"/>
          <w:lang w:val="es-ES_tradnl"/>
        </w:rPr>
        <w:t>A</w:t>
      </w:r>
      <w:r w:rsidR="00F32C8A">
        <w:rPr>
          <w:rFonts w:ascii="Cambria" w:hAnsi="Cambria"/>
          <w:bCs/>
          <w:sz w:val="20"/>
          <w:szCs w:val="20"/>
          <w:lang w:val="es-ES_tradnl"/>
        </w:rPr>
        <w:t>lega que no exi</w:t>
      </w:r>
      <w:r w:rsidR="00021189">
        <w:rPr>
          <w:rFonts w:ascii="Cambria" w:hAnsi="Cambria"/>
          <w:bCs/>
          <w:sz w:val="20"/>
          <w:szCs w:val="20"/>
          <w:lang w:val="es-ES_tradnl"/>
        </w:rPr>
        <w:t>ste</w:t>
      </w:r>
      <w:r w:rsidR="00F32C8A">
        <w:rPr>
          <w:rFonts w:ascii="Cambria" w:hAnsi="Cambria"/>
          <w:bCs/>
          <w:sz w:val="20"/>
          <w:szCs w:val="20"/>
          <w:lang w:val="es-ES_tradnl"/>
        </w:rPr>
        <w:t xml:space="preserve"> recurso contra éste, y que el 14 de marzo de 2007 su defensa interpuso recurso extraordinario de revisión ante la Sala Constitucional del Tribunal Supremo de Justicia, </w:t>
      </w:r>
      <w:r w:rsidR="00021189">
        <w:rPr>
          <w:rFonts w:ascii="Cambria" w:hAnsi="Cambria"/>
          <w:bCs/>
          <w:sz w:val="20"/>
          <w:szCs w:val="20"/>
          <w:lang w:val="es-ES_tradnl"/>
        </w:rPr>
        <w:t>la</w:t>
      </w:r>
      <w:r w:rsidR="00FA6263">
        <w:rPr>
          <w:rFonts w:ascii="Cambria" w:hAnsi="Cambria"/>
          <w:bCs/>
          <w:sz w:val="20"/>
          <w:szCs w:val="20"/>
          <w:lang w:val="es-ES_tradnl"/>
        </w:rPr>
        <w:t xml:space="preserve"> cual lo declaró</w:t>
      </w:r>
      <w:r w:rsidR="00F32C8A">
        <w:rPr>
          <w:rFonts w:ascii="Cambria" w:hAnsi="Cambria"/>
          <w:bCs/>
          <w:sz w:val="20"/>
          <w:szCs w:val="20"/>
          <w:lang w:val="es-ES_tradnl"/>
        </w:rPr>
        <w:t xml:space="preserve"> inadmisible el 4 de mayo de 2007. </w:t>
      </w:r>
      <w:r w:rsidR="000503A3">
        <w:rPr>
          <w:rFonts w:ascii="Cambria" w:hAnsi="Cambria"/>
          <w:bCs/>
          <w:sz w:val="20"/>
          <w:szCs w:val="20"/>
          <w:lang w:val="es-ES_tradnl"/>
        </w:rPr>
        <w:t>Refiere que s</w:t>
      </w:r>
      <w:r w:rsidR="00F32C8A">
        <w:rPr>
          <w:rFonts w:ascii="Cambria" w:hAnsi="Cambria"/>
          <w:bCs/>
          <w:sz w:val="20"/>
          <w:szCs w:val="20"/>
          <w:lang w:val="es-ES_tradnl"/>
        </w:rPr>
        <w:t xml:space="preserve">ucesivamente, </w:t>
      </w:r>
      <w:r w:rsidR="000503A3">
        <w:rPr>
          <w:rFonts w:ascii="Cambria" w:hAnsi="Cambria"/>
          <w:bCs/>
          <w:sz w:val="20"/>
          <w:szCs w:val="20"/>
          <w:lang w:val="es-ES_tradnl"/>
        </w:rPr>
        <w:t xml:space="preserve">el 28 de marzo de 2007 </w:t>
      </w:r>
      <w:r w:rsidR="00F32C8A">
        <w:rPr>
          <w:rFonts w:ascii="Cambria" w:hAnsi="Cambria"/>
          <w:bCs/>
          <w:sz w:val="20"/>
          <w:szCs w:val="20"/>
          <w:lang w:val="es-ES_tradnl"/>
        </w:rPr>
        <w:t>solicitó a la Sala de Casación Penal del Tribunal Supremo de Justicia</w:t>
      </w:r>
      <w:r>
        <w:rPr>
          <w:rFonts w:ascii="Cambria" w:hAnsi="Cambria"/>
          <w:bCs/>
          <w:sz w:val="20"/>
          <w:szCs w:val="20"/>
          <w:lang w:val="es-ES_tradnl"/>
        </w:rPr>
        <w:t xml:space="preserve"> </w:t>
      </w:r>
      <w:r w:rsidR="00F32C8A">
        <w:rPr>
          <w:rFonts w:ascii="Cambria" w:hAnsi="Cambria"/>
          <w:bCs/>
          <w:sz w:val="20"/>
          <w:szCs w:val="20"/>
          <w:lang w:val="es-ES_tradnl"/>
        </w:rPr>
        <w:t xml:space="preserve">que interpretara el contenido del artículo 315 del Código Orgánico Procesal Penal, particularmente en relación a cuánto tiempo el archivo fiscal como medida puede mantenerse en contra de la presunta víctima. Alega que el recurso fue admitido, pero a la fecha no se ha verificado decisión alguna. </w:t>
      </w:r>
      <w:r w:rsidR="002050EC">
        <w:rPr>
          <w:rFonts w:ascii="Cambria" w:hAnsi="Cambria"/>
          <w:bCs/>
          <w:sz w:val="20"/>
          <w:szCs w:val="20"/>
          <w:lang w:val="es-ES_tradnl"/>
        </w:rPr>
        <w:t xml:space="preserve">Igualmente, </w:t>
      </w:r>
      <w:r w:rsidR="005628DB">
        <w:rPr>
          <w:rFonts w:ascii="Cambria" w:hAnsi="Cambria"/>
          <w:bCs/>
          <w:sz w:val="20"/>
          <w:szCs w:val="20"/>
          <w:lang w:val="es-ES_tradnl"/>
        </w:rPr>
        <w:t xml:space="preserve">agrega que </w:t>
      </w:r>
      <w:r w:rsidR="002050EC">
        <w:rPr>
          <w:rFonts w:ascii="Cambria" w:hAnsi="Cambria"/>
          <w:bCs/>
          <w:sz w:val="20"/>
          <w:szCs w:val="20"/>
          <w:lang w:val="es-ES_tradnl"/>
        </w:rPr>
        <w:t>el 28 de mayo de 2007 solicitó ante los Fiscales 30</w:t>
      </w:r>
      <w:r w:rsidR="00A10831">
        <w:rPr>
          <w:rFonts w:ascii="Cambria" w:hAnsi="Cambria"/>
          <w:bCs/>
          <w:sz w:val="20"/>
          <w:szCs w:val="20"/>
          <w:lang w:val="es-ES_tradnl"/>
        </w:rPr>
        <w:t>º</w:t>
      </w:r>
      <w:r w:rsidR="002050EC">
        <w:rPr>
          <w:rFonts w:ascii="Cambria" w:hAnsi="Cambria"/>
          <w:bCs/>
          <w:sz w:val="20"/>
          <w:szCs w:val="20"/>
          <w:lang w:val="es-ES_tradnl"/>
        </w:rPr>
        <w:t>, 38</w:t>
      </w:r>
      <w:r w:rsidR="00A10831">
        <w:rPr>
          <w:rFonts w:ascii="Cambria" w:hAnsi="Cambria"/>
          <w:bCs/>
          <w:sz w:val="20"/>
          <w:szCs w:val="20"/>
          <w:lang w:val="es-ES_tradnl"/>
        </w:rPr>
        <w:t>º</w:t>
      </w:r>
      <w:r w:rsidR="002050EC">
        <w:rPr>
          <w:rFonts w:ascii="Cambria" w:hAnsi="Cambria"/>
          <w:bCs/>
          <w:sz w:val="20"/>
          <w:szCs w:val="20"/>
          <w:lang w:val="es-ES_tradnl"/>
        </w:rPr>
        <w:t>, 39</w:t>
      </w:r>
      <w:r w:rsidR="00A10831">
        <w:rPr>
          <w:rFonts w:ascii="Cambria" w:hAnsi="Cambria"/>
          <w:bCs/>
          <w:sz w:val="20"/>
          <w:szCs w:val="20"/>
          <w:lang w:val="es-ES_tradnl"/>
        </w:rPr>
        <w:t>º</w:t>
      </w:r>
      <w:r w:rsidR="002050EC">
        <w:rPr>
          <w:rFonts w:ascii="Cambria" w:hAnsi="Cambria"/>
          <w:bCs/>
          <w:sz w:val="20"/>
          <w:szCs w:val="20"/>
          <w:lang w:val="es-ES_tradnl"/>
        </w:rPr>
        <w:t xml:space="preserve"> y 53</w:t>
      </w:r>
      <w:r w:rsidR="00A10831">
        <w:rPr>
          <w:rFonts w:ascii="Cambria" w:hAnsi="Cambria"/>
          <w:bCs/>
          <w:sz w:val="20"/>
          <w:szCs w:val="20"/>
          <w:lang w:val="es-ES_tradnl"/>
        </w:rPr>
        <w:t>º</w:t>
      </w:r>
      <w:r w:rsidR="002050EC">
        <w:rPr>
          <w:rFonts w:ascii="Cambria" w:hAnsi="Cambria"/>
          <w:bCs/>
          <w:sz w:val="20"/>
          <w:szCs w:val="20"/>
          <w:lang w:val="es-ES_tradnl"/>
        </w:rPr>
        <w:t xml:space="preserve"> del Ministerio Público con Competencia Nacional que se decretara el sobreseimiento en la causa, habiendo pasado más de seis meses desde la fecha en que se </w:t>
      </w:r>
      <w:r w:rsidR="00021189">
        <w:rPr>
          <w:rFonts w:ascii="Cambria" w:hAnsi="Cambria"/>
          <w:bCs/>
          <w:sz w:val="20"/>
          <w:szCs w:val="20"/>
          <w:lang w:val="es-ES_tradnl"/>
        </w:rPr>
        <w:t xml:space="preserve">decretó </w:t>
      </w:r>
      <w:r w:rsidR="00DF02B6">
        <w:rPr>
          <w:rFonts w:ascii="Cambria" w:hAnsi="Cambria"/>
          <w:bCs/>
          <w:sz w:val="20"/>
          <w:szCs w:val="20"/>
          <w:lang w:val="es-ES_tradnl"/>
        </w:rPr>
        <w:t>su</w:t>
      </w:r>
      <w:r w:rsidR="002050EC">
        <w:rPr>
          <w:rFonts w:ascii="Cambria" w:hAnsi="Cambria"/>
          <w:bCs/>
          <w:sz w:val="20"/>
          <w:szCs w:val="20"/>
          <w:lang w:val="es-ES_tradnl"/>
        </w:rPr>
        <w:t xml:space="preserve"> “archivo fiscal”</w:t>
      </w:r>
      <w:r w:rsidR="00DF02B6">
        <w:rPr>
          <w:rFonts w:ascii="Cambria" w:hAnsi="Cambria"/>
          <w:bCs/>
          <w:sz w:val="20"/>
          <w:szCs w:val="20"/>
          <w:lang w:val="es-ES_tradnl"/>
        </w:rPr>
        <w:t>. Indica que nunca ha tenido respuesta de est</w:t>
      </w:r>
      <w:r w:rsidR="001649E2">
        <w:rPr>
          <w:rFonts w:ascii="Cambria" w:hAnsi="Cambria"/>
          <w:bCs/>
          <w:sz w:val="20"/>
          <w:szCs w:val="20"/>
          <w:lang w:val="es-ES_tradnl"/>
        </w:rPr>
        <w:t>a solicitud.</w:t>
      </w:r>
    </w:p>
    <w:p w14:paraId="53F97E8E" w14:textId="065C505E" w:rsidR="009B46C2" w:rsidRPr="00992FFB" w:rsidRDefault="00547A62" w:rsidP="00460FF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992FFB">
        <w:rPr>
          <w:rFonts w:ascii="Cambria" w:hAnsi="Cambria"/>
          <w:sz w:val="20"/>
          <w:szCs w:val="20"/>
          <w:lang w:val="es-AR"/>
        </w:rPr>
        <w:t>Con respecto a la acción de amparo</w:t>
      </w:r>
      <w:r w:rsidR="001F33AB" w:rsidRPr="00992FFB">
        <w:rPr>
          <w:rFonts w:ascii="Cambria" w:hAnsi="Cambria"/>
          <w:sz w:val="20"/>
          <w:szCs w:val="20"/>
          <w:lang w:val="es-AR"/>
        </w:rPr>
        <w:t xml:space="preserve"> ante la Sala Constitucional del Tribunal Supremo de Justicia</w:t>
      </w:r>
      <w:r w:rsidR="00FD6475">
        <w:rPr>
          <w:rFonts w:ascii="Cambria" w:hAnsi="Cambria"/>
          <w:sz w:val="20"/>
          <w:szCs w:val="20"/>
          <w:lang w:val="es-AR"/>
        </w:rPr>
        <w:t xml:space="preserve"> para impugnar el auto de detención</w:t>
      </w:r>
      <w:r w:rsidRPr="00992FFB">
        <w:rPr>
          <w:rFonts w:ascii="Cambria" w:hAnsi="Cambria"/>
          <w:sz w:val="20"/>
          <w:szCs w:val="20"/>
          <w:lang w:val="es-AR"/>
        </w:rPr>
        <w:t xml:space="preserve">, </w:t>
      </w:r>
      <w:r w:rsidR="00A16E1E" w:rsidRPr="00992FFB">
        <w:rPr>
          <w:rFonts w:ascii="Cambria" w:hAnsi="Cambria"/>
          <w:sz w:val="20"/>
          <w:szCs w:val="20"/>
          <w:lang w:val="es-AR"/>
        </w:rPr>
        <w:t xml:space="preserve">refiere </w:t>
      </w:r>
      <w:r w:rsidRPr="00992FFB">
        <w:rPr>
          <w:rFonts w:ascii="Cambria" w:hAnsi="Cambria"/>
          <w:sz w:val="20"/>
          <w:szCs w:val="20"/>
          <w:lang w:val="es-AR"/>
        </w:rPr>
        <w:t xml:space="preserve">que </w:t>
      </w:r>
      <w:r w:rsidR="001F33AB" w:rsidRPr="00992FFB">
        <w:rPr>
          <w:rFonts w:ascii="Cambria" w:hAnsi="Cambria"/>
          <w:sz w:val="20"/>
          <w:szCs w:val="20"/>
          <w:lang w:val="es-AR"/>
        </w:rPr>
        <w:t>é</w:t>
      </w:r>
      <w:r w:rsidRPr="00992FFB">
        <w:rPr>
          <w:rFonts w:ascii="Cambria" w:hAnsi="Cambria"/>
          <w:sz w:val="20"/>
          <w:szCs w:val="20"/>
          <w:lang w:val="es-AR"/>
        </w:rPr>
        <w:t xml:space="preserve">sta solo fue resuelta en octubre de 2007, </w:t>
      </w:r>
      <w:r w:rsidR="009B3FBF" w:rsidRPr="00992FFB">
        <w:rPr>
          <w:rFonts w:ascii="Cambria" w:hAnsi="Cambria"/>
          <w:sz w:val="20"/>
          <w:szCs w:val="20"/>
          <w:lang w:val="es-AR"/>
        </w:rPr>
        <w:t>dos años después de su interposición, siendo declarada</w:t>
      </w:r>
      <w:r w:rsidRPr="00992FFB">
        <w:rPr>
          <w:rFonts w:ascii="Cambria" w:hAnsi="Cambria"/>
          <w:sz w:val="20"/>
          <w:szCs w:val="20"/>
          <w:lang w:val="es-AR"/>
        </w:rPr>
        <w:t xml:space="preserve"> inadmisible. </w:t>
      </w:r>
      <w:r w:rsidR="009B3FBF" w:rsidRPr="00992FFB">
        <w:rPr>
          <w:rFonts w:ascii="Cambria" w:hAnsi="Cambria"/>
          <w:sz w:val="20"/>
          <w:szCs w:val="20"/>
          <w:lang w:val="es-AR"/>
        </w:rPr>
        <w:t>Señala</w:t>
      </w:r>
      <w:r w:rsidRPr="00992FFB">
        <w:rPr>
          <w:rFonts w:ascii="Cambria" w:hAnsi="Cambria"/>
          <w:sz w:val="20"/>
          <w:szCs w:val="20"/>
          <w:lang w:val="es-AR"/>
        </w:rPr>
        <w:t xml:space="preserve"> que </w:t>
      </w:r>
      <w:r w:rsidR="001F33AB" w:rsidRPr="00992FFB">
        <w:rPr>
          <w:rFonts w:ascii="Cambria" w:hAnsi="Cambria"/>
          <w:sz w:val="20"/>
          <w:szCs w:val="20"/>
          <w:lang w:val="es-AR"/>
        </w:rPr>
        <w:t xml:space="preserve">la Sala </w:t>
      </w:r>
      <w:r w:rsidRPr="00992FFB">
        <w:rPr>
          <w:rFonts w:ascii="Cambria" w:hAnsi="Cambria"/>
          <w:sz w:val="20"/>
          <w:szCs w:val="20"/>
          <w:lang w:val="es-AR"/>
        </w:rPr>
        <w:t xml:space="preserve">argumentó que en febrero de 2007 el Juzgado Sexto de Primera Instancia </w:t>
      </w:r>
      <w:r w:rsidR="009B3FBF" w:rsidRPr="00992FFB">
        <w:rPr>
          <w:rFonts w:ascii="Cambria" w:hAnsi="Cambria"/>
          <w:sz w:val="20"/>
          <w:szCs w:val="20"/>
          <w:lang w:val="es-AR"/>
        </w:rPr>
        <w:t>a</w:t>
      </w:r>
      <w:r w:rsidRPr="00992FFB">
        <w:rPr>
          <w:rFonts w:ascii="Cambria" w:hAnsi="Cambria"/>
          <w:sz w:val="20"/>
          <w:szCs w:val="20"/>
          <w:lang w:val="es-AR"/>
        </w:rPr>
        <w:t xml:space="preserve">cordó el cese de todas las medidas de coerción personal y de aseguramiento impuesta por el referido juzgado </w:t>
      </w:r>
      <w:r w:rsidR="009B3FBF" w:rsidRPr="00992FFB">
        <w:rPr>
          <w:rFonts w:ascii="Cambria" w:hAnsi="Cambria"/>
          <w:sz w:val="20"/>
          <w:szCs w:val="20"/>
          <w:lang w:val="es-AR"/>
        </w:rPr>
        <w:t>a</w:t>
      </w:r>
      <w:r w:rsidR="00A16E1E" w:rsidRPr="00992FFB">
        <w:rPr>
          <w:rFonts w:ascii="Cambria" w:hAnsi="Cambria"/>
          <w:sz w:val="20"/>
          <w:szCs w:val="20"/>
          <w:lang w:val="es-AR"/>
        </w:rPr>
        <w:t>l señor Mezerhane</w:t>
      </w:r>
      <w:r w:rsidR="009B3FBF" w:rsidRPr="00992FFB">
        <w:rPr>
          <w:rFonts w:ascii="Cambria" w:hAnsi="Cambria"/>
          <w:sz w:val="20"/>
          <w:szCs w:val="20"/>
          <w:lang w:val="es-AR"/>
        </w:rPr>
        <w:t xml:space="preserve">. En este sentido, concluyó que con </w:t>
      </w:r>
      <w:r w:rsidRPr="00992FFB">
        <w:rPr>
          <w:rFonts w:ascii="Cambria" w:hAnsi="Cambria"/>
          <w:sz w:val="20"/>
          <w:szCs w:val="20"/>
          <w:lang w:val="es-AR"/>
        </w:rPr>
        <w:t xml:space="preserve">dicha decisión </w:t>
      </w:r>
      <w:r w:rsidR="00FB6106" w:rsidRPr="00992FFB">
        <w:rPr>
          <w:rFonts w:ascii="Cambria" w:hAnsi="Cambria"/>
          <w:sz w:val="20"/>
          <w:szCs w:val="20"/>
          <w:lang w:val="es-AR"/>
        </w:rPr>
        <w:t>cesaron</w:t>
      </w:r>
      <w:r w:rsidRPr="00992FFB">
        <w:rPr>
          <w:rFonts w:ascii="Cambria" w:hAnsi="Cambria"/>
          <w:sz w:val="20"/>
          <w:szCs w:val="20"/>
          <w:lang w:val="es-AR"/>
        </w:rPr>
        <w:t xml:space="preserve"> las presuntas violaciones en </w:t>
      </w:r>
      <w:r w:rsidR="009B3FBF" w:rsidRPr="00992FFB">
        <w:rPr>
          <w:rFonts w:ascii="Cambria" w:hAnsi="Cambria"/>
          <w:sz w:val="20"/>
          <w:szCs w:val="20"/>
          <w:lang w:val="es-AR"/>
        </w:rPr>
        <w:t xml:space="preserve">su contra, </w:t>
      </w:r>
      <w:r w:rsidRPr="00992FFB">
        <w:rPr>
          <w:rFonts w:ascii="Cambria" w:hAnsi="Cambria"/>
          <w:sz w:val="20"/>
          <w:szCs w:val="20"/>
          <w:lang w:val="es-AR"/>
        </w:rPr>
        <w:t>ocasiona</w:t>
      </w:r>
      <w:r w:rsidR="003F01E7">
        <w:rPr>
          <w:rFonts w:ascii="Cambria" w:hAnsi="Cambria"/>
          <w:sz w:val="20"/>
          <w:szCs w:val="20"/>
          <w:lang w:val="es-AR"/>
        </w:rPr>
        <w:t>n</w:t>
      </w:r>
      <w:r w:rsidRPr="00992FFB">
        <w:rPr>
          <w:rFonts w:ascii="Cambria" w:hAnsi="Cambria"/>
          <w:sz w:val="20"/>
          <w:szCs w:val="20"/>
          <w:lang w:val="es-AR"/>
        </w:rPr>
        <w:t xml:space="preserve">do que la acción </w:t>
      </w:r>
      <w:r w:rsidR="009B3FBF" w:rsidRPr="00992FFB">
        <w:rPr>
          <w:rFonts w:ascii="Cambria" w:hAnsi="Cambria"/>
          <w:sz w:val="20"/>
          <w:szCs w:val="20"/>
          <w:lang w:val="es-AR"/>
        </w:rPr>
        <w:t>de amparo perdi</w:t>
      </w:r>
      <w:r w:rsidRPr="00992FFB">
        <w:rPr>
          <w:rFonts w:ascii="Cambria" w:hAnsi="Cambria"/>
          <w:sz w:val="20"/>
          <w:szCs w:val="20"/>
          <w:lang w:val="es-AR"/>
        </w:rPr>
        <w:t xml:space="preserve">era su vigencia. A pesar de lo anterior, la </w:t>
      </w:r>
      <w:r w:rsidRPr="00992FFB">
        <w:rPr>
          <w:rFonts w:asciiTheme="majorHAnsi" w:hAnsiTheme="majorHAnsi"/>
          <w:sz w:val="20"/>
          <w:szCs w:val="20"/>
          <w:lang w:val="es-AR"/>
        </w:rPr>
        <w:t xml:space="preserve">parte peticionaria alega que la decisión del Juez Sexto de Control </w:t>
      </w:r>
      <w:r w:rsidR="009B3FBF" w:rsidRPr="00992FFB">
        <w:rPr>
          <w:rFonts w:asciiTheme="majorHAnsi" w:hAnsiTheme="majorHAnsi"/>
          <w:sz w:val="20"/>
          <w:szCs w:val="20"/>
          <w:lang w:val="es-AR"/>
        </w:rPr>
        <w:t>acordó</w:t>
      </w:r>
      <w:r w:rsidRPr="00992FFB">
        <w:rPr>
          <w:rFonts w:asciiTheme="majorHAnsi" w:hAnsiTheme="majorHAnsi"/>
          <w:sz w:val="20"/>
          <w:szCs w:val="20"/>
          <w:lang w:val="es-AR"/>
        </w:rPr>
        <w:t xml:space="preserve"> </w:t>
      </w:r>
      <w:r w:rsidR="009B3FBF" w:rsidRPr="00992FFB">
        <w:rPr>
          <w:rFonts w:asciiTheme="majorHAnsi" w:hAnsiTheme="majorHAnsi"/>
          <w:sz w:val="20"/>
          <w:szCs w:val="20"/>
          <w:lang w:val="es-AR"/>
        </w:rPr>
        <w:t>“</w:t>
      </w:r>
      <w:r w:rsidRPr="00992FFB">
        <w:rPr>
          <w:rFonts w:asciiTheme="majorHAnsi" w:hAnsiTheme="majorHAnsi"/>
          <w:sz w:val="20"/>
          <w:szCs w:val="20"/>
          <w:lang w:val="es-AR"/>
        </w:rPr>
        <w:t xml:space="preserve">una suerte de ilegal e inconstitucional ‘archivo fiscal’ en el curso del proceso y </w:t>
      </w:r>
      <w:r w:rsidR="009B3FBF" w:rsidRPr="00992FFB">
        <w:rPr>
          <w:rFonts w:asciiTheme="majorHAnsi" w:hAnsiTheme="majorHAnsi"/>
          <w:sz w:val="20"/>
          <w:szCs w:val="20"/>
          <w:lang w:val="es-AR"/>
        </w:rPr>
        <w:t xml:space="preserve">a pedido del Ministerio Público” manteniendo la causa contra </w:t>
      </w:r>
      <w:r w:rsidRPr="00992FFB">
        <w:rPr>
          <w:rFonts w:asciiTheme="majorHAnsi" w:hAnsiTheme="majorHAnsi"/>
          <w:sz w:val="20"/>
          <w:szCs w:val="20"/>
          <w:lang w:val="es-AR"/>
        </w:rPr>
        <w:t xml:space="preserve">la presunta </w:t>
      </w:r>
      <w:r w:rsidR="009B3FBF" w:rsidRPr="00992FFB">
        <w:rPr>
          <w:rFonts w:asciiTheme="majorHAnsi" w:hAnsiTheme="majorHAnsi"/>
          <w:sz w:val="20"/>
          <w:szCs w:val="20"/>
          <w:lang w:val="es-AR"/>
        </w:rPr>
        <w:t xml:space="preserve">víctima </w:t>
      </w:r>
      <w:r w:rsidRPr="00992FFB">
        <w:rPr>
          <w:rFonts w:asciiTheme="majorHAnsi" w:hAnsiTheme="majorHAnsi"/>
          <w:sz w:val="20"/>
          <w:szCs w:val="20"/>
          <w:lang w:val="es-AR"/>
        </w:rPr>
        <w:t xml:space="preserve">abierta y sin solución de continuidad. </w:t>
      </w:r>
    </w:p>
    <w:p w14:paraId="6241BF5B" w14:textId="77777777" w:rsidR="006334B7" w:rsidRPr="006334B7" w:rsidRDefault="00D370CF" w:rsidP="000A29C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AR"/>
        </w:rPr>
        <w:t xml:space="preserve">Respecto </w:t>
      </w:r>
      <w:r w:rsidR="000A29CF" w:rsidRPr="00A174C8">
        <w:rPr>
          <w:rFonts w:ascii="Cambria" w:hAnsi="Cambria"/>
          <w:sz w:val="20"/>
          <w:szCs w:val="20"/>
          <w:lang w:val="es-AR"/>
        </w:rPr>
        <w:t xml:space="preserve">el segundo procedimiento, </w:t>
      </w:r>
      <w:r>
        <w:rPr>
          <w:rFonts w:ascii="Cambria" w:hAnsi="Cambria"/>
          <w:sz w:val="20"/>
          <w:szCs w:val="20"/>
          <w:lang w:val="es-AR"/>
        </w:rPr>
        <w:t xml:space="preserve">la parte peticionaria </w:t>
      </w:r>
      <w:r w:rsidR="000A29CF" w:rsidRPr="00A174C8">
        <w:rPr>
          <w:rFonts w:ascii="Cambria" w:hAnsi="Cambria"/>
          <w:sz w:val="20"/>
          <w:szCs w:val="20"/>
          <w:lang w:val="es-AR"/>
        </w:rPr>
        <w:t>indica que el 22 de noviembre de 2004 se abrió una investigación por un supuesto delito ambiental el cual comprometería la responsabilidad penal de la pres</w:t>
      </w:r>
      <w:r w:rsidR="000A29CF">
        <w:rPr>
          <w:rFonts w:ascii="Cambria" w:hAnsi="Cambria"/>
          <w:sz w:val="20"/>
          <w:szCs w:val="20"/>
          <w:lang w:val="es-AR"/>
        </w:rPr>
        <w:t>unta víctima</w:t>
      </w:r>
      <w:r w:rsidR="000A29CF" w:rsidRPr="00A174C8">
        <w:rPr>
          <w:rFonts w:ascii="Cambria" w:hAnsi="Cambria"/>
          <w:sz w:val="20"/>
          <w:szCs w:val="20"/>
          <w:lang w:val="es-AR"/>
        </w:rPr>
        <w:t xml:space="preserve">. </w:t>
      </w:r>
      <w:r>
        <w:rPr>
          <w:rFonts w:ascii="Cambria" w:hAnsi="Cambria"/>
          <w:sz w:val="20"/>
          <w:szCs w:val="20"/>
          <w:lang w:val="es-AR"/>
        </w:rPr>
        <w:t>E</w:t>
      </w:r>
      <w:r w:rsidR="007D57FB">
        <w:rPr>
          <w:rFonts w:ascii="Cambria" w:hAnsi="Cambria"/>
          <w:sz w:val="20"/>
          <w:szCs w:val="20"/>
          <w:lang w:val="es-AR"/>
        </w:rPr>
        <w:t>xplica que el señor Mezerhane es accionista y/o representante legal de distintas empres</w:t>
      </w:r>
      <w:r>
        <w:rPr>
          <w:rFonts w:ascii="Cambria" w:hAnsi="Cambria"/>
          <w:sz w:val="20"/>
          <w:szCs w:val="20"/>
          <w:lang w:val="es-AR"/>
        </w:rPr>
        <w:t>a</w:t>
      </w:r>
      <w:r w:rsidR="007D57FB">
        <w:rPr>
          <w:rFonts w:ascii="Cambria" w:hAnsi="Cambria"/>
          <w:sz w:val="20"/>
          <w:szCs w:val="20"/>
          <w:lang w:val="es-AR"/>
        </w:rPr>
        <w:t>s dedicadas al desarrollo turístico nacional, que habían recibido el encargo del Estado para la recuperación y operación de distintos establecimientos en abandono, que requerían grandes inversiones.</w:t>
      </w:r>
      <w:r w:rsidR="00A747F7">
        <w:rPr>
          <w:rFonts w:ascii="Cambria" w:hAnsi="Cambria"/>
          <w:sz w:val="20"/>
          <w:szCs w:val="20"/>
          <w:lang w:val="es-AR"/>
        </w:rPr>
        <w:t xml:space="preserve"> El 22 de noviembre de 2014, pocos días después del asesinato del fiscal, la Fiscalía 5º del Ministerio Público con Competencia Ambiental a Nivel Nacional dictó una orden de investigación penal contra la empresa Inversora Turística Caracas, por supuesta violación a la legislación penal ambiental en el desarrollo y ejecución de activ</w:t>
      </w:r>
      <w:r>
        <w:rPr>
          <w:rFonts w:ascii="Cambria" w:hAnsi="Cambria"/>
          <w:sz w:val="20"/>
          <w:szCs w:val="20"/>
          <w:lang w:val="es-AR"/>
        </w:rPr>
        <w:t>i</w:t>
      </w:r>
      <w:r w:rsidR="00A747F7">
        <w:rPr>
          <w:rFonts w:ascii="Cambria" w:hAnsi="Cambria"/>
          <w:sz w:val="20"/>
          <w:szCs w:val="20"/>
          <w:lang w:val="es-AR"/>
        </w:rPr>
        <w:t xml:space="preserve">dades en el Parque Nacional El Ávila. </w:t>
      </w:r>
    </w:p>
    <w:p w14:paraId="309EC926" w14:textId="342B1C97" w:rsidR="00932D54" w:rsidRPr="00932D54" w:rsidRDefault="00A747F7" w:rsidP="00932D5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AR"/>
        </w:rPr>
        <w:t xml:space="preserve">El señor Mezerhane fue imputado por la comisión de delitos ambientales el 11 de agosto de 2005, a tres meses de su señalamiento como autor interlecutal del homidicio del fiscal, y no </w:t>
      </w:r>
      <w:r w:rsidR="006334B7">
        <w:rPr>
          <w:rFonts w:ascii="Cambria" w:hAnsi="Cambria"/>
          <w:sz w:val="20"/>
          <w:szCs w:val="20"/>
          <w:lang w:val="es-AR"/>
        </w:rPr>
        <w:t xml:space="preserve">habría sido </w:t>
      </w:r>
      <w:r>
        <w:rPr>
          <w:rFonts w:ascii="Cambria" w:hAnsi="Cambria"/>
          <w:sz w:val="20"/>
          <w:szCs w:val="20"/>
          <w:lang w:val="es-AR"/>
        </w:rPr>
        <w:t>informado sobre las circunstancias de tiempo, lugar y modo de la comisión de su presunto delito, ni de los hechos o datos que arrojó la investigación fiscal. El 16 de octubre</w:t>
      </w:r>
      <w:r w:rsidR="00D370CF">
        <w:rPr>
          <w:rFonts w:ascii="Cambria" w:hAnsi="Cambria"/>
          <w:sz w:val="20"/>
          <w:szCs w:val="20"/>
          <w:lang w:val="es-AR"/>
        </w:rPr>
        <w:t xml:space="preserve"> de 2005</w:t>
      </w:r>
      <w:r>
        <w:rPr>
          <w:rFonts w:ascii="Cambria" w:hAnsi="Cambria"/>
          <w:sz w:val="20"/>
          <w:szCs w:val="20"/>
          <w:lang w:val="es-AR"/>
        </w:rPr>
        <w:t xml:space="preserve"> el Juez Veinticinco de Control del Circuito Penal del Área Metropolitana de Caracas ordenó someterlo a juicio.</w:t>
      </w:r>
      <w:r w:rsidR="006334B7">
        <w:rPr>
          <w:rFonts w:ascii="Cambria" w:hAnsi="Cambria"/>
          <w:sz w:val="20"/>
          <w:szCs w:val="20"/>
          <w:lang w:val="es-AR"/>
        </w:rPr>
        <w:t xml:space="preserve"> En forma posterior, el señor Mezerhane solicitó el abocamiento por parte de la Sala Penal del Tribunal Supremo de Justicia, alegando la violación de sus derechos constitucionales y de los derechos a la defensa y debido proceso así como de la tutela judicial efectiva. Según informa la parte peticionaria, </w:t>
      </w:r>
      <w:r w:rsidR="00280635">
        <w:rPr>
          <w:rFonts w:asciiTheme="majorHAnsi" w:hAnsiTheme="majorHAnsi"/>
          <w:sz w:val="20"/>
          <w:szCs w:val="20"/>
          <w:lang w:val="es-ES"/>
        </w:rPr>
        <w:t>el</w:t>
      </w:r>
      <w:r w:rsidR="006334B7" w:rsidRPr="00A10831">
        <w:rPr>
          <w:rFonts w:asciiTheme="majorHAnsi" w:hAnsiTheme="majorHAnsi"/>
          <w:sz w:val="20"/>
          <w:szCs w:val="20"/>
          <w:lang w:val="es-ES"/>
        </w:rPr>
        <w:t xml:space="preserve"> entonces presidente de la Sala Penal del Tribunal Supremo de Justicia </w:t>
      </w:r>
      <w:r w:rsidR="006334B7">
        <w:rPr>
          <w:rFonts w:asciiTheme="majorHAnsi" w:hAnsiTheme="majorHAnsi"/>
          <w:sz w:val="20"/>
          <w:szCs w:val="20"/>
          <w:lang w:val="es-ES"/>
        </w:rPr>
        <w:t>habría ocultado</w:t>
      </w:r>
      <w:r w:rsidR="006334B7" w:rsidRPr="00A10831">
        <w:rPr>
          <w:rFonts w:asciiTheme="majorHAnsi" w:hAnsiTheme="majorHAnsi"/>
          <w:sz w:val="20"/>
          <w:szCs w:val="20"/>
          <w:lang w:val="es-ES"/>
        </w:rPr>
        <w:t xml:space="preserve"> la sentencia que favorecía a la presunta </w:t>
      </w:r>
      <w:r w:rsidR="006334B7" w:rsidRPr="00A10831">
        <w:rPr>
          <w:rFonts w:asciiTheme="majorHAnsi" w:hAnsiTheme="majorHAnsi"/>
          <w:sz w:val="20"/>
          <w:szCs w:val="20"/>
          <w:lang w:val="es-AR"/>
        </w:rPr>
        <w:t>víctima, y que se encontraba</w:t>
      </w:r>
      <w:r w:rsidR="006334B7" w:rsidRPr="00A10831">
        <w:rPr>
          <w:rFonts w:asciiTheme="majorHAnsi" w:hAnsiTheme="majorHAnsi"/>
          <w:sz w:val="20"/>
          <w:szCs w:val="20"/>
          <w:lang w:val="es-ES"/>
        </w:rPr>
        <w:t xml:space="preserve"> ya aprobada y firmada por todos los integrantes de la Sala Penal en noviembre de 2009</w:t>
      </w:r>
      <w:r w:rsidR="00280635">
        <w:rPr>
          <w:rFonts w:asciiTheme="majorHAnsi" w:hAnsiTheme="majorHAnsi"/>
          <w:sz w:val="20"/>
          <w:szCs w:val="20"/>
          <w:lang w:val="es-ES"/>
        </w:rPr>
        <w:t xml:space="preserve">, </w:t>
      </w:r>
      <w:r w:rsidR="00280635" w:rsidRPr="00280635">
        <w:rPr>
          <w:rFonts w:asciiTheme="majorHAnsi" w:hAnsiTheme="majorHAnsi"/>
          <w:sz w:val="20"/>
          <w:szCs w:val="20"/>
          <w:lang w:val="es-ES"/>
        </w:rPr>
        <w:t xml:space="preserve">y </w:t>
      </w:r>
      <w:r w:rsidR="00D370CF" w:rsidRPr="00280635">
        <w:rPr>
          <w:rFonts w:asciiTheme="majorHAnsi" w:hAnsiTheme="majorHAnsi"/>
          <w:sz w:val="20"/>
          <w:szCs w:val="20"/>
          <w:lang w:val="es-ES"/>
        </w:rPr>
        <w:t xml:space="preserve"> se emitió otra distinta que cambió dicho criterio y se publicó el 17 de agosto de 2010, sin haberse redactado aún</w:t>
      </w:r>
      <w:r w:rsidR="00D370CF" w:rsidRPr="00932D54">
        <w:rPr>
          <w:rFonts w:asciiTheme="majorHAnsi" w:hAnsiTheme="majorHAnsi"/>
          <w:sz w:val="20"/>
          <w:szCs w:val="20"/>
          <w:lang w:val="es-ES"/>
        </w:rPr>
        <w:t xml:space="preserve"> </w:t>
      </w:r>
      <w:r w:rsidR="00932D54">
        <w:rPr>
          <w:rFonts w:asciiTheme="majorHAnsi" w:hAnsiTheme="majorHAnsi"/>
          <w:sz w:val="20"/>
          <w:szCs w:val="20"/>
          <w:lang w:val="es-ES"/>
        </w:rPr>
        <w:t xml:space="preserve">. </w:t>
      </w:r>
    </w:p>
    <w:p w14:paraId="499CB3B2" w14:textId="6C737717" w:rsidR="00D370CF" w:rsidRPr="00F13B46" w:rsidRDefault="00932D54" w:rsidP="00920C8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932D54">
        <w:rPr>
          <w:rFonts w:ascii="Cambria" w:hAnsi="Cambria"/>
          <w:sz w:val="20"/>
          <w:szCs w:val="20"/>
          <w:lang w:val="es-ES"/>
        </w:rPr>
        <w:t>Si bien la Jueza Décimo Segundo</w:t>
      </w:r>
      <w:r>
        <w:rPr>
          <w:rFonts w:ascii="Cambria" w:hAnsi="Cambria"/>
          <w:sz w:val="20"/>
          <w:szCs w:val="20"/>
          <w:lang w:val="es-ES"/>
        </w:rPr>
        <w:t xml:space="preserve"> de Juicio decidió liberar al señor </w:t>
      </w:r>
      <w:proofErr w:type="spellStart"/>
      <w:r>
        <w:rPr>
          <w:rFonts w:ascii="Cambria" w:hAnsi="Cambria"/>
          <w:sz w:val="20"/>
          <w:szCs w:val="20"/>
          <w:lang w:val="es-ES"/>
        </w:rPr>
        <w:t>Mezerhane</w:t>
      </w:r>
      <w:proofErr w:type="spellEnd"/>
      <w:r>
        <w:rPr>
          <w:rFonts w:ascii="Cambria" w:hAnsi="Cambria"/>
          <w:sz w:val="20"/>
          <w:szCs w:val="20"/>
          <w:lang w:val="es-ES"/>
        </w:rPr>
        <w:t xml:space="preserve"> de toda responsabilidad penal en el asunto ambiental, el 13 de agosto de 2009 la misma fue destituida y su decisión</w:t>
      </w:r>
      <w:r w:rsidR="00D370CF" w:rsidRPr="00932D54">
        <w:rPr>
          <w:rFonts w:ascii="Cambria" w:hAnsi="Cambria"/>
          <w:sz w:val="20"/>
          <w:szCs w:val="20"/>
          <w:lang w:val="es-ES"/>
        </w:rPr>
        <w:t xml:space="preserve"> </w:t>
      </w:r>
      <w:r>
        <w:rPr>
          <w:rFonts w:ascii="Cambria" w:hAnsi="Cambria"/>
          <w:sz w:val="20"/>
          <w:szCs w:val="20"/>
          <w:lang w:val="es-ES"/>
        </w:rPr>
        <w:t>fue revocada por la Sala 9º de la Corte de Apelaciones del Circuito Judicial del Área Metropolitana de Caracas</w:t>
      </w:r>
      <w:r w:rsidR="00D84567">
        <w:rPr>
          <w:rFonts w:ascii="Cambria" w:hAnsi="Cambria"/>
          <w:sz w:val="20"/>
          <w:szCs w:val="20"/>
          <w:lang w:val="es-ES"/>
        </w:rPr>
        <w:t xml:space="preserve">, que </w:t>
      </w:r>
      <w:r w:rsidR="00D84567">
        <w:rPr>
          <w:rFonts w:ascii="Cambria" w:hAnsi="Cambria"/>
          <w:sz w:val="20"/>
          <w:szCs w:val="20"/>
          <w:lang w:val="es-ES"/>
        </w:rPr>
        <w:lastRenderedPageBreak/>
        <w:t xml:space="preserve">ordenó a realización de un nuevo juicio. Asimismo, en 2007, fueron rescindidos unilateralmente o impedidos de llevar </w:t>
      </w:r>
      <w:r w:rsidR="00D84567" w:rsidRPr="00280635">
        <w:rPr>
          <w:rFonts w:ascii="Cambria" w:hAnsi="Cambria"/>
          <w:sz w:val="20"/>
          <w:szCs w:val="20"/>
          <w:lang w:val="es-ES"/>
        </w:rPr>
        <w:t xml:space="preserve">a cabo los contratos de </w:t>
      </w:r>
      <w:r w:rsidR="00D84567" w:rsidRPr="00F13B46">
        <w:rPr>
          <w:rFonts w:ascii="Cambria" w:hAnsi="Cambria"/>
          <w:sz w:val="20"/>
          <w:szCs w:val="20"/>
          <w:lang w:val="es-ES"/>
        </w:rPr>
        <w:t xml:space="preserve">operación turística realizados por las empresas del señor </w:t>
      </w:r>
      <w:proofErr w:type="spellStart"/>
      <w:r w:rsidR="00D84567" w:rsidRPr="00F13B46">
        <w:rPr>
          <w:rFonts w:ascii="Cambria" w:hAnsi="Cambria"/>
          <w:sz w:val="20"/>
          <w:szCs w:val="20"/>
          <w:lang w:val="es-ES"/>
        </w:rPr>
        <w:t>Mezerhane</w:t>
      </w:r>
      <w:proofErr w:type="spellEnd"/>
      <w:r w:rsidR="00D84567" w:rsidRPr="00F13B46">
        <w:rPr>
          <w:rFonts w:ascii="Cambria" w:hAnsi="Cambria"/>
          <w:sz w:val="20"/>
          <w:szCs w:val="20"/>
          <w:lang w:val="es-ES"/>
        </w:rPr>
        <w:t xml:space="preserve"> con el Estado</w:t>
      </w:r>
      <w:r w:rsidR="00AD0FB0" w:rsidRPr="00F13B46">
        <w:rPr>
          <w:rFonts w:ascii="Cambria" w:hAnsi="Cambria"/>
          <w:sz w:val="20"/>
          <w:szCs w:val="20"/>
          <w:lang w:val="es-ES"/>
        </w:rPr>
        <w:t>.</w:t>
      </w:r>
    </w:p>
    <w:p w14:paraId="1B921B0C" w14:textId="337E09EE" w:rsidR="00A41397" w:rsidRPr="00F13B46" w:rsidRDefault="00C77F49" w:rsidP="00FD22B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F13B46">
        <w:rPr>
          <w:rFonts w:ascii="Cambria" w:hAnsi="Cambria"/>
          <w:sz w:val="20"/>
          <w:szCs w:val="20"/>
          <w:lang w:val="es-AR"/>
        </w:rPr>
        <w:t>E</w:t>
      </w:r>
      <w:r w:rsidR="000A29CF" w:rsidRPr="00F13B46">
        <w:rPr>
          <w:rFonts w:ascii="Cambria" w:hAnsi="Cambria"/>
          <w:sz w:val="20"/>
          <w:szCs w:val="20"/>
          <w:lang w:val="es-AR"/>
        </w:rPr>
        <w:t xml:space="preserve">n relación al tercer procedimiento, </w:t>
      </w:r>
      <w:r w:rsidR="000F6164" w:rsidRPr="00F13B46">
        <w:rPr>
          <w:rFonts w:ascii="Cambria" w:hAnsi="Cambria"/>
          <w:sz w:val="20"/>
          <w:szCs w:val="20"/>
          <w:lang w:val="es-AR"/>
        </w:rPr>
        <w:t xml:space="preserve">la parte peticionaria </w:t>
      </w:r>
      <w:r w:rsidR="000A29CF" w:rsidRPr="00F13B46">
        <w:rPr>
          <w:rFonts w:ascii="Cambria" w:hAnsi="Cambria"/>
          <w:sz w:val="20"/>
          <w:szCs w:val="20"/>
          <w:lang w:val="es-AR"/>
        </w:rPr>
        <w:t xml:space="preserve">informa que </w:t>
      </w:r>
      <w:r w:rsidRPr="00F13B46">
        <w:rPr>
          <w:rFonts w:asciiTheme="majorHAnsi" w:hAnsiTheme="majorHAnsi"/>
          <w:sz w:val="20"/>
          <w:szCs w:val="20"/>
          <w:lang w:val="es-ES"/>
        </w:rPr>
        <w:t xml:space="preserve">el entonces Presidente Chávez ordenó públicamente </w:t>
      </w:r>
      <w:r w:rsidR="005D0B54" w:rsidRPr="00F13B46">
        <w:rPr>
          <w:rFonts w:asciiTheme="majorHAnsi" w:hAnsiTheme="majorHAnsi"/>
          <w:sz w:val="20"/>
          <w:szCs w:val="20"/>
          <w:lang w:val="es-ES"/>
        </w:rPr>
        <w:t xml:space="preserve">el 19 de diciembre de 2009 </w:t>
      </w:r>
      <w:r w:rsidRPr="00F13B46">
        <w:rPr>
          <w:rFonts w:asciiTheme="majorHAnsi" w:hAnsiTheme="majorHAnsi"/>
          <w:sz w:val="20"/>
          <w:szCs w:val="20"/>
          <w:lang w:val="es-ES"/>
        </w:rPr>
        <w:t xml:space="preserve">a la entonces Fiscal General de la República que investigara penalmente al señor </w:t>
      </w:r>
      <w:proofErr w:type="spellStart"/>
      <w:r w:rsidRPr="00F13B46">
        <w:rPr>
          <w:rFonts w:asciiTheme="majorHAnsi" w:hAnsiTheme="majorHAnsi"/>
          <w:bCs/>
          <w:sz w:val="20"/>
          <w:szCs w:val="20"/>
          <w:lang w:val="es-ES_tradnl"/>
        </w:rPr>
        <w:t>Mezerhane</w:t>
      </w:r>
      <w:proofErr w:type="spellEnd"/>
      <w:r w:rsidRPr="00F13B46">
        <w:rPr>
          <w:rFonts w:asciiTheme="majorHAnsi" w:hAnsiTheme="majorHAnsi"/>
          <w:bCs/>
          <w:sz w:val="20"/>
          <w:szCs w:val="20"/>
          <w:lang w:val="es-ES_tradnl"/>
        </w:rPr>
        <w:t>, luego de que éste declarara y denunciara</w:t>
      </w:r>
      <w:r w:rsidRPr="00F13B46">
        <w:rPr>
          <w:rFonts w:asciiTheme="majorHAnsi" w:hAnsiTheme="majorHAnsi"/>
          <w:sz w:val="20"/>
          <w:szCs w:val="20"/>
          <w:lang w:val="es-ES"/>
        </w:rPr>
        <w:t xml:space="preserve"> ante la prensa sobre la campaña que habrían empre</w:t>
      </w:r>
      <w:r w:rsidR="00804143" w:rsidRPr="00F13B46">
        <w:rPr>
          <w:rFonts w:asciiTheme="majorHAnsi" w:hAnsiTheme="majorHAnsi"/>
          <w:sz w:val="20"/>
          <w:szCs w:val="20"/>
          <w:lang w:val="es-ES"/>
        </w:rPr>
        <w:t>n</w:t>
      </w:r>
      <w:r w:rsidRPr="00F13B46">
        <w:rPr>
          <w:rFonts w:asciiTheme="majorHAnsi" w:hAnsiTheme="majorHAnsi"/>
          <w:sz w:val="20"/>
          <w:szCs w:val="20"/>
          <w:lang w:val="es-ES"/>
        </w:rPr>
        <w:t xml:space="preserve">dido funcionarios y periodistas al servicio del gobierno contra </w:t>
      </w:r>
      <w:r w:rsidR="005D0B54" w:rsidRPr="00F13B46">
        <w:rPr>
          <w:rFonts w:asciiTheme="majorHAnsi" w:hAnsiTheme="majorHAnsi"/>
          <w:sz w:val="20"/>
          <w:szCs w:val="20"/>
          <w:lang w:val="es-ES"/>
        </w:rPr>
        <w:t xml:space="preserve">el Banco Federal, del cual era </w:t>
      </w:r>
      <w:r w:rsidR="00FD22BB" w:rsidRPr="00F13B46">
        <w:rPr>
          <w:rFonts w:asciiTheme="majorHAnsi" w:hAnsiTheme="majorHAnsi"/>
          <w:sz w:val="20"/>
          <w:szCs w:val="20"/>
          <w:lang w:val="es-ES"/>
        </w:rPr>
        <w:t>accionista y presidente</w:t>
      </w:r>
      <w:r w:rsidRPr="00F13B46">
        <w:rPr>
          <w:rFonts w:asciiTheme="majorHAnsi" w:hAnsiTheme="majorHAnsi"/>
          <w:sz w:val="20"/>
          <w:szCs w:val="20"/>
          <w:lang w:val="es-ES"/>
        </w:rPr>
        <w:t>.</w:t>
      </w:r>
      <w:r w:rsidR="00FD22BB" w:rsidRPr="00F13B46">
        <w:rPr>
          <w:rFonts w:ascii="Cambria" w:hAnsi="Cambria"/>
          <w:sz w:val="20"/>
          <w:szCs w:val="20"/>
          <w:lang w:val="es-ES"/>
        </w:rPr>
        <w:t xml:space="preserve"> </w:t>
      </w:r>
      <w:r w:rsidR="00A41397" w:rsidRPr="00F13B46">
        <w:rPr>
          <w:rFonts w:asciiTheme="majorHAnsi" w:hAnsiTheme="majorHAnsi"/>
          <w:sz w:val="20"/>
          <w:szCs w:val="20"/>
          <w:lang w:val="es-ES"/>
        </w:rPr>
        <w:t>Afirma que intenta</w:t>
      </w:r>
      <w:r w:rsidR="003F01E7">
        <w:rPr>
          <w:rFonts w:asciiTheme="majorHAnsi" w:hAnsiTheme="majorHAnsi"/>
          <w:sz w:val="20"/>
          <w:szCs w:val="20"/>
          <w:lang w:val="es-ES"/>
        </w:rPr>
        <w:t>ron</w:t>
      </w:r>
      <w:r w:rsidR="00A41397" w:rsidRPr="00F13B46">
        <w:rPr>
          <w:rFonts w:asciiTheme="majorHAnsi" w:hAnsiTheme="majorHAnsi"/>
          <w:sz w:val="20"/>
          <w:szCs w:val="20"/>
          <w:lang w:val="es-ES"/>
        </w:rPr>
        <w:t xml:space="preserve"> hacer quebrar</w:t>
      </w:r>
      <w:r w:rsidR="00FD6475">
        <w:rPr>
          <w:rFonts w:asciiTheme="majorHAnsi" w:hAnsiTheme="majorHAnsi"/>
          <w:sz w:val="20"/>
          <w:szCs w:val="20"/>
          <w:lang w:val="es-ES"/>
        </w:rPr>
        <w:t xml:space="preserve"> al Banco</w:t>
      </w:r>
      <w:r w:rsidR="00A41397" w:rsidRPr="00F13B46">
        <w:rPr>
          <w:rFonts w:asciiTheme="majorHAnsi" w:hAnsiTheme="majorHAnsi"/>
          <w:sz w:val="20"/>
          <w:szCs w:val="20"/>
          <w:lang w:val="es-ES"/>
        </w:rPr>
        <w:t xml:space="preserve"> creyendo que </w:t>
      </w:r>
      <w:r w:rsidR="00FD6475">
        <w:rPr>
          <w:rFonts w:asciiTheme="majorHAnsi" w:hAnsiTheme="majorHAnsi"/>
          <w:sz w:val="20"/>
          <w:szCs w:val="20"/>
          <w:lang w:val="es-ES"/>
        </w:rPr>
        <w:t xml:space="preserve">el señor </w:t>
      </w:r>
      <w:proofErr w:type="spellStart"/>
      <w:r w:rsidR="00FD6475">
        <w:rPr>
          <w:rFonts w:asciiTheme="majorHAnsi" w:hAnsiTheme="majorHAnsi"/>
          <w:sz w:val="20"/>
          <w:szCs w:val="20"/>
          <w:lang w:val="es-ES"/>
        </w:rPr>
        <w:t>Mezerhane</w:t>
      </w:r>
      <w:proofErr w:type="spellEnd"/>
      <w:r w:rsidR="00FD6475">
        <w:rPr>
          <w:rFonts w:asciiTheme="majorHAnsi" w:hAnsiTheme="majorHAnsi"/>
          <w:sz w:val="20"/>
          <w:szCs w:val="20"/>
          <w:lang w:val="es-ES"/>
        </w:rPr>
        <w:t xml:space="preserve"> era</w:t>
      </w:r>
      <w:r w:rsidR="00A41397" w:rsidRPr="00F13B46">
        <w:rPr>
          <w:rFonts w:asciiTheme="majorHAnsi" w:hAnsiTheme="majorHAnsi"/>
          <w:sz w:val="20"/>
          <w:szCs w:val="20"/>
          <w:lang w:val="es-ES"/>
        </w:rPr>
        <w:t xml:space="preserve"> el propietario de Globovisión</w:t>
      </w:r>
      <w:r w:rsidR="00FD6475">
        <w:rPr>
          <w:rFonts w:asciiTheme="majorHAnsi" w:hAnsiTheme="majorHAnsi"/>
          <w:sz w:val="20"/>
          <w:szCs w:val="20"/>
          <w:lang w:val="es-ES"/>
        </w:rPr>
        <w:t>,</w:t>
      </w:r>
      <w:r w:rsidR="00A41397" w:rsidRPr="00F13B46">
        <w:rPr>
          <w:rFonts w:asciiTheme="majorHAnsi" w:hAnsiTheme="majorHAnsi"/>
          <w:sz w:val="20"/>
          <w:szCs w:val="20"/>
          <w:lang w:val="es-ES"/>
        </w:rPr>
        <w:t xml:space="preserve"> y que</w:t>
      </w:r>
      <w:r w:rsidR="00FD6475">
        <w:rPr>
          <w:rFonts w:asciiTheme="majorHAnsi" w:hAnsiTheme="majorHAnsi"/>
          <w:sz w:val="20"/>
          <w:szCs w:val="20"/>
          <w:lang w:val="es-ES"/>
        </w:rPr>
        <w:t xml:space="preserve">, </w:t>
      </w:r>
      <w:r w:rsidR="007F1023">
        <w:rPr>
          <w:rFonts w:asciiTheme="majorHAnsi" w:hAnsiTheme="majorHAnsi"/>
          <w:sz w:val="20"/>
          <w:szCs w:val="20"/>
          <w:lang w:val="es-ES"/>
        </w:rPr>
        <w:t>por ello</w:t>
      </w:r>
      <w:r w:rsidR="00FD6475">
        <w:rPr>
          <w:rFonts w:asciiTheme="majorHAnsi" w:hAnsiTheme="majorHAnsi"/>
          <w:sz w:val="20"/>
          <w:szCs w:val="20"/>
          <w:lang w:val="es-ES"/>
        </w:rPr>
        <w:t>,</w:t>
      </w:r>
      <w:r w:rsidR="00A41397" w:rsidRPr="00F13B46">
        <w:rPr>
          <w:rFonts w:asciiTheme="majorHAnsi" w:hAnsiTheme="majorHAnsi"/>
          <w:sz w:val="20"/>
          <w:szCs w:val="20"/>
          <w:lang w:val="es-ES"/>
        </w:rPr>
        <w:t xml:space="preserve"> distintos ministros del Estado le </w:t>
      </w:r>
      <w:r w:rsidR="00FD6475">
        <w:rPr>
          <w:rFonts w:asciiTheme="majorHAnsi" w:hAnsiTheme="majorHAnsi"/>
          <w:sz w:val="20"/>
          <w:szCs w:val="20"/>
          <w:lang w:val="es-ES"/>
        </w:rPr>
        <w:t xml:space="preserve">hicieron </w:t>
      </w:r>
      <w:r w:rsidR="00A41397" w:rsidRPr="00F13B46">
        <w:rPr>
          <w:rFonts w:asciiTheme="majorHAnsi" w:hAnsiTheme="majorHAnsi"/>
          <w:sz w:val="20"/>
          <w:szCs w:val="20"/>
          <w:lang w:val="es-ES"/>
        </w:rPr>
        <w:t>saber que deb</w:t>
      </w:r>
      <w:r w:rsidR="00FD6475">
        <w:rPr>
          <w:rFonts w:asciiTheme="majorHAnsi" w:hAnsiTheme="majorHAnsi"/>
          <w:sz w:val="20"/>
          <w:szCs w:val="20"/>
          <w:lang w:val="es-ES"/>
        </w:rPr>
        <w:t>ía</w:t>
      </w:r>
      <w:r w:rsidR="00A41397" w:rsidRPr="00F13B46">
        <w:rPr>
          <w:rFonts w:asciiTheme="majorHAnsi" w:hAnsiTheme="majorHAnsi"/>
          <w:sz w:val="20"/>
          <w:szCs w:val="20"/>
          <w:lang w:val="es-ES"/>
        </w:rPr>
        <w:t xml:space="preserve"> vender el canal de televisión “para sortear sus dificultades</w:t>
      </w:r>
      <w:r w:rsidR="00FD6475">
        <w:rPr>
          <w:rFonts w:asciiTheme="majorHAnsi" w:hAnsiTheme="majorHAnsi"/>
          <w:sz w:val="20"/>
          <w:szCs w:val="20"/>
          <w:lang w:val="es-ES"/>
        </w:rPr>
        <w:t>”</w:t>
      </w:r>
      <w:r w:rsidR="00A41397" w:rsidRPr="00F13B46">
        <w:rPr>
          <w:rFonts w:asciiTheme="majorHAnsi" w:hAnsiTheme="majorHAnsi"/>
          <w:sz w:val="20"/>
          <w:szCs w:val="20"/>
          <w:lang w:val="es-ES"/>
        </w:rPr>
        <w:t xml:space="preserve"> Sostiene, asimismo, que al no aceptar el ultimátum del entonces Presidente Chávez de variar la línea editorial de Globovisión </w:t>
      </w:r>
      <w:r w:rsidR="00A41397" w:rsidRPr="00F13B46">
        <w:rPr>
          <w:rFonts w:ascii="Cambria" w:hAnsi="Cambria"/>
          <w:sz w:val="20"/>
          <w:szCs w:val="20"/>
          <w:lang w:val="es-AR"/>
        </w:rPr>
        <w:t xml:space="preserve">en mayo de 2010, a su solicitud, se intervino </w:t>
      </w:r>
      <w:r w:rsidR="00A41397" w:rsidRPr="00F13B46">
        <w:rPr>
          <w:rFonts w:asciiTheme="majorHAnsi" w:hAnsiTheme="majorHAnsi"/>
          <w:bCs/>
          <w:sz w:val="20"/>
          <w:szCs w:val="20"/>
          <w:lang w:val="es-ES_tradnl"/>
        </w:rPr>
        <w:t>el 14 de junio de 2010 a puertas cerradas el Banco Federal</w:t>
      </w:r>
      <w:r w:rsidR="00280635" w:rsidRPr="00F13B46">
        <w:rPr>
          <w:rFonts w:asciiTheme="majorHAnsi" w:hAnsiTheme="majorHAnsi"/>
          <w:bCs/>
          <w:sz w:val="20"/>
          <w:szCs w:val="20"/>
          <w:lang w:val="es-ES_tradnl"/>
        </w:rPr>
        <w:t xml:space="preserve"> y el Ministerio Público solicitó medidas cautelares contra el señor </w:t>
      </w:r>
      <w:proofErr w:type="spellStart"/>
      <w:r w:rsidR="00280635" w:rsidRPr="00F13B46">
        <w:rPr>
          <w:rFonts w:asciiTheme="majorHAnsi" w:hAnsiTheme="majorHAnsi"/>
          <w:bCs/>
          <w:sz w:val="20"/>
          <w:szCs w:val="20"/>
          <w:lang w:val="es-ES_tradnl"/>
        </w:rPr>
        <w:t>Mezerhane</w:t>
      </w:r>
      <w:proofErr w:type="spellEnd"/>
      <w:r w:rsidR="00280635" w:rsidRPr="00F13B46">
        <w:rPr>
          <w:rFonts w:asciiTheme="majorHAnsi" w:hAnsiTheme="majorHAnsi"/>
          <w:bCs/>
          <w:sz w:val="20"/>
          <w:szCs w:val="20"/>
          <w:lang w:val="es-ES_tradnl"/>
        </w:rPr>
        <w:t>, que incluían la prohibición de salir del país</w:t>
      </w:r>
      <w:r w:rsidR="006F578E">
        <w:rPr>
          <w:rFonts w:asciiTheme="majorHAnsi" w:hAnsiTheme="majorHAnsi"/>
          <w:bCs/>
          <w:sz w:val="20"/>
          <w:szCs w:val="20"/>
          <w:lang w:val="es-ES_tradnl"/>
        </w:rPr>
        <w:t xml:space="preserve"> y la prohibición de enajenar y gravar sus bienes</w:t>
      </w:r>
      <w:r w:rsidR="00A41397" w:rsidRPr="00F13B46">
        <w:rPr>
          <w:rFonts w:asciiTheme="majorHAnsi" w:hAnsiTheme="majorHAnsi"/>
          <w:bCs/>
          <w:sz w:val="20"/>
          <w:szCs w:val="20"/>
          <w:lang w:val="es-ES_tradnl"/>
        </w:rPr>
        <w:t>.</w:t>
      </w:r>
      <w:r w:rsidR="00280635" w:rsidRPr="00F13B46">
        <w:rPr>
          <w:rFonts w:asciiTheme="majorHAnsi" w:hAnsiTheme="majorHAnsi"/>
          <w:bCs/>
          <w:sz w:val="20"/>
          <w:szCs w:val="20"/>
          <w:lang w:val="es-ES_tradnl"/>
        </w:rPr>
        <w:t xml:space="preserve"> </w:t>
      </w:r>
      <w:r w:rsidR="00FD6475">
        <w:rPr>
          <w:rFonts w:asciiTheme="majorHAnsi" w:hAnsiTheme="majorHAnsi"/>
          <w:bCs/>
          <w:sz w:val="20"/>
          <w:szCs w:val="20"/>
          <w:lang w:val="es-ES_tradnl"/>
        </w:rPr>
        <w:t>El Estado ordenó la liquidación del Banco Federal</w:t>
      </w:r>
      <w:r w:rsidR="00280635" w:rsidRPr="00F13B46">
        <w:rPr>
          <w:rFonts w:asciiTheme="majorHAnsi" w:hAnsiTheme="majorHAnsi"/>
          <w:bCs/>
          <w:sz w:val="20"/>
          <w:szCs w:val="20"/>
          <w:lang w:val="es-ES_tradnl"/>
        </w:rPr>
        <w:t xml:space="preserve">, bajo falsos supuestos y argumentos vinculados a una supuesta crisis patrimonial e iliquidez </w:t>
      </w:r>
      <w:proofErr w:type="gramStart"/>
      <w:r w:rsidR="00280635" w:rsidRPr="00F13B46">
        <w:rPr>
          <w:rFonts w:asciiTheme="majorHAnsi" w:hAnsiTheme="majorHAnsi"/>
          <w:bCs/>
          <w:sz w:val="20"/>
          <w:szCs w:val="20"/>
          <w:lang w:val="es-ES_tradnl"/>
        </w:rPr>
        <w:t xml:space="preserve">del </w:t>
      </w:r>
      <w:r w:rsidR="00FD6475">
        <w:rPr>
          <w:rFonts w:asciiTheme="majorHAnsi" w:hAnsiTheme="majorHAnsi"/>
          <w:bCs/>
          <w:sz w:val="20"/>
          <w:szCs w:val="20"/>
          <w:lang w:val="es-ES_tradnl"/>
        </w:rPr>
        <w:t>mismo</w:t>
      </w:r>
      <w:proofErr w:type="gramEnd"/>
      <w:r w:rsidR="00280635" w:rsidRPr="00F13B46">
        <w:rPr>
          <w:rFonts w:asciiTheme="majorHAnsi" w:hAnsiTheme="majorHAnsi"/>
          <w:bCs/>
          <w:sz w:val="20"/>
          <w:szCs w:val="20"/>
          <w:lang w:val="es-ES_tradnl"/>
        </w:rPr>
        <w:t xml:space="preserve">, a pesar de que la evaluación de la </w:t>
      </w:r>
      <w:r w:rsidR="00280635" w:rsidRPr="00F13B46">
        <w:rPr>
          <w:rFonts w:ascii="Cambria" w:hAnsi="Cambria"/>
          <w:bCs/>
          <w:sz w:val="20"/>
          <w:szCs w:val="20"/>
          <w:lang w:val="es-ES_tradnl"/>
        </w:rPr>
        <w:t>Superintendencia de Bancos</w:t>
      </w:r>
      <w:r w:rsidR="00280635" w:rsidRPr="00F13B46">
        <w:rPr>
          <w:rFonts w:asciiTheme="majorHAnsi" w:hAnsiTheme="majorHAnsi"/>
          <w:bCs/>
          <w:sz w:val="20"/>
          <w:szCs w:val="20"/>
          <w:lang w:val="es-ES_tradnl"/>
        </w:rPr>
        <w:t xml:space="preserve"> en ese período señalaba que el banco tenía estabilidad patrimonial y liquidez.</w:t>
      </w:r>
      <w:r w:rsidR="00FD6475">
        <w:rPr>
          <w:rFonts w:asciiTheme="majorHAnsi" w:hAnsiTheme="majorHAnsi"/>
          <w:bCs/>
          <w:sz w:val="20"/>
          <w:szCs w:val="20"/>
          <w:lang w:val="es-ES_tradnl"/>
        </w:rPr>
        <w:t xml:space="preserve"> Asimismo, el Estado ordenó </w:t>
      </w:r>
      <w:r w:rsidR="00FD6475" w:rsidRPr="00FD6475">
        <w:rPr>
          <w:rFonts w:asciiTheme="majorHAnsi" w:hAnsiTheme="majorHAnsi"/>
          <w:bCs/>
          <w:sz w:val="20"/>
          <w:szCs w:val="20"/>
          <w:lang w:val="es-ES"/>
        </w:rPr>
        <w:t xml:space="preserve">la </w:t>
      </w:r>
      <w:r w:rsidR="00FD6475">
        <w:rPr>
          <w:rFonts w:asciiTheme="majorHAnsi" w:hAnsiTheme="majorHAnsi"/>
          <w:bCs/>
          <w:sz w:val="20"/>
          <w:szCs w:val="20"/>
          <w:lang w:val="es-ES"/>
        </w:rPr>
        <w:t xml:space="preserve">intervención y </w:t>
      </w:r>
      <w:r w:rsidR="00FD6475" w:rsidRPr="00FD6475">
        <w:rPr>
          <w:rFonts w:asciiTheme="majorHAnsi" w:hAnsiTheme="majorHAnsi"/>
          <w:bCs/>
          <w:sz w:val="20"/>
          <w:szCs w:val="20"/>
          <w:lang w:val="es-ES"/>
        </w:rPr>
        <w:t>liquidación de</w:t>
      </w:r>
      <w:r w:rsidR="00FD6475">
        <w:rPr>
          <w:rFonts w:asciiTheme="majorHAnsi" w:hAnsiTheme="majorHAnsi"/>
          <w:bCs/>
          <w:sz w:val="20"/>
          <w:szCs w:val="20"/>
          <w:lang w:val="es-ES"/>
        </w:rPr>
        <w:t xml:space="preserve"> la sociedad mercantil</w:t>
      </w:r>
      <w:r w:rsidR="00FD6475" w:rsidRPr="00FD6475">
        <w:rPr>
          <w:rFonts w:asciiTheme="majorHAnsi" w:hAnsiTheme="majorHAnsi"/>
          <w:bCs/>
          <w:sz w:val="20"/>
          <w:szCs w:val="20"/>
          <w:lang w:val="es-ES"/>
        </w:rPr>
        <w:t xml:space="preserve"> Sindicato Ávila, cuyas acciones eran propiedad directa de</w:t>
      </w:r>
      <w:r w:rsidR="00FD6475">
        <w:rPr>
          <w:rFonts w:asciiTheme="majorHAnsi" w:hAnsiTheme="majorHAnsi"/>
          <w:bCs/>
          <w:sz w:val="20"/>
          <w:szCs w:val="20"/>
          <w:lang w:val="es-ES"/>
        </w:rPr>
        <w:t>l señor</w:t>
      </w:r>
      <w:r w:rsidR="00FD6475" w:rsidRPr="00FD6475">
        <w:rPr>
          <w:rFonts w:asciiTheme="majorHAnsi" w:hAnsiTheme="majorHAnsi"/>
          <w:bCs/>
          <w:sz w:val="20"/>
          <w:szCs w:val="20"/>
          <w:lang w:val="es-ES"/>
        </w:rPr>
        <w:t xml:space="preserve"> </w:t>
      </w:r>
      <w:proofErr w:type="spellStart"/>
      <w:r w:rsidR="00FD6475" w:rsidRPr="00FD6475">
        <w:rPr>
          <w:rFonts w:asciiTheme="majorHAnsi" w:hAnsiTheme="majorHAnsi"/>
          <w:bCs/>
          <w:sz w:val="20"/>
          <w:szCs w:val="20"/>
          <w:lang w:val="es-ES"/>
        </w:rPr>
        <w:t>Mezerhane</w:t>
      </w:r>
      <w:proofErr w:type="spellEnd"/>
      <w:r w:rsidR="00FD6475" w:rsidRPr="00FD6475">
        <w:rPr>
          <w:rFonts w:asciiTheme="majorHAnsi" w:hAnsiTheme="majorHAnsi"/>
          <w:bCs/>
          <w:sz w:val="20"/>
          <w:szCs w:val="20"/>
          <w:lang w:val="es-ES"/>
        </w:rPr>
        <w:t xml:space="preserve">. </w:t>
      </w:r>
      <w:r w:rsidR="00FD6475">
        <w:rPr>
          <w:rFonts w:asciiTheme="majorHAnsi" w:hAnsiTheme="majorHAnsi"/>
          <w:bCs/>
          <w:sz w:val="20"/>
          <w:szCs w:val="20"/>
          <w:lang w:val="es-ES"/>
        </w:rPr>
        <w:t>Esta sociedad</w:t>
      </w:r>
      <w:r w:rsidR="00FD6475" w:rsidRPr="00FD6475">
        <w:rPr>
          <w:rFonts w:asciiTheme="majorHAnsi" w:hAnsiTheme="majorHAnsi"/>
          <w:bCs/>
          <w:sz w:val="20"/>
          <w:szCs w:val="20"/>
          <w:lang w:val="es-ES"/>
        </w:rPr>
        <w:t xml:space="preserve"> era propietari</w:t>
      </w:r>
      <w:r w:rsidR="00FD6475">
        <w:rPr>
          <w:rFonts w:asciiTheme="majorHAnsi" w:hAnsiTheme="majorHAnsi"/>
          <w:bCs/>
          <w:sz w:val="20"/>
          <w:szCs w:val="20"/>
          <w:lang w:val="es-ES"/>
        </w:rPr>
        <w:t>a</w:t>
      </w:r>
      <w:r w:rsidR="00FD6475" w:rsidRPr="00FD6475">
        <w:rPr>
          <w:rFonts w:asciiTheme="majorHAnsi" w:hAnsiTheme="majorHAnsi"/>
          <w:bCs/>
          <w:sz w:val="20"/>
          <w:szCs w:val="20"/>
          <w:lang w:val="es-ES"/>
        </w:rPr>
        <w:t xml:space="preserve"> del 20% de las acciones de </w:t>
      </w:r>
      <w:proofErr w:type="spellStart"/>
      <w:r w:rsidR="00FD6475" w:rsidRPr="00FD6475">
        <w:rPr>
          <w:rFonts w:asciiTheme="majorHAnsi" w:hAnsiTheme="majorHAnsi"/>
          <w:bCs/>
          <w:sz w:val="20"/>
          <w:szCs w:val="20"/>
          <w:lang w:val="es-ES"/>
        </w:rPr>
        <w:t>Corpomedios</w:t>
      </w:r>
      <w:proofErr w:type="spellEnd"/>
      <w:r w:rsidR="00FD6475" w:rsidRPr="00FD6475">
        <w:rPr>
          <w:rFonts w:asciiTheme="majorHAnsi" w:hAnsiTheme="majorHAnsi"/>
          <w:bCs/>
          <w:sz w:val="20"/>
          <w:szCs w:val="20"/>
          <w:lang w:val="es-ES"/>
        </w:rPr>
        <w:t xml:space="preserve">, empresa propietaria de Globovisión. </w:t>
      </w:r>
      <w:r w:rsidR="00FD6475">
        <w:rPr>
          <w:rFonts w:asciiTheme="majorHAnsi" w:hAnsiTheme="majorHAnsi"/>
          <w:bCs/>
          <w:sz w:val="20"/>
          <w:szCs w:val="20"/>
          <w:lang w:val="es-ES_tradnl"/>
        </w:rPr>
        <w:t xml:space="preserve"> Ello, según los solicitantes, muestra que el propósito era el control gubernamental de Globovisión. </w:t>
      </w:r>
      <w:r w:rsidR="00A41397" w:rsidRPr="00F13B46">
        <w:rPr>
          <w:rFonts w:ascii="Cambria" w:hAnsi="Cambria"/>
          <w:sz w:val="20"/>
          <w:szCs w:val="20"/>
          <w:lang w:val="es-AR"/>
        </w:rPr>
        <w:t xml:space="preserve">Afirma que </w:t>
      </w:r>
      <w:r w:rsidR="00A41397" w:rsidRPr="00F13B46">
        <w:rPr>
          <w:rFonts w:asciiTheme="majorHAnsi" w:hAnsiTheme="majorHAnsi"/>
          <w:bCs/>
          <w:sz w:val="20"/>
          <w:szCs w:val="20"/>
          <w:lang w:val="es-ES_tradnl"/>
        </w:rPr>
        <w:t>los bienes del Banco, así como las acciones de Globovisión, no fueron sometidos a subasta conforme</w:t>
      </w:r>
      <w:r w:rsidR="00A41397" w:rsidRPr="00F13B46">
        <w:rPr>
          <w:rFonts w:ascii="Cambria" w:hAnsi="Cambria"/>
          <w:bCs/>
          <w:sz w:val="20"/>
          <w:szCs w:val="20"/>
          <w:lang w:val="es-ES_tradnl"/>
        </w:rPr>
        <w:t xml:space="preserve"> la ley, sino “adjudicados de modo directo y virtualmente gratuito”.</w:t>
      </w:r>
    </w:p>
    <w:p w14:paraId="248685A1" w14:textId="547AC660" w:rsidR="00D370CF" w:rsidRPr="00FD22BB" w:rsidRDefault="004A317D" w:rsidP="00FD22B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F13B46">
        <w:rPr>
          <w:rFonts w:ascii="Cambria" w:hAnsi="Cambria"/>
          <w:bCs/>
          <w:sz w:val="20"/>
          <w:szCs w:val="20"/>
          <w:lang w:val="es-ES_tradnl"/>
        </w:rPr>
        <w:t xml:space="preserve">De acuerdo con la parte peticionaria, </w:t>
      </w:r>
      <w:r w:rsidR="004A6265" w:rsidRPr="00F13B46">
        <w:rPr>
          <w:rFonts w:ascii="Cambria" w:hAnsi="Cambria"/>
          <w:bCs/>
          <w:sz w:val="20"/>
          <w:szCs w:val="20"/>
          <w:lang w:val="es-ES_tradnl"/>
        </w:rPr>
        <w:t xml:space="preserve">el </w:t>
      </w:r>
      <w:r w:rsidR="0085053E" w:rsidRPr="00F13B46">
        <w:rPr>
          <w:rFonts w:ascii="Cambria" w:hAnsi="Cambria"/>
          <w:bCs/>
          <w:sz w:val="20"/>
          <w:szCs w:val="20"/>
          <w:lang w:val="es-ES_tradnl"/>
        </w:rPr>
        <w:t xml:space="preserve">14 de junio </w:t>
      </w:r>
      <w:r w:rsidR="004A6265" w:rsidRPr="00F13B46">
        <w:rPr>
          <w:rFonts w:ascii="Cambria" w:hAnsi="Cambria"/>
          <w:bCs/>
          <w:sz w:val="20"/>
          <w:szCs w:val="20"/>
          <w:lang w:val="es-ES_tradnl"/>
        </w:rPr>
        <w:t xml:space="preserve">de 2010 </w:t>
      </w:r>
      <w:r w:rsidR="0085053E" w:rsidRPr="00F13B46">
        <w:rPr>
          <w:rFonts w:ascii="Cambria" w:hAnsi="Cambria"/>
          <w:bCs/>
          <w:sz w:val="20"/>
          <w:szCs w:val="20"/>
          <w:lang w:val="es-ES_tradnl"/>
        </w:rPr>
        <w:t xml:space="preserve">el Ministerio Público inició las investigaciones penales relacionadas </w:t>
      </w:r>
      <w:r w:rsidR="002D0424" w:rsidRPr="00F13B46">
        <w:rPr>
          <w:rFonts w:ascii="Cambria" w:hAnsi="Cambria"/>
          <w:bCs/>
          <w:sz w:val="20"/>
          <w:szCs w:val="20"/>
          <w:lang w:val="es-ES_tradnl"/>
        </w:rPr>
        <w:t>a la</w:t>
      </w:r>
      <w:r w:rsidR="0085053E" w:rsidRPr="00F13B46">
        <w:rPr>
          <w:rFonts w:ascii="Cambria" w:hAnsi="Cambria"/>
          <w:bCs/>
          <w:sz w:val="20"/>
          <w:szCs w:val="20"/>
          <w:lang w:val="es-ES_tradnl"/>
        </w:rPr>
        <w:t xml:space="preserve"> intervención</w:t>
      </w:r>
      <w:r w:rsidR="002D0424" w:rsidRPr="00F13B46">
        <w:rPr>
          <w:rFonts w:ascii="Cambria" w:hAnsi="Cambria"/>
          <w:bCs/>
          <w:sz w:val="20"/>
          <w:szCs w:val="20"/>
          <w:lang w:val="es-ES_tradnl"/>
        </w:rPr>
        <w:t xml:space="preserve"> del Banco Federal</w:t>
      </w:r>
      <w:r w:rsidR="0085053E" w:rsidRPr="00F13B46">
        <w:rPr>
          <w:rFonts w:ascii="Cambria" w:hAnsi="Cambria"/>
          <w:bCs/>
          <w:sz w:val="20"/>
          <w:szCs w:val="20"/>
          <w:lang w:val="es-ES_tradnl"/>
        </w:rPr>
        <w:t xml:space="preserve"> a pedido de la Supe</w:t>
      </w:r>
      <w:r w:rsidR="002D0424" w:rsidRPr="00F13B46">
        <w:rPr>
          <w:rFonts w:ascii="Cambria" w:hAnsi="Cambria"/>
          <w:bCs/>
          <w:sz w:val="20"/>
          <w:szCs w:val="20"/>
          <w:lang w:val="es-ES_tradnl"/>
        </w:rPr>
        <w:t>rintendencia de Bancos</w:t>
      </w:r>
      <w:r w:rsidR="00FD22BB" w:rsidRPr="00F13B46">
        <w:rPr>
          <w:rFonts w:ascii="Cambria" w:hAnsi="Cambria"/>
          <w:bCs/>
          <w:sz w:val="20"/>
          <w:szCs w:val="20"/>
          <w:lang w:val="es-ES_tradnl"/>
        </w:rPr>
        <w:t>, por presuntos ilícitos bancarios</w:t>
      </w:r>
      <w:r w:rsidR="0085053E" w:rsidRPr="00FD22BB">
        <w:rPr>
          <w:rFonts w:ascii="Cambria" w:hAnsi="Cambria"/>
          <w:bCs/>
          <w:sz w:val="20"/>
          <w:szCs w:val="20"/>
          <w:lang w:val="es-ES_tradnl"/>
        </w:rPr>
        <w:t xml:space="preserve">. </w:t>
      </w:r>
      <w:r w:rsidR="006C7262" w:rsidRPr="00FD22BB">
        <w:rPr>
          <w:rFonts w:ascii="Cambria" w:hAnsi="Cambria"/>
          <w:bCs/>
          <w:sz w:val="20"/>
          <w:szCs w:val="20"/>
          <w:lang w:val="es-ES_tradnl"/>
        </w:rPr>
        <w:t>I</w:t>
      </w:r>
      <w:r w:rsidR="0085053E" w:rsidRPr="00FD22BB">
        <w:rPr>
          <w:rFonts w:ascii="Cambria" w:hAnsi="Cambria"/>
          <w:bCs/>
          <w:sz w:val="20"/>
          <w:szCs w:val="20"/>
          <w:lang w:val="es-ES_tradnl"/>
        </w:rPr>
        <w:t xml:space="preserve">nforma </w:t>
      </w:r>
      <w:r w:rsidR="00372483" w:rsidRPr="00FD22BB">
        <w:rPr>
          <w:rFonts w:ascii="Cambria" w:hAnsi="Cambria"/>
          <w:bCs/>
          <w:sz w:val="20"/>
          <w:szCs w:val="20"/>
          <w:lang w:val="es-ES_tradnl"/>
        </w:rPr>
        <w:t>que su defensa interpuso una</w:t>
      </w:r>
      <w:r w:rsidR="0085053E" w:rsidRPr="00FD22BB">
        <w:rPr>
          <w:rFonts w:ascii="Cambria" w:hAnsi="Cambria"/>
          <w:bCs/>
          <w:sz w:val="20"/>
          <w:szCs w:val="20"/>
          <w:lang w:val="es-ES_tradnl"/>
        </w:rPr>
        <w:t xml:space="preserve"> demanda que </w:t>
      </w:r>
      <w:r w:rsidR="006205F6" w:rsidRPr="00FD22BB">
        <w:rPr>
          <w:rFonts w:ascii="Cambria" w:hAnsi="Cambria"/>
          <w:bCs/>
          <w:sz w:val="20"/>
          <w:szCs w:val="20"/>
          <w:lang w:val="es-ES_tradnl"/>
        </w:rPr>
        <w:t>pidió</w:t>
      </w:r>
      <w:r w:rsidR="0085053E" w:rsidRPr="00FD22BB">
        <w:rPr>
          <w:rFonts w:ascii="Cambria" w:hAnsi="Cambria"/>
          <w:bCs/>
          <w:sz w:val="20"/>
          <w:szCs w:val="20"/>
          <w:lang w:val="es-ES_tradnl"/>
        </w:rPr>
        <w:t xml:space="preserve"> la nulid</w:t>
      </w:r>
      <w:r w:rsidR="004A6265" w:rsidRPr="00FD22BB">
        <w:rPr>
          <w:rFonts w:ascii="Cambria" w:hAnsi="Cambria"/>
          <w:bCs/>
          <w:sz w:val="20"/>
          <w:szCs w:val="20"/>
          <w:lang w:val="es-ES_tradnl"/>
        </w:rPr>
        <w:t>ad del acto de intervención</w:t>
      </w:r>
      <w:r w:rsidR="0085053E" w:rsidRPr="00FD22BB">
        <w:rPr>
          <w:rFonts w:ascii="Cambria" w:hAnsi="Cambria"/>
          <w:bCs/>
          <w:sz w:val="20"/>
          <w:szCs w:val="20"/>
          <w:lang w:val="es-ES_tradnl"/>
        </w:rPr>
        <w:t xml:space="preserve"> </w:t>
      </w:r>
      <w:r w:rsidR="006C7262" w:rsidRPr="00FD22BB">
        <w:rPr>
          <w:rFonts w:ascii="Cambria" w:hAnsi="Cambria"/>
          <w:bCs/>
          <w:sz w:val="20"/>
          <w:szCs w:val="20"/>
          <w:lang w:val="es-ES_tradnl"/>
        </w:rPr>
        <w:t xml:space="preserve">y </w:t>
      </w:r>
      <w:r w:rsidR="0085053E" w:rsidRPr="00FD22BB">
        <w:rPr>
          <w:rFonts w:ascii="Cambria" w:hAnsi="Cambria"/>
          <w:bCs/>
          <w:sz w:val="20"/>
          <w:szCs w:val="20"/>
          <w:lang w:val="es-ES_tradnl"/>
        </w:rPr>
        <w:t>que</w:t>
      </w:r>
      <w:r w:rsidR="005C5AB8" w:rsidRPr="00FD22BB">
        <w:rPr>
          <w:rFonts w:ascii="Cambria" w:hAnsi="Cambria"/>
          <w:bCs/>
          <w:sz w:val="20"/>
          <w:szCs w:val="20"/>
          <w:lang w:val="es-ES_tradnl"/>
        </w:rPr>
        <w:t>, entre otros,</w:t>
      </w:r>
      <w:r w:rsidR="0085053E" w:rsidRPr="00FD22BB">
        <w:rPr>
          <w:rFonts w:ascii="Cambria" w:hAnsi="Cambria"/>
          <w:bCs/>
          <w:sz w:val="20"/>
          <w:szCs w:val="20"/>
          <w:lang w:val="es-ES_tradnl"/>
        </w:rPr>
        <w:t xml:space="preserve"> se dictó</w:t>
      </w:r>
      <w:r w:rsidR="006C7262" w:rsidRPr="00FD22BB">
        <w:rPr>
          <w:rFonts w:ascii="Cambria" w:hAnsi="Cambria"/>
          <w:bCs/>
          <w:sz w:val="20"/>
          <w:szCs w:val="20"/>
          <w:lang w:val="es-ES_tradnl"/>
        </w:rPr>
        <w:t xml:space="preserve"> en el marco de este proceso</w:t>
      </w:r>
      <w:r w:rsidR="0085053E" w:rsidRPr="00FD22BB">
        <w:rPr>
          <w:rFonts w:ascii="Cambria" w:hAnsi="Cambria"/>
          <w:bCs/>
          <w:sz w:val="20"/>
          <w:szCs w:val="20"/>
          <w:lang w:val="es-ES_tradnl"/>
        </w:rPr>
        <w:t xml:space="preserve"> orden de aprehensión en </w:t>
      </w:r>
      <w:r w:rsidR="006C7262" w:rsidRPr="00FD22BB">
        <w:rPr>
          <w:rFonts w:ascii="Cambria" w:hAnsi="Cambria"/>
          <w:bCs/>
          <w:sz w:val="20"/>
          <w:szCs w:val="20"/>
          <w:lang w:val="es-ES_tradnl"/>
        </w:rPr>
        <w:t xml:space="preserve">su </w:t>
      </w:r>
      <w:r w:rsidR="0085053E" w:rsidRPr="00FD22BB">
        <w:rPr>
          <w:rFonts w:ascii="Cambria" w:hAnsi="Cambria"/>
          <w:bCs/>
          <w:sz w:val="20"/>
          <w:szCs w:val="20"/>
          <w:lang w:val="es-ES_tradnl"/>
        </w:rPr>
        <w:t>contra, así como que se solicitó su extradición.</w:t>
      </w:r>
      <w:r w:rsidR="004E3658" w:rsidRPr="00FD22BB">
        <w:rPr>
          <w:rFonts w:ascii="Cambria" w:hAnsi="Cambria"/>
          <w:bCs/>
          <w:sz w:val="20"/>
          <w:szCs w:val="20"/>
          <w:lang w:val="es-ES_tradnl"/>
        </w:rPr>
        <w:t xml:space="preserve"> Sobre el particular, indica que el gobierno promovió una recolección popular de firmas pidiendo la </w:t>
      </w:r>
      <w:r w:rsidR="009C08AD" w:rsidRPr="00FD22BB">
        <w:rPr>
          <w:rFonts w:ascii="Cambria" w:hAnsi="Cambria"/>
          <w:bCs/>
          <w:sz w:val="20"/>
          <w:szCs w:val="20"/>
          <w:lang w:val="es-ES_tradnl"/>
        </w:rPr>
        <w:t>extradición</w:t>
      </w:r>
      <w:r w:rsidR="004E3658" w:rsidRPr="00FD22BB">
        <w:rPr>
          <w:rFonts w:ascii="Cambria" w:hAnsi="Cambria"/>
          <w:bCs/>
          <w:sz w:val="20"/>
          <w:szCs w:val="20"/>
          <w:lang w:val="es-ES_tradnl"/>
        </w:rPr>
        <w:t xml:space="preserve"> de la presunta </w:t>
      </w:r>
      <w:r w:rsidR="009C08AD" w:rsidRPr="00FD22BB">
        <w:rPr>
          <w:rFonts w:ascii="Cambria" w:hAnsi="Cambria"/>
          <w:bCs/>
          <w:sz w:val="20"/>
          <w:szCs w:val="20"/>
          <w:lang w:val="es-ES_tradnl"/>
        </w:rPr>
        <w:t>víctima</w:t>
      </w:r>
      <w:r w:rsidR="004E3658" w:rsidRPr="00FD22BB">
        <w:rPr>
          <w:rFonts w:ascii="Cambria" w:hAnsi="Cambria"/>
          <w:bCs/>
          <w:sz w:val="20"/>
          <w:szCs w:val="20"/>
          <w:lang w:val="es-ES_tradnl"/>
        </w:rPr>
        <w:t>,</w:t>
      </w:r>
      <w:r w:rsidR="009C08AD" w:rsidRPr="00FD22BB">
        <w:rPr>
          <w:rFonts w:ascii="Cambria" w:hAnsi="Cambria"/>
          <w:bCs/>
          <w:sz w:val="20"/>
          <w:szCs w:val="20"/>
          <w:lang w:val="es-ES_tradnl"/>
        </w:rPr>
        <w:t xml:space="preserve"> así como indicó a los clientes del Banco Federal que</w:t>
      </w:r>
      <w:r w:rsidR="00280635">
        <w:rPr>
          <w:rFonts w:ascii="Cambria" w:hAnsi="Cambria"/>
          <w:bCs/>
          <w:sz w:val="20"/>
          <w:szCs w:val="20"/>
          <w:lang w:val="es-ES_tradnl"/>
        </w:rPr>
        <w:t>,</w:t>
      </w:r>
      <w:r w:rsidR="009C08AD" w:rsidRPr="00FD22BB">
        <w:rPr>
          <w:rFonts w:ascii="Cambria" w:hAnsi="Cambria"/>
          <w:bCs/>
          <w:sz w:val="20"/>
          <w:szCs w:val="20"/>
          <w:lang w:val="es-ES_tradnl"/>
        </w:rPr>
        <w:t xml:space="preserve"> para que estos cobrasen sus </w:t>
      </w:r>
      <w:r w:rsidR="005B6E3C" w:rsidRPr="00FD22BB">
        <w:rPr>
          <w:rFonts w:ascii="Cambria" w:hAnsi="Cambria"/>
          <w:bCs/>
          <w:sz w:val="20"/>
          <w:szCs w:val="20"/>
          <w:lang w:val="es-ES_tradnl"/>
        </w:rPr>
        <w:t>depósitos</w:t>
      </w:r>
      <w:r w:rsidR="00280635">
        <w:rPr>
          <w:rFonts w:ascii="Cambria" w:hAnsi="Cambria"/>
          <w:bCs/>
          <w:sz w:val="20"/>
          <w:szCs w:val="20"/>
          <w:lang w:val="es-ES_tradnl"/>
        </w:rPr>
        <w:t>,</w:t>
      </w:r>
      <w:r w:rsidR="005B6E3C" w:rsidRPr="00FD22BB">
        <w:rPr>
          <w:rFonts w:ascii="Cambria" w:hAnsi="Cambria"/>
          <w:bCs/>
          <w:sz w:val="20"/>
          <w:szCs w:val="20"/>
          <w:lang w:val="es-ES_tradnl"/>
        </w:rPr>
        <w:t xml:space="preserve"> deberían firmar la solicitud pública de extradición.</w:t>
      </w:r>
      <w:r w:rsidR="0085053E" w:rsidRPr="00FD22BB">
        <w:rPr>
          <w:rFonts w:ascii="Cambria" w:hAnsi="Cambria"/>
          <w:bCs/>
          <w:sz w:val="20"/>
          <w:szCs w:val="20"/>
          <w:lang w:val="es-ES_tradnl"/>
        </w:rPr>
        <w:t xml:space="preserve"> Según la parte peticionaria, a la presunta víctima no se le </w:t>
      </w:r>
      <w:r w:rsidR="00372483" w:rsidRPr="00FD22BB">
        <w:rPr>
          <w:rFonts w:ascii="Cambria" w:hAnsi="Cambria"/>
          <w:bCs/>
          <w:sz w:val="20"/>
          <w:szCs w:val="20"/>
          <w:lang w:val="es-ES_tradnl"/>
        </w:rPr>
        <w:t>realizó</w:t>
      </w:r>
      <w:r w:rsidR="0085053E" w:rsidRPr="00FD22BB">
        <w:rPr>
          <w:rFonts w:ascii="Cambria" w:hAnsi="Cambria"/>
          <w:bCs/>
          <w:sz w:val="20"/>
          <w:szCs w:val="20"/>
          <w:lang w:val="es-ES_tradnl"/>
        </w:rPr>
        <w:t xml:space="preserve"> el acto formal de imputación en el expediente que motiv</w:t>
      </w:r>
      <w:r w:rsidR="007D57AB" w:rsidRPr="00FD22BB">
        <w:rPr>
          <w:rFonts w:ascii="Cambria" w:hAnsi="Cambria"/>
          <w:bCs/>
          <w:sz w:val="20"/>
          <w:szCs w:val="20"/>
          <w:lang w:val="es-ES_tradnl"/>
        </w:rPr>
        <w:t>o</w:t>
      </w:r>
      <w:r w:rsidR="0085053E" w:rsidRPr="00FD22BB">
        <w:rPr>
          <w:rFonts w:ascii="Cambria" w:hAnsi="Cambria"/>
          <w:bCs/>
          <w:sz w:val="20"/>
          <w:szCs w:val="20"/>
          <w:lang w:val="es-ES_tradnl"/>
        </w:rPr>
        <w:t xml:space="preserve"> su solicitud de extradición, no se le </w:t>
      </w:r>
      <w:r w:rsidR="00372483" w:rsidRPr="00FD22BB">
        <w:rPr>
          <w:rFonts w:ascii="Cambria" w:hAnsi="Cambria"/>
          <w:bCs/>
          <w:sz w:val="20"/>
          <w:szCs w:val="20"/>
          <w:lang w:val="es-ES_tradnl"/>
        </w:rPr>
        <w:t>informó</w:t>
      </w:r>
      <w:r w:rsidR="0085053E" w:rsidRPr="00FD22BB">
        <w:rPr>
          <w:rFonts w:ascii="Cambria" w:hAnsi="Cambria"/>
          <w:bCs/>
          <w:sz w:val="20"/>
          <w:szCs w:val="20"/>
          <w:lang w:val="es-ES_tradnl"/>
        </w:rPr>
        <w:t xml:space="preserve"> sobre los hechos investigados y que </w:t>
      </w:r>
      <w:r w:rsidR="007D57AB" w:rsidRPr="00FD22BB">
        <w:rPr>
          <w:rFonts w:ascii="Cambria" w:hAnsi="Cambria"/>
          <w:bCs/>
          <w:sz w:val="20"/>
          <w:szCs w:val="20"/>
          <w:lang w:val="es-ES_tradnl"/>
        </w:rPr>
        <w:t>supuestamente obra</w:t>
      </w:r>
      <w:r w:rsidR="0085053E" w:rsidRPr="00FD22BB">
        <w:rPr>
          <w:rFonts w:ascii="Cambria" w:hAnsi="Cambria"/>
          <w:bCs/>
          <w:sz w:val="20"/>
          <w:szCs w:val="20"/>
          <w:lang w:val="es-ES_tradnl"/>
        </w:rPr>
        <w:t>n en su contra, ni se le p</w:t>
      </w:r>
      <w:r w:rsidR="00372483" w:rsidRPr="00FD22BB">
        <w:rPr>
          <w:rFonts w:ascii="Cambria" w:hAnsi="Cambria"/>
          <w:bCs/>
          <w:sz w:val="20"/>
          <w:szCs w:val="20"/>
          <w:lang w:val="es-ES_tradnl"/>
        </w:rPr>
        <w:t>ermitió</w:t>
      </w:r>
      <w:r w:rsidR="0085053E" w:rsidRPr="00FD22BB">
        <w:rPr>
          <w:rFonts w:ascii="Cambria" w:hAnsi="Cambria"/>
          <w:bCs/>
          <w:sz w:val="20"/>
          <w:szCs w:val="20"/>
          <w:lang w:val="es-ES_tradnl"/>
        </w:rPr>
        <w:t xml:space="preserve"> a sus abogados acceso a las investigaciones a pesar de </w:t>
      </w:r>
      <w:r w:rsidR="0085053E" w:rsidRPr="00FD22BB">
        <w:rPr>
          <w:rFonts w:asciiTheme="majorHAnsi" w:hAnsiTheme="majorHAnsi"/>
          <w:bCs/>
          <w:sz w:val="20"/>
          <w:szCs w:val="20"/>
          <w:lang w:val="es-ES_tradnl"/>
        </w:rPr>
        <w:t>encontrarse acreditados</w:t>
      </w:r>
      <w:r w:rsidR="004E3658" w:rsidRPr="00FD22BB">
        <w:rPr>
          <w:rFonts w:asciiTheme="majorHAnsi" w:hAnsiTheme="majorHAnsi"/>
          <w:bCs/>
          <w:sz w:val="20"/>
          <w:szCs w:val="20"/>
          <w:lang w:val="es-ES_tradnl"/>
        </w:rPr>
        <w:t xml:space="preserve"> mediante poder legal otorgado.</w:t>
      </w:r>
      <w:r w:rsidR="006205F6" w:rsidRPr="00FD22BB">
        <w:rPr>
          <w:rFonts w:asciiTheme="majorHAnsi" w:hAnsiTheme="majorHAnsi"/>
          <w:sz w:val="20"/>
          <w:szCs w:val="20"/>
          <w:lang w:val="es-ES"/>
        </w:rPr>
        <w:t xml:space="preserve"> </w:t>
      </w:r>
    </w:p>
    <w:p w14:paraId="330D9C01" w14:textId="49968035" w:rsidR="00671D07" w:rsidRDefault="00CA21E4" w:rsidP="00671D0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bCs/>
          <w:sz w:val="20"/>
          <w:szCs w:val="20"/>
          <w:lang w:val="es-ES_tradnl"/>
        </w:rPr>
        <w:t>Finalmente, indica que el 5 de septiembre de 2012, la Comisión de los Ficheros de INTERPOL decidió</w:t>
      </w:r>
      <w:r w:rsidR="00FD6475">
        <w:rPr>
          <w:rFonts w:ascii="Cambria" w:hAnsi="Cambria"/>
          <w:bCs/>
          <w:sz w:val="20"/>
          <w:szCs w:val="20"/>
          <w:lang w:val="es-ES_tradnl"/>
        </w:rPr>
        <w:t>,</w:t>
      </w:r>
      <w:r>
        <w:rPr>
          <w:rFonts w:ascii="Cambria" w:hAnsi="Cambria"/>
          <w:bCs/>
          <w:sz w:val="20"/>
          <w:szCs w:val="20"/>
          <w:lang w:val="es-ES_tradnl"/>
        </w:rPr>
        <w:t xml:space="preserve"> luego del reclamo de la presunta víctima y del pedido del Estado venezolano de un</w:t>
      </w:r>
      <w:r w:rsidR="00280635">
        <w:rPr>
          <w:rFonts w:ascii="Cambria" w:hAnsi="Cambria"/>
          <w:bCs/>
          <w:sz w:val="20"/>
          <w:szCs w:val="20"/>
          <w:lang w:val="es-ES_tradnl"/>
        </w:rPr>
        <w:t>a</w:t>
      </w:r>
      <w:r>
        <w:rPr>
          <w:rFonts w:ascii="Cambria" w:hAnsi="Cambria"/>
          <w:bCs/>
          <w:sz w:val="20"/>
          <w:szCs w:val="20"/>
          <w:lang w:val="es-ES_tradnl"/>
        </w:rPr>
        <w:t xml:space="preserve"> alerta roja para </w:t>
      </w:r>
      <w:r w:rsidR="00842108">
        <w:rPr>
          <w:rFonts w:ascii="Cambria" w:hAnsi="Cambria"/>
          <w:bCs/>
          <w:sz w:val="20"/>
          <w:szCs w:val="20"/>
          <w:lang w:val="es-ES_tradnl"/>
        </w:rPr>
        <w:t>su</w:t>
      </w:r>
      <w:r w:rsidR="00614DC8">
        <w:rPr>
          <w:rFonts w:ascii="Cambria" w:hAnsi="Cambria"/>
          <w:bCs/>
          <w:sz w:val="20"/>
          <w:szCs w:val="20"/>
          <w:lang w:val="es-ES_tradnl"/>
        </w:rPr>
        <w:t xml:space="preserve"> aprehensión</w:t>
      </w:r>
      <w:r w:rsidR="000A0FE6">
        <w:rPr>
          <w:rFonts w:ascii="Cambria" w:hAnsi="Cambria"/>
          <w:bCs/>
          <w:sz w:val="20"/>
          <w:szCs w:val="20"/>
          <w:lang w:val="es-ES_tradnl"/>
        </w:rPr>
        <w:t>,</w:t>
      </w:r>
      <w:r>
        <w:rPr>
          <w:rFonts w:ascii="Cambria" w:hAnsi="Cambria"/>
          <w:bCs/>
          <w:sz w:val="20"/>
          <w:szCs w:val="20"/>
          <w:lang w:val="es-ES_tradnl"/>
        </w:rPr>
        <w:t xml:space="preserve"> que </w:t>
      </w:r>
      <w:r w:rsidR="00664FD9">
        <w:rPr>
          <w:rFonts w:ascii="Cambria" w:hAnsi="Cambria"/>
          <w:bCs/>
          <w:sz w:val="20"/>
          <w:szCs w:val="20"/>
          <w:lang w:val="es-ES_tradnl"/>
        </w:rPr>
        <w:t>el caso era predominantemente de naturaleza política y, por lo tanto, estaba dentro del alcance del artículo 3 de</w:t>
      </w:r>
      <w:r>
        <w:rPr>
          <w:rFonts w:ascii="Cambria" w:hAnsi="Cambria"/>
          <w:bCs/>
          <w:sz w:val="20"/>
          <w:szCs w:val="20"/>
          <w:lang w:val="es-ES_tradnl"/>
        </w:rPr>
        <w:t xml:space="preserve"> la Constitución de INTERPOL</w:t>
      </w:r>
      <w:r w:rsidR="009D7731">
        <w:rPr>
          <w:rStyle w:val="FootnoteReference"/>
          <w:rFonts w:ascii="Cambria" w:hAnsi="Cambria"/>
          <w:bCs/>
          <w:sz w:val="20"/>
          <w:szCs w:val="20"/>
          <w:lang w:val="es-ES_tradnl"/>
        </w:rPr>
        <w:footnoteReference w:id="4"/>
      </w:r>
      <w:r>
        <w:rPr>
          <w:rFonts w:ascii="Cambria" w:hAnsi="Cambria"/>
          <w:bCs/>
          <w:sz w:val="20"/>
          <w:szCs w:val="20"/>
          <w:lang w:val="es-ES_tradnl"/>
        </w:rPr>
        <w:t xml:space="preserve">. Por lo anterior, </w:t>
      </w:r>
      <w:r w:rsidR="00842108">
        <w:rPr>
          <w:rFonts w:ascii="Cambria" w:hAnsi="Cambria"/>
          <w:bCs/>
          <w:sz w:val="20"/>
          <w:szCs w:val="20"/>
          <w:lang w:val="es-ES_tradnl"/>
        </w:rPr>
        <w:t xml:space="preserve">informa que </w:t>
      </w:r>
      <w:r>
        <w:rPr>
          <w:rFonts w:ascii="Cambria" w:hAnsi="Cambria"/>
          <w:bCs/>
          <w:sz w:val="20"/>
          <w:szCs w:val="20"/>
          <w:lang w:val="es-ES_tradnl"/>
        </w:rPr>
        <w:t xml:space="preserve">mencionada organización internacional se había negado a incluir información sobre él en </w:t>
      </w:r>
      <w:r w:rsidR="00280635">
        <w:rPr>
          <w:rFonts w:ascii="Cambria" w:hAnsi="Cambria"/>
          <w:bCs/>
          <w:sz w:val="20"/>
          <w:szCs w:val="20"/>
          <w:lang w:val="es-ES_tradnl"/>
        </w:rPr>
        <w:t>sus expedientes</w:t>
      </w:r>
      <w:r>
        <w:rPr>
          <w:rFonts w:ascii="Cambria" w:hAnsi="Cambria"/>
          <w:bCs/>
          <w:sz w:val="20"/>
          <w:szCs w:val="20"/>
          <w:lang w:val="es-ES_tradnl"/>
        </w:rPr>
        <w:t xml:space="preserve">. </w:t>
      </w:r>
      <w:r w:rsidR="00E82946">
        <w:rPr>
          <w:rFonts w:ascii="Cambria" w:hAnsi="Cambria"/>
          <w:sz w:val="20"/>
          <w:szCs w:val="20"/>
          <w:lang w:val="es-ES"/>
        </w:rPr>
        <w:t>Alega que</w:t>
      </w:r>
      <w:r w:rsidR="00280635">
        <w:rPr>
          <w:rFonts w:ascii="Cambria" w:hAnsi="Cambria"/>
          <w:sz w:val="20"/>
          <w:szCs w:val="20"/>
          <w:lang w:val="es-ES"/>
        </w:rPr>
        <w:t>,</w:t>
      </w:r>
      <w:r w:rsidR="00E82946">
        <w:rPr>
          <w:rFonts w:ascii="Cambria" w:hAnsi="Cambria"/>
          <w:sz w:val="20"/>
          <w:szCs w:val="20"/>
          <w:lang w:val="es-ES"/>
        </w:rPr>
        <w:t xml:space="preserve"> por iguales razones</w:t>
      </w:r>
      <w:r w:rsidR="00280635">
        <w:rPr>
          <w:rFonts w:ascii="Cambria" w:hAnsi="Cambria"/>
          <w:sz w:val="20"/>
          <w:szCs w:val="20"/>
          <w:lang w:val="es-ES"/>
        </w:rPr>
        <w:t>,</w:t>
      </w:r>
      <w:r>
        <w:rPr>
          <w:rFonts w:ascii="Cambria" w:hAnsi="Cambria"/>
          <w:sz w:val="20"/>
          <w:szCs w:val="20"/>
          <w:lang w:val="es-ES"/>
        </w:rPr>
        <w:t xml:space="preserve"> a él le fue concedido asilo político por </w:t>
      </w:r>
      <w:r w:rsidR="00280635">
        <w:rPr>
          <w:rFonts w:ascii="Cambria" w:hAnsi="Cambria"/>
          <w:sz w:val="20"/>
          <w:szCs w:val="20"/>
          <w:lang w:val="es-ES"/>
        </w:rPr>
        <w:t>Estados Unidos</w:t>
      </w:r>
      <w:r>
        <w:rPr>
          <w:rFonts w:ascii="Cambria" w:hAnsi="Cambria"/>
          <w:sz w:val="20"/>
          <w:szCs w:val="20"/>
          <w:lang w:val="es-ES"/>
        </w:rPr>
        <w:t xml:space="preserve"> el 25 de noviembre de 2013.</w:t>
      </w:r>
      <w:r w:rsidR="00F6323E">
        <w:rPr>
          <w:rFonts w:ascii="Cambria" w:hAnsi="Cambria"/>
          <w:sz w:val="20"/>
          <w:szCs w:val="20"/>
          <w:lang w:val="es-ES"/>
        </w:rPr>
        <w:t xml:space="preserve"> Afirma que esta decisión es un importante reconocimiento de su condición como individuo perseguido.</w:t>
      </w:r>
      <w:r>
        <w:rPr>
          <w:rFonts w:ascii="Cambria" w:hAnsi="Cambria"/>
          <w:sz w:val="20"/>
          <w:szCs w:val="20"/>
          <w:lang w:val="es-ES"/>
        </w:rPr>
        <w:t xml:space="preserve"> </w:t>
      </w:r>
    </w:p>
    <w:p w14:paraId="59371EB8" w14:textId="05B4B02B" w:rsidR="00920C88" w:rsidRPr="00F87C7E" w:rsidRDefault="00920C88" w:rsidP="00F87C7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 xml:space="preserve">La parte peticionaria </w:t>
      </w:r>
      <w:r w:rsidR="00F87C7E">
        <w:rPr>
          <w:rFonts w:ascii="Cambria" w:hAnsi="Cambria"/>
          <w:sz w:val="20"/>
          <w:szCs w:val="20"/>
          <w:lang w:val="es-ES"/>
        </w:rPr>
        <w:t>r</w:t>
      </w:r>
      <w:r w:rsidRPr="00F87C7E">
        <w:rPr>
          <w:rFonts w:asciiTheme="majorHAnsi" w:hAnsiTheme="majorHAnsi"/>
          <w:sz w:val="20"/>
          <w:szCs w:val="20"/>
          <w:lang w:val="es-ES"/>
        </w:rPr>
        <w:t xml:space="preserve">elata que desde el principio de la presunta persecución en contra del señor </w:t>
      </w:r>
      <w:proofErr w:type="spellStart"/>
      <w:r w:rsidRPr="00F87C7E">
        <w:rPr>
          <w:rFonts w:asciiTheme="majorHAnsi" w:hAnsiTheme="majorHAnsi"/>
          <w:sz w:val="20"/>
          <w:szCs w:val="20"/>
          <w:lang w:val="es-ES"/>
        </w:rPr>
        <w:t>Mezerhane</w:t>
      </w:r>
      <w:proofErr w:type="spellEnd"/>
      <w:r w:rsidRPr="00F87C7E">
        <w:rPr>
          <w:rFonts w:asciiTheme="majorHAnsi" w:hAnsiTheme="majorHAnsi"/>
          <w:sz w:val="20"/>
          <w:szCs w:val="20"/>
          <w:lang w:val="es-ES"/>
        </w:rPr>
        <w:t xml:space="preserve"> existe una campaña sistemática de descrédito, de apología del odio y de la violencia a través de un discurso de agravios e insultos en su contra. Informa que este discurso sería sostenido y divulgado desde la televisión gubernamental, Canal 8, y por periodistas al servicio del gobierno. Refiere, por ejemplo, que la presunta víctima y otros directivos de medios sociales independientes fueron señalados en 2008 por el entonces </w:t>
      </w:r>
      <w:proofErr w:type="gramStart"/>
      <w:r w:rsidRPr="00F87C7E">
        <w:rPr>
          <w:rFonts w:asciiTheme="majorHAnsi" w:hAnsiTheme="majorHAnsi"/>
          <w:sz w:val="20"/>
          <w:szCs w:val="20"/>
          <w:lang w:val="es-ES"/>
        </w:rPr>
        <w:t>Presidente</w:t>
      </w:r>
      <w:proofErr w:type="gramEnd"/>
      <w:r w:rsidRPr="00F87C7E">
        <w:rPr>
          <w:rFonts w:asciiTheme="majorHAnsi" w:hAnsiTheme="majorHAnsi"/>
          <w:sz w:val="20"/>
          <w:szCs w:val="20"/>
          <w:lang w:val="es-ES"/>
        </w:rPr>
        <w:t xml:space="preserve"> Chávez como presuntos responsables de un intento de “magnicidio” en su contra, que fue tildado de terrorista por este mandatario, así como expuesto al odio y al “escarnio públicos” durante una campaña electoral parlamentaria, “</w:t>
      </w:r>
      <w:proofErr w:type="spellStart"/>
      <w:r w:rsidRPr="00F87C7E">
        <w:rPr>
          <w:rFonts w:asciiTheme="majorHAnsi" w:hAnsiTheme="majorHAnsi"/>
          <w:sz w:val="20"/>
          <w:szCs w:val="20"/>
          <w:lang w:val="es-ES"/>
        </w:rPr>
        <w:t>tachándosel</w:t>
      </w:r>
      <w:proofErr w:type="spellEnd"/>
      <w:r w:rsidRPr="00F87C7E">
        <w:rPr>
          <w:rFonts w:asciiTheme="majorHAnsi" w:hAnsiTheme="majorHAnsi"/>
          <w:sz w:val="20"/>
          <w:szCs w:val="20"/>
          <w:lang w:val="es-ES"/>
        </w:rPr>
        <w:t xml:space="preserve">[o] por ser capitalista”. </w:t>
      </w:r>
      <w:r w:rsidRPr="00F87C7E">
        <w:rPr>
          <w:rFonts w:ascii="Cambria" w:hAnsi="Cambria"/>
          <w:sz w:val="20"/>
          <w:szCs w:val="20"/>
          <w:lang w:val="es-AR"/>
        </w:rPr>
        <w:t xml:space="preserve">Igualmente, informa que el entonces Presidente Chávez acusó a la presunta víctima de “enemigo de la revolución” y “banquero propietario de la </w:t>
      </w:r>
      <w:r w:rsidRPr="00F87C7E">
        <w:rPr>
          <w:rFonts w:ascii="Cambria" w:hAnsi="Cambria"/>
          <w:sz w:val="20"/>
          <w:szCs w:val="20"/>
          <w:lang w:val="es-AR"/>
        </w:rPr>
        <w:lastRenderedPageBreak/>
        <w:t>estación televisora Globovisión”. Señala que de modo personal y por vía telefónica, le dio un ultimátum al decirle: “¡O me arregla lo de GLOBOVISIÓN o aténgase a las consecuencias!”.</w:t>
      </w:r>
    </w:p>
    <w:p w14:paraId="32A2686A" w14:textId="76DB7BC8" w:rsidR="00920C88" w:rsidRPr="00F84E09" w:rsidRDefault="00920C88" w:rsidP="00920C8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AR"/>
        </w:rPr>
        <w:t xml:space="preserve">Alega que Globovisión es objeto de hostigamiento sostenido por el gobierno por razones de corte político y que las agresiones de que son víctimas sus directivos y periodistas originaron el </w:t>
      </w:r>
      <w:r w:rsidRPr="005B6BD2">
        <w:rPr>
          <w:rFonts w:ascii="Cambria" w:hAnsi="Cambria"/>
          <w:i/>
          <w:sz w:val="20"/>
          <w:szCs w:val="20"/>
          <w:lang w:val="es-AR"/>
        </w:rPr>
        <w:t>Caso Perozo y otros</w:t>
      </w:r>
      <w:r>
        <w:rPr>
          <w:rFonts w:ascii="Cambria" w:hAnsi="Cambria"/>
          <w:sz w:val="20"/>
          <w:szCs w:val="20"/>
          <w:lang w:val="es-AR"/>
        </w:rPr>
        <w:t xml:space="preserve">, en el cual la Corte Interamericana declaró la responsabilidad del Estado venezolano. </w:t>
      </w:r>
      <w:r w:rsidRPr="00F84E09">
        <w:rPr>
          <w:rFonts w:ascii="Cambria" w:hAnsi="Cambria"/>
          <w:sz w:val="20"/>
          <w:szCs w:val="20"/>
          <w:lang w:val="es-AR"/>
        </w:rPr>
        <w:t>Sobre la situación del</w:t>
      </w:r>
      <w:r w:rsidRPr="00F84E09">
        <w:rPr>
          <w:rFonts w:ascii="Cambria" w:hAnsi="Cambria"/>
          <w:sz w:val="20"/>
          <w:szCs w:val="20"/>
          <w:lang w:val="es-ES"/>
        </w:rPr>
        <w:t xml:space="preserve"> señor </w:t>
      </w:r>
      <w:proofErr w:type="spellStart"/>
      <w:r w:rsidRPr="00F84E09">
        <w:rPr>
          <w:rFonts w:ascii="Cambria" w:hAnsi="Cambria"/>
          <w:sz w:val="20"/>
          <w:szCs w:val="20"/>
          <w:lang w:val="es-ES"/>
        </w:rPr>
        <w:t>Mezerhane</w:t>
      </w:r>
      <w:proofErr w:type="spellEnd"/>
      <w:r w:rsidRPr="00F84E09">
        <w:rPr>
          <w:rFonts w:ascii="Cambria" w:hAnsi="Cambria"/>
          <w:sz w:val="20"/>
          <w:szCs w:val="20"/>
          <w:lang w:val="es-AR"/>
        </w:rPr>
        <w:t xml:space="preserve"> en particular, indica que conforme la declaración jurada por parte del Presidente de la Sala Penal del Tribunal Supremo de Justicia para la época, </w:t>
      </w:r>
      <w:r w:rsidR="00F87C7E">
        <w:rPr>
          <w:rFonts w:ascii="Cambria" w:hAnsi="Cambria"/>
          <w:sz w:val="20"/>
          <w:szCs w:val="20"/>
          <w:lang w:val="es-AR"/>
        </w:rPr>
        <w:t>é</w:t>
      </w:r>
      <w:r w:rsidRPr="00F84E09">
        <w:rPr>
          <w:rFonts w:ascii="Cambria" w:hAnsi="Cambria"/>
          <w:sz w:val="20"/>
          <w:szCs w:val="20"/>
          <w:lang w:val="es-AR"/>
        </w:rPr>
        <w:t>ste fue perseguido “[p]</w:t>
      </w:r>
      <w:proofErr w:type="spellStart"/>
      <w:r w:rsidRPr="00F84E09">
        <w:rPr>
          <w:rFonts w:ascii="Cambria" w:hAnsi="Cambria"/>
          <w:sz w:val="20"/>
          <w:szCs w:val="20"/>
          <w:lang w:val="es-AR"/>
        </w:rPr>
        <w:t>or</w:t>
      </w:r>
      <w:proofErr w:type="spellEnd"/>
      <w:r w:rsidRPr="00F84E09">
        <w:rPr>
          <w:rFonts w:ascii="Cambria" w:hAnsi="Cambria"/>
          <w:sz w:val="20"/>
          <w:szCs w:val="20"/>
          <w:lang w:val="es-AR"/>
        </w:rPr>
        <w:t xml:space="preserve"> razones eminentemente políticas, determinadas por el afán gubernamental de silenciar a los medios de comunicación social, en particular el medio de que era accionista, GLOBOVISIÓN”. Afirma que debido a que él no atendió a la presión oficial y no aceptó variar la línea editorial independiente del medio, </w:t>
      </w:r>
      <w:r w:rsidRPr="00F84E09">
        <w:rPr>
          <w:rFonts w:ascii="Cambria" w:hAnsi="Cambria"/>
          <w:bCs/>
          <w:sz w:val="20"/>
          <w:szCs w:val="20"/>
          <w:lang w:val="es-ES_tradnl"/>
        </w:rPr>
        <w:t xml:space="preserve">fue acusado ante tres instancias judiciales diferentes por delitos que no ha cometido, y </w:t>
      </w:r>
      <w:r w:rsidRPr="00F84E09">
        <w:rPr>
          <w:rFonts w:asciiTheme="majorHAnsi" w:hAnsiTheme="majorHAnsi"/>
          <w:bCs/>
          <w:sz w:val="20"/>
          <w:szCs w:val="20"/>
          <w:lang w:val="es-ES_tradnl"/>
        </w:rPr>
        <w:t xml:space="preserve">le confiscaron progresivamente todos sus activos patrimoniales y bienes. </w:t>
      </w:r>
    </w:p>
    <w:p w14:paraId="0E8491C4" w14:textId="77777777" w:rsidR="00850ECA" w:rsidRPr="00850ECA" w:rsidRDefault="00850ECA" w:rsidP="00850EC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624646">
        <w:rPr>
          <w:rFonts w:ascii="Cambria" w:hAnsi="Cambria"/>
          <w:sz w:val="20"/>
          <w:szCs w:val="20"/>
          <w:lang w:val="es-ES"/>
        </w:rPr>
        <w:t>En cuanto al agotamiento de los recursos internos</w:t>
      </w:r>
      <w:r>
        <w:rPr>
          <w:rFonts w:ascii="Cambria" w:hAnsi="Cambria"/>
          <w:sz w:val="20"/>
          <w:szCs w:val="20"/>
          <w:lang w:val="es-ES"/>
        </w:rPr>
        <w:t>, la</w:t>
      </w:r>
      <w:r w:rsidRPr="00614DC8">
        <w:rPr>
          <w:rFonts w:ascii="Cambria" w:hAnsi="Cambria"/>
          <w:sz w:val="20"/>
          <w:szCs w:val="20"/>
          <w:lang w:val="es-ES"/>
        </w:rPr>
        <w:t xml:space="preserve"> parte peticionaria plantea que en la</w:t>
      </w:r>
      <w:r>
        <w:rPr>
          <w:rFonts w:ascii="Cambria" w:hAnsi="Cambria"/>
          <w:sz w:val="20"/>
          <w:szCs w:val="20"/>
          <w:lang w:val="es-ES"/>
        </w:rPr>
        <w:t xml:space="preserve"> presente petición se aplican</w:t>
      </w:r>
      <w:r w:rsidRPr="00614DC8">
        <w:rPr>
          <w:rFonts w:ascii="Cambria" w:hAnsi="Cambria"/>
          <w:sz w:val="20"/>
          <w:szCs w:val="20"/>
          <w:lang w:val="es-ES"/>
        </w:rPr>
        <w:t xml:space="preserve"> las tres excepciones previstas al agotamiento de los recursos internos</w:t>
      </w:r>
      <w:r>
        <w:rPr>
          <w:rFonts w:ascii="Cambria" w:hAnsi="Cambria"/>
          <w:sz w:val="20"/>
          <w:szCs w:val="20"/>
          <w:lang w:val="es-ES"/>
        </w:rPr>
        <w:t xml:space="preserve">. </w:t>
      </w:r>
    </w:p>
    <w:p w14:paraId="6D5EDC6A" w14:textId="7B84A160" w:rsidR="00850ECA" w:rsidRPr="00850ECA" w:rsidRDefault="00850ECA" w:rsidP="00850EC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ES"/>
        </w:rPr>
        <w:t>A</w:t>
      </w:r>
      <w:r w:rsidRPr="00614DC8">
        <w:rPr>
          <w:rFonts w:ascii="Cambria" w:hAnsi="Cambria"/>
          <w:sz w:val="20"/>
          <w:szCs w:val="20"/>
          <w:lang w:val="es-ES"/>
        </w:rPr>
        <w:t>lega que los tres procesos penales iniciados en contra</w:t>
      </w:r>
      <w:r>
        <w:rPr>
          <w:rFonts w:ascii="Cambria" w:hAnsi="Cambria"/>
          <w:sz w:val="20"/>
          <w:szCs w:val="20"/>
          <w:lang w:val="es-ES"/>
        </w:rPr>
        <w:t xml:space="preserve"> del </w:t>
      </w:r>
      <w:r w:rsidRPr="00B42B64">
        <w:rPr>
          <w:rFonts w:ascii="Cambria" w:hAnsi="Cambria"/>
          <w:sz w:val="20"/>
          <w:szCs w:val="20"/>
          <w:lang w:val="es-AR"/>
        </w:rPr>
        <w:t xml:space="preserve">señor </w:t>
      </w:r>
      <w:proofErr w:type="spellStart"/>
      <w:r w:rsidRPr="00B42B64">
        <w:rPr>
          <w:rFonts w:ascii="Cambria" w:hAnsi="Cambria"/>
          <w:sz w:val="20"/>
          <w:szCs w:val="20"/>
          <w:lang w:val="es-ES"/>
        </w:rPr>
        <w:t>Mezerhane</w:t>
      </w:r>
      <w:proofErr w:type="spellEnd"/>
      <w:r w:rsidRPr="00B42B64">
        <w:rPr>
          <w:rFonts w:ascii="Cambria" w:hAnsi="Cambria"/>
          <w:sz w:val="20"/>
          <w:szCs w:val="20"/>
          <w:lang w:val="es-AR"/>
        </w:rPr>
        <w:t xml:space="preserve"> </w:t>
      </w:r>
      <w:r>
        <w:rPr>
          <w:rFonts w:ascii="Cambria" w:hAnsi="Cambria"/>
          <w:sz w:val="20"/>
          <w:szCs w:val="20"/>
          <w:lang w:val="es-ES"/>
        </w:rPr>
        <w:t xml:space="preserve">corresponden a delitos de acción pública, en los que el impulso procesal corresponde al Estado y los cuales no han sido </w:t>
      </w:r>
      <w:r w:rsidRPr="00B6708B">
        <w:rPr>
          <w:rFonts w:ascii="Cambria" w:hAnsi="Cambria"/>
          <w:sz w:val="20"/>
          <w:szCs w:val="20"/>
          <w:lang w:val="es-ES"/>
        </w:rPr>
        <w:t xml:space="preserve">resueltos hasta la fecha. Alega que el hecho de que en ellos aún no se haya dictado sentencia es precisamente uno de los agravios que les han obligado a recurrir a la protección judicial. Sobre el primero proceso en su contra, indica </w:t>
      </w:r>
      <w:r>
        <w:rPr>
          <w:rFonts w:ascii="Cambria" w:hAnsi="Cambria"/>
          <w:sz w:val="20"/>
          <w:szCs w:val="20"/>
          <w:lang w:val="es-ES"/>
        </w:rPr>
        <w:t>que,</w:t>
      </w:r>
      <w:r w:rsidRPr="00B6708B">
        <w:rPr>
          <w:rFonts w:ascii="Cambria" w:hAnsi="Cambria"/>
          <w:sz w:val="20"/>
          <w:szCs w:val="20"/>
          <w:lang w:val="es-ES"/>
        </w:rPr>
        <w:t xml:space="preserve"> </w:t>
      </w:r>
      <w:r>
        <w:rPr>
          <w:rFonts w:ascii="Cambria" w:hAnsi="Cambria"/>
          <w:sz w:val="20"/>
          <w:szCs w:val="20"/>
          <w:lang w:val="es-ES"/>
        </w:rPr>
        <w:t xml:space="preserve">si bien </w:t>
      </w:r>
      <w:r w:rsidRPr="00B6708B">
        <w:rPr>
          <w:rFonts w:ascii="Cambria" w:hAnsi="Cambria"/>
          <w:sz w:val="20"/>
          <w:szCs w:val="20"/>
          <w:lang w:val="es-ES"/>
        </w:rPr>
        <w:t>los hechos</w:t>
      </w:r>
      <w:r>
        <w:rPr>
          <w:rFonts w:ascii="Cambria" w:hAnsi="Cambria"/>
          <w:sz w:val="20"/>
          <w:szCs w:val="20"/>
          <w:lang w:val="es-ES"/>
        </w:rPr>
        <w:t xml:space="preserve"> ocurrieron en 2004</w:t>
      </w:r>
      <w:r w:rsidRPr="00B6708B">
        <w:rPr>
          <w:rFonts w:ascii="Cambria" w:hAnsi="Cambria"/>
          <w:sz w:val="20"/>
          <w:szCs w:val="20"/>
          <w:lang w:val="es-ES"/>
        </w:rPr>
        <w:t>, la investigación está paralizada y no se ha dictado sentencia. Sobre el proceso penal por un presunto delito ambiental, afirma que igual que en el caso anterior, la investigación</w:t>
      </w:r>
      <w:r>
        <w:rPr>
          <w:rFonts w:ascii="Cambria" w:hAnsi="Cambria"/>
          <w:sz w:val="20"/>
          <w:szCs w:val="20"/>
          <w:lang w:val="es-ES"/>
        </w:rPr>
        <w:t xml:space="preserve"> iniciada en 2004</w:t>
      </w:r>
      <w:r w:rsidRPr="00B6708B">
        <w:rPr>
          <w:rFonts w:ascii="Cambria" w:hAnsi="Cambria"/>
          <w:sz w:val="20"/>
          <w:szCs w:val="20"/>
          <w:lang w:val="es-ES"/>
        </w:rPr>
        <w:t xml:space="preserve"> está paralizada y tampoco se ha di</w:t>
      </w:r>
      <w:r>
        <w:rPr>
          <w:rFonts w:ascii="Cambria" w:hAnsi="Cambria"/>
          <w:sz w:val="20"/>
          <w:szCs w:val="20"/>
          <w:lang w:val="es-ES"/>
        </w:rPr>
        <w:t>ctado sentencia</w:t>
      </w:r>
      <w:r w:rsidRPr="00B6708B">
        <w:rPr>
          <w:rFonts w:ascii="Cambria" w:hAnsi="Cambria"/>
          <w:sz w:val="20"/>
          <w:szCs w:val="20"/>
          <w:lang w:val="es-ES"/>
        </w:rPr>
        <w:t>. Sobre el proceso relacionado a supuestos ilícitos bancarios</w:t>
      </w:r>
      <w:r>
        <w:rPr>
          <w:rFonts w:ascii="Cambria" w:hAnsi="Cambria"/>
          <w:sz w:val="20"/>
          <w:szCs w:val="20"/>
          <w:lang w:val="es-ES"/>
        </w:rPr>
        <w:t xml:space="preserve"> iniciado en 2010</w:t>
      </w:r>
      <w:r w:rsidRPr="00B6708B">
        <w:rPr>
          <w:rFonts w:ascii="Cambria" w:hAnsi="Cambria"/>
          <w:sz w:val="20"/>
          <w:szCs w:val="20"/>
          <w:lang w:val="es-ES"/>
        </w:rPr>
        <w:t xml:space="preserve">, alega que </w:t>
      </w:r>
      <w:r>
        <w:rPr>
          <w:rFonts w:ascii="Cambria" w:hAnsi="Cambria"/>
          <w:sz w:val="20"/>
          <w:szCs w:val="20"/>
          <w:lang w:val="es-ES"/>
        </w:rPr>
        <w:t>é</w:t>
      </w:r>
      <w:r w:rsidRPr="00B6708B">
        <w:rPr>
          <w:rFonts w:ascii="Cambria" w:hAnsi="Cambria"/>
          <w:sz w:val="20"/>
          <w:szCs w:val="20"/>
          <w:lang w:val="es-ES"/>
        </w:rPr>
        <w:t xml:space="preserve">ste </w:t>
      </w:r>
      <w:r>
        <w:rPr>
          <w:rFonts w:ascii="Cambria" w:hAnsi="Cambria"/>
          <w:sz w:val="20"/>
          <w:szCs w:val="20"/>
          <w:lang w:val="es-ES"/>
        </w:rPr>
        <w:t>tampoco</w:t>
      </w:r>
      <w:r w:rsidRPr="00B6708B">
        <w:rPr>
          <w:rFonts w:ascii="Cambria" w:hAnsi="Cambria"/>
          <w:sz w:val="20"/>
          <w:szCs w:val="20"/>
          <w:lang w:val="es-ES"/>
        </w:rPr>
        <w:t xml:space="preserve"> ha sido concluido. </w:t>
      </w:r>
    </w:p>
    <w:p w14:paraId="19611A7C" w14:textId="637C230C" w:rsidR="00850ECA" w:rsidRPr="00850ECA" w:rsidRDefault="00850ECA" w:rsidP="00850EC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850ECA">
        <w:rPr>
          <w:rFonts w:ascii="Cambria" w:hAnsi="Cambria"/>
          <w:sz w:val="20"/>
          <w:szCs w:val="20"/>
          <w:lang w:val="es-ES"/>
        </w:rPr>
        <w:t xml:space="preserve">Por otra parte, sobre el alegato del Estado venezolano de condicionar el trámite de los procesos penales a que el señor </w:t>
      </w:r>
      <w:proofErr w:type="spellStart"/>
      <w:r w:rsidRPr="00850ECA">
        <w:rPr>
          <w:rFonts w:ascii="Cambria" w:hAnsi="Cambria"/>
          <w:sz w:val="20"/>
          <w:szCs w:val="20"/>
          <w:lang w:val="es-ES"/>
        </w:rPr>
        <w:t>Mezerhane</w:t>
      </w:r>
      <w:proofErr w:type="spellEnd"/>
      <w:r w:rsidRPr="00850ECA">
        <w:rPr>
          <w:rFonts w:ascii="Cambria" w:hAnsi="Cambria"/>
          <w:sz w:val="20"/>
          <w:szCs w:val="20"/>
          <w:lang w:val="es-ES"/>
        </w:rPr>
        <w:t xml:space="preserve"> comparezca personalmente en dichos procesos, la parte peticionaria alega que lo anterior obligaría a la presunta víctima a exponerse a los agravios y violaciones de derechos humanos que está denunciando, a someterse a la persecución de que es objeto y al trato inhumano y degradante que implica el encierro en prisiones sin luz natural, sin ventilación y sin las condiciones de higiene adecuadas. Sostiene, asimismo, que no hay nada que su presencia física pueda agregar a lo que es una responsabilidad exclusiva del Estado, es decir, investigar hechos criminales, tramitarlo en los tribunales correspondientes y dictar sentencia. Afirma que un recurso que obliga a la víctima a someterse a una detención ilegal y arbitraria no es un recurso efectivo.</w:t>
      </w:r>
      <w:r>
        <w:rPr>
          <w:rFonts w:ascii="Cambria" w:hAnsi="Cambria"/>
          <w:sz w:val="20"/>
          <w:szCs w:val="20"/>
          <w:lang w:val="es-ES"/>
        </w:rPr>
        <w:t xml:space="preserve"> Sobre este punto, señala que</w:t>
      </w:r>
      <w:r>
        <w:rPr>
          <w:rFonts w:ascii="Cambria" w:hAnsi="Cambria"/>
          <w:sz w:val="20"/>
          <w:szCs w:val="20"/>
          <w:lang w:val="es-AR"/>
        </w:rPr>
        <w:t xml:space="preserve">, de acuerdo con la jurisprudencia de la Corte, no puede exigirse el agotamiento de los recursos internos a quien siente un fundado temor de que el ejercicio de </w:t>
      </w:r>
      <w:proofErr w:type="gramStart"/>
      <w:r>
        <w:rPr>
          <w:rFonts w:ascii="Cambria" w:hAnsi="Cambria"/>
          <w:sz w:val="20"/>
          <w:szCs w:val="20"/>
          <w:lang w:val="es-AR"/>
        </w:rPr>
        <w:t>los mismos</w:t>
      </w:r>
      <w:proofErr w:type="gramEnd"/>
      <w:r>
        <w:rPr>
          <w:rFonts w:ascii="Cambria" w:hAnsi="Cambria"/>
          <w:sz w:val="20"/>
          <w:szCs w:val="20"/>
          <w:lang w:val="es-AR"/>
        </w:rPr>
        <w:t xml:space="preserve"> pueda poner en peligro el ejercicio de sus derechos. Además, sostiene que la CIDH ha establecido que </w:t>
      </w:r>
      <w:r w:rsidRPr="001A20AA">
        <w:rPr>
          <w:rFonts w:ascii="Cambria" w:hAnsi="Cambria"/>
          <w:sz w:val="20"/>
          <w:szCs w:val="20"/>
          <w:lang w:val="es-AR"/>
        </w:rPr>
        <w:t>el peticionario no tiene que agotar los recursos internos a costa de poner en riesgo su vida o su integridad física, debido a una política oficial, una práctica policial, o a un ambiente de hostilidad generalizada en contra de ese individuo o del grupo al cual éste pertenezca.</w:t>
      </w:r>
    </w:p>
    <w:p w14:paraId="3D41BC9F" w14:textId="48448225" w:rsidR="00850ECA" w:rsidRPr="00850ECA" w:rsidRDefault="00850ECA" w:rsidP="00850EC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t xml:space="preserve">Asimismo, </w:t>
      </w:r>
      <w:r>
        <w:rPr>
          <w:rFonts w:ascii="Cambria" w:hAnsi="Cambria"/>
          <w:sz w:val="20"/>
          <w:szCs w:val="20"/>
          <w:lang w:val="es-ES"/>
        </w:rPr>
        <w:t>alega que el Estado no ha indicado cómo la culminación de estos tres procesos penales que habrían tenido el propósito de perseguir y castigar a un adversario político, y privarlo del control de un medio de comunicación social, podían constituir un recurso adecuado y efectivo que le hubiera permitido acabar con la persecución política en su contra, evitar la confiscación de sus bienes, y devolverle el control de la línea editorial de un medio de comunicación de su propiedad. Igualmente s</w:t>
      </w:r>
      <w:r w:rsidRPr="00D22294">
        <w:rPr>
          <w:rFonts w:ascii="Cambria" w:hAnsi="Cambria"/>
          <w:sz w:val="20"/>
          <w:szCs w:val="20"/>
          <w:lang w:val="es-ES"/>
        </w:rPr>
        <w:t>eñala</w:t>
      </w:r>
      <w:r>
        <w:rPr>
          <w:rFonts w:ascii="Cambria" w:hAnsi="Cambria"/>
          <w:sz w:val="20"/>
          <w:szCs w:val="20"/>
          <w:lang w:val="es-ES"/>
        </w:rPr>
        <w:t xml:space="preserve"> </w:t>
      </w:r>
      <w:r w:rsidRPr="00D22294">
        <w:rPr>
          <w:rFonts w:ascii="Cambria" w:hAnsi="Cambria"/>
          <w:sz w:val="20"/>
          <w:szCs w:val="20"/>
          <w:lang w:val="es-ES"/>
        </w:rPr>
        <w:t>que los recursos invocados por el Estado</w:t>
      </w:r>
      <w:r>
        <w:rPr>
          <w:rFonts w:ascii="Cambria" w:hAnsi="Cambria"/>
          <w:sz w:val="20"/>
          <w:szCs w:val="20"/>
          <w:lang w:val="es-ES"/>
        </w:rPr>
        <w:t xml:space="preserve"> de Venezuela </w:t>
      </w:r>
      <w:r w:rsidRPr="00D22294">
        <w:rPr>
          <w:rFonts w:ascii="Cambria" w:hAnsi="Cambria"/>
          <w:sz w:val="20"/>
          <w:szCs w:val="20"/>
          <w:lang w:val="es-ES"/>
        </w:rPr>
        <w:t>no son ni adecuados ni efectivos para resolver la queja planteada en la presente petición.</w:t>
      </w:r>
      <w:r>
        <w:rPr>
          <w:rFonts w:ascii="Cambria" w:hAnsi="Cambria"/>
          <w:sz w:val="20"/>
          <w:szCs w:val="20"/>
          <w:lang w:val="es-ES"/>
        </w:rPr>
        <w:t xml:space="preserve"> Alega que estos recursos n</w:t>
      </w:r>
      <w:r w:rsidRPr="00A41E58">
        <w:rPr>
          <w:rFonts w:ascii="Cambria" w:hAnsi="Cambria"/>
          <w:sz w:val="20"/>
          <w:szCs w:val="20"/>
          <w:lang w:val="es-ES"/>
        </w:rPr>
        <w:t xml:space="preserve">o podían </w:t>
      </w:r>
      <w:r>
        <w:rPr>
          <w:rFonts w:ascii="Cambria" w:hAnsi="Cambria"/>
          <w:sz w:val="20"/>
          <w:szCs w:val="20"/>
          <w:lang w:val="es-ES"/>
        </w:rPr>
        <w:t>limitar</w:t>
      </w:r>
      <w:r w:rsidRPr="00A41E58">
        <w:rPr>
          <w:rFonts w:ascii="Cambria" w:hAnsi="Cambria"/>
          <w:sz w:val="20"/>
          <w:szCs w:val="20"/>
          <w:lang w:val="es-ES"/>
        </w:rPr>
        <w:t xml:space="preserve"> </w:t>
      </w:r>
      <w:r>
        <w:rPr>
          <w:rFonts w:ascii="Cambria" w:hAnsi="Cambria"/>
          <w:sz w:val="20"/>
          <w:szCs w:val="20"/>
          <w:lang w:val="es-ES"/>
        </w:rPr>
        <w:t xml:space="preserve">la </w:t>
      </w:r>
      <w:r w:rsidRPr="00A41E58">
        <w:rPr>
          <w:rFonts w:ascii="Cambria" w:hAnsi="Cambria"/>
          <w:sz w:val="20"/>
          <w:szCs w:val="20"/>
          <w:lang w:val="es-ES"/>
        </w:rPr>
        <w:t xml:space="preserve">persecución política que se valía justamente de acusaciones </w:t>
      </w:r>
      <w:r>
        <w:rPr>
          <w:rFonts w:ascii="Cambria" w:hAnsi="Cambria"/>
          <w:sz w:val="20"/>
          <w:szCs w:val="20"/>
          <w:lang w:val="es-ES"/>
        </w:rPr>
        <w:t>“</w:t>
      </w:r>
      <w:r w:rsidRPr="00A41E58">
        <w:rPr>
          <w:rFonts w:ascii="Cambria" w:hAnsi="Cambria"/>
          <w:sz w:val="20"/>
          <w:szCs w:val="20"/>
          <w:lang w:val="es-ES"/>
        </w:rPr>
        <w:t>surrealistas</w:t>
      </w:r>
      <w:r>
        <w:rPr>
          <w:rFonts w:ascii="Cambria" w:hAnsi="Cambria"/>
          <w:sz w:val="20"/>
          <w:szCs w:val="20"/>
          <w:lang w:val="es-ES"/>
        </w:rPr>
        <w:t>” intentadas ante T</w:t>
      </w:r>
      <w:r w:rsidRPr="00A41E58">
        <w:rPr>
          <w:rFonts w:ascii="Cambria" w:hAnsi="Cambria"/>
          <w:sz w:val="20"/>
          <w:szCs w:val="20"/>
          <w:lang w:val="es-ES"/>
        </w:rPr>
        <w:t xml:space="preserve">ribunales </w:t>
      </w:r>
      <w:r>
        <w:rPr>
          <w:rFonts w:ascii="Cambria" w:hAnsi="Cambria"/>
          <w:sz w:val="20"/>
          <w:szCs w:val="20"/>
          <w:lang w:val="es-ES"/>
        </w:rPr>
        <w:t xml:space="preserve">carentes de independencia e imparcialidad, </w:t>
      </w:r>
      <w:r w:rsidRPr="00A41E58">
        <w:rPr>
          <w:rFonts w:ascii="Cambria" w:hAnsi="Cambria"/>
          <w:sz w:val="20"/>
          <w:szCs w:val="20"/>
          <w:lang w:val="es-ES"/>
        </w:rPr>
        <w:t>que servían de instrumento para llevar a cabo la persecución pol</w:t>
      </w:r>
      <w:r>
        <w:rPr>
          <w:rFonts w:ascii="Cambria" w:hAnsi="Cambria"/>
          <w:sz w:val="20"/>
          <w:szCs w:val="20"/>
          <w:lang w:val="es-ES"/>
        </w:rPr>
        <w:t>ítica que se denuncia en la petición. Luego, indica</w:t>
      </w:r>
      <w:r w:rsidRPr="00A41E58">
        <w:rPr>
          <w:rFonts w:ascii="Cambria" w:hAnsi="Cambria"/>
          <w:sz w:val="20"/>
          <w:szCs w:val="20"/>
          <w:lang w:val="es-ES"/>
        </w:rPr>
        <w:t xml:space="preserve"> que no ha</w:t>
      </w:r>
      <w:r>
        <w:rPr>
          <w:rFonts w:ascii="Cambria" w:hAnsi="Cambria"/>
          <w:sz w:val="20"/>
          <w:szCs w:val="20"/>
          <w:lang w:val="es-ES"/>
        </w:rPr>
        <w:t>y</w:t>
      </w:r>
      <w:r w:rsidRPr="00A41E58">
        <w:rPr>
          <w:rFonts w:ascii="Cambria" w:hAnsi="Cambria"/>
          <w:sz w:val="20"/>
          <w:szCs w:val="20"/>
          <w:lang w:val="es-ES"/>
        </w:rPr>
        <w:t xml:space="preserve"> recursos jurisdic</w:t>
      </w:r>
      <w:r>
        <w:rPr>
          <w:rFonts w:ascii="Cambria" w:hAnsi="Cambria"/>
          <w:sz w:val="20"/>
          <w:szCs w:val="20"/>
          <w:lang w:val="es-ES"/>
        </w:rPr>
        <w:t>cionales disponibles que agotar.</w:t>
      </w:r>
      <w:r w:rsidRPr="00A41E58">
        <w:rPr>
          <w:rFonts w:ascii="Cambria" w:hAnsi="Cambria"/>
          <w:sz w:val="20"/>
          <w:szCs w:val="20"/>
          <w:lang w:val="es-ES"/>
        </w:rPr>
        <w:t xml:space="preserve"> </w:t>
      </w:r>
    </w:p>
    <w:p w14:paraId="20914653" w14:textId="22254879" w:rsidR="00850ECA" w:rsidRPr="00850ECA" w:rsidRDefault="00850ECA" w:rsidP="00850EC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AR"/>
        </w:rPr>
        <w:t xml:space="preserve">Finalmente, </w:t>
      </w:r>
      <w:r w:rsidRPr="00624646">
        <w:rPr>
          <w:rFonts w:ascii="Cambria" w:hAnsi="Cambria"/>
          <w:sz w:val="20"/>
          <w:szCs w:val="20"/>
          <w:lang w:val="es-ES"/>
        </w:rPr>
        <w:t xml:space="preserve">la parte peticionaria alega que en Venezuela no existe un debido proceso penal dada la falta de independencia del poder judicial. </w:t>
      </w:r>
      <w:r w:rsidRPr="00624646">
        <w:rPr>
          <w:rFonts w:ascii="Cambria" w:hAnsi="Cambria"/>
          <w:sz w:val="20"/>
          <w:szCs w:val="20"/>
          <w:lang w:val="es-AR"/>
        </w:rPr>
        <w:t xml:space="preserve">La parte solicitante resalta que la CIDH ha señalado reiteradamente el deterioro de la institucionalidad democrática y el Estado de Derecho, que repercute en el </w:t>
      </w:r>
      <w:r w:rsidRPr="00624646">
        <w:rPr>
          <w:rFonts w:ascii="Cambria" w:hAnsi="Cambria"/>
          <w:sz w:val="20"/>
          <w:szCs w:val="20"/>
          <w:lang w:val="es-AR"/>
        </w:rPr>
        <w:lastRenderedPageBreak/>
        <w:t xml:space="preserve">ejercicio de los derechos humanos de los ciudadanos. Sobre este punto, </w:t>
      </w:r>
      <w:r w:rsidRPr="00624646">
        <w:rPr>
          <w:rFonts w:ascii="Cambria" w:hAnsi="Cambria"/>
          <w:sz w:val="20"/>
          <w:szCs w:val="20"/>
          <w:lang w:val="es-ES"/>
        </w:rPr>
        <w:t xml:space="preserve">enuncia numerosos pronunciamientos de la CIDH y </w:t>
      </w:r>
      <w:r w:rsidRPr="001A20AA">
        <w:rPr>
          <w:rFonts w:ascii="Cambria" w:hAnsi="Cambria"/>
          <w:sz w:val="20"/>
          <w:szCs w:val="20"/>
          <w:lang w:val="es-ES"/>
        </w:rPr>
        <w:t>otros organismos internacionales denunciando esa situación. Resalta que se trata de un país donde los fiscales y jueces son provisorios, y en donde aquellos que deciden en forma independiente e imparcial son destituidos por no acatar directrices superiores</w:t>
      </w:r>
      <w:r>
        <w:rPr>
          <w:rFonts w:ascii="Cambria" w:hAnsi="Cambria"/>
          <w:sz w:val="20"/>
          <w:szCs w:val="20"/>
          <w:lang w:val="es-ES"/>
        </w:rPr>
        <w:t xml:space="preserve">. La parte peticionaria cita una declaración jurada ante un tribunal estadounidense del entonces presidente de la Sala Penal del Tribunal Supremo de Justicia, quien confirmó la </w:t>
      </w:r>
      <w:r w:rsidRPr="00850ECA">
        <w:rPr>
          <w:rFonts w:ascii="Cambria" w:hAnsi="Cambria"/>
          <w:sz w:val="20"/>
          <w:szCs w:val="20"/>
          <w:lang w:val="es-ES"/>
        </w:rPr>
        <w:t>total e inescrupulosa ausencia de independencia del Poder Judicial en Venezuela</w:t>
      </w:r>
      <w:r w:rsidR="00280635">
        <w:rPr>
          <w:rFonts w:ascii="Cambria" w:hAnsi="Cambria"/>
          <w:sz w:val="20"/>
          <w:szCs w:val="20"/>
          <w:lang w:val="es-ES"/>
        </w:rPr>
        <w:t>, señalando que la consecuencia de actuar en contra de las instrucciones presidenciales para un juez era la destitución y en algunos casos la cárcel. Asimismo, cita una declaración de un magistrado del Tribunal Supremo de Justicia en febrero de 2011 en la que afirma que dicho tribunal y el resto de los tribunales del país debían “aplicar severamente las leyes para sancionar conductas o reconducir conductas que vayan en desmedro de la construcción del socialismo”.</w:t>
      </w:r>
      <w:r w:rsidR="00317504">
        <w:rPr>
          <w:rFonts w:ascii="Cambria" w:hAnsi="Cambria"/>
          <w:sz w:val="20"/>
          <w:szCs w:val="20"/>
          <w:lang w:val="es-ES"/>
        </w:rPr>
        <w:t xml:space="preserve"> </w:t>
      </w:r>
    </w:p>
    <w:p w14:paraId="175C27FB" w14:textId="2C5FECC8" w:rsidR="00671D07" w:rsidRPr="00317504" w:rsidRDefault="00850ECA" w:rsidP="00671D0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1A20AA">
        <w:rPr>
          <w:rFonts w:ascii="Cambria" w:hAnsi="Cambria"/>
          <w:sz w:val="20"/>
          <w:szCs w:val="20"/>
          <w:lang w:val="es-ES"/>
        </w:rPr>
        <w:t xml:space="preserve">Sostiene que </w:t>
      </w:r>
      <w:r w:rsidR="00280635">
        <w:rPr>
          <w:rFonts w:ascii="Cambria" w:hAnsi="Cambria"/>
          <w:sz w:val="20"/>
          <w:szCs w:val="20"/>
          <w:lang w:val="es-ES"/>
        </w:rPr>
        <w:t xml:space="preserve">los </w:t>
      </w:r>
      <w:r w:rsidRPr="001A20AA">
        <w:rPr>
          <w:rFonts w:ascii="Cambria" w:hAnsi="Cambria"/>
          <w:sz w:val="20"/>
          <w:szCs w:val="20"/>
          <w:lang w:val="es-ES"/>
        </w:rPr>
        <w:t xml:space="preserve">hechos </w:t>
      </w:r>
      <w:r w:rsidR="00280635">
        <w:rPr>
          <w:rFonts w:ascii="Cambria" w:hAnsi="Cambria"/>
          <w:sz w:val="20"/>
          <w:szCs w:val="20"/>
          <w:lang w:val="es-ES"/>
        </w:rPr>
        <w:t xml:space="preserve">de este caso </w:t>
      </w:r>
      <w:r w:rsidRPr="001A20AA">
        <w:rPr>
          <w:rFonts w:ascii="Cambria" w:hAnsi="Cambria"/>
          <w:sz w:val="20"/>
          <w:szCs w:val="20"/>
          <w:lang w:val="es-ES"/>
        </w:rPr>
        <w:t xml:space="preserve">se dan en el marco de un contexto de ausencia de separación e independencia de los poderes públicos, conforme lo observado por </w:t>
      </w:r>
      <w:r w:rsidRPr="001A20AA">
        <w:rPr>
          <w:rFonts w:ascii="Cambria" w:hAnsi="Cambria"/>
          <w:sz w:val="20"/>
          <w:szCs w:val="20"/>
          <w:lang w:val="es-AR"/>
        </w:rPr>
        <w:t>la CIDH en el informe “Democracia y derechos humanos en Venezuela”. Indica que la presunta víctima no contó con garantías judiciales en ninguno de los tres procesos en su contra</w:t>
      </w:r>
      <w:r w:rsidR="00280635">
        <w:rPr>
          <w:rFonts w:ascii="Cambria" w:hAnsi="Cambria"/>
          <w:sz w:val="20"/>
          <w:szCs w:val="20"/>
          <w:lang w:val="es-AR"/>
        </w:rPr>
        <w:t xml:space="preserve">, </w:t>
      </w:r>
      <w:r w:rsidRPr="001A20AA">
        <w:rPr>
          <w:rFonts w:ascii="Cambria" w:hAnsi="Cambria"/>
          <w:sz w:val="20"/>
          <w:szCs w:val="20"/>
          <w:lang w:val="es-AR"/>
        </w:rPr>
        <w:t xml:space="preserve">que debió permanecer en detención provisional- a pesar de que las normas señalan que la detención preventiva es la excepción y no la regla-, que el Fiscal General de la Repúbica preparó y presentó a un testigo falso para acusarlo del homicidio del fiscal, y que la jueza que se atrevió a fallar a su favor fue destuida. Sostiene que en este caso no ha habido debido proceso legal, que la presunta víctima </w:t>
      </w:r>
      <w:r w:rsidR="00280635" w:rsidRPr="00B6708B">
        <w:rPr>
          <w:rFonts w:ascii="Cambria" w:hAnsi="Cambria"/>
          <w:sz w:val="20"/>
          <w:szCs w:val="20"/>
          <w:lang w:val="es-ES"/>
        </w:rPr>
        <w:t>no tuvo la oportunidad de defenderse y ser oída por un tribunal independiente e imparcia</w:t>
      </w:r>
      <w:r w:rsidR="00280635">
        <w:rPr>
          <w:rFonts w:ascii="Cambria" w:hAnsi="Cambria"/>
          <w:sz w:val="20"/>
          <w:szCs w:val="20"/>
          <w:lang w:val="es-ES"/>
        </w:rPr>
        <w:t>l</w:t>
      </w:r>
      <w:r w:rsidRPr="001A20AA">
        <w:rPr>
          <w:rFonts w:ascii="Cambria" w:hAnsi="Cambria"/>
          <w:sz w:val="20"/>
          <w:szCs w:val="20"/>
          <w:lang w:val="es-AR"/>
        </w:rPr>
        <w:t xml:space="preserve"> y que cualquier decisión que tomen los tribunales venezolanos en este caso no será creíble ni el resultado de un proceso regular.</w:t>
      </w:r>
    </w:p>
    <w:p w14:paraId="2A2530D8" w14:textId="0A6E9209" w:rsidR="00B23FD7" w:rsidRPr="00B23FD7" w:rsidRDefault="0030799F" w:rsidP="0098741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AR"/>
        </w:rPr>
        <w:t>Por su parte, el Estado alega que la presunta víctima no ha agotado los recursos internos</w:t>
      </w:r>
      <w:r w:rsidR="00B23FD7">
        <w:rPr>
          <w:rFonts w:ascii="Cambria" w:hAnsi="Cambria"/>
          <w:sz w:val="20"/>
          <w:szCs w:val="20"/>
          <w:lang w:val="es-AR"/>
        </w:rPr>
        <w:t xml:space="preserve"> y que en el presente caso no se aplica las excepciones al agotamiento de los recursos internos previstas en </w:t>
      </w:r>
      <w:r w:rsidR="005D0114">
        <w:rPr>
          <w:rFonts w:ascii="Cambria" w:hAnsi="Cambria"/>
          <w:sz w:val="20"/>
          <w:szCs w:val="20"/>
          <w:lang w:val="es-AR"/>
        </w:rPr>
        <w:t xml:space="preserve">el </w:t>
      </w:r>
      <w:r w:rsidR="00B23FD7">
        <w:rPr>
          <w:rFonts w:ascii="Cambria" w:hAnsi="Cambria"/>
          <w:sz w:val="20"/>
          <w:szCs w:val="20"/>
          <w:lang w:val="es-AR"/>
        </w:rPr>
        <w:t>artículo 31</w:t>
      </w:r>
      <w:r w:rsidR="005D0114">
        <w:rPr>
          <w:rFonts w:ascii="Cambria" w:hAnsi="Cambria"/>
          <w:sz w:val="20"/>
          <w:szCs w:val="20"/>
          <w:lang w:val="es-AR"/>
        </w:rPr>
        <w:t>.2</w:t>
      </w:r>
      <w:r w:rsidR="00B23FD7">
        <w:rPr>
          <w:rFonts w:ascii="Cambria" w:hAnsi="Cambria"/>
          <w:sz w:val="20"/>
          <w:szCs w:val="20"/>
          <w:lang w:val="es-AR"/>
        </w:rPr>
        <w:t xml:space="preserve"> del Reglamento de la CIDH.</w:t>
      </w:r>
      <w:r w:rsidR="00F46A33">
        <w:rPr>
          <w:rFonts w:ascii="Cambria" w:hAnsi="Cambria"/>
          <w:sz w:val="20"/>
          <w:szCs w:val="20"/>
          <w:lang w:val="es-AR"/>
        </w:rPr>
        <w:t xml:space="preserve"> </w:t>
      </w:r>
      <w:r w:rsidR="00B23FD7">
        <w:rPr>
          <w:rFonts w:ascii="Cambria" w:hAnsi="Cambria"/>
          <w:sz w:val="20"/>
          <w:szCs w:val="20"/>
          <w:lang w:val="es-AR"/>
        </w:rPr>
        <w:t xml:space="preserve">Igualmente, alega </w:t>
      </w:r>
      <w:r w:rsidR="00F46A33">
        <w:rPr>
          <w:rFonts w:ascii="Cambria" w:hAnsi="Cambria"/>
          <w:sz w:val="20"/>
          <w:szCs w:val="20"/>
          <w:lang w:val="es-AR"/>
        </w:rPr>
        <w:t>que en su escrito</w:t>
      </w:r>
      <w:r w:rsidR="00B23FD7">
        <w:rPr>
          <w:rFonts w:ascii="Cambria" w:hAnsi="Cambria"/>
          <w:sz w:val="20"/>
          <w:szCs w:val="20"/>
          <w:lang w:val="es-AR"/>
        </w:rPr>
        <w:t xml:space="preserve"> la presunta víctima</w:t>
      </w:r>
      <w:r w:rsidR="00F46A33">
        <w:rPr>
          <w:rFonts w:ascii="Cambria" w:hAnsi="Cambria"/>
          <w:sz w:val="20"/>
          <w:szCs w:val="20"/>
          <w:lang w:val="es-AR"/>
        </w:rPr>
        <w:t xml:space="preserve"> no </w:t>
      </w:r>
      <w:r w:rsidR="003B0E28">
        <w:rPr>
          <w:rFonts w:ascii="Cambria" w:hAnsi="Cambria"/>
          <w:sz w:val="20"/>
          <w:szCs w:val="20"/>
          <w:lang w:val="es-AR"/>
        </w:rPr>
        <w:t xml:space="preserve">incluyó </w:t>
      </w:r>
      <w:r w:rsidR="00F46A33">
        <w:rPr>
          <w:rFonts w:ascii="Cambria" w:hAnsi="Cambria"/>
          <w:sz w:val="20"/>
          <w:szCs w:val="20"/>
          <w:lang w:val="es-AR"/>
        </w:rPr>
        <w:t>ninguna referencia a los recursos judiciales intentados para agotar previamente la jurisdicción interna, antes de acudir al sistema int</w:t>
      </w:r>
      <w:r w:rsidR="003B0E28">
        <w:rPr>
          <w:rFonts w:ascii="Cambria" w:hAnsi="Cambria"/>
          <w:sz w:val="20"/>
          <w:szCs w:val="20"/>
          <w:lang w:val="es-AR"/>
        </w:rPr>
        <w:t>eramericano</w:t>
      </w:r>
      <w:r>
        <w:rPr>
          <w:rFonts w:ascii="Cambria" w:hAnsi="Cambria"/>
          <w:sz w:val="20"/>
          <w:szCs w:val="20"/>
          <w:lang w:val="es-AR"/>
        </w:rPr>
        <w:t xml:space="preserve">. </w:t>
      </w:r>
      <w:r w:rsidR="00B23FD7">
        <w:rPr>
          <w:rFonts w:ascii="Cambria" w:hAnsi="Cambria"/>
          <w:sz w:val="20"/>
          <w:szCs w:val="20"/>
          <w:lang w:val="es-AR"/>
        </w:rPr>
        <w:t xml:space="preserve">Por otra parte, el Estado venezolano señala que la presente petición </w:t>
      </w:r>
      <w:r w:rsidR="003B0E28">
        <w:rPr>
          <w:rFonts w:ascii="Cambria" w:hAnsi="Cambria"/>
          <w:sz w:val="20"/>
          <w:szCs w:val="20"/>
          <w:lang w:val="es-AR"/>
        </w:rPr>
        <w:t>es</w:t>
      </w:r>
      <w:r w:rsidR="00B23FD7">
        <w:rPr>
          <w:rFonts w:ascii="Cambria" w:hAnsi="Cambria"/>
          <w:sz w:val="20"/>
          <w:szCs w:val="20"/>
          <w:lang w:val="es-AR"/>
        </w:rPr>
        <w:t xml:space="preserve"> similar al caso “Brewer Carias vs. Venezuela”, en el cual la Corte Interamericana de Derechos Humanos </w:t>
      </w:r>
      <w:r w:rsidR="003B0E28">
        <w:rPr>
          <w:rFonts w:ascii="Cambria" w:hAnsi="Cambria"/>
          <w:sz w:val="20"/>
          <w:szCs w:val="20"/>
          <w:lang w:val="es-AR"/>
        </w:rPr>
        <w:t xml:space="preserve">declaró </w:t>
      </w:r>
      <w:r w:rsidR="00B23FD7">
        <w:rPr>
          <w:rFonts w:ascii="Cambria" w:hAnsi="Cambria"/>
          <w:sz w:val="20"/>
          <w:szCs w:val="20"/>
          <w:lang w:val="es-AR"/>
        </w:rPr>
        <w:t xml:space="preserve">con lugar la excepción preliminar interpuesta por Venezuela, al considerar que no se </w:t>
      </w:r>
      <w:r w:rsidR="003B0E28">
        <w:rPr>
          <w:rFonts w:ascii="Cambria" w:hAnsi="Cambria"/>
          <w:sz w:val="20"/>
          <w:szCs w:val="20"/>
          <w:lang w:val="es-AR"/>
        </w:rPr>
        <w:t>agotaron</w:t>
      </w:r>
      <w:r w:rsidR="00B23FD7">
        <w:rPr>
          <w:rFonts w:ascii="Cambria" w:hAnsi="Cambria"/>
          <w:sz w:val="20"/>
          <w:szCs w:val="20"/>
          <w:lang w:val="es-AR"/>
        </w:rPr>
        <w:t xml:space="preserve"> los recursos internos.</w:t>
      </w:r>
    </w:p>
    <w:p w14:paraId="4D851C1B" w14:textId="32E6E6C4" w:rsidR="0035308A" w:rsidRPr="005D0114" w:rsidRDefault="00B23FD7" w:rsidP="005D011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AR"/>
        </w:rPr>
        <w:t>El Estado i</w:t>
      </w:r>
      <w:r w:rsidR="006E4422">
        <w:rPr>
          <w:rFonts w:ascii="Cambria" w:hAnsi="Cambria"/>
          <w:sz w:val="20"/>
          <w:szCs w:val="20"/>
          <w:lang w:val="es-AR"/>
        </w:rPr>
        <w:t>ndica</w:t>
      </w:r>
      <w:r>
        <w:rPr>
          <w:rFonts w:ascii="Cambria" w:hAnsi="Cambria"/>
          <w:sz w:val="20"/>
          <w:szCs w:val="20"/>
          <w:lang w:val="es-AR"/>
        </w:rPr>
        <w:t>, asimismo,</w:t>
      </w:r>
      <w:r w:rsidR="006E4422">
        <w:rPr>
          <w:rFonts w:ascii="Cambria" w:hAnsi="Cambria"/>
          <w:sz w:val="20"/>
          <w:szCs w:val="20"/>
          <w:lang w:val="es-AR"/>
        </w:rPr>
        <w:t xml:space="preserve"> que la presente petición se relaciona con diversos procesos penales iniciados </w:t>
      </w:r>
      <w:r w:rsidR="0098741B">
        <w:rPr>
          <w:rFonts w:ascii="Cambria" w:hAnsi="Cambria"/>
          <w:sz w:val="20"/>
          <w:szCs w:val="20"/>
          <w:lang w:val="es-AR"/>
        </w:rPr>
        <w:t xml:space="preserve">contra la presunta víctima </w:t>
      </w:r>
      <w:r w:rsidR="006E4422">
        <w:rPr>
          <w:rFonts w:ascii="Cambria" w:hAnsi="Cambria"/>
          <w:sz w:val="20"/>
          <w:szCs w:val="20"/>
          <w:lang w:val="es-AR"/>
        </w:rPr>
        <w:t xml:space="preserve">y </w:t>
      </w:r>
      <w:r w:rsidR="0098741B">
        <w:rPr>
          <w:rFonts w:ascii="Cambria" w:hAnsi="Cambria"/>
          <w:sz w:val="20"/>
          <w:szCs w:val="20"/>
          <w:lang w:val="es-AR"/>
        </w:rPr>
        <w:t>que todavía</w:t>
      </w:r>
      <w:r w:rsidR="006E4422">
        <w:rPr>
          <w:rFonts w:ascii="Cambria" w:hAnsi="Cambria"/>
          <w:sz w:val="20"/>
          <w:szCs w:val="20"/>
          <w:lang w:val="es-AR"/>
        </w:rPr>
        <w:t xml:space="preserve"> </w:t>
      </w:r>
      <w:r w:rsidR="0098741B">
        <w:rPr>
          <w:rFonts w:ascii="Cambria" w:hAnsi="Cambria"/>
          <w:sz w:val="20"/>
          <w:szCs w:val="20"/>
          <w:lang w:val="es-AR"/>
        </w:rPr>
        <w:t xml:space="preserve">se </w:t>
      </w:r>
      <w:r w:rsidR="003B0E28">
        <w:rPr>
          <w:rFonts w:ascii="Cambria" w:hAnsi="Cambria"/>
          <w:sz w:val="20"/>
          <w:szCs w:val="20"/>
          <w:lang w:val="es-AR"/>
        </w:rPr>
        <w:t>encuentr</w:t>
      </w:r>
      <w:r w:rsidR="006E4422">
        <w:rPr>
          <w:rFonts w:ascii="Cambria" w:hAnsi="Cambria"/>
          <w:sz w:val="20"/>
          <w:szCs w:val="20"/>
          <w:lang w:val="es-AR"/>
        </w:rPr>
        <w:t>an en curso. En este sentido, señala la existencia de un primer proceso judicial iniciado a partir del homicidio de un Fiscal del Minis</w:t>
      </w:r>
      <w:r w:rsidR="0035308A">
        <w:rPr>
          <w:rFonts w:ascii="Cambria" w:hAnsi="Cambria"/>
          <w:sz w:val="20"/>
          <w:szCs w:val="20"/>
          <w:lang w:val="es-AR"/>
        </w:rPr>
        <w:t>terio Público, ocurrido en 2004 y los otros dos relacionados con irregularidades supuestamente ocurridas en empresas o sociedades mercantiles dirigidas y/o presididas por la presunta víctima. Afirma que a pesar de dichos procesos en curso, la presunta víctima salió de Venezuela el 6 de marzo de 2010, sin haber retornado al país hasta</w:t>
      </w:r>
      <w:r w:rsidR="006E4422">
        <w:rPr>
          <w:rFonts w:ascii="Cambria" w:hAnsi="Cambria"/>
          <w:sz w:val="20"/>
          <w:szCs w:val="20"/>
          <w:lang w:val="es-AR"/>
        </w:rPr>
        <w:t xml:space="preserve"> </w:t>
      </w:r>
      <w:r w:rsidR="0035308A">
        <w:rPr>
          <w:rFonts w:ascii="Cambria" w:hAnsi="Cambria"/>
          <w:sz w:val="20"/>
          <w:szCs w:val="20"/>
          <w:lang w:val="es-AR"/>
        </w:rPr>
        <w:t>la fecha</w:t>
      </w:r>
      <w:r w:rsidR="0098741B">
        <w:rPr>
          <w:rFonts w:ascii="Cambria" w:hAnsi="Cambria"/>
          <w:sz w:val="20"/>
          <w:szCs w:val="20"/>
          <w:lang w:val="es-AR"/>
        </w:rPr>
        <w:t>; y por eso estos</w:t>
      </w:r>
      <w:r w:rsidR="0035308A">
        <w:rPr>
          <w:rFonts w:ascii="Cambria" w:hAnsi="Cambria"/>
          <w:sz w:val="20"/>
          <w:szCs w:val="20"/>
          <w:lang w:val="es-AR"/>
        </w:rPr>
        <w:t xml:space="preserve"> procesos se encuentran suspendidos, en vista que en el país está prohibido el juicio en ausencia. </w:t>
      </w:r>
      <w:r w:rsidR="0035308A" w:rsidRPr="0098741B">
        <w:rPr>
          <w:rFonts w:ascii="Cambria" w:hAnsi="Cambria"/>
          <w:sz w:val="20"/>
          <w:szCs w:val="20"/>
          <w:lang w:val="es-AR"/>
        </w:rPr>
        <w:t xml:space="preserve">Adicionalmente, señala que el 26 de agosto de 2010 la Sala de Casación Penal del </w:t>
      </w:r>
      <w:r w:rsidR="00A0269E" w:rsidRPr="0098741B">
        <w:rPr>
          <w:rFonts w:ascii="Cambria" w:hAnsi="Cambria"/>
          <w:sz w:val="20"/>
          <w:szCs w:val="20"/>
          <w:lang w:val="es-AR"/>
        </w:rPr>
        <w:t>Tribunal Supremo de Justicia, declaró procedente la solicitud de extradición activa de la presunta víctima</w:t>
      </w:r>
      <w:r w:rsidR="0098741B" w:rsidRPr="0098741B">
        <w:rPr>
          <w:rFonts w:ascii="Cambria" w:hAnsi="Cambria"/>
          <w:sz w:val="20"/>
          <w:szCs w:val="20"/>
          <w:lang w:val="es-AR"/>
        </w:rPr>
        <w:t xml:space="preserve"> al Gobierno de los EEUU</w:t>
      </w:r>
      <w:r w:rsidR="00A0269E" w:rsidRPr="0098741B">
        <w:rPr>
          <w:rFonts w:ascii="Cambria" w:hAnsi="Cambria"/>
          <w:sz w:val="20"/>
          <w:szCs w:val="20"/>
          <w:lang w:val="es-AR"/>
        </w:rPr>
        <w:t xml:space="preserve"> a los fines de procurar su sometimiento a la justicia venezolana. </w:t>
      </w:r>
      <w:r w:rsidRPr="005D0114">
        <w:rPr>
          <w:rFonts w:ascii="Cambria" w:hAnsi="Cambria"/>
          <w:sz w:val="20"/>
          <w:szCs w:val="20"/>
          <w:lang w:val="es-AR"/>
        </w:rPr>
        <w:t>Finalmente</w:t>
      </w:r>
      <w:r w:rsidR="0098741B" w:rsidRPr="005D0114">
        <w:rPr>
          <w:rFonts w:ascii="Cambria" w:hAnsi="Cambria"/>
          <w:sz w:val="20"/>
          <w:szCs w:val="20"/>
          <w:lang w:val="es-AR"/>
        </w:rPr>
        <w:t xml:space="preserve">, informa que “[e]n el supuesto negado que efectivamente hubiese ocurrido algún tipo [de] afectación a sus derechos humanos, todavía podrían ser resueltas a través de los diferentes recursos judiciales ordinarios que pudieran eventualmente ejercerse”. </w:t>
      </w:r>
    </w:p>
    <w:p w14:paraId="6F4D4171" w14:textId="563347CF" w:rsidR="003239B8" w:rsidRPr="00354070" w:rsidRDefault="003239B8" w:rsidP="00A64A73">
      <w:pPr>
        <w:spacing w:before="240" w:after="240"/>
        <w:ind w:firstLine="720"/>
        <w:jc w:val="both"/>
        <w:rPr>
          <w:rFonts w:ascii="Cambria" w:hAnsi="Cambria"/>
          <w:sz w:val="20"/>
          <w:szCs w:val="20"/>
          <w:lang w:val="es-UY"/>
        </w:rPr>
      </w:pPr>
      <w:r w:rsidRPr="003239B8">
        <w:rPr>
          <w:rFonts w:asciiTheme="majorHAnsi" w:eastAsia="Cambria" w:hAnsiTheme="majorHAnsi" w:cs="Cambria"/>
          <w:b/>
          <w:bCs/>
          <w:color w:val="000000"/>
          <w:sz w:val="20"/>
          <w:szCs w:val="20"/>
          <w:u w:color="000000"/>
          <w:lang w:val="es-ES" w:eastAsia="es-ES"/>
        </w:rPr>
        <w:t>VI.</w:t>
      </w:r>
      <w:r w:rsidRPr="003239B8">
        <w:rPr>
          <w:rFonts w:asciiTheme="majorHAnsi" w:eastAsia="Cambria" w:hAnsiTheme="majorHAnsi" w:cs="Cambria"/>
          <w:b/>
          <w:bCs/>
          <w:color w:val="000000"/>
          <w:sz w:val="20"/>
          <w:szCs w:val="20"/>
          <w:u w:color="000000"/>
          <w:lang w:val="es-ES" w:eastAsia="es-ES"/>
        </w:rPr>
        <w:tab/>
      </w:r>
      <w:r w:rsidR="00992FFB">
        <w:rPr>
          <w:rFonts w:asciiTheme="majorHAnsi" w:hAnsiTheme="majorHAnsi"/>
          <w:b/>
          <w:bCs/>
          <w:sz w:val="20"/>
          <w:szCs w:val="20"/>
          <w:lang w:val="es-ES_tradnl"/>
        </w:rPr>
        <w:t xml:space="preserve">ANÁLISIS DE </w:t>
      </w:r>
      <w:r w:rsidR="00C21FEF" w:rsidRPr="00332747">
        <w:rPr>
          <w:rFonts w:asciiTheme="majorHAnsi" w:hAnsiTheme="majorHAnsi"/>
          <w:b/>
          <w:sz w:val="20"/>
          <w:szCs w:val="20"/>
          <w:lang w:val="es-ES"/>
        </w:rPr>
        <w:t>AGOTAMIENTO DE LOS RECURSOS INTERNOS</w:t>
      </w:r>
      <w:r w:rsidR="00C21FEF">
        <w:rPr>
          <w:rFonts w:asciiTheme="majorHAnsi" w:hAnsiTheme="majorHAnsi"/>
          <w:b/>
          <w:sz w:val="20"/>
          <w:szCs w:val="20"/>
          <w:lang w:val="es-ES"/>
        </w:rPr>
        <w:t xml:space="preserve"> Y PLAZO DE PRESENTACIÓN</w:t>
      </w:r>
      <w:r w:rsidR="00C21FEF" w:rsidRPr="003239B8">
        <w:rPr>
          <w:rFonts w:asciiTheme="majorHAnsi" w:eastAsia="Cambria" w:hAnsiTheme="majorHAnsi" w:cs="Cambria"/>
          <w:b/>
          <w:bCs/>
          <w:color w:val="000000"/>
          <w:sz w:val="20"/>
          <w:szCs w:val="20"/>
          <w:u w:color="000000"/>
          <w:lang w:val="es-ES" w:eastAsia="es-ES"/>
        </w:rPr>
        <w:t xml:space="preserve"> </w:t>
      </w:r>
    </w:p>
    <w:p w14:paraId="16AFA563" w14:textId="45374B82" w:rsidR="006D4121" w:rsidRDefault="006D4121" w:rsidP="00D9777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UY"/>
        </w:rPr>
        <w:t>E</w:t>
      </w:r>
      <w:r w:rsidRPr="00B42B64">
        <w:rPr>
          <w:rFonts w:ascii="Cambria" w:hAnsi="Cambria"/>
          <w:sz w:val="20"/>
          <w:szCs w:val="20"/>
          <w:lang w:val="es-ES"/>
        </w:rPr>
        <w:t xml:space="preserve">l Estado venezolano alega que </w:t>
      </w:r>
      <w:r w:rsidR="008350CE">
        <w:rPr>
          <w:rFonts w:ascii="Cambria" w:hAnsi="Cambria"/>
          <w:sz w:val="20"/>
          <w:szCs w:val="20"/>
          <w:lang w:val="es-ES"/>
        </w:rPr>
        <w:t xml:space="preserve">la presunta </w:t>
      </w:r>
      <w:r w:rsidR="00CB4536">
        <w:rPr>
          <w:rFonts w:ascii="Cambria" w:hAnsi="Cambria"/>
          <w:sz w:val="20"/>
          <w:szCs w:val="20"/>
          <w:lang w:val="es-ES"/>
        </w:rPr>
        <w:t>víctima</w:t>
      </w:r>
      <w:r w:rsidR="008350CE">
        <w:rPr>
          <w:rFonts w:ascii="Cambria" w:hAnsi="Cambria"/>
          <w:sz w:val="20"/>
          <w:szCs w:val="20"/>
          <w:lang w:val="es-ES"/>
        </w:rPr>
        <w:t xml:space="preserve"> no agotó los recursos internos pues </w:t>
      </w:r>
      <w:r w:rsidRPr="00B42B64">
        <w:rPr>
          <w:rFonts w:ascii="Cambria" w:hAnsi="Cambria"/>
          <w:sz w:val="20"/>
          <w:szCs w:val="20"/>
          <w:lang w:val="es-ES"/>
        </w:rPr>
        <w:t xml:space="preserve">los procesos penales en </w:t>
      </w:r>
      <w:r w:rsidR="008350CE">
        <w:rPr>
          <w:rFonts w:ascii="Cambria" w:hAnsi="Cambria"/>
          <w:sz w:val="20"/>
          <w:szCs w:val="20"/>
          <w:lang w:val="es-ES"/>
        </w:rPr>
        <w:t>su contra</w:t>
      </w:r>
      <w:r w:rsidR="003D0F72">
        <w:rPr>
          <w:rFonts w:ascii="Cambria" w:hAnsi="Cambria"/>
          <w:sz w:val="20"/>
          <w:szCs w:val="20"/>
          <w:lang w:val="es-ES"/>
        </w:rPr>
        <w:t xml:space="preserve"> todavía se encuentran</w:t>
      </w:r>
      <w:r w:rsidRPr="00B42B64">
        <w:rPr>
          <w:rFonts w:ascii="Cambria" w:hAnsi="Cambria"/>
          <w:sz w:val="20"/>
          <w:szCs w:val="20"/>
          <w:lang w:val="es-ES"/>
        </w:rPr>
        <w:t xml:space="preserve"> en curso</w:t>
      </w:r>
      <w:r w:rsidR="008350CE">
        <w:rPr>
          <w:rFonts w:ascii="Cambria" w:hAnsi="Cambria"/>
          <w:sz w:val="20"/>
          <w:szCs w:val="20"/>
          <w:lang w:val="es-ES"/>
        </w:rPr>
        <w:t>.</w:t>
      </w:r>
      <w:r>
        <w:rPr>
          <w:rFonts w:ascii="Cambria" w:hAnsi="Cambria"/>
          <w:sz w:val="20"/>
          <w:szCs w:val="20"/>
          <w:lang w:val="es-ES"/>
        </w:rPr>
        <w:t xml:space="preserve"> </w:t>
      </w:r>
      <w:r>
        <w:rPr>
          <w:rFonts w:ascii="Cambria" w:hAnsi="Cambria"/>
          <w:sz w:val="20"/>
          <w:szCs w:val="20"/>
          <w:lang w:val="es-AR"/>
        </w:rPr>
        <w:t>Alega, asimismo, que en la presente petición no se aplica</w:t>
      </w:r>
      <w:r w:rsidR="00E5528D">
        <w:rPr>
          <w:rFonts w:ascii="Cambria" w:hAnsi="Cambria"/>
          <w:sz w:val="20"/>
          <w:szCs w:val="20"/>
          <w:lang w:val="es-AR"/>
        </w:rPr>
        <w:t>n</w:t>
      </w:r>
      <w:r>
        <w:rPr>
          <w:rFonts w:ascii="Cambria" w:hAnsi="Cambria"/>
          <w:sz w:val="20"/>
          <w:szCs w:val="20"/>
          <w:lang w:val="es-AR"/>
        </w:rPr>
        <w:t xml:space="preserve"> las excepciones al agotamiento de los recursos internos previstas en el artículo 31.2 del Reglamento de la CIDH. Por otra parte,</w:t>
      </w:r>
      <w:r w:rsidRPr="00B42B64">
        <w:rPr>
          <w:rFonts w:ascii="Cambria" w:hAnsi="Cambria"/>
          <w:sz w:val="20"/>
          <w:szCs w:val="20"/>
          <w:lang w:val="es-ES"/>
        </w:rPr>
        <w:t xml:space="preserve"> </w:t>
      </w:r>
      <w:r>
        <w:rPr>
          <w:rFonts w:ascii="Cambria" w:hAnsi="Cambria"/>
          <w:sz w:val="20"/>
          <w:szCs w:val="20"/>
          <w:lang w:val="es-ES"/>
        </w:rPr>
        <w:t>p</w:t>
      </w:r>
      <w:r w:rsidRPr="00B42B64">
        <w:rPr>
          <w:rFonts w:ascii="Cambria" w:hAnsi="Cambria"/>
          <w:sz w:val="20"/>
          <w:szCs w:val="20"/>
          <w:lang w:val="es-ES"/>
        </w:rPr>
        <w:t>lantea</w:t>
      </w:r>
      <w:r>
        <w:rPr>
          <w:rFonts w:ascii="Cambria" w:hAnsi="Cambria"/>
          <w:sz w:val="20"/>
          <w:szCs w:val="20"/>
          <w:lang w:val="es-ES"/>
        </w:rPr>
        <w:t xml:space="preserve"> </w:t>
      </w:r>
      <w:r w:rsidRPr="00B42B64">
        <w:rPr>
          <w:rFonts w:ascii="Cambria" w:hAnsi="Cambria"/>
          <w:sz w:val="20"/>
          <w:szCs w:val="20"/>
          <w:lang w:val="es-ES"/>
        </w:rPr>
        <w:t xml:space="preserve">que </w:t>
      </w:r>
      <w:r w:rsidRPr="00B42B64">
        <w:rPr>
          <w:rFonts w:ascii="Cambria" w:hAnsi="Cambria"/>
          <w:sz w:val="20"/>
          <w:szCs w:val="20"/>
          <w:lang w:val="es-AR"/>
        </w:rPr>
        <w:t xml:space="preserve">a pesar de dichos procesos en curso, el señor </w:t>
      </w:r>
      <w:proofErr w:type="spellStart"/>
      <w:r w:rsidRPr="00B42B64">
        <w:rPr>
          <w:rFonts w:ascii="Cambria" w:hAnsi="Cambria"/>
          <w:sz w:val="20"/>
          <w:szCs w:val="20"/>
          <w:lang w:val="es-ES"/>
        </w:rPr>
        <w:t>Mezerhane</w:t>
      </w:r>
      <w:proofErr w:type="spellEnd"/>
      <w:r w:rsidRPr="00B42B64">
        <w:rPr>
          <w:rFonts w:ascii="Cambria" w:hAnsi="Cambria"/>
          <w:sz w:val="20"/>
          <w:szCs w:val="20"/>
          <w:lang w:val="es-AR"/>
        </w:rPr>
        <w:t xml:space="preserve"> salió </w:t>
      </w:r>
      <w:r>
        <w:rPr>
          <w:rFonts w:ascii="Cambria" w:hAnsi="Cambria"/>
          <w:sz w:val="20"/>
          <w:szCs w:val="20"/>
          <w:lang w:val="es-AR"/>
        </w:rPr>
        <w:t xml:space="preserve">del país </w:t>
      </w:r>
      <w:r w:rsidRPr="00B42B64">
        <w:rPr>
          <w:rFonts w:ascii="Cambria" w:hAnsi="Cambria"/>
          <w:sz w:val="20"/>
          <w:szCs w:val="20"/>
          <w:lang w:val="es-AR"/>
        </w:rPr>
        <w:t xml:space="preserve">el 6 de marzo de 2010, sin haber retornado hasta la fecha. Debido a lo anterior, alega que estos procesos se </w:t>
      </w:r>
      <w:r w:rsidRPr="00280635">
        <w:rPr>
          <w:rFonts w:ascii="Cambria" w:hAnsi="Cambria"/>
          <w:sz w:val="20"/>
          <w:szCs w:val="20"/>
          <w:lang w:val="es-AR"/>
        </w:rPr>
        <w:t xml:space="preserve">encuentran suspendidos, pues en </w:t>
      </w:r>
      <w:r w:rsidR="008350CE" w:rsidRPr="00280635">
        <w:rPr>
          <w:rFonts w:ascii="Cambria" w:hAnsi="Cambria"/>
          <w:sz w:val="20"/>
          <w:szCs w:val="20"/>
          <w:lang w:val="es-AR"/>
        </w:rPr>
        <w:t>Venezuela</w:t>
      </w:r>
      <w:r w:rsidRPr="00280635">
        <w:rPr>
          <w:rFonts w:ascii="Cambria" w:hAnsi="Cambria"/>
          <w:sz w:val="20"/>
          <w:szCs w:val="20"/>
          <w:lang w:val="es-AR"/>
        </w:rPr>
        <w:t xml:space="preserve"> está prohibido el juicio en ausencia.</w:t>
      </w:r>
    </w:p>
    <w:p w14:paraId="75588394" w14:textId="77777777" w:rsidR="00436BCA" w:rsidRPr="00280635" w:rsidRDefault="00436BCA" w:rsidP="00436BC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sz w:val="20"/>
          <w:szCs w:val="20"/>
          <w:lang w:val="es-AR"/>
        </w:rPr>
      </w:pPr>
    </w:p>
    <w:p w14:paraId="6AB8669F" w14:textId="2C597062" w:rsidR="00280635" w:rsidRPr="00DC07FB" w:rsidRDefault="008F56E9" w:rsidP="00DC07F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280635">
        <w:rPr>
          <w:rFonts w:ascii="Cambria" w:hAnsi="Cambria"/>
          <w:sz w:val="20"/>
          <w:szCs w:val="20"/>
          <w:lang w:val="es-AR"/>
        </w:rPr>
        <w:lastRenderedPageBreak/>
        <w:t>Por otro lado</w:t>
      </w:r>
      <w:r w:rsidR="006D4121" w:rsidRPr="00280635">
        <w:rPr>
          <w:rFonts w:ascii="Cambria" w:hAnsi="Cambria"/>
          <w:sz w:val="20"/>
          <w:szCs w:val="20"/>
          <w:lang w:val="es-AR"/>
        </w:rPr>
        <w:t xml:space="preserve">, </w:t>
      </w:r>
      <w:r w:rsidR="00421ACE" w:rsidRPr="00280635">
        <w:rPr>
          <w:rFonts w:ascii="Cambria" w:hAnsi="Cambria"/>
          <w:sz w:val="20"/>
          <w:szCs w:val="20"/>
          <w:lang w:val="es-ES"/>
        </w:rPr>
        <w:t>la presunta víctima</w:t>
      </w:r>
      <w:r w:rsidR="00280635">
        <w:rPr>
          <w:rFonts w:ascii="Cambria" w:hAnsi="Cambria"/>
          <w:sz w:val="20"/>
          <w:szCs w:val="20"/>
          <w:lang w:val="es-ES"/>
        </w:rPr>
        <w:t xml:space="preserve"> informó que interpuso</w:t>
      </w:r>
      <w:r w:rsidR="00421ACE" w:rsidRPr="00280635">
        <w:rPr>
          <w:rFonts w:ascii="Cambria" w:hAnsi="Cambria"/>
          <w:sz w:val="20"/>
          <w:szCs w:val="20"/>
          <w:lang w:val="es-ES"/>
        </w:rPr>
        <w:t xml:space="preserve"> en el marco de los tres procesos </w:t>
      </w:r>
      <w:r w:rsidR="005F63B6" w:rsidRPr="00280635">
        <w:rPr>
          <w:rFonts w:ascii="Cambria" w:hAnsi="Cambria"/>
          <w:sz w:val="20"/>
          <w:szCs w:val="20"/>
          <w:lang w:val="es-ES"/>
        </w:rPr>
        <w:t xml:space="preserve">penales </w:t>
      </w:r>
      <w:r w:rsidR="00421ACE" w:rsidRPr="00280635">
        <w:rPr>
          <w:rFonts w:ascii="Cambria" w:hAnsi="Cambria"/>
          <w:sz w:val="20"/>
          <w:szCs w:val="20"/>
          <w:lang w:val="es-ES"/>
        </w:rPr>
        <w:t>que se seguirían en su contra</w:t>
      </w:r>
      <w:r w:rsidR="005F63B6" w:rsidRPr="00280635">
        <w:rPr>
          <w:rFonts w:ascii="Cambria" w:hAnsi="Cambria"/>
          <w:sz w:val="20"/>
          <w:szCs w:val="20"/>
          <w:lang w:val="es-ES"/>
        </w:rPr>
        <w:t xml:space="preserve"> diferentes recursos a fin de subsanar las violaciones presuntamente cometidas</w:t>
      </w:r>
      <w:r w:rsidR="00D74381" w:rsidRPr="00280635">
        <w:rPr>
          <w:rFonts w:ascii="Cambria" w:hAnsi="Cambria"/>
          <w:sz w:val="20"/>
          <w:szCs w:val="20"/>
          <w:lang w:val="es-ES"/>
        </w:rPr>
        <w:t xml:space="preserve"> en su contra</w:t>
      </w:r>
      <w:r w:rsidR="00280635">
        <w:rPr>
          <w:rFonts w:ascii="Cambria" w:hAnsi="Cambria"/>
          <w:sz w:val="20"/>
          <w:szCs w:val="20"/>
          <w:lang w:val="es-ES"/>
        </w:rPr>
        <w:t xml:space="preserve">, y que, </w:t>
      </w:r>
      <w:r w:rsidR="005F63B6" w:rsidRPr="00280635">
        <w:rPr>
          <w:rFonts w:ascii="Cambria" w:hAnsi="Cambria"/>
          <w:sz w:val="20"/>
          <w:szCs w:val="20"/>
          <w:lang w:val="es-ES"/>
        </w:rPr>
        <w:t>hasta la fecha</w:t>
      </w:r>
      <w:r w:rsidR="00280635">
        <w:rPr>
          <w:rFonts w:ascii="Cambria" w:hAnsi="Cambria"/>
          <w:sz w:val="20"/>
          <w:szCs w:val="20"/>
          <w:lang w:val="es-ES"/>
        </w:rPr>
        <w:t>,</w:t>
      </w:r>
      <w:r w:rsidR="00D74381" w:rsidRPr="00280635">
        <w:rPr>
          <w:rFonts w:ascii="Cambria" w:hAnsi="Cambria"/>
          <w:sz w:val="20"/>
          <w:szCs w:val="20"/>
          <w:lang w:val="es-ES"/>
        </w:rPr>
        <w:t xml:space="preserve"> </w:t>
      </w:r>
      <w:r w:rsidR="004A2BC9" w:rsidRPr="00280635">
        <w:rPr>
          <w:rFonts w:ascii="Cambria" w:hAnsi="Cambria"/>
          <w:sz w:val="20"/>
          <w:szCs w:val="20"/>
          <w:lang w:val="es-ES"/>
        </w:rPr>
        <w:t>estos</w:t>
      </w:r>
      <w:r w:rsidR="00D74381" w:rsidRPr="00280635">
        <w:rPr>
          <w:rFonts w:ascii="Cambria" w:hAnsi="Cambria"/>
          <w:sz w:val="20"/>
          <w:szCs w:val="20"/>
          <w:lang w:val="es-ES"/>
        </w:rPr>
        <w:t xml:space="preserve"> procesos no </w:t>
      </w:r>
      <w:r w:rsidR="002D5A23" w:rsidRPr="00280635">
        <w:rPr>
          <w:rFonts w:ascii="Cambria" w:hAnsi="Cambria"/>
          <w:sz w:val="20"/>
          <w:szCs w:val="20"/>
          <w:lang w:val="es-ES"/>
        </w:rPr>
        <w:t>habían sido concluidos</w:t>
      </w:r>
      <w:r w:rsidR="00D74381" w:rsidRPr="00280635">
        <w:rPr>
          <w:rFonts w:ascii="Cambria" w:hAnsi="Cambria"/>
          <w:sz w:val="20"/>
          <w:szCs w:val="20"/>
          <w:lang w:val="es-ES"/>
        </w:rPr>
        <w:t xml:space="preserve"> y no </w:t>
      </w:r>
      <w:r w:rsidR="002D5A23" w:rsidRPr="00280635">
        <w:rPr>
          <w:rFonts w:ascii="Cambria" w:hAnsi="Cambria"/>
          <w:sz w:val="20"/>
          <w:szCs w:val="20"/>
          <w:lang w:val="es-ES"/>
        </w:rPr>
        <w:t>se había</w:t>
      </w:r>
      <w:r w:rsidR="00040747" w:rsidRPr="00280635">
        <w:rPr>
          <w:rFonts w:ascii="Cambria" w:hAnsi="Cambria"/>
          <w:sz w:val="20"/>
          <w:szCs w:val="20"/>
          <w:lang w:val="es-ES"/>
        </w:rPr>
        <w:t>n</w:t>
      </w:r>
      <w:r w:rsidR="005F63B6" w:rsidRPr="00280635">
        <w:rPr>
          <w:rFonts w:ascii="Cambria" w:hAnsi="Cambria"/>
          <w:sz w:val="20"/>
          <w:szCs w:val="20"/>
          <w:lang w:val="es-ES"/>
        </w:rPr>
        <w:t xml:space="preserve"> dictado </w:t>
      </w:r>
      <w:r w:rsidR="002D5A23" w:rsidRPr="00280635">
        <w:rPr>
          <w:rFonts w:ascii="Cambria" w:hAnsi="Cambria"/>
          <w:sz w:val="20"/>
          <w:szCs w:val="20"/>
          <w:lang w:val="es-ES"/>
        </w:rPr>
        <w:t xml:space="preserve">sus respectivas </w:t>
      </w:r>
      <w:r w:rsidR="005F63B6" w:rsidRPr="00280635">
        <w:rPr>
          <w:rFonts w:ascii="Cambria" w:hAnsi="Cambria"/>
          <w:sz w:val="20"/>
          <w:szCs w:val="20"/>
          <w:lang w:val="es-ES"/>
        </w:rPr>
        <w:t xml:space="preserve">sentencias. </w:t>
      </w:r>
      <w:r w:rsidR="002D5A23" w:rsidRPr="00280635">
        <w:rPr>
          <w:rFonts w:ascii="Cambria" w:hAnsi="Cambria"/>
          <w:sz w:val="20"/>
          <w:szCs w:val="20"/>
          <w:lang w:val="es-ES"/>
        </w:rPr>
        <w:t>Sobre el particular</w:t>
      </w:r>
      <w:r w:rsidR="005F63B6" w:rsidRPr="00280635">
        <w:rPr>
          <w:rFonts w:ascii="Cambria" w:hAnsi="Cambria"/>
          <w:sz w:val="20"/>
          <w:szCs w:val="20"/>
          <w:lang w:val="es-ES"/>
        </w:rPr>
        <w:t xml:space="preserve">, </w:t>
      </w:r>
      <w:r w:rsidR="002D5A23" w:rsidRPr="00280635">
        <w:rPr>
          <w:rFonts w:ascii="Cambria" w:hAnsi="Cambria"/>
          <w:sz w:val="20"/>
          <w:szCs w:val="20"/>
          <w:lang w:val="es-ES"/>
        </w:rPr>
        <w:t xml:space="preserve">la parte peticionaria </w:t>
      </w:r>
      <w:r w:rsidR="00280635">
        <w:rPr>
          <w:rFonts w:ascii="Cambria" w:hAnsi="Cambria"/>
          <w:sz w:val="20"/>
          <w:szCs w:val="20"/>
          <w:lang w:val="es-ES"/>
        </w:rPr>
        <w:t>señaló</w:t>
      </w:r>
      <w:r w:rsidR="005F63B6" w:rsidRPr="00280635">
        <w:rPr>
          <w:rFonts w:ascii="Cambria" w:hAnsi="Cambria"/>
          <w:sz w:val="20"/>
          <w:szCs w:val="20"/>
          <w:lang w:val="es-ES"/>
        </w:rPr>
        <w:t xml:space="preserve"> que </w:t>
      </w:r>
      <w:r w:rsidR="002D5A23" w:rsidRPr="00280635">
        <w:rPr>
          <w:rFonts w:ascii="Cambria" w:hAnsi="Cambria"/>
          <w:sz w:val="20"/>
          <w:szCs w:val="20"/>
          <w:lang w:val="es-ES"/>
        </w:rPr>
        <w:t xml:space="preserve">en </w:t>
      </w:r>
      <w:r w:rsidR="005F63B6" w:rsidRPr="00280635">
        <w:rPr>
          <w:rFonts w:ascii="Cambria" w:hAnsi="Cambria"/>
          <w:sz w:val="20"/>
          <w:szCs w:val="20"/>
          <w:lang w:val="es-ES"/>
        </w:rPr>
        <w:t xml:space="preserve">los </w:t>
      </w:r>
      <w:r w:rsidR="00280635">
        <w:rPr>
          <w:rFonts w:ascii="Cambria" w:hAnsi="Cambria"/>
          <w:sz w:val="20"/>
          <w:szCs w:val="20"/>
          <w:lang w:val="es-ES"/>
        </w:rPr>
        <w:t>dos</w:t>
      </w:r>
      <w:r w:rsidR="002D5A23" w:rsidRPr="00280635">
        <w:rPr>
          <w:rFonts w:ascii="Cambria" w:hAnsi="Cambria"/>
          <w:sz w:val="20"/>
          <w:szCs w:val="20"/>
          <w:lang w:val="es-ES"/>
        </w:rPr>
        <w:t xml:space="preserve"> </w:t>
      </w:r>
      <w:r w:rsidR="005F63B6" w:rsidRPr="00280635">
        <w:rPr>
          <w:rFonts w:ascii="Cambria" w:hAnsi="Cambria"/>
          <w:sz w:val="20"/>
          <w:szCs w:val="20"/>
          <w:lang w:val="es-ES"/>
        </w:rPr>
        <w:t xml:space="preserve">procesos </w:t>
      </w:r>
      <w:r w:rsidR="00280635">
        <w:rPr>
          <w:rFonts w:ascii="Cambria" w:hAnsi="Cambria"/>
          <w:sz w:val="20"/>
          <w:szCs w:val="20"/>
          <w:lang w:val="es-ES"/>
        </w:rPr>
        <w:t xml:space="preserve">iniciados en 2004 </w:t>
      </w:r>
      <w:r w:rsidR="005F63B6" w:rsidRPr="00280635">
        <w:rPr>
          <w:rFonts w:ascii="Cambria" w:hAnsi="Cambria"/>
          <w:sz w:val="20"/>
          <w:szCs w:val="20"/>
          <w:lang w:val="es-ES"/>
        </w:rPr>
        <w:t xml:space="preserve">las investigaciones se encontrarían </w:t>
      </w:r>
      <w:r w:rsidR="002D5A23" w:rsidRPr="00280635">
        <w:rPr>
          <w:rFonts w:ascii="Cambria" w:hAnsi="Cambria"/>
          <w:sz w:val="20"/>
          <w:szCs w:val="20"/>
          <w:lang w:val="es-ES"/>
        </w:rPr>
        <w:t>paralizada</w:t>
      </w:r>
      <w:r w:rsidR="005F63B6" w:rsidRPr="00280635">
        <w:rPr>
          <w:rFonts w:ascii="Cambria" w:hAnsi="Cambria"/>
          <w:sz w:val="20"/>
          <w:szCs w:val="20"/>
          <w:lang w:val="es-ES"/>
        </w:rPr>
        <w:t xml:space="preserve">s, y </w:t>
      </w:r>
      <w:r w:rsidR="002D5A23" w:rsidRPr="00280635">
        <w:rPr>
          <w:rFonts w:ascii="Cambria" w:hAnsi="Cambria"/>
          <w:sz w:val="20"/>
          <w:szCs w:val="20"/>
          <w:lang w:val="es-ES"/>
        </w:rPr>
        <w:t xml:space="preserve">en </w:t>
      </w:r>
      <w:r w:rsidR="005F63B6" w:rsidRPr="00280635">
        <w:rPr>
          <w:rFonts w:ascii="Cambria" w:hAnsi="Cambria"/>
          <w:sz w:val="20"/>
          <w:szCs w:val="20"/>
          <w:lang w:val="es-ES"/>
        </w:rPr>
        <w:t xml:space="preserve">el tercer </w:t>
      </w:r>
      <w:r w:rsidR="002D5A23" w:rsidRPr="00280635">
        <w:rPr>
          <w:rFonts w:ascii="Cambria" w:hAnsi="Cambria"/>
          <w:sz w:val="20"/>
          <w:szCs w:val="20"/>
          <w:lang w:val="es-ES"/>
        </w:rPr>
        <w:t xml:space="preserve">proceso </w:t>
      </w:r>
      <w:r w:rsidR="00280635">
        <w:rPr>
          <w:rFonts w:ascii="Cambria" w:hAnsi="Cambria"/>
          <w:sz w:val="20"/>
          <w:szCs w:val="20"/>
          <w:lang w:val="es-ES"/>
        </w:rPr>
        <w:t>iniciado en 2010</w:t>
      </w:r>
      <w:r w:rsidR="005F63B6" w:rsidRPr="00280635">
        <w:rPr>
          <w:rFonts w:ascii="Cambria" w:hAnsi="Cambria"/>
          <w:sz w:val="20"/>
          <w:szCs w:val="20"/>
          <w:lang w:val="es-ES"/>
        </w:rPr>
        <w:t xml:space="preserve"> tampoco</w:t>
      </w:r>
      <w:r w:rsidR="002D5A23" w:rsidRPr="00280635">
        <w:rPr>
          <w:rFonts w:ascii="Cambria" w:hAnsi="Cambria"/>
          <w:sz w:val="20"/>
          <w:szCs w:val="20"/>
          <w:lang w:val="es-ES"/>
        </w:rPr>
        <w:t xml:space="preserve"> se</w:t>
      </w:r>
      <w:r w:rsidR="005F63B6" w:rsidRPr="00280635">
        <w:rPr>
          <w:rFonts w:ascii="Cambria" w:hAnsi="Cambria"/>
          <w:sz w:val="20"/>
          <w:szCs w:val="20"/>
          <w:lang w:val="es-ES"/>
        </w:rPr>
        <w:t xml:space="preserve"> ten</w:t>
      </w:r>
      <w:r w:rsidR="00DC07FB">
        <w:rPr>
          <w:rFonts w:ascii="Cambria" w:hAnsi="Cambria"/>
          <w:sz w:val="20"/>
          <w:szCs w:val="20"/>
          <w:lang w:val="es-ES"/>
        </w:rPr>
        <w:t>dr</w:t>
      </w:r>
      <w:r w:rsidR="005F63B6" w:rsidRPr="00280635">
        <w:rPr>
          <w:rFonts w:ascii="Cambria" w:hAnsi="Cambria"/>
          <w:sz w:val="20"/>
          <w:szCs w:val="20"/>
          <w:lang w:val="es-ES"/>
        </w:rPr>
        <w:t xml:space="preserve">ía una sentencia conclusiva. </w:t>
      </w:r>
      <w:r w:rsidR="002D5A23" w:rsidRPr="00280635">
        <w:rPr>
          <w:rFonts w:ascii="Cambria" w:hAnsi="Cambria"/>
          <w:sz w:val="20"/>
          <w:szCs w:val="20"/>
          <w:lang w:val="es-ES"/>
        </w:rPr>
        <w:t>Afirm</w:t>
      </w:r>
      <w:r w:rsidR="00050FA6" w:rsidRPr="00280635">
        <w:rPr>
          <w:rFonts w:ascii="Cambria" w:hAnsi="Cambria"/>
          <w:sz w:val="20"/>
          <w:szCs w:val="20"/>
          <w:lang w:val="es-ES"/>
        </w:rPr>
        <w:t xml:space="preserve">ó </w:t>
      </w:r>
      <w:r w:rsidR="002D5A23" w:rsidRPr="00280635">
        <w:rPr>
          <w:rFonts w:ascii="Cambria" w:hAnsi="Cambria"/>
          <w:sz w:val="20"/>
          <w:szCs w:val="20"/>
          <w:lang w:val="es-ES"/>
        </w:rPr>
        <w:t>que lo anterior es precisamente uno de los agravios que les han obligado a recurrir a la protección judicial, así como sostuvo que los tres procesos penales correspon</w:t>
      </w:r>
      <w:r w:rsidR="003F015D" w:rsidRPr="00280635">
        <w:rPr>
          <w:rFonts w:ascii="Cambria" w:hAnsi="Cambria"/>
          <w:sz w:val="20"/>
          <w:szCs w:val="20"/>
          <w:lang w:val="es-ES"/>
        </w:rPr>
        <w:t>den a delitos de acción pública</w:t>
      </w:r>
      <w:r w:rsidR="002D5A23" w:rsidRPr="00280635">
        <w:rPr>
          <w:rFonts w:ascii="Cambria" w:hAnsi="Cambria"/>
          <w:sz w:val="20"/>
          <w:szCs w:val="20"/>
          <w:lang w:val="es-ES"/>
        </w:rPr>
        <w:t xml:space="preserve"> en los que el impulso </w:t>
      </w:r>
      <w:r w:rsidR="004A2BC9" w:rsidRPr="00280635">
        <w:rPr>
          <w:rFonts w:ascii="Cambria" w:hAnsi="Cambria"/>
          <w:sz w:val="20"/>
          <w:szCs w:val="20"/>
          <w:lang w:val="es-ES"/>
        </w:rPr>
        <w:t>procesal correspondería</w:t>
      </w:r>
      <w:r w:rsidR="002D5A23" w:rsidRPr="00280635">
        <w:rPr>
          <w:rFonts w:ascii="Cambria" w:hAnsi="Cambria"/>
          <w:sz w:val="20"/>
          <w:szCs w:val="20"/>
          <w:lang w:val="es-ES"/>
        </w:rPr>
        <w:t xml:space="preserve"> al Estado y que no hay nada que su presencia pueda agregar. </w:t>
      </w:r>
      <w:r w:rsidR="00DC07FB">
        <w:rPr>
          <w:rFonts w:ascii="Cambria" w:hAnsi="Cambria"/>
          <w:sz w:val="20"/>
          <w:szCs w:val="20"/>
          <w:lang w:val="es-ES"/>
        </w:rPr>
        <w:t xml:space="preserve">Asimismo, alegó que en Venezuela </w:t>
      </w:r>
      <w:r w:rsidR="00DC07FB" w:rsidRPr="00624646">
        <w:rPr>
          <w:rFonts w:ascii="Cambria" w:hAnsi="Cambria"/>
          <w:sz w:val="20"/>
          <w:szCs w:val="20"/>
          <w:lang w:val="es-ES"/>
        </w:rPr>
        <w:t>no existe un debido proceso penal dada la falta de independencia del poder judicial</w:t>
      </w:r>
      <w:r w:rsidR="00DC07FB">
        <w:rPr>
          <w:rFonts w:ascii="Cambria" w:hAnsi="Cambria"/>
          <w:sz w:val="20"/>
          <w:szCs w:val="20"/>
          <w:lang w:val="es-ES"/>
        </w:rPr>
        <w:t xml:space="preserve">, y que no </w:t>
      </w:r>
      <w:r w:rsidR="00280635" w:rsidRPr="00DC07FB">
        <w:rPr>
          <w:rFonts w:ascii="Cambria" w:hAnsi="Cambria"/>
          <w:sz w:val="20"/>
          <w:szCs w:val="20"/>
          <w:lang w:val="es-ES"/>
        </w:rPr>
        <w:t xml:space="preserve">puede esperarse que un recurso judicial sea efectivo cuando la orden de perseguirlo judicialmente emanó del Presidente de la República, el propio Fiscal General de la República fabricó pruebas para inculpar a </w:t>
      </w:r>
      <w:proofErr w:type="spellStart"/>
      <w:r w:rsidR="00280635" w:rsidRPr="00DC07FB">
        <w:rPr>
          <w:rFonts w:ascii="Cambria" w:hAnsi="Cambria"/>
          <w:sz w:val="20"/>
          <w:szCs w:val="20"/>
          <w:lang w:val="es-ES"/>
        </w:rPr>
        <w:t>Mezerhane</w:t>
      </w:r>
      <w:proofErr w:type="spellEnd"/>
      <w:r w:rsidR="00280635" w:rsidRPr="00DC07FB">
        <w:rPr>
          <w:rFonts w:ascii="Cambria" w:hAnsi="Cambria"/>
          <w:sz w:val="20"/>
          <w:szCs w:val="20"/>
          <w:lang w:val="es-ES"/>
        </w:rPr>
        <w:t xml:space="preserve"> del asesinato del fiscal, se destituyó a un juez que falló en su favor y no se respetó ninguna de sus garantías judiciales.</w:t>
      </w:r>
    </w:p>
    <w:p w14:paraId="662892D5" w14:textId="60DA9320" w:rsidR="00C42D54" w:rsidRPr="00C42D54" w:rsidRDefault="008E6AEA" w:rsidP="00C42D5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AR"/>
        </w:rPr>
      </w:pPr>
      <w:r>
        <w:rPr>
          <w:rFonts w:asciiTheme="majorHAnsi" w:hAnsiTheme="majorHAnsi"/>
          <w:sz w:val="20"/>
          <w:szCs w:val="20"/>
          <w:lang w:val="es-ES"/>
        </w:rPr>
        <w:t>La</w:t>
      </w:r>
      <w:r w:rsidRPr="004A2BC9">
        <w:rPr>
          <w:rFonts w:asciiTheme="majorHAnsi" w:hAnsiTheme="majorHAnsi"/>
          <w:sz w:val="20"/>
          <w:szCs w:val="20"/>
          <w:lang w:val="es-ES"/>
        </w:rPr>
        <w:t xml:space="preserve"> CIDH recuerda que la </w:t>
      </w:r>
      <w:r w:rsidRPr="00C42D54">
        <w:rPr>
          <w:rFonts w:asciiTheme="majorHAnsi" w:hAnsiTheme="majorHAnsi"/>
          <w:sz w:val="20"/>
          <w:szCs w:val="20"/>
          <w:lang w:val="es-CO"/>
        </w:rPr>
        <w:t xml:space="preserve">invocación de las excepciones a la regla de agotamiento de los recursos internos previstas en el artículo 46.2 de la Convención Americana se encuentra estrechamente ligada a la determinación de posibles violaciones a ciertos derechos en ella consagrados, tales como las garantías de acceso a la justicia y el derecho a la protección judicial efectiva. Sin embargo, </w:t>
      </w:r>
      <w:r w:rsidR="00C42D54" w:rsidRPr="00C42D54">
        <w:rPr>
          <w:rFonts w:asciiTheme="majorHAnsi" w:hAnsiTheme="majorHAnsi"/>
          <w:sz w:val="20"/>
          <w:szCs w:val="20"/>
          <w:lang w:val="es-CO"/>
        </w:rPr>
        <w:t xml:space="preserve">el artículo 46.2, por su naturaleza y objeto, es una norma con contenido autónomo frente a las normas sustantivas de la Convención Americana. Por lo tanto, la determinación de si las excepciones a la regla de agotamiento de los recursos internos resultan aplicables al caso en cuestión debe llevarse a cabo de manera previa y separada del análisis del fondo del asunto, ya que depende de un estándar de apreciación distinto de aquél utilizado para determinar la posible violación de los artículos 8 y 25 de la Convención. </w:t>
      </w:r>
      <w:r w:rsidRPr="00C42D54">
        <w:rPr>
          <w:rFonts w:asciiTheme="majorHAnsi" w:hAnsiTheme="majorHAnsi"/>
          <w:sz w:val="20"/>
          <w:szCs w:val="20"/>
          <w:lang w:val="es-ES"/>
        </w:rPr>
        <w:t xml:space="preserve">La Comisión recuerda que el criterio de evaluación de la fase de admisibilidad difiere del que se utiliza para pronunciarse sobre el fondo de una petición; la Comisión debe realizar una evaluación </w:t>
      </w:r>
      <w:r w:rsidRPr="00C42D54">
        <w:rPr>
          <w:rFonts w:asciiTheme="majorHAnsi" w:hAnsiTheme="majorHAnsi"/>
          <w:i/>
          <w:iCs/>
          <w:sz w:val="20"/>
          <w:szCs w:val="20"/>
          <w:lang w:val="es-ES"/>
        </w:rPr>
        <w:t>prima facie</w:t>
      </w:r>
      <w:r w:rsidRPr="00C42D54">
        <w:rPr>
          <w:rFonts w:asciiTheme="majorHAnsi" w:hAnsiTheme="majorHAnsi"/>
          <w:sz w:val="20"/>
          <w:szCs w:val="20"/>
          <w:lang w:val="es-ES"/>
        </w:rPr>
        <w:t xml:space="preserve"> para determinar si la petición establece el fundamento de la violación, posible o potencial, de un derecho garantizado por la Convención, pero no para establecer la existencia de una violación de derechos. </w:t>
      </w:r>
      <w:r>
        <w:rPr>
          <w:rFonts w:asciiTheme="majorHAnsi" w:hAnsiTheme="majorHAnsi"/>
          <w:sz w:val="20"/>
          <w:szCs w:val="20"/>
          <w:lang w:val="es-ES"/>
        </w:rPr>
        <w:t xml:space="preserve"> </w:t>
      </w:r>
      <w:r w:rsidRPr="00C42D54">
        <w:rPr>
          <w:rFonts w:asciiTheme="majorHAnsi" w:hAnsiTheme="majorHAnsi"/>
          <w:sz w:val="20"/>
          <w:szCs w:val="20"/>
          <w:lang w:val="es-ES"/>
        </w:rPr>
        <w:t>Esta determinación sobre la caracterización de violaciones de la Convención Americana constituye un análisis primario, que no implica prejuzgar sobre el fondo del asunto</w:t>
      </w:r>
      <w:r w:rsidRPr="00C42D54">
        <w:rPr>
          <w:rFonts w:asciiTheme="majorHAnsi" w:hAnsiTheme="majorHAnsi"/>
          <w:sz w:val="20"/>
          <w:szCs w:val="20"/>
          <w:vertAlign w:val="superscript"/>
          <w:lang w:val="es-ES"/>
        </w:rPr>
        <w:footnoteReference w:id="5"/>
      </w:r>
      <w:r w:rsidRPr="00C42D54">
        <w:rPr>
          <w:rFonts w:asciiTheme="majorHAnsi" w:hAnsiTheme="majorHAnsi"/>
          <w:sz w:val="20"/>
          <w:szCs w:val="20"/>
          <w:lang w:val="es-ES"/>
        </w:rPr>
        <w:t xml:space="preserve">. </w:t>
      </w:r>
      <w:r w:rsidR="00C42D54" w:rsidRPr="00C42D54">
        <w:rPr>
          <w:rFonts w:asciiTheme="majorHAnsi" w:hAnsiTheme="majorHAnsi"/>
          <w:sz w:val="20"/>
          <w:szCs w:val="20"/>
          <w:lang w:val="es-ES"/>
        </w:rPr>
        <w:t xml:space="preserve">Esto significa que en el presente caso el análisis de la independencia judicial y el debido proceso legal en Venezuela ha de ser materia de un pronunciamiento sustantivo en la fase de fondo del presente procedimiento, pues son los reclamos planteados por los peticionarios; pero al mismo tiempo, estos asuntos han de ser examinados bajo el criterio de evaluación </w:t>
      </w:r>
      <w:r w:rsidR="00C42D54" w:rsidRPr="00C42D54">
        <w:rPr>
          <w:rFonts w:asciiTheme="majorHAnsi" w:hAnsiTheme="majorHAnsi"/>
          <w:i/>
          <w:iCs/>
          <w:sz w:val="20"/>
          <w:szCs w:val="20"/>
          <w:lang w:val="es-ES"/>
        </w:rPr>
        <w:t>a priori</w:t>
      </w:r>
      <w:r w:rsidR="00C42D54" w:rsidRPr="00C42D54">
        <w:rPr>
          <w:rFonts w:asciiTheme="majorHAnsi" w:hAnsiTheme="majorHAnsi"/>
          <w:sz w:val="20"/>
          <w:szCs w:val="20"/>
          <w:lang w:val="es-ES"/>
        </w:rPr>
        <w:t xml:space="preserve"> en el presente informe, exclusivamente para los efectos de determinar la admisibilidad de la petición, sin entrar a prejuzgar sobre sus méritos.</w:t>
      </w:r>
    </w:p>
    <w:p w14:paraId="3D95DBBB" w14:textId="505EA5BB" w:rsidR="00C42D54" w:rsidRDefault="00436BCA" w:rsidP="00C42D5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Pr>
          <w:rFonts w:asciiTheme="majorHAnsi" w:hAnsiTheme="majorHAnsi"/>
          <w:sz w:val="20"/>
          <w:szCs w:val="20"/>
          <w:lang w:val="es-ES"/>
        </w:rPr>
        <w:tab/>
        <w:t>33</w:t>
      </w:r>
      <w:r w:rsidR="00C42D54" w:rsidRPr="00C42D54">
        <w:rPr>
          <w:rFonts w:asciiTheme="majorHAnsi" w:hAnsiTheme="majorHAnsi"/>
          <w:sz w:val="20"/>
          <w:szCs w:val="20"/>
          <w:lang w:val="es-ES"/>
        </w:rPr>
        <w:t xml:space="preserve">. </w:t>
      </w:r>
      <w:r w:rsidR="00C42D54" w:rsidRPr="00C42D54">
        <w:rPr>
          <w:rFonts w:asciiTheme="majorHAnsi" w:hAnsiTheme="majorHAnsi"/>
          <w:sz w:val="20"/>
          <w:szCs w:val="20"/>
          <w:lang w:val="es-ES"/>
        </w:rPr>
        <w:tab/>
        <w:t>En este sentido, desde el momento de los hechos planteados en la petición hasta la actualidad, la CIDH ha constatado reiteradamente la falta de independencia judicial en Venezuela. Así sucedió, entre otras:</w:t>
      </w:r>
      <w:r w:rsidR="00D46F3A">
        <w:rPr>
          <w:rFonts w:asciiTheme="majorHAnsi" w:hAnsiTheme="majorHAnsi"/>
          <w:sz w:val="20"/>
          <w:szCs w:val="20"/>
          <w:lang w:val="es-ES"/>
        </w:rPr>
        <w:t xml:space="preserve"> </w:t>
      </w:r>
      <w:r w:rsidR="00F72CCB">
        <w:rPr>
          <w:rFonts w:asciiTheme="majorHAnsi" w:hAnsiTheme="majorHAnsi"/>
          <w:sz w:val="20"/>
          <w:szCs w:val="20"/>
          <w:lang w:val="es-ES"/>
        </w:rPr>
        <w:t>en el Informe Anual de 2004</w:t>
      </w:r>
      <w:r w:rsidR="00F72CCB">
        <w:rPr>
          <w:rStyle w:val="FootnoteReference"/>
          <w:rFonts w:asciiTheme="majorHAnsi" w:hAnsiTheme="majorHAnsi"/>
          <w:sz w:val="20"/>
          <w:szCs w:val="20"/>
          <w:lang w:val="es-ES"/>
        </w:rPr>
        <w:footnoteReference w:id="6"/>
      </w:r>
      <w:r w:rsidR="00F72CCB">
        <w:rPr>
          <w:rFonts w:asciiTheme="majorHAnsi" w:hAnsiTheme="majorHAnsi"/>
          <w:sz w:val="20"/>
          <w:szCs w:val="20"/>
          <w:lang w:val="es-ES"/>
        </w:rPr>
        <w:t xml:space="preserve">, </w:t>
      </w:r>
      <w:r w:rsidR="001F2C57">
        <w:rPr>
          <w:rFonts w:asciiTheme="majorHAnsi" w:hAnsiTheme="majorHAnsi"/>
          <w:sz w:val="20"/>
          <w:szCs w:val="20"/>
          <w:lang w:val="es-ES"/>
        </w:rPr>
        <w:t xml:space="preserve">en el Informe Anual </w:t>
      </w:r>
      <w:r w:rsidR="00F72CCB">
        <w:rPr>
          <w:rFonts w:asciiTheme="majorHAnsi" w:hAnsiTheme="majorHAnsi"/>
          <w:sz w:val="20"/>
          <w:szCs w:val="20"/>
          <w:lang w:val="es-ES"/>
        </w:rPr>
        <w:t xml:space="preserve">de </w:t>
      </w:r>
      <w:r w:rsidR="001F2C57">
        <w:rPr>
          <w:rFonts w:asciiTheme="majorHAnsi" w:hAnsiTheme="majorHAnsi"/>
          <w:sz w:val="20"/>
          <w:szCs w:val="20"/>
          <w:lang w:val="es-ES"/>
        </w:rPr>
        <w:t>2005</w:t>
      </w:r>
      <w:r w:rsidR="001F2C57">
        <w:rPr>
          <w:rStyle w:val="FootnoteReference"/>
          <w:rFonts w:asciiTheme="majorHAnsi" w:hAnsiTheme="majorHAnsi"/>
          <w:sz w:val="20"/>
          <w:szCs w:val="20"/>
          <w:lang w:val="es-ES"/>
        </w:rPr>
        <w:footnoteReference w:id="7"/>
      </w:r>
      <w:r w:rsidR="001F2C57">
        <w:rPr>
          <w:rFonts w:asciiTheme="majorHAnsi" w:hAnsiTheme="majorHAnsi"/>
          <w:sz w:val="20"/>
          <w:szCs w:val="20"/>
          <w:lang w:val="es-ES"/>
        </w:rPr>
        <w:t>, en el Informe Anual de 2006</w:t>
      </w:r>
      <w:r w:rsidR="001F2C57">
        <w:rPr>
          <w:rStyle w:val="FootnoteReference"/>
          <w:rFonts w:asciiTheme="majorHAnsi" w:hAnsiTheme="majorHAnsi"/>
          <w:sz w:val="20"/>
          <w:szCs w:val="20"/>
          <w:lang w:val="es-ES"/>
        </w:rPr>
        <w:footnoteReference w:id="8"/>
      </w:r>
      <w:r w:rsidR="001F2C57">
        <w:rPr>
          <w:rFonts w:asciiTheme="majorHAnsi" w:hAnsiTheme="majorHAnsi"/>
          <w:sz w:val="20"/>
          <w:szCs w:val="20"/>
          <w:lang w:val="es-ES"/>
        </w:rPr>
        <w:t>, en el Informe Anual de 2007</w:t>
      </w:r>
      <w:r w:rsidR="001F2C57">
        <w:rPr>
          <w:rStyle w:val="FootnoteReference"/>
          <w:rFonts w:asciiTheme="majorHAnsi" w:hAnsiTheme="majorHAnsi"/>
          <w:sz w:val="20"/>
          <w:szCs w:val="20"/>
          <w:lang w:val="es-ES"/>
        </w:rPr>
        <w:footnoteReference w:id="9"/>
      </w:r>
      <w:r w:rsidR="001F2C57">
        <w:rPr>
          <w:rFonts w:asciiTheme="majorHAnsi" w:hAnsiTheme="majorHAnsi"/>
          <w:sz w:val="20"/>
          <w:szCs w:val="20"/>
          <w:lang w:val="es-ES"/>
        </w:rPr>
        <w:t xml:space="preserve">, </w:t>
      </w:r>
      <w:r w:rsidR="00C42D54" w:rsidRPr="00C42D54">
        <w:rPr>
          <w:rFonts w:asciiTheme="majorHAnsi" w:hAnsiTheme="majorHAnsi"/>
          <w:sz w:val="20"/>
          <w:szCs w:val="20"/>
          <w:lang w:val="es-ES"/>
        </w:rPr>
        <w:t>(i) en el Informe Anual de 2008</w:t>
      </w:r>
      <w:r w:rsidR="00C42D54" w:rsidRPr="00C42D54">
        <w:rPr>
          <w:rFonts w:asciiTheme="majorHAnsi" w:hAnsiTheme="majorHAnsi"/>
          <w:sz w:val="20"/>
          <w:szCs w:val="20"/>
          <w:vertAlign w:val="superscript"/>
          <w:lang w:val="es-ES"/>
        </w:rPr>
        <w:footnoteReference w:id="10"/>
      </w:r>
      <w:r w:rsidR="00C42D54" w:rsidRPr="00C42D54">
        <w:rPr>
          <w:rFonts w:asciiTheme="majorHAnsi" w:hAnsiTheme="majorHAnsi"/>
          <w:sz w:val="20"/>
          <w:szCs w:val="20"/>
          <w:lang w:val="es-ES"/>
        </w:rPr>
        <w:t>, (ii) en el Informe Anual de 2009</w:t>
      </w:r>
      <w:r w:rsidR="00C42D54" w:rsidRPr="00C42D54">
        <w:rPr>
          <w:rFonts w:asciiTheme="majorHAnsi" w:hAnsiTheme="majorHAnsi"/>
          <w:sz w:val="20"/>
          <w:szCs w:val="20"/>
          <w:vertAlign w:val="superscript"/>
          <w:lang w:val="es-ES"/>
        </w:rPr>
        <w:footnoteReference w:id="11"/>
      </w:r>
      <w:r w:rsidR="00C42D54" w:rsidRPr="00C42D54">
        <w:rPr>
          <w:rFonts w:asciiTheme="majorHAnsi" w:hAnsiTheme="majorHAnsi"/>
          <w:sz w:val="20"/>
          <w:szCs w:val="20"/>
          <w:lang w:val="es-ES"/>
        </w:rPr>
        <w:t>, (iii) en el Informe Anual de 2010</w:t>
      </w:r>
      <w:r w:rsidR="00C42D54" w:rsidRPr="00C42D54">
        <w:rPr>
          <w:rFonts w:asciiTheme="majorHAnsi" w:hAnsiTheme="majorHAnsi"/>
          <w:sz w:val="20"/>
          <w:szCs w:val="20"/>
          <w:vertAlign w:val="superscript"/>
          <w:lang w:val="es-ES"/>
        </w:rPr>
        <w:footnoteReference w:id="12"/>
      </w:r>
      <w:r w:rsidR="00C42D54" w:rsidRPr="00C42D54">
        <w:rPr>
          <w:rFonts w:asciiTheme="majorHAnsi" w:hAnsiTheme="majorHAnsi"/>
          <w:sz w:val="20"/>
          <w:szCs w:val="20"/>
          <w:lang w:val="es-ES"/>
        </w:rPr>
        <w:t>, (iv) en el Informe Anual de 2011</w:t>
      </w:r>
      <w:r w:rsidR="00C42D54" w:rsidRPr="00C42D54">
        <w:rPr>
          <w:rFonts w:asciiTheme="majorHAnsi" w:hAnsiTheme="majorHAnsi"/>
          <w:sz w:val="20"/>
          <w:szCs w:val="20"/>
          <w:vertAlign w:val="superscript"/>
          <w:lang w:val="es-ES"/>
        </w:rPr>
        <w:footnoteReference w:id="13"/>
      </w:r>
      <w:r w:rsidR="00C42D54" w:rsidRPr="00C42D54">
        <w:rPr>
          <w:rFonts w:asciiTheme="majorHAnsi" w:hAnsiTheme="majorHAnsi"/>
          <w:sz w:val="20"/>
          <w:szCs w:val="20"/>
          <w:lang w:val="es-ES"/>
        </w:rPr>
        <w:t>, (v) en el Informe Anual de 2012</w:t>
      </w:r>
      <w:r w:rsidR="00C42D54" w:rsidRPr="00C42D54">
        <w:rPr>
          <w:rFonts w:asciiTheme="majorHAnsi" w:hAnsiTheme="majorHAnsi"/>
          <w:sz w:val="20"/>
          <w:szCs w:val="20"/>
          <w:vertAlign w:val="superscript"/>
          <w:lang w:val="es-ES"/>
        </w:rPr>
        <w:footnoteReference w:id="14"/>
      </w:r>
      <w:r w:rsidR="00C42D54" w:rsidRPr="00C42D54">
        <w:rPr>
          <w:rFonts w:asciiTheme="majorHAnsi" w:hAnsiTheme="majorHAnsi"/>
          <w:sz w:val="20"/>
          <w:szCs w:val="20"/>
          <w:lang w:val="es-ES"/>
        </w:rPr>
        <w:t>, (vi) en el Informe Anual de 2013</w:t>
      </w:r>
      <w:r w:rsidR="00C42D54" w:rsidRPr="00C42D54">
        <w:rPr>
          <w:rFonts w:asciiTheme="majorHAnsi" w:hAnsiTheme="majorHAnsi"/>
          <w:sz w:val="20"/>
          <w:szCs w:val="20"/>
          <w:vertAlign w:val="superscript"/>
          <w:lang w:val="es-ES"/>
        </w:rPr>
        <w:footnoteReference w:id="15"/>
      </w:r>
      <w:r w:rsidR="00C42D54" w:rsidRPr="00C42D54">
        <w:rPr>
          <w:rFonts w:asciiTheme="majorHAnsi" w:hAnsiTheme="majorHAnsi"/>
          <w:sz w:val="20"/>
          <w:szCs w:val="20"/>
          <w:lang w:val="es-ES"/>
        </w:rPr>
        <w:t>, (vii) en el Informe Anual de 2014</w:t>
      </w:r>
      <w:r w:rsidR="00C42D54" w:rsidRPr="00C42D54">
        <w:rPr>
          <w:rFonts w:asciiTheme="majorHAnsi" w:hAnsiTheme="majorHAnsi"/>
          <w:sz w:val="20"/>
          <w:szCs w:val="20"/>
          <w:vertAlign w:val="superscript"/>
          <w:lang w:val="es-ES"/>
        </w:rPr>
        <w:footnoteReference w:id="16"/>
      </w:r>
      <w:r w:rsidR="00C42D54" w:rsidRPr="00C42D54">
        <w:rPr>
          <w:rFonts w:asciiTheme="majorHAnsi" w:hAnsiTheme="majorHAnsi"/>
          <w:sz w:val="20"/>
          <w:szCs w:val="20"/>
          <w:lang w:val="es-ES"/>
        </w:rPr>
        <w:t>, (viii) en el Informe Anual de 2015</w:t>
      </w:r>
      <w:r w:rsidR="00C42D54" w:rsidRPr="00C42D54">
        <w:rPr>
          <w:rFonts w:asciiTheme="majorHAnsi" w:hAnsiTheme="majorHAnsi"/>
          <w:sz w:val="20"/>
          <w:szCs w:val="20"/>
          <w:vertAlign w:val="superscript"/>
          <w:lang w:val="es-ES"/>
        </w:rPr>
        <w:footnoteReference w:id="17"/>
      </w:r>
      <w:r w:rsidR="00C42D54" w:rsidRPr="00C42D54">
        <w:rPr>
          <w:rFonts w:asciiTheme="majorHAnsi" w:hAnsiTheme="majorHAnsi"/>
          <w:sz w:val="20"/>
          <w:szCs w:val="20"/>
          <w:lang w:val="es-ES"/>
        </w:rPr>
        <w:t>, (ix) en el Informe Anual de 2016</w:t>
      </w:r>
      <w:r w:rsidR="00C42D54" w:rsidRPr="00C42D54">
        <w:rPr>
          <w:rFonts w:asciiTheme="majorHAnsi" w:hAnsiTheme="majorHAnsi"/>
          <w:sz w:val="20"/>
          <w:szCs w:val="20"/>
          <w:vertAlign w:val="superscript"/>
          <w:lang w:val="es-ES"/>
        </w:rPr>
        <w:footnoteReference w:id="18"/>
      </w:r>
      <w:r w:rsidR="00C42D54" w:rsidRPr="00C42D54">
        <w:rPr>
          <w:rFonts w:asciiTheme="majorHAnsi" w:hAnsiTheme="majorHAnsi"/>
          <w:sz w:val="20"/>
          <w:szCs w:val="20"/>
          <w:lang w:val="es-ES"/>
        </w:rPr>
        <w:t xml:space="preserve">, (x) </w:t>
      </w:r>
      <w:r w:rsidR="00C42D54" w:rsidRPr="00C42D54">
        <w:rPr>
          <w:rFonts w:asciiTheme="majorHAnsi" w:hAnsiTheme="majorHAnsi"/>
          <w:sz w:val="20"/>
          <w:szCs w:val="20"/>
          <w:lang w:val="es-ES"/>
        </w:rPr>
        <w:lastRenderedPageBreak/>
        <w:t>en el Informe Anual de 2017</w:t>
      </w:r>
      <w:r w:rsidR="00C42D54" w:rsidRPr="00C42D54">
        <w:rPr>
          <w:rFonts w:asciiTheme="majorHAnsi" w:hAnsiTheme="majorHAnsi"/>
          <w:sz w:val="20"/>
          <w:szCs w:val="20"/>
          <w:vertAlign w:val="superscript"/>
          <w:lang w:val="es-ES"/>
        </w:rPr>
        <w:footnoteReference w:id="19"/>
      </w:r>
      <w:r w:rsidR="00C42D54" w:rsidRPr="00C42D54">
        <w:rPr>
          <w:rFonts w:asciiTheme="majorHAnsi" w:hAnsiTheme="majorHAnsi"/>
          <w:sz w:val="20"/>
          <w:szCs w:val="20"/>
          <w:lang w:val="es-ES"/>
        </w:rPr>
        <w:t>, (xi) en el Informe Anual de 2018</w:t>
      </w:r>
      <w:r w:rsidR="00C42D54" w:rsidRPr="00C42D54">
        <w:rPr>
          <w:rFonts w:asciiTheme="majorHAnsi" w:hAnsiTheme="majorHAnsi"/>
          <w:sz w:val="20"/>
          <w:szCs w:val="20"/>
          <w:vertAlign w:val="superscript"/>
          <w:lang w:val="es-ES"/>
        </w:rPr>
        <w:footnoteReference w:id="20"/>
      </w:r>
      <w:r w:rsidR="00C42D54" w:rsidRPr="00C42D54">
        <w:rPr>
          <w:rFonts w:asciiTheme="majorHAnsi" w:hAnsiTheme="majorHAnsi"/>
          <w:sz w:val="20"/>
          <w:szCs w:val="20"/>
          <w:lang w:val="es-ES"/>
        </w:rPr>
        <w:t xml:space="preserve"> (xii) en el Informe Anual de 2019</w:t>
      </w:r>
      <w:r w:rsidR="00C42D54" w:rsidRPr="00C42D54">
        <w:rPr>
          <w:rFonts w:asciiTheme="majorHAnsi" w:hAnsiTheme="majorHAnsi"/>
          <w:sz w:val="20"/>
          <w:szCs w:val="20"/>
          <w:vertAlign w:val="superscript"/>
          <w:lang w:val="es-ES"/>
        </w:rPr>
        <w:footnoteReference w:id="21"/>
      </w:r>
      <w:r w:rsidR="00D46F3A">
        <w:rPr>
          <w:rFonts w:asciiTheme="majorHAnsi" w:hAnsiTheme="majorHAnsi"/>
          <w:sz w:val="20"/>
          <w:szCs w:val="20"/>
          <w:lang w:val="es-ES"/>
        </w:rPr>
        <w:t xml:space="preserve"> </w:t>
      </w:r>
      <w:r w:rsidR="00D46F3A" w:rsidRPr="00A614A3">
        <w:rPr>
          <w:rFonts w:asciiTheme="majorHAnsi" w:hAnsiTheme="majorHAnsi"/>
          <w:sz w:val="20"/>
          <w:szCs w:val="20"/>
          <w:lang w:val="es-ES"/>
        </w:rPr>
        <w:t>y en el Informe Anual 2020</w:t>
      </w:r>
      <w:r w:rsidR="00C42D54" w:rsidRPr="00C42D54">
        <w:rPr>
          <w:rFonts w:asciiTheme="majorHAnsi" w:hAnsiTheme="majorHAnsi"/>
          <w:sz w:val="20"/>
          <w:szCs w:val="20"/>
          <w:lang w:val="es-ES"/>
        </w:rPr>
        <w:t>. También se examinó en detalle el tema en (xiii) el Informe sobre la Situación de Derechos Humanos en Venezuela de 2017</w:t>
      </w:r>
      <w:r w:rsidR="00C42D54" w:rsidRPr="00C42D54">
        <w:rPr>
          <w:rFonts w:asciiTheme="majorHAnsi" w:hAnsiTheme="majorHAnsi"/>
          <w:sz w:val="20"/>
          <w:szCs w:val="20"/>
          <w:vertAlign w:val="superscript"/>
          <w:lang w:val="es-ES"/>
        </w:rPr>
        <w:footnoteReference w:id="22"/>
      </w:r>
      <w:r w:rsidR="00C42D54" w:rsidRPr="00C42D54">
        <w:rPr>
          <w:rFonts w:asciiTheme="majorHAnsi" w:hAnsiTheme="majorHAnsi"/>
          <w:sz w:val="20"/>
          <w:szCs w:val="20"/>
          <w:lang w:val="es-ES"/>
        </w:rPr>
        <w:t xml:space="preserve"> y (xiv) el Informe sobre Democracia y Derechos Humanos en Venezuela de 2009</w:t>
      </w:r>
      <w:r w:rsidR="00C42D54" w:rsidRPr="00C42D54">
        <w:rPr>
          <w:rFonts w:asciiTheme="majorHAnsi" w:hAnsiTheme="majorHAnsi"/>
          <w:sz w:val="20"/>
          <w:szCs w:val="20"/>
          <w:vertAlign w:val="superscript"/>
          <w:lang w:val="es-ES"/>
        </w:rPr>
        <w:footnoteReference w:id="23"/>
      </w:r>
      <w:r w:rsidR="00C42D54" w:rsidRPr="00C42D54">
        <w:rPr>
          <w:rFonts w:asciiTheme="majorHAnsi" w:hAnsiTheme="majorHAnsi"/>
          <w:sz w:val="20"/>
          <w:szCs w:val="20"/>
          <w:lang w:val="es-ES"/>
        </w:rPr>
        <w:t xml:space="preserve">. </w:t>
      </w:r>
    </w:p>
    <w:p w14:paraId="0958B9A5" w14:textId="09FF5A3C" w:rsidR="00C42D54" w:rsidRDefault="00436BCA" w:rsidP="00C42D5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cs="Calibri"/>
          <w:sz w:val="20"/>
          <w:szCs w:val="20"/>
          <w:lang w:val="es-ES"/>
        </w:rPr>
      </w:pPr>
      <w:r>
        <w:rPr>
          <w:rFonts w:asciiTheme="majorHAnsi" w:hAnsiTheme="majorHAnsi" w:cs="Calibri"/>
          <w:sz w:val="20"/>
          <w:szCs w:val="20"/>
          <w:lang w:val="es-ES"/>
        </w:rPr>
        <w:t>34</w:t>
      </w:r>
      <w:r w:rsidR="00C42D54">
        <w:rPr>
          <w:rFonts w:asciiTheme="majorHAnsi" w:hAnsiTheme="majorHAnsi" w:cs="Calibri"/>
          <w:sz w:val="20"/>
          <w:szCs w:val="20"/>
          <w:lang w:val="es-ES"/>
        </w:rPr>
        <w:t>.</w:t>
      </w:r>
      <w:r w:rsidR="00C42D54">
        <w:rPr>
          <w:rFonts w:asciiTheme="majorHAnsi" w:hAnsiTheme="majorHAnsi" w:cs="Calibri"/>
          <w:sz w:val="20"/>
          <w:szCs w:val="20"/>
          <w:lang w:val="es-ES"/>
        </w:rPr>
        <w:tab/>
        <w:t xml:space="preserve">Las constataciones de la CIDH en cada uno de estos informes han sido minuciosas y contundentes, en forma tal que, para los propósitos del presente examen de admisibilidad, puede concluirse </w:t>
      </w:r>
      <w:r w:rsidR="00C42D54">
        <w:rPr>
          <w:rFonts w:ascii="Cambria" w:hAnsi="Cambria"/>
          <w:sz w:val="20"/>
          <w:szCs w:val="20"/>
          <w:lang w:val="es-AR"/>
        </w:rPr>
        <w:t>–</w:t>
      </w:r>
      <w:r w:rsidR="00C42D54">
        <w:rPr>
          <w:rFonts w:asciiTheme="majorHAnsi" w:hAnsiTheme="majorHAnsi" w:cs="Calibri"/>
          <w:sz w:val="20"/>
          <w:szCs w:val="20"/>
          <w:lang w:val="es-ES"/>
        </w:rPr>
        <w:t>sin que ello implique pronunciamiento alguno sobre el fondo del presente caso</w:t>
      </w:r>
      <w:r w:rsidR="00C42D54">
        <w:rPr>
          <w:rFonts w:ascii="Cambria" w:hAnsi="Cambria"/>
          <w:sz w:val="20"/>
          <w:szCs w:val="20"/>
          <w:lang w:val="es-AR"/>
        </w:rPr>
        <w:t>–</w:t>
      </w:r>
      <w:r w:rsidR="00C42D54">
        <w:rPr>
          <w:rFonts w:asciiTheme="majorHAnsi" w:hAnsiTheme="majorHAnsi" w:cs="Calibri"/>
          <w:sz w:val="20"/>
          <w:szCs w:val="20"/>
          <w:lang w:val="es-ES"/>
        </w:rPr>
        <w:t xml:space="preserve"> </w:t>
      </w:r>
      <w:proofErr w:type="gramStart"/>
      <w:r w:rsidR="00C42D54">
        <w:rPr>
          <w:rFonts w:asciiTheme="majorHAnsi" w:hAnsiTheme="majorHAnsi" w:cs="Calibri"/>
          <w:sz w:val="20"/>
          <w:szCs w:val="20"/>
          <w:lang w:val="es-ES"/>
        </w:rPr>
        <w:t>que</w:t>
      </w:r>
      <w:proofErr w:type="gramEnd"/>
      <w:r w:rsidR="00C42D54">
        <w:rPr>
          <w:rFonts w:asciiTheme="majorHAnsi" w:hAnsiTheme="majorHAnsi" w:cs="Calibri"/>
          <w:sz w:val="20"/>
          <w:szCs w:val="20"/>
          <w:lang w:val="es-ES"/>
        </w:rPr>
        <w:t xml:space="preserve"> en Venezuela, en principio, no se garantiza el debido proceso legal a quienes son procesados por la administración de justicia. En particular, cuando se evidencia, como en el presente caso, que hay un interés dirigido desde las más altas esferas del gobierno de utilizar el derecho penal como arma de persecución contra una persona. Este cúmulo abrumador de información verificada por la CIDH respecto de la falta de independencia judicial en Venezuela, particularmente en casos como el presente, sustenta el hecho excepcional de que se esté aplicado la excepción del artículo 46.1.a) a un caso, como el presente, en el que los recursos internos no se han agotado formalmente debido a la ausencia de la presunta víctima del Estado en el que se le está procesando, lo cual ordinariamente, fuera de estas circunstancias, acarrearía, en principio, la inadmisibilidad de la petición por falta de agotamiento de los recursos internos</w:t>
      </w:r>
      <w:r w:rsidR="00C42D54">
        <w:rPr>
          <w:rStyle w:val="FootnoteReference"/>
          <w:rFonts w:asciiTheme="majorHAnsi" w:hAnsiTheme="majorHAnsi" w:cs="Calibri"/>
          <w:sz w:val="20"/>
          <w:szCs w:val="20"/>
          <w:lang w:val="es-ES"/>
        </w:rPr>
        <w:footnoteReference w:id="24"/>
      </w:r>
      <w:r w:rsidR="00C42D54">
        <w:rPr>
          <w:rFonts w:asciiTheme="majorHAnsi" w:hAnsiTheme="majorHAnsi" w:cs="Calibri"/>
          <w:sz w:val="20"/>
          <w:szCs w:val="20"/>
          <w:lang w:val="es-ES"/>
        </w:rPr>
        <w:t xml:space="preserve">. </w:t>
      </w:r>
    </w:p>
    <w:p w14:paraId="0D3D725B" w14:textId="422B917F" w:rsidR="00C42D54" w:rsidRPr="00C42D54" w:rsidRDefault="00436BCA" w:rsidP="00EA244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cs="Calibri"/>
          <w:sz w:val="20"/>
          <w:szCs w:val="20"/>
          <w:lang w:val="es-ES"/>
        </w:rPr>
      </w:pPr>
      <w:r>
        <w:rPr>
          <w:rFonts w:asciiTheme="majorHAnsi" w:hAnsiTheme="majorHAnsi" w:cs="Calibri"/>
          <w:sz w:val="20"/>
          <w:szCs w:val="20"/>
          <w:lang w:val="es-ES"/>
        </w:rPr>
        <w:t>35</w:t>
      </w:r>
      <w:r w:rsidR="00C42D54">
        <w:rPr>
          <w:rFonts w:asciiTheme="majorHAnsi" w:hAnsiTheme="majorHAnsi" w:cs="Calibri"/>
          <w:sz w:val="20"/>
          <w:szCs w:val="20"/>
          <w:lang w:val="es-ES"/>
        </w:rPr>
        <w:t xml:space="preserve">. </w:t>
      </w:r>
      <w:r w:rsidR="00C42D54">
        <w:rPr>
          <w:rFonts w:asciiTheme="majorHAnsi" w:hAnsiTheme="majorHAnsi" w:cs="Calibri"/>
          <w:sz w:val="20"/>
          <w:szCs w:val="20"/>
          <w:lang w:val="es-ES"/>
        </w:rPr>
        <w:tab/>
      </w:r>
      <w:r w:rsidR="00C42D54" w:rsidRPr="0029546C">
        <w:rPr>
          <w:rFonts w:asciiTheme="majorHAnsi" w:hAnsiTheme="majorHAnsi" w:cs="Calibri"/>
          <w:sz w:val="20"/>
          <w:szCs w:val="20"/>
          <w:lang w:val="es-ES"/>
        </w:rPr>
        <w:t xml:space="preserve">Por esta razón, la CIDH declara aplicable la excepción al deber de agotamiento de recursos internos plasmada en el Artículo 46.2.a) de la Convención Americana. </w:t>
      </w:r>
      <w:r w:rsidR="00EA2440">
        <w:rPr>
          <w:rFonts w:asciiTheme="majorHAnsi" w:hAnsiTheme="majorHAnsi" w:cs="Calibri"/>
          <w:sz w:val="20"/>
          <w:szCs w:val="20"/>
          <w:lang w:val="es-ES"/>
        </w:rPr>
        <w:t xml:space="preserve"> </w:t>
      </w:r>
      <w:r w:rsidR="00EA2440" w:rsidRPr="00FC2B4A">
        <w:rPr>
          <w:rFonts w:ascii="Cambria" w:hAnsi="Cambria" w:cs="Calibri"/>
          <w:sz w:val="20"/>
          <w:szCs w:val="20"/>
          <w:lang w:val="es-ES_tradnl"/>
        </w:rPr>
        <w:t>Por otra parte, la Comisión concluye que la petición se ha presentado dentro de un plazo razonable</w:t>
      </w:r>
      <w:r w:rsidR="00EA2440">
        <w:rPr>
          <w:rFonts w:ascii="Cambria" w:hAnsi="Cambria" w:cs="Calibri"/>
          <w:sz w:val="20"/>
          <w:szCs w:val="20"/>
          <w:lang w:val="es-ES_tradnl"/>
        </w:rPr>
        <w:t xml:space="preserve">. </w:t>
      </w:r>
      <w:r w:rsidR="00EA2440" w:rsidRPr="00FC2B4A">
        <w:rPr>
          <w:rFonts w:ascii="Cambria" w:hAnsi="Cambria" w:cs="Calibri"/>
          <w:sz w:val="20"/>
          <w:szCs w:val="20"/>
          <w:lang w:val="es-ES_tradnl"/>
        </w:rPr>
        <w:t xml:space="preserve">Ello, </w:t>
      </w:r>
      <w:r w:rsidR="002E54B6">
        <w:rPr>
          <w:rFonts w:ascii="Cambria" w:hAnsi="Cambria" w:cs="Calibri"/>
          <w:sz w:val="20"/>
          <w:szCs w:val="20"/>
          <w:lang w:val="es-ES_tradnl"/>
        </w:rPr>
        <w:t xml:space="preserve">dado que </w:t>
      </w:r>
      <w:r w:rsidR="00EA2440" w:rsidRPr="00FC2B4A">
        <w:rPr>
          <w:rFonts w:ascii="Cambria" w:hAnsi="Cambria" w:cs="Calibri"/>
          <w:sz w:val="20"/>
          <w:szCs w:val="20"/>
          <w:lang w:val="es-ES_tradnl"/>
        </w:rPr>
        <w:t xml:space="preserve">los hechos han tenido lugar desde </w:t>
      </w:r>
      <w:r w:rsidR="00EA2440">
        <w:rPr>
          <w:rFonts w:ascii="Cambria" w:hAnsi="Cambria" w:cs="Calibri"/>
          <w:sz w:val="20"/>
          <w:szCs w:val="20"/>
          <w:lang w:val="es-ES_tradnl"/>
        </w:rPr>
        <w:t>2004</w:t>
      </w:r>
      <w:r w:rsidR="0029546C">
        <w:rPr>
          <w:rFonts w:ascii="Cambria" w:hAnsi="Cambria" w:cs="Calibri"/>
          <w:sz w:val="20"/>
          <w:szCs w:val="20"/>
          <w:lang w:val="es-ES_tradnl"/>
        </w:rPr>
        <w:t>,</w:t>
      </w:r>
      <w:r w:rsidR="00EA2440" w:rsidRPr="00FC2B4A">
        <w:rPr>
          <w:rFonts w:ascii="Cambria" w:hAnsi="Cambria" w:cs="Calibri"/>
          <w:sz w:val="20"/>
          <w:szCs w:val="20"/>
          <w:lang w:val="es-ES_tradnl"/>
        </w:rPr>
        <w:t xml:space="preserve"> la petición fue recibida el</w:t>
      </w:r>
      <w:r w:rsidR="00EA2440">
        <w:rPr>
          <w:rFonts w:ascii="Cambria" w:hAnsi="Cambria" w:cs="Calibri"/>
          <w:sz w:val="20"/>
          <w:szCs w:val="20"/>
          <w:lang w:val="es-ES_tradnl"/>
        </w:rPr>
        <w:t xml:space="preserve"> 2010, </w:t>
      </w:r>
      <w:r w:rsidR="0029546C">
        <w:rPr>
          <w:rFonts w:ascii="Cambria" w:hAnsi="Cambria" w:cs="Calibri"/>
          <w:sz w:val="20"/>
          <w:szCs w:val="20"/>
          <w:lang w:val="es-ES_tradnl"/>
        </w:rPr>
        <w:t xml:space="preserve">y </w:t>
      </w:r>
      <w:r w:rsidR="00EA2440">
        <w:rPr>
          <w:rFonts w:ascii="Cambria" w:hAnsi="Cambria" w:cs="Calibri"/>
          <w:sz w:val="20"/>
          <w:szCs w:val="20"/>
          <w:lang w:val="es-ES_tradnl"/>
        </w:rPr>
        <w:t>sus efectos</w:t>
      </w:r>
      <w:r w:rsidR="00EA2440" w:rsidRPr="00FC2B4A">
        <w:rPr>
          <w:rFonts w:ascii="Cambria" w:hAnsi="Cambria" w:cs="Calibri"/>
          <w:sz w:val="20"/>
          <w:szCs w:val="20"/>
          <w:lang w:val="es-ES_tradnl"/>
        </w:rPr>
        <w:t xml:space="preserve"> se extenderían hasta el presente. Por lo tanto, en vista del contexto y las características de los hechos incluidos en el presente informe, la Comisión considera que la petición fue presentada dentro de un plazo razonable y que debe darse por satisfecho el requisito de admisibilidad referente al plazo de presentación.</w:t>
      </w:r>
    </w:p>
    <w:p w14:paraId="4FFBE378" w14:textId="64322DE9" w:rsidR="003239B8" w:rsidRPr="00E719B9" w:rsidRDefault="003239B8" w:rsidP="00A64A73">
      <w:pPr>
        <w:pStyle w:val="ListParagraph"/>
        <w:spacing w:before="240" w:after="240"/>
        <w:jc w:val="both"/>
        <w:rPr>
          <w:rFonts w:asciiTheme="majorHAnsi" w:hAnsiTheme="majorHAnsi"/>
          <w:b/>
          <w:sz w:val="20"/>
          <w:szCs w:val="20"/>
          <w:lang w:val="es-ES"/>
        </w:rPr>
      </w:pPr>
      <w:r>
        <w:rPr>
          <w:rFonts w:asciiTheme="majorHAnsi" w:hAnsiTheme="majorHAnsi"/>
          <w:b/>
          <w:bCs/>
          <w:sz w:val="20"/>
          <w:szCs w:val="20"/>
          <w:lang w:val="es-ES"/>
        </w:rPr>
        <w:t>VII.</w:t>
      </w:r>
      <w:r>
        <w:rPr>
          <w:rFonts w:asciiTheme="majorHAnsi" w:hAnsiTheme="majorHAnsi"/>
          <w:b/>
          <w:bCs/>
          <w:sz w:val="20"/>
          <w:szCs w:val="20"/>
          <w:lang w:val="es-ES"/>
        </w:rPr>
        <w:tab/>
      </w:r>
      <w:r w:rsidR="004A6A54" w:rsidRPr="00151C27">
        <w:rPr>
          <w:rFonts w:asciiTheme="majorHAnsi" w:hAnsiTheme="majorHAnsi"/>
          <w:b/>
          <w:bCs/>
          <w:sz w:val="20"/>
          <w:szCs w:val="20"/>
          <w:lang w:val="es-ES_tradnl"/>
        </w:rPr>
        <w:t xml:space="preserve">ANÁLISIS DE </w:t>
      </w:r>
      <w:r w:rsidR="00C21FEF" w:rsidRPr="003239B8">
        <w:rPr>
          <w:rFonts w:asciiTheme="majorHAnsi" w:hAnsiTheme="majorHAnsi"/>
          <w:b/>
          <w:bCs/>
          <w:sz w:val="20"/>
          <w:szCs w:val="20"/>
          <w:lang w:val="es-ES"/>
        </w:rPr>
        <w:t xml:space="preserve">CARACTERIZACIÓN </w:t>
      </w:r>
      <w:r w:rsidR="00C21FEF" w:rsidRPr="0063685A">
        <w:rPr>
          <w:rFonts w:asciiTheme="majorHAnsi" w:hAnsiTheme="majorHAnsi"/>
          <w:b/>
          <w:bCs/>
          <w:sz w:val="20"/>
          <w:szCs w:val="20"/>
          <w:lang w:val="es-UY"/>
        </w:rPr>
        <w:t>DE LOS HECHOS ALEGADOS</w:t>
      </w:r>
    </w:p>
    <w:p w14:paraId="7AADDE89" w14:textId="593B50E4" w:rsidR="00D46F3A" w:rsidRPr="00D46F3A" w:rsidRDefault="00D46F3A" w:rsidP="00436BCA">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E1212A">
        <w:rPr>
          <w:rFonts w:asciiTheme="majorHAnsi" w:hAnsiTheme="majorHAnsi"/>
          <w:sz w:val="20"/>
          <w:szCs w:val="20"/>
          <w:lang w:val="es-ES"/>
        </w:rPr>
        <w:t xml:space="preserve">Los peticionarios han presentado numerosos y detallados argumentos sobre las razones fácticas y jurídicas por las cuales consideran que la apertura de </w:t>
      </w:r>
      <w:r>
        <w:rPr>
          <w:rFonts w:asciiTheme="majorHAnsi" w:hAnsiTheme="majorHAnsi"/>
          <w:sz w:val="20"/>
          <w:szCs w:val="20"/>
          <w:lang w:val="es-ES"/>
        </w:rPr>
        <w:t>tres</w:t>
      </w:r>
      <w:r w:rsidRPr="00E1212A">
        <w:rPr>
          <w:rFonts w:asciiTheme="majorHAnsi" w:hAnsiTheme="majorHAnsi"/>
          <w:sz w:val="20"/>
          <w:szCs w:val="20"/>
          <w:lang w:val="es-ES"/>
        </w:rPr>
        <w:t xml:space="preserve"> procesos penales contra el señor </w:t>
      </w:r>
      <w:proofErr w:type="spellStart"/>
      <w:r>
        <w:rPr>
          <w:rFonts w:asciiTheme="majorHAnsi" w:hAnsiTheme="majorHAnsi"/>
          <w:sz w:val="20"/>
          <w:szCs w:val="20"/>
          <w:lang w:val="es-ES"/>
        </w:rPr>
        <w:t>Mezerhane</w:t>
      </w:r>
      <w:proofErr w:type="spellEnd"/>
      <w:r w:rsidRPr="00E1212A">
        <w:rPr>
          <w:rFonts w:asciiTheme="majorHAnsi" w:hAnsiTheme="majorHAnsi"/>
          <w:sz w:val="20"/>
          <w:szCs w:val="20"/>
          <w:lang w:val="es-ES"/>
        </w:rPr>
        <w:t>,</w:t>
      </w:r>
      <w:r w:rsidR="0029546C">
        <w:rPr>
          <w:rFonts w:asciiTheme="majorHAnsi" w:hAnsiTheme="majorHAnsi"/>
          <w:sz w:val="20"/>
          <w:szCs w:val="20"/>
          <w:lang w:val="es-ES"/>
        </w:rPr>
        <w:t xml:space="preserve"> la privación arbitraria de su libertad, la violación de las garantías judiciales y la confiscación de sus bienes,</w:t>
      </w:r>
      <w:r w:rsidRPr="00E1212A">
        <w:rPr>
          <w:rFonts w:asciiTheme="majorHAnsi" w:hAnsiTheme="majorHAnsi"/>
          <w:sz w:val="20"/>
          <w:szCs w:val="20"/>
          <w:lang w:val="es-ES"/>
        </w:rPr>
        <w:t xml:space="preserve"> en el alegado contexto persecutorio conformado por las declaraciones de altos funcionarios estatales en su contra, constituye una forma de retaliación estatal por el ejercicio de su libertad de expresión a través del medio de comunicación Globovisión.</w:t>
      </w:r>
      <w:r>
        <w:rPr>
          <w:rFonts w:asciiTheme="majorHAnsi" w:hAnsiTheme="majorHAnsi"/>
          <w:sz w:val="20"/>
          <w:szCs w:val="20"/>
          <w:lang w:val="es-ES"/>
        </w:rPr>
        <w:t xml:space="preserve"> </w:t>
      </w:r>
    </w:p>
    <w:p w14:paraId="20DF6C8F" w14:textId="262CDA5B" w:rsidR="002244CC" w:rsidRPr="00B521A9" w:rsidRDefault="00767AC2" w:rsidP="00436BCA">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4F75BC">
        <w:rPr>
          <w:rFonts w:ascii="Cambria" w:hAnsi="Cambria"/>
          <w:sz w:val="20"/>
          <w:szCs w:val="20"/>
          <w:lang w:val="es-ES"/>
        </w:rPr>
        <w:t>En vista de los elementos de hecho y de derecho presentados por la</w:t>
      </w:r>
      <w:r w:rsidR="005527B6">
        <w:rPr>
          <w:rFonts w:ascii="Cambria" w:hAnsi="Cambria"/>
          <w:sz w:val="20"/>
          <w:szCs w:val="20"/>
          <w:lang w:val="es-ES"/>
        </w:rPr>
        <w:t>s</w:t>
      </w:r>
      <w:r w:rsidRPr="004F75BC">
        <w:rPr>
          <w:rFonts w:ascii="Cambria" w:hAnsi="Cambria"/>
          <w:sz w:val="20"/>
          <w:szCs w:val="20"/>
          <w:lang w:val="es-ES"/>
        </w:rPr>
        <w:t xml:space="preserve"> parte</w:t>
      </w:r>
      <w:r w:rsidR="005527B6">
        <w:rPr>
          <w:rFonts w:ascii="Cambria" w:hAnsi="Cambria"/>
          <w:sz w:val="20"/>
          <w:szCs w:val="20"/>
          <w:lang w:val="es-ES"/>
        </w:rPr>
        <w:t>s</w:t>
      </w:r>
      <w:r w:rsidRPr="004F75BC">
        <w:rPr>
          <w:rFonts w:ascii="Cambria" w:hAnsi="Cambria"/>
          <w:sz w:val="20"/>
          <w:szCs w:val="20"/>
          <w:lang w:val="es-ES"/>
        </w:rPr>
        <w:t xml:space="preserve"> y la </w:t>
      </w:r>
      <w:r w:rsidRPr="005C2949">
        <w:rPr>
          <w:rFonts w:asciiTheme="majorHAnsi" w:hAnsiTheme="majorHAnsi"/>
          <w:sz w:val="20"/>
          <w:szCs w:val="20"/>
          <w:lang w:val="es-ES"/>
        </w:rPr>
        <w:t xml:space="preserve">naturaleza del </w:t>
      </w:r>
      <w:r w:rsidRPr="00B521A9">
        <w:rPr>
          <w:rFonts w:asciiTheme="majorHAnsi" w:hAnsiTheme="majorHAnsi"/>
          <w:sz w:val="20"/>
          <w:szCs w:val="20"/>
          <w:lang w:val="es-ES"/>
        </w:rPr>
        <w:t xml:space="preserve">asunto puesto bajo su conocimiento, </w:t>
      </w:r>
      <w:r w:rsidR="00E33FB9" w:rsidRPr="00B521A9">
        <w:rPr>
          <w:rFonts w:asciiTheme="majorHAnsi" w:hAnsiTheme="majorHAnsi"/>
          <w:sz w:val="20"/>
          <w:szCs w:val="20"/>
          <w:lang w:val="es-ES"/>
        </w:rPr>
        <w:t xml:space="preserve">la Comisión considera que </w:t>
      </w:r>
      <w:r w:rsidR="002244CC" w:rsidRPr="00B521A9">
        <w:rPr>
          <w:rFonts w:asciiTheme="majorHAnsi" w:hAnsiTheme="majorHAnsi"/>
          <w:sz w:val="20"/>
          <w:szCs w:val="20"/>
          <w:lang w:val="es-ES"/>
        </w:rPr>
        <w:t xml:space="preserve">de ser probados los alegatos planteados por la parte peticionaria relativos a la supuesta vulneración a los derechos al debido proceso, protección judicial, libertad personal, así como a la libertad de expresión, podrían constituir </w:t>
      </w:r>
      <w:r w:rsidR="002244CC" w:rsidRPr="00B521A9">
        <w:rPr>
          <w:rFonts w:asciiTheme="majorHAnsi" w:hAnsiTheme="majorHAnsi"/>
          <w:i/>
          <w:sz w:val="20"/>
          <w:szCs w:val="20"/>
          <w:lang w:val="es-ES"/>
        </w:rPr>
        <w:t>prima facie</w:t>
      </w:r>
      <w:r w:rsidR="002244CC" w:rsidRPr="00B521A9">
        <w:rPr>
          <w:rFonts w:asciiTheme="majorHAnsi" w:hAnsiTheme="majorHAnsi"/>
          <w:sz w:val="20"/>
          <w:szCs w:val="20"/>
          <w:lang w:val="es-ES"/>
        </w:rPr>
        <w:t xml:space="preserve"> violaciones a los artículos </w:t>
      </w:r>
      <w:r w:rsidR="002244CC" w:rsidRPr="00B521A9">
        <w:rPr>
          <w:rFonts w:asciiTheme="majorHAnsi" w:hAnsiTheme="majorHAnsi"/>
          <w:bCs/>
          <w:sz w:val="20"/>
          <w:szCs w:val="20"/>
          <w:lang w:val="es-AR"/>
        </w:rPr>
        <w:t xml:space="preserve">7 (libertad personal), 8 (garantías judiciales), </w:t>
      </w:r>
      <w:r w:rsidR="003429A1" w:rsidRPr="00B521A9">
        <w:rPr>
          <w:rFonts w:asciiTheme="majorHAnsi" w:hAnsiTheme="majorHAnsi"/>
          <w:bCs/>
          <w:sz w:val="20"/>
          <w:szCs w:val="20"/>
          <w:lang w:val="es-AR"/>
        </w:rPr>
        <w:t xml:space="preserve">11 (honra y dignidad), </w:t>
      </w:r>
      <w:r w:rsidR="002244CC" w:rsidRPr="00B521A9">
        <w:rPr>
          <w:rFonts w:asciiTheme="majorHAnsi" w:hAnsiTheme="majorHAnsi"/>
          <w:bCs/>
          <w:sz w:val="20"/>
          <w:szCs w:val="20"/>
          <w:lang w:val="es-CO"/>
        </w:rPr>
        <w:t>13 (Libertad de Expresión) y 25</w:t>
      </w:r>
      <w:r w:rsidR="009D4605" w:rsidRPr="00B521A9">
        <w:rPr>
          <w:rFonts w:asciiTheme="majorHAnsi" w:hAnsiTheme="majorHAnsi"/>
          <w:bCs/>
          <w:sz w:val="20"/>
          <w:szCs w:val="20"/>
          <w:lang w:val="es-CO"/>
        </w:rPr>
        <w:t>.1</w:t>
      </w:r>
      <w:r w:rsidR="002244CC" w:rsidRPr="00B521A9">
        <w:rPr>
          <w:rFonts w:asciiTheme="majorHAnsi" w:hAnsiTheme="majorHAnsi"/>
          <w:bCs/>
          <w:sz w:val="20"/>
          <w:szCs w:val="20"/>
          <w:lang w:val="es-CO"/>
        </w:rPr>
        <w:t xml:space="preserve"> (protección judicial)</w:t>
      </w:r>
      <w:r w:rsidR="003429A1" w:rsidRPr="00B521A9">
        <w:rPr>
          <w:rFonts w:asciiTheme="majorHAnsi" w:hAnsiTheme="majorHAnsi"/>
          <w:bCs/>
          <w:sz w:val="20"/>
          <w:szCs w:val="20"/>
          <w:lang w:val="es-CO"/>
        </w:rPr>
        <w:t xml:space="preserve"> de la Convención Americana,</w:t>
      </w:r>
      <w:r w:rsidR="002244CC" w:rsidRPr="00B521A9">
        <w:rPr>
          <w:rFonts w:asciiTheme="majorHAnsi" w:hAnsiTheme="majorHAnsi"/>
          <w:bCs/>
          <w:sz w:val="20"/>
          <w:szCs w:val="20"/>
          <w:lang w:val="es-CO"/>
        </w:rPr>
        <w:t xml:space="preserve"> relacionados con el artículo 1.1 (obligación de respetar los derechos) del mismo instrumento en perjuicio del señor </w:t>
      </w:r>
      <w:r w:rsidR="002244CC" w:rsidRPr="00B521A9">
        <w:rPr>
          <w:rFonts w:asciiTheme="majorHAnsi" w:hAnsiTheme="majorHAnsi"/>
          <w:bCs/>
          <w:sz w:val="20"/>
          <w:szCs w:val="20"/>
          <w:lang w:val="es-ES_tradnl"/>
        </w:rPr>
        <w:t xml:space="preserve">Nelson </w:t>
      </w:r>
      <w:r w:rsidR="00033445" w:rsidRPr="00B521A9">
        <w:rPr>
          <w:rFonts w:asciiTheme="majorHAnsi" w:hAnsiTheme="majorHAnsi"/>
          <w:bCs/>
          <w:sz w:val="20"/>
          <w:szCs w:val="20"/>
          <w:lang w:val="es-ES_tradnl"/>
        </w:rPr>
        <w:t xml:space="preserve">J. </w:t>
      </w:r>
      <w:proofErr w:type="spellStart"/>
      <w:r w:rsidR="002244CC" w:rsidRPr="00B521A9">
        <w:rPr>
          <w:rFonts w:asciiTheme="majorHAnsi" w:hAnsiTheme="majorHAnsi"/>
          <w:bCs/>
          <w:sz w:val="20"/>
          <w:szCs w:val="20"/>
          <w:lang w:val="es-ES_tradnl"/>
        </w:rPr>
        <w:t>Mezerhane</w:t>
      </w:r>
      <w:proofErr w:type="spellEnd"/>
      <w:r w:rsidR="002244CC" w:rsidRPr="00B521A9">
        <w:rPr>
          <w:rFonts w:asciiTheme="majorHAnsi" w:hAnsiTheme="majorHAnsi"/>
          <w:bCs/>
          <w:sz w:val="20"/>
          <w:szCs w:val="20"/>
          <w:lang w:val="es-ES_tradnl"/>
        </w:rPr>
        <w:t xml:space="preserve"> </w:t>
      </w:r>
      <w:proofErr w:type="spellStart"/>
      <w:r w:rsidR="002244CC" w:rsidRPr="00B521A9">
        <w:rPr>
          <w:rFonts w:asciiTheme="majorHAnsi" w:hAnsiTheme="majorHAnsi"/>
          <w:bCs/>
          <w:sz w:val="20"/>
          <w:szCs w:val="20"/>
          <w:lang w:val="es-ES_tradnl"/>
        </w:rPr>
        <w:t>Gosen</w:t>
      </w:r>
      <w:proofErr w:type="spellEnd"/>
      <w:r w:rsidR="002244CC" w:rsidRPr="00B521A9">
        <w:rPr>
          <w:rFonts w:asciiTheme="majorHAnsi" w:hAnsiTheme="majorHAnsi"/>
          <w:bCs/>
          <w:sz w:val="20"/>
          <w:szCs w:val="20"/>
          <w:lang w:val="es-ES_tradnl"/>
        </w:rPr>
        <w:t xml:space="preserve">. </w:t>
      </w:r>
    </w:p>
    <w:p w14:paraId="29BB41F5" w14:textId="77777777" w:rsidR="003239B8" w:rsidRPr="0078770A" w:rsidRDefault="003239B8" w:rsidP="00A64A73">
      <w:pPr>
        <w:pStyle w:val="ListParagraph"/>
        <w:spacing w:before="240" w:after="240"/>
        <w:jc w:val="both"/>
        <w:rPr>
          <w:rFonts w:asciiTheme="majorHAnsi" w:hAnsiTheme="majorHAnsi"/>
          <w:b/>
          <w:bCs/>
          <w:sz w:val="20"/>
          <w:szCs w:val="20"/>
          <w:lang w:val="es-ES"/>
        </w:rPr>
      </w:pPr>
      <w:r w:rsidRPr="0078770A">
        <w:rPr>
          <w:rFonts w:asciiTheme="majorHAnsi" w:hAnsiTheme="majorHAnsi"/>
          <w:b/>
          <w:bCs/>
          <w:sz w:val="20"/>
          <w:szCs w:val="20"/>
          <w:lang w:val="es-ES"/>
        </w:rPr>
        <w:t xml:space="preserve">VIII. </w:t>
      </w:r>
      <w:r>
        <w:rPr>
          <w:rFonts w:asciiTheme="majorHAnsi" w:hAnsiTheme="majorHAnsi"/>
          <w:b/>
          <w:bCs/>
          <w:sz w:val="20"/>
          <w:szCs w:val="20"/>
          <w:lang w:val="es-ES"/>
        </w:rPr>
        <w:tab/>
      </w:r>
      <w:r w:rsidRPr="0078770A">
        <w:rPr>
          <w:rFonts w:asciiTheme="majorHAnsi" w:hAnsiTheme="majorHAnsi"/>
          <w:b/>
          <w:bCs/>
          <w:sz w:val="20"/>
          <w:szCs w:val="20"/>
          <w:lang w:val="es-ES"/>
        </w:rPr>
        <w:t>DECISIÓN</w:t>
      </w:r>
    </w:p>
    <w:p w14:paraId="2F517F6E" w14:textId="0CB70DC4" w:rsidR="00225203" w:rsidRDefault="003239B8" w:rsidP="00E97CF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3239B8">
        <w:rPr>
          <w:rFonts w:asciiTheme="majorHAnsi" w:hAnsiTheme="majorHAnsi"/>
          <w:sz w:val="20"/>
          <w:szCs w:val="20"/>
          <w:lang w:val="es-ES"/>
        </w:rPr>
        <w:t xml:space="preserve">Declarar admisible la presente petición </w:t>
      </w:r>
      <w:r w:rsidR="00E97CF8">
        <w:rPr>
          <w:rFonts w:asciiTheme="majorHAnsi" w:hAnsiTheme="majorHAnsi"/>
          <w:sz w:val="20"/>
          <w:szCs w:val="20"/>
          <w:lang w:val="es-ES"/>
        </w:rPr>
        <w:t>con res</w:t>
      </w:r>
      <w:r w:rsidR="002244CC">
        <w:rPr>
          <w:rFonts w:asciiTheme="majorHAnsi" w:hAnsiTheme="majorHAnsi"/>
          <w:sz w:val="20"/>
          <w:szCs w:val="20"/>
          <w:lang w:val="es-ES"/>
        </w:rPr>
        <w:t xml:space="preserve">pecto a los artículos 7, 8, </w:t>
      </w:r>
      <w:r w:rsidR="003429A1">
        <w:rPr>
          <w:rFonts w:asciiTheme="majorHAnsi" w:hAnsiTheme="majorHAnsi"/>
          <w:sz w:val="20"/>
          <w:szCs w:val="20"/>
          <w:lang w:val="es-ES"/>
        </w:rPr>
        <w:t xml:space="preserve">11, </w:t>
      </w:r>
      <w:r w:rsidR="00E33FB9">
        <w:rPr>
          <w:rFonts w:asciiTheme="majorHAnsi" w:hAnsiTheme="majorHAnsi"/>
          <w:sz w:val="20"/>
          <w:szCs w:val="20"/>
          <w:lang w:val="es-ES"/>
        </w:rPr>
        <w:t>13</w:t>
      </w:r>
      <w:r w:rsidR="00E97CF8">
        <w:rPr>
          <w:rFonts w:asciiTheme="majorHAnsi" w:hAnsiTheme="majorHAnsi"/>
          <w:sz w:val="20"/>
          <w:szCs w:val="20"/>
          <w:lang w:val="es-ES"/>
        </w:rPr>
        <w:t xml:space="preserve"> y 25</w:t>
      </w:r>
      <w:r w:rsidR="009D4605">
        <w:rPr>
          <w:rFonts w:asciiTheme="majorHAnsi" w:hAnsiTheme="majorHAnsi"/>
          <w:sz w:val="20"/>
          <w:szCs w:val="20"/>
          <w:lang w:val="es-ES"/>
        </w:rPr>
        <w:t>.1</w:t>
      </w:r>
      <w:r w:rsidR="00E33FB9">
        <w:rPr>
          <w:rFonts w:asciiTheme="majorHAnsi" w:hAnsiTheme="majorHAnsi"/>
          <w:sz w:val="20"/>
          <w:szCs w:val="20"/>
          <w:lang w:val="es-ES"/>
        </w:rPr>
        <w:t xml:space="preserve"> de la Convenci</w:t>
      </w:r>
      <w:r w:rsidR="00D97772">
        <w:rPr>
          <w:rFonts w:asciiTheme="majorHAnsi" w:hAnsiTheme="majorHAnsi"/>
          <w:sz w:val="20"/>
          <w:szCs w:val="20"/>
          <w:lang w:val="es-ES"/>
        </w:rPr>
        <w:t>ón Americana en relación con el artículo</w:t>
      </w:r>
      <w:r w:rsidR="00E33FB9">
        <w:rPr>
          <w:rFonts w:asciiTheme="majorHAnsi" w:hAnsiTheme="majorHAnsi"/>
          <w:sz w:val="20"/>
          <w:szCs w:val="20"/>
          <w:lang w:val="es-ES"/>
        </w:rPr>
        <w:t xml:space="preserve"> </w:t>
      </w:r>
      <w:r w:rsidR="007D5E9E">
        <w:rPr>
          <w:rFonts w:asciiTheme="majorHAnsi" w:hAnsiTheme="majorHAnsi"/>
          <w:sz w:val="20"/>
          <w:szCs w:val="20"/>
          <w:lang w:val="es-ES"/>
        </w:rPr>
        <w:t xml:space="preserve">1.1 </w:t>
      </w:r>
      <w:r w:rsidR="00E94DC8">
        <w:rPr>
          <w:rFonts w:asciiTheme="majorHAnsi" w:hAnsiTheme="majorHAnsi"/>
          <w:sz w:val="20"/>
          <w:szCs w:val="20"/>
          <w:lang w:val="es-ES"/>
        </w:rPr>
        <w:t xml:space="preserve">del </w:t>
      </w:r>
      <w:r w:rsidR="00E97CF8">
        <w:rPr>
          <w:rFonts w:asciiTheme="majorHAnsi" w:hAnsiTheme="majorHAnsi"/>
          <w:sz w:val="20"/>
          <w:szCs w:val="20"/>
          <w:lang w:val="es-ES"/>
        </w:rPr>
        <w:t>mismo instrumento</w:t>
      </w:r>
      <w:r w:rsidR="00225203">
        <w:rPr>
          <w:rFonts w:ascii="Cambria" w:hAnsi="Cambria"/>
          <w:sz w:val="20"/>
          <w:szCs w:val="20"/>
          <w:lang w:val="es-ES"/>
        </w:rPr>
        <w:t xml:space="preserve">; </w:t>
      </w:r>
      <w:r w:rsidR="003429A1">
        <w:rPr>
          <w:rFonts w:ascii="Cambria" w:hAnsi="Cambria"/>
          <w:sz w:val="20"/>
          <w:szCs w:val="20"/>
          <w:lang w:val="es-ES"/>
        </w:rPr>
        <w:t>y</w:t>
      </w:r>
    </w:p>
    <w:p w14:paraId="6AC80CA6" w14:textId="5F5C18E3" w:rsidR="00722C9F" w:rsidRDefault="004A6A54" w:rsidP="00A64A73">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9B7794">
        <w:rPr>
          <w:rFonts w:asciiTheme="majorHAnsi" w:hAnsiTheme="majorHAnsi"/>
          <w:sz w:val="20"/>
          <w:szCs w:val="20"/>
          <w:lang w:val="es-ES"/>
        </w:rPr>
        <w:lastRenderedPageBreak/>
        <w:t xml:space="preserve">Notificar a las partes la presente decisión; </w:t>
      </w:r>
      <w:r w:rsidRPr="001C4900">
        <w:rPr>
          <w:rFonts w:asciiTheme="majorHAnsi" w:hAnsiTheme="majorHAnsi"/>
          <w:sz w:val="20"/>
          <w:szCs w:val="20"/>
          <w:lang w:val="es-ES"/>
        </w:rPr>
        <w:t xml:space="preserve">continuar con el análisis del fondo de la cuestión; </w:t>
      </w:r>
      <w:r w:rsidRPr="009B7794">
        <w:rPr>
          <w:rFonts w:asciiTheme="majorHAnsi" w:hAnsiTheme="majorHAnsi"/>
          <w:sz w:val="20"/>
          <w:szCs w:val="20"/>
          <w:lang w:val="es-ES"/>
        </w:rPr>
        <w:t>y publicar esta decisión e incluirla en su Informe Anual a la Asamblea General de la Organización de los Estados Americanos.</w:t>
      </w:r>
    </w:p>
    <w:p w14:paraId="6B9A4E80" w14:textId="0E698E8B" w:rsidR="00436BCA" w:rsidRPr="00A37B82" w:rsidRDefault="00436BCA" w:rsidP="00436BCA">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2</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noviembre</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2021</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Antonia Urrejola, Presidenta; Julissa Mantilla Falcón, Primera Vicepresidenta; Flávia Piovesan, Segunda Vicepresidenta</w:t>
      </w:r>
      <w:r w:rsidRPr="00A37B82">
        <w:rPr>
          <w:rFonts w:asciiTheme="majorHAnsi" w:hAnsiTheme="majorHAnsi" w:cs="Arial"/>
          <w:noProof/>
          <w:spacing w:val="-2"/>
          <w:sz w:val="20"/>
          <w:szCs w:val="20"/>
          <w:lang w:val="es-CL"/>
        </w:rPr>
        <w:t>;</w:t>
      </w:r>
      <w:r>
        <w:rPr>
          <w:rFonts w:asciiTheme="majorHAnsi" w:hAnsiTheme="majorHAnsi" w:cs="Arial"/>
          <w:noProof/>
          <w:spacing w:val="-2"/>
          <w:sz w:val="20"/>
          <w:szCs w:val="20"/>
          <w:lang w:val="es-CL"/>
        </w:rPr>
        <w:t xml:space="preserve"> Margarette May Macaulay,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Joel Hernández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p w14:paraId="19C273B2" w14:textId="77777777" w:rsidR="00436BCA" w:rsidRPr="00A37B82" w:rsidRDefault="00436BCA" w:rsidP="00436BCA">
      <w:pPr>
        <w:suppressAutoHyphens/>
        <w:ind w:firstLine="720"/>
        <w:jc w:val="both"/>
        <w:rPr>
          <w:rFonts w:asciiTheme="majorHAnsi" w:hAnsiTheme="majorHAnsi" w:cs="Arial"/>
          <w:noProof/>
          <w:spacing w:val="-2"/>
          <w:sz w:val="20"/>
          <w:szCs w:val="20"/>
          <w:lang w:val="es-CL"/>
        </w:rPr>
      </w:pPr>
    </w:p>
    <w:sectPr w:rsidR="00436BCA" w:rsidRPr="00A37B8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C746A" w14:textId="77777777" w:rsidR="00482204" w:rsidRDefault="00482204">
      <w:r>
        <w:separator/>
      </w:r>
    </w:p>
  </w:endnote>
  <w:endnote w:type="continuationSeparator" w:id="0">
    <w:p w14:paraId="3A607CAE" w14:textId="77777777" w:rsidR="00482204" w:rsidRDefault="00482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Univers">
    <w:altName w:val="Arial"/>
    <w:panose1 w:val="020B0603020202030204"/>
    <w:charset w:val="00"/>
    <w:family w:val="swiss"/>
    <w:pitch w:val="variable"/>
    <w:sig w:usb0="8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77777777" w:rsidR="00664FD9" w:rsidRPr="00934A2C" w:rsidRDefault="00664FD9">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DA411A">
          <w:rPr>
            <w:noProof/>
            <w:sz w:val="16"/>
            <w:szCs w:val="22"/>
          </w:rPr>
          <w:t>6</w:t>
        </w:r>
        <w:r w:rsidRPr="00934A2C">
          <w:rPr>
            <w:noProof/>
            <w:sz w:val="16"/>
            <w:szCs w:val="22"/>
          </w:rPr>
          <w:fldChar w:fldCharType="end"/>
        </w:r>
      </w:p>
    </w:sdtContent>
  </w:sdt>
  <w:p w14:paraId="68530E6A" w14:textId="77777777" w:rsidR="00664FD9" w:rsidRDefault="00664F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664FD9" w:rsidRPr="00934A2C" w:rsidRDefault="00664FD9">
    <w:pPr>
      <w:pStyle w:val="Footer"/>
      <w:jc w:val="center"/>
      <w:rPr>
        <w:sz w:val="16"/>
        <w:szCs w:val="22"/>
      </w:rPr>
    </w:pPr>
  </w:p>
  <w:p w14:paraId="49059CE3" w14:textId="77777777" w:rsidR="00664FD9" w:rsidRDefault="00664F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F4A85" w14:textId="77777777" w:rsidR="00482204" w:rsidRPr="000F35ED" w:rsidRDefault="00482204">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2F90FBD9" w14:textId="77777777" w:rsidR="00482204" w:rsidRPr="000F35ED" w:rsidRDefault="00482204" w:rsidP="000F35ED">
      <w:pPr>
        <w:rPr>
          <w:rFonts w:asciiTheme="majorHAnsi" w:hAnsiTheme="majorHAnsi"/>
          <w:sz w:val="16"/>
          <w:szCs w:val="16"/>
        </w:rPr>
      </w:pPr>
      <w:r w:rsidRPr="000F35ED">
        <w:rPr>
          <w:rFonts w:asciiTheme="majorHAnsi" w:hAnsiTheme="majorHAnsi"/>
          <w:sz w:val="16"/>
          <w:szCs w:val="16"/>
        </w:rPr>
        <w:separator/>
      </w:r>
    </w:p>
    <w:p w14:paraId="681A7D7C" w14:textId="77777777" w:rsidR="00482204" w:rsidRPr="000F35ED" w:rsidRDefault="00482204"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31306C8A" w14:textId="77777777" w:rsidR="00482204" w:rsidRPr="000F35ED" w:rsidRDefault="00482204"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2156D240" w14:textId="4F411EE8" w:rsidR="00664FD9" w:rsidRPr="0012608B" w:rsidRDefault="00664FD9" w:rsidP="001D1E3C">
      <w:pPr>
        <w:pStyle w:val="FootnoteText"/>
        <w:ind w:firstLine="720"/>
        <w:jc w:val="both"/>
        <w:rPr>
          <w:rFonts w:ascii="Cambria" w:hAnsi="Cambria"/>
          <w:sz w:val="16"/>
          <w:szCs w:val="16"/>
          <w:lang w:val="es-AR"/>
        </w:rPr>
      </w:pPr>
      <w:r w:rsidRPr="0012608B">
        <w:rPr>
          <w:rStyle w:val="FootnoteReference"/>
          <w:rFonts w:ascii="Cambria" w:hAnsi="Cambria"/>
          <w:sz w:val="16"/>
          <w:szCs w:val="16"/>
        </w:rPr>
        <w:footnoteRef/>
      </w:r>
      <w:r w:rsidRPr="0012608B">
        <w:rPr>
          <w:rFonts w:ascii="Cambria" w:hAnsi="Cambria"/>
          <w:sz w:val="16"/>
          <w:szCs w:val="16"/>
          <w:lang w:val="es-AR"/>
        </w:rPr>
        <w:t xml:space="preserve"> En adelante, “CADH” o “Convención Americana”.</w:t>
      </w:r>
    </w:p>
  </w:footnote>
  <w:footnote w:id="3">
    <w:p w14:paraId="79F07139" w14:textId="77777777" w:rsidR="00664FD9" w:rsidRPr="00537490" w:rsidRDefault="00664FD9" w:rsidP="001D1E3C">
      <w:pPr>
        <w:pStyle w:val="FootnoteText"/>
        <w:spacing w:after="120"/>
        <w:ind w:firstLine="720"/>
        <w:jc w:val="both"/>
        <w:rPr>
          <w:rFonts w:ascii="Cambria" w:hAnsi="Cambria"/>
          <w:sz w:val="16"/>
          <w:szCs w:val="16"/>
          <w:lang w:val="es-ES"/>
        </w:rPr>
      </w:pPr>
      <w:r w:rsidRPr="0012608B">
        <w:rPr>
          <w:rStyle w:val="FootnoteReference"/>
          <w:rFonts w:ascii="Cambria" w:hAnsi="Cambria"/>
          <w:sz w:val="16"/>
          <w:szCs w:val="16"/>
        </w:rPr>
        <w:footnoteRef/>
      </w:r>
      <w:r w:rsidRPr="0012608B">
        <w:rPr>
          <w:rFonts w:ascii="Cambria" w:hAnsi="Cambria"/>
          <w:sz w:val="16"/>
          <w:szCs w:val="16"/>
          <w:lang w:val="es-ES"/>
        </w:rPr>
        <w:t xml:space="preserve"> Las observaciones de cada parte fueron debidamente trasladadas a la parte contraria.</w:t>
      </w:r>
    </w:p>
  </w:footnote>
  <w:footnote w:id="4">
    <w:p w14:paraId="77FD34C5" w14:textId="5591FFFC" w:rsidR="00664FD9" w:rsidRPr="0011209D" w:rsidRDefault="00664FD9" w:rsidP="00842108">
      <w:pPr>
        <w:pStyle w:val="FootnoteText"/>
        <w:ind w:firstLine="720"/>
        <w:jc w:val="both"/>
        <w:rPr>
          <w:rFonts w:asciiTheme="majorHAnsi" w:hAnsiTheme="majorHAnsi"/>
          <w:sz w:val="16"/>
          <w:szCs w:val="16"/>
          <w:lang w:val="es-ES"/>
        </w:rPr>
      </w:pPr>
      <w:r w:rsidRPr="0011209D">
        <w:rPr>
          <w:rStyle w:val="FootnoteReference"/>
          <w:rFonts w:asciiTheme="majorHAnsi" w:hAnsiTheme="majorHAnsi"/>
          <w:sz w:val="16"/>
          <w:szCs w:val="16"/>
        </w:rPr>
        <w:footnoteRef/>
      </w:r>
      <w:r w:rsidRPr="0011209D">
        <w:rPr>
          <w:rFonts w:asciiTheme="majorHAnsi" w:hAnsiTheme="majorHAnsi"/>
          <w:sz w:val="16"/>
          <w:szCs w:val="16"/>
          <w:lang w:val="es-ES"/>
        </w:rPr>
        <w:t xml:space="preserve"> Artículo 3 de la Constitución de INTERPOL: “Está rigurosamente prohibida a la Organización toda actividad o intervención en cuestiones o asuntos de carácter político, militar, religioso o racial”. Disponible en:</w:t>
      </w:r>
      <w:r w:rsidRPr="007F7826">
        <w:rPr>
          <w:rFonts w:asciiTheme="majorHAnsi" w:hAnsiTheme="majorHAnsi"/>
          <w:sz w:val="16"/>
          <w:szCs w:val="16"/>
          <w:lang w:val="es-ES"/>
        </w:rPr>
        <w:t xml:space="preserve"> </w:t>
      </w:r>
      <w:hyperlink r:id="rId1" w:history="1">
        <w:r w:rsidRPr="007F7826">
          <w:rPr>
            <w:rStyle w:val="Hyperlink"/>
            <w:rFonts w:asciiTheme="majorHAnsi" w:hAnsiTheme="majorHAnsi"/>
            <w:sz w:val="16"/>
            <w:szCs w:val="16"/>
            <w:lang w:val="es-ES"/>
          </w:rPr>
          <w:t>https://www.interpol.int/es/Recursos/Documentos</w:t>
        </w:r>
      </w:hyperlink>
      <w:r w:rsidRPr="007F7826">
        <w:rPr>
          <w:rFonts w:asciiTheme="majorHAnsi" w:hAnsiTheme="majorHAnsi"/>
          <w:sz w:val="16"/>
          <w:szCs w:val="16"/>
          <w:lang w:val="es-ES"/>
        </w:rPr>
        <w:t xml:space="preserve"> </w:t>
      </w:r>
      <w:r w:rsidRPr="0011209D">
        <w:rPr>
          <w:rFonts w:asciiTheme="majorHAnsi" w:hAnsiTheme="majorHAnsi"/>
          <w:sz w:val="16"/>
          <w:szCs w:val="16"/>
          <w:lang w:val="es-ES"/>
        </w:rPr>
        <w:t xml:space="preserve"> </w:t>
      </w:r>
    </w:p>
  </w:footnote>
  <w:footnote w:id="5">
    <w:p w14:paraId="28EA4338" w14:textId="77777777" w:rsidR="008E6AEA" w:rsidRPr="00E437E0" w:rsidRDefault="008E6AEA" w:rsidP="008E6AEA">
      <w:pPr>
        <w:pStyle w:val="FootnoteText"/>
        <w:ind w:firstLine="720"/>
        <w:jc w:val="both"/>
        <w:rPr>
          <w:rFonts w:asciiTheme="majorHAnsi" w:hAnsiTheme="majorHAnsi"/>
          <w:sz w:val="16"/>
          <w:szCs w:val="16"/>
          <w:lang w:val="pt-BR"/>
        </w:rPr>
      </w:pPr>
      <w:r w:rsidRPr="006132CC">
        <w:rPr>
          <w:rStyle w:val="FootnoteReference"/>
          <w:rFonts w:ascii="Cambria" w:hAnsi="Cambria"/>
          <w:sz w:val="16"/>
          <w:szCs w:val="16"/>
        </w:rPr>
        <w:footnoteRef/>
      </w:r>
      <w:r w:rsidRPr="006132CC">
        <w:rPr>
          <w:rFonts w:ascii="Cambria" w:hAnsi="Cambria"/>
          <w:sz w:val="16"/>
          <w:szCs w:val="16"/>
          <w:lang w:val="es-ES"/>
        </w:rPr>
        <w:t xml:space="preserve"> </w:t>
      </w:r>
      <w:r w:rsidRPr="006132CC">
        <w:rPr>
          <w:rFonts w:ascii="Cambria" w:hAnsi="Cambria"/>
          <w:sz w:val="16"/>
          <w:szCs w:val="16"/>
          <w:lang w:val="es-ES_tradnl"/>
        </w:rPr>
        <w:t>CIDH, Informe No. 69/08</w:t>
      </w:r>
      <w:r>
        <w:rPr>
          <w:rFonts w:ascii="Cambria" w:hAnsi="Cambria"/>
          <w:sz w:val="16"/>
          <w:szCs w:val="16"/>
          <w:lang w:val="es-ES_tradnl"/>
        </w:rPr>
        <w:t>,</w:t>
      </w:r>
      <w:r w:rsidRPr="00F94050">
        <w:rPr>
          <w:rFonts w:asciiTheme="majorHAnsi" w:hAnsiTheme="majorHAnsi"/>
          <w:sz w:val="16"/>
          <w:szCs w:val="16"/>
          <w:lang w:val="es-ES_tradnl"/>
        </w:rPr>
        <w:t xml:space="preserve"> Petición 681-00. Admisibilidad. Guillermo Patricio Lynn. Argentina. </w:t>
      </w:r>
      <w:r w:rsidRPr="00EA1433">
        <w:rPr>
          <w:rFonts w:asciiTheme="majorHAnsi" w:hAnsiTheme="majorHAnsi"/>
          <w:sz w:val="16"/>
          <w:szCs w:val="16"/>
          <w:lang w:val="pt-BR"/>
        </w:rPr>
        <w:t xml:space="preserve">16 de octubre de 2008, párr. </w:t>
      </w:r>
      <w:r w:rsidRPr="00E437E0">
        <w:rPr>
          <w:rFonts w:asciiTheme="majorHAnsi" w:hAnsiTheme="majorHAnsi"/>
          <w:sz w:val="16"/>
          <w:szCs w:val="16"/>
          <w:lang w:val="pt-BR"/>
        </w:rPr>
        <w:t>48.</w:t>
      </w:r>
    </w:p>
  </w:footnote>
  <w:footnote w:id="6">
    <w:p w14:paraId="0681AD71" w14:textId="4BC3D353" w:rsidR="00F72CCB" w:rsidRPr="00EA1433" w:rsidRDefault="0092397B">
      <w:pPr>
        <w:pStyle w:val="FootnoteText"/>
        <w:rPr>
          <w:lang w:val="pt-BR"/>
        </w:rPr>
      </w:pPr>
      <w:r>
        <w:rPr>
          <w:lang w:val="pt-BR"/>
        </w:rPr>
        <w:tab/>
      </w:r>
      <w:r w:rsidR="00F72CCB">
        <w:rPr>
          <w:rStyle w:val="FootnoteReference"/>
        </w:rPr>
        <w:footnoteRef/>
      </w:r>
      <w:r w:rsidR="00F72CCB" w:rsidRPr="00EA1433">
        <w:rPr>
          <w:lang w:val="pt-BR"/>
        </w:rPr>
        <w:t xml:space="preserve"> </w:t>
      </w:r>
      <w:r w:rsidR="00F72CCB" w:rsidRPr="00E437E0">
        <w:rPr>
          <w:rFonts w:asciiTheme="majorHAnsi" w:hAnsiTheme="majorHAnsi"/>
          <w:sz w:val="16"/>
          <w:szCs w:val="16"/>
          <w:lang w:val="pt-BR"/>
        </w:rPr>
        <w:t>Capítulo IV, párrafos</w:t>
      </w:r>
      <w:r w:rsidR="00F72CCB">
        <w:rPr>
          <w:rFonts w:asciiTheme="majorHAnsi" w:hAnsiTheme="majorHAnsi"/>
          <w:sz w:val="16"/>
          <w:szCs w:val="16"/>
          <w:lang w:val="pt-BR"/>
        </w:rPr>
        <w:t xml:space="preserve"> 138-207</w:t>
      </w:r>
    </w:p>
  </w:footnote>
  <w:footnote w:id="7">
    <w:p w14:paraId="04E98487" w14:textId="328F0500" w:rsidR="001F2C57" w:rsidRPr="00EA1433" w:rsidRDefault="0092397B">
      <w:pPr>
        <w:pStyle w:val="FootnoteText"/>
        <w:rPr>
          <w:lang w:val="pt-BR"/>
        </w:rPr>
      </w:pPr>
      <w:r>
        <w:rPr>
          <w:lang w:val="pt-BR"/>
        </w:rPr>
        <w:tab/>
      </w:r>
      <w:r w:rsidR="001F2C57">
        <w:rPr>
          <w:rStyle w:val="FootnoteReference"/>
        </w:rPr>
        <w:footnoteRef/>
      </w:r>
      <w:r w:rsidR="001F2C57" w:rsidRPr="00EA1433">
        <w:rPr>
          <w:lang w:val="pt-BR"/>
        </w:rPr>
        <w:t xml:space="preserve"> </w:t>
      </w:r>
      <w:r w:rsidR="001F2C57" w:rsidRPr="00E437E0">
        <w:rPr>
          <w:rFonts w:asciiTheme="majorHAnsi" w:hAnsiTheme="majorHAnsi"/>
          <w:sz w:val="16"/>
          <w:szCs w:val="16"/>
          <w:lang w:val="pt-BR"/>
        </w:rPr>
        <w:t>Capítulo IV, párrafos</w:t>
      </w:r>
      <w:r w:rsidR="001F2C57">
        <w:rPr>
          <w:rFonts w:asciiTheme="majorHAnsi" w:hAnsiTheme="majorHAnsi"/>
          <w:sz w:val="16"/>
          <w:szCs w:val="16"/>
          <w:lang w:val="pt-BR"/>
        </w:rPr>
        <w:t xml:space="preserve"> 214-370.</w:t>
      </w:r>
    </w:p>
  </w:footnote>
  <w:footnote w:id="8">
    <w:p w14:paraId="3B61F9B5" w14:textId="793006B2" w:rsidR="001F2C57" w:rsidRPr="00EA1433" w:rsidRDefault="0092397B">
      <w:pPr>
        <w:pStyle w:val="FootnoteText"/>
        <w:rPr>
          <w:lang w:val="pt-BR"/>
        </w:rPr>
      </w:pPr>
      <w:r>
        <w:rPr>
          <w:lang w:val="pt-BR"/>
        </w:rPr>
        <w:tab/>
      </w:r>
      <w:r w:rsidR="001F2C57">
        <w:rPr>
          <w:rStyle w:val="FootnoteReference"/>
        </w:rPr>
        <w:footnoteRef/>
      </w:r>
      <w:r w:rsidR="001F2C57" w:rsidRPr="00EA1433">
        <w:rPr>
          <w:lang w:val="pt-BR"/>
        </w:rPr>
        <w:t xml:space="preserve"> </w:t>
      </w:r>
      <w:r w:rsidR="001F2C57" w:rsidRPr="00E437E0">
        <w:rPr>
          <w:rFonts w:asciiTheme="majorHAnsi" w:hAnsiTheme="majorHAnsi"/>
          <w:sz w:val="16"/>
          <w:szCs w:val="16"/>
          <w:lang w:val="pt-BR"/>
        </w:rPr>
        <w:t>Capítulo IV, párrafos</w:t>
      </w:r>
      <w:r w:rsidR="001F2C57">
        <w:rPr>
          <w:rFonts w:asciiTheme="majorHAnsi" w:hAnsiTheme="majorHAnsi"/>
          <w:sz w:val="16"/>
          <w:szCs w:val="16"/>
          <w:lang w:val="pt-BR"/>
        </w:rPr>
        <w:t xml:space="preserve"> 138-252.</w:t>
      </w:r>
    </w:p>
  </w:footnote>
  <w:footnote w:id="9">
    <w:p w14:paraId="7297175A" w14:textId="427DDF96" w:rsidR="001F2C57" w:rsidRPr="00EA1433" w:rsidRDefault="0092397B">
      <w:pPr>
        <w:pStyle w:val="FootnoteText"/>
        <w:rPr>
          <w:lang w:val="pt-BR"/>
        </w:rPr>
      </w:pPr>
      <w:r>
        <w:rPr>
          <w:lang w:val="pt-BR"/>
        </w:rPr>
        <w:tab/>
      </w:r>
      <w:r w:rsidR="001F2C57">
        <w:rPr>
          <w:rStyle w:val="FootnoteReference"/>
        </w:rPr>
        <w:footnoteRef/>
      </w:r>
      <w:r w:rsidR="001F2C57" w:rsidRPr="00EA1433">
        <w:rPr>
          <w:lang w:val="pt-BR"/>
        </w:rPr>
        <w:t xml:space="preserve"> </w:t>
      </w:r>
      <w:r w:rsidR="001F2C57" w:rsidRPr="00E437E0">
        <w:rPr>
          <w:rFonts w:asciiTheme="majorHAnsi" w:hAnsiTheme="majorHAnsi"/>
          <w:sz w:val="16"/>
          <w:szCs w:val="16"/>
          <w:lang w:val="pt-BR"/>
        </w:rPr>
        <w:t>Capítulo IV, párrafos</w:t>
      </w:r>
      <w:r w:rsidR="001F2C57">
        <w:rPr>
          <w:rFonts w:asciiTheme="majorHAnsi" w:hAnsiTheme="majorHAnsi"/>
          <w:sz w:val="16"/>
          <w:szCs w:val="16"/>
          <w:lang w:val="pt-BR"/>
        </w:rPr>
        <w:t xml:space="preserve"> 221- 315.</w:t>
      </w:r>
    </w:p>
  </w:footnote>
  <w:footnote w:id="10">
    <w:p w14:paraId="6D27AB95" w14:textId="77777777" w:rsidR="00C42D54" w:rsidRPr="00E437E0" w:rsidRDefault="00C42D54" w:rsidP="00C42D54">
      <w:pPr>
        <w:pStyle w:val="FootnoteText"/>
        <w:ind w:firstLine="720"/>
        <w:rPr>
          <w:rFonts w:asciiTheme="majorHAnsi" w:hAnsiTheme="majorHAnsi"/>
          <w:sz w:val="16"/>
          <w:szCs w:val="16"/>
          <w:lang w:val="pt-BR"/>
        </w:rPr>
      </w:pPr>
      <w:r w:rsidRPr="00F94050">
        <w:rPr>
          <w:rStyle w:val="FootnoteReference"/>
          <w:rFonts w:asciiTheme="majorHAnsi" w:hAnsiTheme="majorHAnsi"/>
          <w:sz w:val="16"/>
          <w:szCs w:val="16"/>
        </w:rPr>
        <w:footnoteRef/>
      </w:r>
      <w:r w:rsidRPr="00E437E0">
        <w:rPr>
          <w:rFonts w:asciiTheme="majorHAnsi" w:hAnsiTheme="majorHAnsi"/>
          <w:sz w:val="16"/>
          <w:szCs w:val="16"/>
          <w:lang w:val="pt-BR"/>
        </w:rPr>
        <w:t xml:space="preserve"> Capítulo IV, párrafos 391-403.</w:t>
      </w:r>
    </w:p>
  </w:footnote>
  <w:footnote w:id="11">
    <w:p w14:paraId="25EE598F" w14:textId="77777777" w:rsidR="00C42D54" w:rsidRPr="00E437E0" w:rsidRDefault="00C42D54" w:rsidP="00C42D54">
      <w:pPr>
        <w:pStyle w:val="FootnoteText"/>
        <w:ind w:firstLine="720"/>
        <w:rPr>
          <w:rFonts w:asciiTheme="majorHAnsi" w:hAnsiTheme="majorHAnsi"/>
          <w:sz w:val="16"/>
          <w:szCs w:val="16"/>
          <w:lang w:val="pt-BR"/>
        </w:rPr>
      </w:pPr>
      <w:r w:rsidRPr="00F94050">
        <w:rPr>
          <w:rStyle w:val="FootnoteReference"/>
          <w:rFonts w:asciiTheme="majorHAnsi" w:hAnsiTheme="majorHAnsi"/>
          <w:sz w:val="16"/>
          <w:szCs w:val="16"/>
        </w:rPr>
        <w:footnoteRef/>
      </w:r>
      <w:r w:rsidRPr="00E437E0">
        <w:rPr>
          <w:rFonts w:asciiTheme="majorHAnsi" w:hAnsiTheme="majorHAnsi"/>
          <w:sz w:val="16"/>
          <w:szCs w:val="16"/>
          <w:lang w:val="pt-BR"/>
        </w:rPr>
        <w:t xml:space="preserve"> Capítulo IV, párrafos 472-483.</w:t>
      </w:r>
    </w:p>
  </w:footnote>
  <w:footnote w:id="12">
    <w:p w14:paraId="43EE821D" w14:textId="77777777" w:rsidR="00C42D54" w:rsidRPr="00E437E0" w:rsidRDefault="00C42D54" w:rsidP="00C42D54">
      <w:pPr>
        <w:pStyle w:val="FootnoteText"/>
        <w:ind w:firstLine="720"/>
        <w:rPr>
          <w:rFonts w:asciiTheme="majorHAnsi" w:hAnsiTheme="majorHAnsi"/>
          <w:sz w:val="16"/>
          <w:szCs w:val="16"/>
          <w:lang w:val="pt-BR"/>
        </w:rPr>
      </w:pPr>
      <w:r w:rsidRPr="00F94050">
        <w:rPr>
          <w:rStyle w:val="FootnoteReference"/>
          <w:rFonts w:asciiTheme="majorHAnsi" w:hAnsiTheme="majorHAnsi"/>
          <w:sz w:val="16"/>
          <w:szCs w:val="16"/>
        </w:rPr>
        <w:footnoteRef/>
      </w:r>
      <w:r w:rsidRPr="00E437E0">
        <w:rPr>
          <w:rFonts w:asciiTheme="majorHAnsi" w:hAnsiTheme="majorHAnsi"/>
          <w:sz w:val="16"/>
          <w:szCs w:val="16"/>
          <w:lang w:val="pt-BR"/>
        </w:rPr>
        <w:t xml:space="preserve"> Capítulo IV, párrafos 615-649.</w:t>
      </w:r>
    </w:p>
  </w:footnote>
  <w:footnote w:id="13">
    <w:p w14:paraId="30027119" w14:textId="77777777" w:rsidR="00C42D54" w:rsidRPr="00E437E0" w:rsidRDefault="00C42D54" w:rsidP="00C42D54">
      <w:pPr>
        <w:pStyle w:val="FootnoteText"/>
        <w:ind w:firstLine="720"/>
        <w:rPr>
          <w:rFonts w:asciiTheme="majorHAnsi" w:hAnsiTheme="majorHAnsi"/>
          <w:sz w:val="16"/>
          <w:szCs w:val="16"/>
          <w:lang w:val="pt-BR"/>
        </w:rPr>
      </w:pPr>
      <w:r w:rsidRPr="00F94050">
        <w:rPr>
          <w:rStyle w:val="FootnoteReference"/>
          <w:rFonts w:asciiTheme="majorHAnsi" w:hAnsiTheme="majorHAnsi"/>
          <w:sz w:val="16"/>
          <w:szCs w:val="16"/>
        </w:rPr>
        <w:footnoteRef/>
      </w:r>
      <w:r w:rsidRPr="00E437E0">
        <w:rPr>
          <w:rFonts w:asciiTheme="majorHAnsi" w:hAnsiTheme="majorHAnsi"/>
          <w:sz w:val="16"/>
          <w:szCs w:val="16"/>
          <w:lang w:val="pt-BR"/>
        </w:rPr>
        <w:t xml:space="preserve"> Capítulo IV, párrafos 447-477.</w:t>
      </w:r>
    </w:p>
  </w:footnote>
  <w:footnote w:id="14">
    <w:p w14:paraId="68B98866" w14:textId="77777777" w:rsidR="00C42D54" w:rsidRPr="00E437E0" w:rsidRDefault="00C42D54" w:rsidP="00C42D54">
      <w:pPr>
        <w:pStyle w:val="FootnoteText"/>
        <w:ind w:firstLine="720"/>
        <w:rPr>
          <w:rFonts w:asciiTheme="majorHAnsi" w:hAnsiTheme="majorHAnsi"/>
          <w:sz w:val="16"/>
          <w:szCs w:val="16"/>
          <w:lang w:val="pt-BR"/>
        </w:rPr>
      </w:pPr>
      <w:r w:rsidRPr="00F94050">
        <w:rPr>
          <w:rStyle w:val="FootnoteReference"/>
          <w:rFonts w:asciiTheme="majorHAnsi" w:hAnsiTheme="majorHAnsi"/>
          <w:sz w:val="16"/>
          <w:szCs w:val="16"/>
        </w:rPr>
        <w:footnoteRef/>
      </w:r>
      <w:r w:rsidRPr="00E437E0">
        <w:rPr>
          <w:rFonts w:asciiTheme="majorHAnsi" w:hAnsiTheme="majorHAnsi"/>
          <w:sz w:val="16"/>
          <w:szCs w:val="16"/>
          <w:lang w:val="pt-BR"/>
        </w:rPr>
        <w:t xml:space="preserve"> Capítulo IV, párrafos 464-509.</w:t>
      </w:r>
    </w:p>
  </w:footnote>
  <w:footnote w:id="15">
    <w:p w14:paraId="30B2935D" w14:textId="77777777" w:rsidR="00C42D54" w:rsidRPr="00E437E0" w:rsidRDefault="00C42D54" w:rsidP="00C42D54">
      <w:pPr>
        <w:pStyle w:val="FootnoteText"/>
        <w:ind w:firstLine="720"/>
        <w:rPr>
          <w:rFonts w:asciiTheme="majorHAnsi" w:hAnsiTheme="majorHAnsi"/>
          <w:sz w:val="16"/>
          <w:szCs w:val="16"/>
          <w:lang w:val="pt-BR"/>
        </w:rPr>
      </w:pPr>
      <w:r w:rsidRPr="00F94050">
        <w:rPr>
          <w:rStyle w:val="FootnoteReference"/>
          <w:rFonts w:asciiTheme="majorHAnsi" w:hAnsiTheme="majorHAnsi"/>
          <w:sz w:val="16"/>
          <w:szCs w:val="16"/>
        </w:rPr>
        <w:footnoteRef/>
      </w:r>
      <w:r w:rsidRPr="00E437E0">
        <w:rPr>
          <w:rFonts w:asciiTheme="majorHAnsi" w:hAnsiTheme="majorHAnsi"/>
          <w:sz w:val="16"/>
          <w:szCs w:val="16"/>
          <w:lang w:val="pt-BR"/>
        </w:rPr>
        <w:t xml:space="preserve"> Capítulo IV, párrafos 632-660.</w:t>
      </w:r>
    </w:p>
  </w:footnote>
  <w:footnote w:id="16">
    <w:p w14:paraId="4DCC1640" w14:textId="77777777" w:rsidR="00C42D54" w:rsidRPr="00E437E0" w:rsidRDefault="00C42D54" w:rsidP="00C42D54">
      <w:pPr>
        <w:pStyle w:val="FootnoteText"/>
        <w:ind w:firstLine="720"/>
        <w:rPr>
          <w:rFonts w:asciiTheme="majorHAnsi" w:hAnsiTheme="majorHAnsi"/>
          <w:sz w:val="16"/>
          <w:szCs w:val="16"/>
          <w:lang w:val="pt-BR"/>
        </w:rPr>
      </w:pPr>
      <w:r w:rsidRPr="00F94050">
        <w:rPr>
          <w:rStyle w:val="FootnoteReference"/>
          <w:rFonts w:asciiTheme="majorHAnsi" w:hAnsiTheme="majorHAnsi"/>
          <w:sz w:val="16"/>
          <w:szCs w:val="16"/>
        </w:rPr>
        <w:footnoteRef/>
      </w:r>
      <w:r w:rsidRPr="00E437E0">
        <w:rPr>
          <w:rFonts w:asciiTheme="majorHAnsi" w:hAnsiTheme="majorHAnsi"/>
          <w:sz w:val="16"/>
          <w:szCs w:val="16"/>
          <w:lang w:val="pt-BR"/>
        </w:rPr>
        <w:t xml:space="preserve"> Capítulo IV, párrafos 536-566.</w:t>
      </w:r>
    </w:p>
  </w:footnote>
  <w:footnote w:id="17">
    <w:p w14:paraId="297E6952" w14:textId="77777777" w:rsidR="00C42D54" w:rsidRPr="00E437E0" w:rsidRDefault="00C42D54" w:rsidP="00C42D54">
      <w:pPr>
        <w:pStyle w:val="FootnoteText"/>
        <w:ind w:firstLine="720"/>
        <w:rPr>
          <w:rFonts w:asciiTheme="majorHAnsi" w:hAnsiTheme="majorHAnsi"/>
          <w:sz w:val="16"/>
          <w:szCs w:val="16"/>
          <w:lang w:val="pt-BR"/>
        </w:rPr>
      </w:pPr>
      <w:r w:rsidRPr="00F94050">
        <w:rPr>
          <w:rStyle w:val="FootnoteReference"/>
          <w:rFonts w:asciiTheme="majorHAnsi" w:hAnsiTheme="majorHAnsi"/>
          <w:sz w:val="16"/>
          <w:szCs w:val="16"/>
        </w:rPr>
        <w:footnoteRef/>
      </w:r>
      <w:r w:rsidRPr="00E437E0">
        <w:rPr>
          <w:rFonts w:asciiTheme="majorHAnsi" w:hAnsiTheme="majorHAnsi"/>
          <w:sz w:val="16"/>
          <w:szCs w:val="16"/>
          <w:lang w:val="pt-BR"/>
        </w:rPr>
        <w:t xml:space="preserve"> Capítulo IV, párrafos 257-281.</w:t>
      </w:r>
    </w:p>
  </w:footnote>
  <w:footnote w:id="18">
    <w:p w14:paraId="719B40FC" w14:textId="77777777" w:rsidR="00C42D54" w:rsidRPr="00E437E0" w:rsidRDefault="00C42D54" w:rsidP="00C42D54">
      <w:pPr>
        <w:pStyle w:val="FootnoteText"/>
        <w:ind w:firstLine="720"/>
        <w:rPr>
          <w:rFonts w:asciiTheme="majorHAnsi" w:hAnsiTheme="majorHAnsi"/>
          <w:sz w:val="16"/>
          <w:szCs w:val="16"/>
          <w:lang w:val="pt-BR"/>
        </w:rPr>
      </w:pPr>
      <w:r w:rsidRPr="00F94050">
        <w:rPr>
          <w:rStyle w:val="FootnoteReference"/>
          <w:rFonts w:asciiTheme="majorHAnsi" w:hAnsiTheme="majorHAnsi"/>
          <w:sz w:val="16"/>
          <w:szCs w:val="16"/>
        </w:rPr>
        <w:footnoteRef/>
      </w:r>
      <w:r w:rsidRPr="00E437E0">
        <w:rPr>
          <w:rFonts w:asciiTheme="majorHAnsi" w:hAnsiTheme="majorHAnsi"/>
          <w:sz w:val="16"/>
          <w:szCs w:val="16"/>
          <w:lang w:val="pt-BR"/>
        </w:rPr>
        <w:t xml:space="preserve"> Capítulo IV, párrafos 57-87.</w:t>
      </w:r>
    </w:p>
  </w:footnote>
  <w:footnote w:id="19">
    <w:p w14:paraId="6C18E759" w14:textId="77777777" w:rsidR="00C42D54" w:rsidRPr="00E437E0" w:rsidRDefault="00C42D54" w:rsidP="00C42D54">
      <w:pPr>
        <w:pStyle w:val="FootnoteText"/>
        <w:ind w:firstLine="720"/>
        <w:rPr>
          <w:rFonts w:asciiTheme="majorHAnsi" w:hAnsiTheme="majorHAnsi"/>
          <w:sz w:val="16"/>
          <w:szCs w:val="16"/>
          <w:lang w:val="pt-BR"/>
        </w:rPr>
      </w:pPr>
      <w:r w:rsidRPr="00F94050">
        <w:rPr>
          <w:rStyle w:val="FootnoteReference"/>
          <w:rFonts w:asciiTheme="majorHAnsi" w:hAnsiTheme="majorHAnsi"/>
          <w:sz w:val="16"/>
          <w:szCs w:val="16"/>
        </w:rPr>
        <w:footnoteRef/>
      </w:r>
      <w:r w:rsidRPr="00E437E0">
        <w:rPr>
          <w:rFonts w:asciiTheme="majorHAnsi" w:hAnsiTheme="majorHAnsi"/>
          <w:sz w:val="16"/>
          <w:szCs w:val="16"/>
          <w:lang w:val="pt-BR"/>
        </w:rPr>
        <w:t xml:space="preserve"> Capítulo IV, párrafos 13-21.</w:t>
      </w:r>
    </w:p>
  </w:footnote>
  <w:footnote w:id="20">
    <w:p w14:paraId="12703F71" w14:textId="77777777" w:rsidR="00C42D54" w:rsidRPr="00E437E0" w:rsidRDefault="00C42D54" w:rsidP="00C42D54">
      <w:pPr>
        <w:pStyle w:val="FootnoteText"/>
        <w:ind w:firstLine="720"/>
        <w:rPr>
          <w:rFonts w:asciiTheme="majorHAnsi" w:hAnsiTheme="majorHAnsi"/>
          <w:sz w:val="16"/>
          <w:szCs w:val="16"/>
          <w:lang w:val="pt-BR"/>
        </w:rPr>
      </w:pPr>
      <w:r w:rsidRPr="00F94050">
        <w:rPr>
          <w:rStyle w:val="FootnoteReference"/>
          <w:rFonts w:asciiTheme="majorHAnsi" w:hAnsiTheme="majorHAnsi"/>
          <w:sz w:val="16"/>
          <w:szCs w:val="16"/>
        </w:rPr>
        <w:footnoteRef/>
      </w:r>
      <w:r w:rsidRPr="00E437E0">
        <w:rPr>
          <w:rFonts w:asciiTheme="majorHAnsi" w:hAnsiTheme="majorHAnsi"/>
          <w:sz w:val="16"/>
          <w:szCs w:val="16"/>
          <w:lang w:val="pt-BR"/>
        </w:rPr>
        <w:t xml:space="preserve"> Capítulo IV.B, párrafos 30-57.</w:t>
      </w:r>
    </w:p>
  </w:footnote>
  <w:footnote w:id="21">
    <w:p w14:paraId="773E7A22" w14:textId="77777777" w:rsidR="00C42D54" w:rsidRPr="00EA1433" w:rsidRDefault="00C42D54" w:rsidP="00C42D54">
      <w:pPr>
        <w:pStyle w:val="FootnoteText"/>
        <w:ind w:firstLine="720"/>
        <w:rPr>
          <w:lang w:val="es-419"/>
        </w:rPr>
      </w:pPr>
      <w:r w:rsidRPr="00F94050">
        <w:rPr>
          <w:rStyle w:val="FootnoteReference"/>
          <w:rFonts w:asciiTheme="majorHAnsi" w:hAnsiTheme="majorHAnsi"/>
          <w:sz w:val="16"/>
          <w:szCs w:val="16"/>
        </w:rPr>
        <w:footnoteRef/>
      </w:r>
      <w:r w:rsidRPr="00EA1433">
        <w:rPr>
          <w:rFonts w:asciiTheme="majorHAnsi" w:hAnsiTheme="majorHAnsi"/>
          <w:sz w:val="16"/>
          <w:szCs w:val="16"/>
          <w:lang w:val="es-419"/>
        </w:rPr>
        <w:t xml:space="preserve"> Capítulo IV.B, párrafos 30-48.</w:t>
      </w:r>
    </w:p>
  </w:footnote>
  <w:footnote w:id="22">
    <w:p w14:paraId="32E07160" w14:textId="77777777" w:rsidR="00C42D54" w:rsidRPr="00F94050" w:rsidRDefault="00C42D54" w:rsidP="00C42D54">
      <w:pPr>
        <w:pStyle w:val="FootnoteText"/>
        <w:ind w:firstLine="720"/>
        <w:rPr>
          <w:rFonts w:asciiTheme="majorHAnsi" w:hAnsiTheme="majorHAnsi"/>
          <w:sz w:val="16"/>
          <w:szCs w:val="16"/>
          <w:lang w:val="es-CO"/>
        </w:rPr>
      </w:pPr>
      <w:r w:rsidRPr="00F94050">
        <w:rPr>
          <w:rStyle w:val="FootnoteReference"/>
          <w:rFonts w:asciiTheme="majorHAnsi" w:hAnsiTheme="majorHAnsi"/>
          <w:sz w:val="16"/>
          <w:szCs w:val="16"/>
        </w:rPr>
        <w:footnoteRef/>
      </w:r>
      <w:r w:rsidRPr="00F94050">
        <w:rPr>
          <w:rFonts w:asciiTheme="majorHAnsi" w:hAnsiTheme="majorHAnsi"/>
          <w:sz w:val="16"/>
          <w:szCs w:val="16"/>
          <w:lang w:val="es-CO"/>
        </w:rPr>
        <w:t xml:space="preserve"> “Institucionalidad democrática, Estado de derecho y derechos humanos en Venezuela”, </w:t>
      </w:r>
      <w:r>
        <w:rPr>
          <w:rFonts w:asciiTheme="majorHAnsi" w:hAnsiTheme="majorHAnsi"/>
          <w:sz w:val="16"/>
          <w:szCs w:val="16"/>
          <w:lang w:val="es-CO"/>
        </w:rPr>
        <w:t>p</w:t>
      </w:r>
      <w:r w:rsidRPr="00F94050">
        <w:rPr>
          <w:rFonts w:asciiTheme="majorHAnsi" w:hAnsiTheme="majorHAnsi"/>
          <w:sz w:val="16"/>
          <w:szCs w:val="16"/>
          <w:lang w:val="es-CO"/>
        </w:rPr>
        <w:t>áginas 45 y siguientes.</w:t>
      </w:r>
    </w:p>
  </w:footnote>
  <w:footnote w:id="23">
    <w:p w14:paraId="676A2FA3" w14:textId="77777777" w:rsidR="00C42D54" w:rsidRPr="00F94050" w:rsidRDefault="00C42D54" w:rsidP="00C42D54">
      <w:pPr>
        <w:pStyle w:val="FootnoteText"/>
        <w:ind w:firstLine="720"/>
        <w:rPr>
          <w:rFonts w:asciiTheme="majorHAnsi" w:hAnsiTheme="majorHAnsi"/>
          <w:sz w:val="16"/>
          <w:szCs w:val="16"/>
          <w:lang w:val="es-CO"/>
        </w:rPr>
      </w:pPr>
      <w:r w:rsidRPr="00F94050">
        <w:rPr>
          <w:rStyle w:val="FootnoteReference"/>
          <w:rFonts w:asciiTheme="majorHAnsi" w:hAnsiTheme="majorHAnsi"/>
          <w:sz w:val="16"/>
          <w:szCs w:val="16"/>
        </w:rPr>
        <w:footnoteRef/>
      </w:r>
      <w:r w:rsidRPr="00E437E0">
        <w:rPr>
          <w:rFonts w:asciiTheme="majorHAnsi" w:hAnsiTheme="majorHAnsi"/>
          <w:sz w:val="16"/>
          <w:szCs w:val="16"/>
          <w:lang w:val="es-CO"/>
        </w:rPr>
        <w:t xml:space="preserve"> </w:t>
      </w:r>
      <w:r w:rsidRPr="00F94050">
        <w:rPr>
          <w:rFonts w:asciiTheme="majorHAnsi" w:hAnsiTheme="majorHAnsi"/>
          <w:sz w:val="16"/>
          <w:szCs w:val="16"/>
          <w:lang w:val="es-CO"/>
        </w:rPr>
        <w:t>Parte III, párrafos 180 a 339.</w:t>
      </w:r>
    </w:p>
  </w:footnote>
  <w:footnote w:id="24">
    <w:p w14:paraId="33A82E4F" w14:textId="6F169594" w:rsidR="00C42D54" w:rsidRPr="00C42D54" w:rsidRDefault="00C42D54">
      <w:pPr>
        <w:pStyle w:val="FootnoteText"/>
        <w:rPr>
          <w:lang w:val="es-ES"/>
        </w:rPr>
      </w:pPr>
      <w:r>
        <w:rPr>
          <w:rStyle w:val="FootnoteReference"/>
        </w:rPr>
        <w:footnoteRef/>
      </w:r>
      <w:r>
        <w:rPr>
          <w:lang w:val="es-ES"/>
        </w:rPr>
        <w:t xml:space="preserve"> </w:t>
      </w:r>
      <w:r w:rsidR="005F0156" w:rsidRPr="006132CC">
        <w:rPr>
          <w:rFonts w:ascii="Cambria" w:hAnsi="Cambria"/>
          <w:sz w:val="16"/>
          <w:szCs w:val="16"/>
          <w:lang w:val="es-ES_tradnl"/>
        </w:rPr>
        <w:t xml:space="preserve">CIDH, Informe No. </w:t>
      </w:r>
      <w:r w:rsidR="005F0156">
        <w:rPr>
          <w:rFonts w:ascii="Cambria" w:hAnsi="Cambria"/>
          <w:sz w:val="16"/>
          <w:szCs w:val="16"/>
          <w:lang w:val="es-ES_tradnl"/>
        </w:rPr>
        <w:t>8/21,</w:t>
      </w:r>
      <w:r w:rsidR="005F0156" w:rsidRPr="00F94050">
        <w:rPr>
          <w:rFonts w:asciiTheme="majorHAnsi" w:hAnsiTheme="majorHAnsi"/>
          <w:sz w:val="16"/>
          <w:szCs w:val="16"/>
          <w:lang w:val="es-ES_tradnl"/>
        </w:rPr>
        <w:t xml:space="preserve"> Petición </w:t>
      </w:r>
      <w:r w:rsidR="005F0156">
        <w:rPr>
          <w:rFonts w:asciiTheme="majorHAnsi" w:hAnsiTheme="majorHAnsi"/>
          <w:sz w:val="16"/>
          <w:szCs w:val="16"/>
          <w:lang w:val="es-ES_tradnl"/>
        </w:rPr>
        <w:t>992-10</w:t>
      </w:r>
      <w:r w:rsidR="005F0156" w:rsidRPr="00F94050">
        <w:rPr>
          <w:rFonts w:asciiTheme="majorHAnsi" w:hAnsiTheme="majorHAnsi"/>
          <w:sz w:val="16"/>
          <w:szCs w:val="16"/>
          <w:lang w:val="es-ES_tradnl"/>
        </w:rPr>
        <w:t xml:space="preserve">. Admisibilidad. </w:t>
      </w:r>
      <w:r w:rsidR="005F0156">
        <w:rPr>
          <w:rFonts w:asciiTheme="majorHAnsi" w:hAnsiTheme="majorHAnsi"/>
          <w:sz w:val="16"/>
          <w:szCs w:val="16"/>
          <w:lang w:val="es-ES_tradnl"/>
        </w:rPr>
        <w:t>Guillermo Zuloaga Núñez</w:t>
      </w:r>
      <w:r w:rsidR="005F0156" w:rsidRPr="00F94050">
        <w:rPr>
          <w:rFonts w:asciiTheme="majorHAnsi" w:hAnsiTheme="majorHAnsi"/>
          <w:sz w:val="16"/>
          <w:szCs w:val="16"/>
          <w:lang w:val="es-ES_tradnl"/>
        </w:rPr>
        <w:t xml:space="preserve">. </w:t>
      </w:r>
      <w:r w:rsidR="005F0156">
        <w:rPr>
          <w:rFonts w:asciiTheme="majorHAnsi" w:hAnsiTheme="majorHAnsi"/>
          <w:sz w:val="16"/>
          <w:szCs w:val="16"/>
          <w:lang w:val="es-ES_tradnl"/>
        </w:rPr>
        <w:t>Venezuela</w:t>
      </w:r>
      <w:r w:rsidR="005F0156" w:rsidRPr="00F94050">
        <w:rPr>
          <w:rFonts w:asciiTheme="majorHAnsi" w:hAnsiTheme="majorHAnsi"/>
          <w:sz w:val="16"/>
          <w:szCs w:val="16"/>
          <w:lang w:val="es-ES_tradnl"/>
        </w:rPr>
        <w:t xml:space="preserve">. </w:t>
      </w:r>
      <w:r w:rsidR="005F0156">
        <w:rPr>
          <w:rFonts w:asciiTheme="majorHAnsi" w:hAnsiTheme="majorHAnsi"/>
          <w:sz w:val="16"/>
          <w:szCs w:val="16"/>
          <w:lang w:val="es-ES_tradnl"/>
        </w:rPr>
        <w:t>10 de enero de 2021</w:t>
      </w:r>
      <w:r w:rsidR="005F0156" w:rsidRPr="00F94050">
        <w:rPr>
          <w:rFonts w:asciiTheme="majorHAnsi" w:hAnsiTheme="majorHAnsi"/>
          <w:sz w:val="16"/>
          <w:szCs w:val="16"/>
          <w:lang w:val="es-ES_tradnl"/>
        </w:rPr>
        <w:t xml:space="preserve">, párr. </w:t>
      </w:r>
      <w:r w:rsidR="005F0156">
        <w:rPr>
          <w:rFonts w:asciiTheme="majorHAnsi" w:hAnsiTheme="majorHAnsi"/>
          <w:sz w:val="16"/>
          <w:szCs w:val="16"/>
          <w:lang w:val="pt-BR"/>
        </w:rPr>
        <w:t>17</w:t>
      </w:r>
      <w:r w:rsidR="005F0156" w:rsidRPr="00E437E0">
        <w:rPr>
          <w:rFonts w:asciiTheme="majorHAnsi" w:hAnsiTheme="majorHAnsi"/>
          <w:sz w:val="16"/>
          <w:szCs w:val="16"/>
          <w:lang w:val="pt-B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664FD9" w:rsidRDefault="00664FD9" w:rsidP="003958D0">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664FD9" w:rsidRDefault="00664F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77777777" w:rsidR="00664FD9" w:rsidRDefault="00664FD9" w:rsidP="00A50FCF">
    <w:pPr>
      <w:pStyle w:val="Header"/>
      <w:tabs>
        <w:tab w:val="clear" w:pos="4320"/>
        <w:tab w:val="clear" w:pos="8640"/>
      </w:tabs>
      <w:jc w:val="center"/>
      <w:rPr>
        <w:sz w:val="22"/>
        <w:szCs w:val="22"/>
      </w:rPr>
    </w:pPr>
    <w:r>
      <w:rPr>
        <w:noProof/>
        <w:sz w:val="22"/>
        <w:szCs w:val="22"/>
        <w:lang w:eastAsia="zh-CN"/>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664FD9" w:rsidRPr="00EC7D62" w:rsidRDefault="00482204" w:rsidP="00A50FCF">
    <w:pPr>
      <w:pStyle w:val="Header"/>
      <w:tabs>
        <w:tab w:val="clear" w:pos="4320"/>
        <w:tab w:val="clear" w:pos="8640"/>
      </w:tabs>
      <w:jc w:val="center"/>
      <w:rPr>
        <w:sz w:val="22"/>
        <w:szCs w:val="22"/>
      </w:rPr>
    </w:pPr>
    <w:r>
      <w:rPr>
        <w:noProof/>
        <w:sz w:val="22"/>
        <w:szCs w:val="22"/>
        <w:bdr w:val="nil"/>
      </w:rPr>
      <w:pict w14:anchorId="4367A34C">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918E622C"/>
    <w:lvl w:ilvl="0" w:tplc="CFA6A0D0">
      <w:start w:val="1"/>
      <w:numFmt w:val="decimal"/>
      <w:lvlText w:val="%1."/>
      <w:lvlJc w:val="left"/>
      <w:pPr>
        <w:tabs>
          <w:tab w:val="num" w:pos="720"/>
        </w:tabs>
        <w:ind w:left="0" w:firstLine="720"/>
      </w:pPr>
      <w:rPr>
        <w:rFonts w:hint="default"/>
        <w:color w:val="auto"/>
        <w:lang w:val="es-AR"/>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3124E0"/>
    <w:multiLevelType w:val="hybridMultilevel"/>
    <w:tmpl w:val="A7EEDFDA"/>
    <w:lvl w:ilvl="0" w:tplc="68BA0642">
      <w:start w:val="36"/>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5B8E2F20"/>
    <w:multiLevelType w:val="hybridMultilevel"/>
    <w:tmpl w:val="FC7E1C3C"/>
    <w:lvl w:ilvl="0" w:tplc="7408BB28">
      <w:start w:val="1"/>
      <w:numFmt w:val="decimal"/>
      <w:lvlText w:val="%1."/>
      <w:lvlJc w:val="left"/>
      <w:pPr>
        <w:tabs>
          <w:tab w:val="num" w:pos="1440"/>
        </w:tabs>
        <w:ind w:firstLine="720"/>
      </w:pPr>
      <w:rPr>
        <w:rFonts w:ascii="Univers" w:hAnsi="Univers" w:hint="default"/>
        <w:b w:val="0"/>
        <w:i w:val="0"/>
        <w:color w:val="auto"/>
        <w:sz w:val="20"/>
        <w:szCs w:val="20"/>
      </w:rPr>
    </w:lvl>
    <w:lvl w:ilvl="1" w:tplc="E2E62584">
      <w:start w:val="3"/>
      <w:numFmt w:val="upperRoman"/>
      <w:lvlText w:val="%2."/>
      <w:lvlJc w:val="left"/>
      <w:pPr>
        <w:tabs>
          <w:tab w:val="num" w:pos="1800"/>
        </w:tabs>
        <w:ind w:left="1800" w:hanging="720"/>
      </w:pPr>
      <w:rPr>
        <w:rFonts w:hint="default"/>
        <w:b w:val="0"/>
        <w:i w:val="0"/>
        <w:color w:val="auto"/>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4"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5"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6"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7"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3"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7"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8"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5"/>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50"/>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2"/>
  </w:num>
  <w:num w:numId="8">
    <w:abstractNumId w:val="23"/>
  </w:num>
  <w:num w:numId="9">
    <w:abstractNumId w:val="53"/>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60"/>
  </w:num>
  <w:num w:numId="13">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abstractNumId w:val="57"/>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9"/>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5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9"/>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2"/>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6"/>
  </w:num>
  <w:num w:numId="53">
    <w:abstractNumId w:val="0"/>
  </w:num>
  <w:num w:numId="54">
    <w:abstractNumId w:val="41"/>
  </w:num>
  <w:num w:numId="55">
    <w:abstractNumId w:val="42"/>
  </w:num>
  <w:num w:numId="56">
    <w:abstractNumId w:val="48"/>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4"/>
  </w:num>
  <w:num w:numId="77">
    <w:abstractNumId w:val="35"/>
  </w:num>
  <w:num w:numId="78">
    <w:abstractNumId w:val="36"/>
  </w:num>
  <w:num w:numId="79">
    <w:abstractNumId w:val="37"/>
  </w:num>
  <w:num w:numId="80">
    <w:abstractNumId w:val="38"/>
  </w:num>
  <w:num w:numId="81">
    <w:abstractNumId w:val="39"/>
  </w:num>
  <w:num w:numId="82">
    <w:abstractNumId w:val="43"/>
  </w:num>
  <w:num w:numId="83">
    <w:abstractNumId w:val="44"/>
  </w:num>
  <w:num w:numId="84">
    <w:abstractNumId w:val="51"/>
  </w:num>
  <w:num w:numId="85">
    <w:abstractNumId w:val="54"/>
  </w:num>
  <w:num w:numId="86">
    <w:abstractNumId w:val="57"/>
  </w:num>
  <w:num w:numId="87">
    <w:abstractNumId w:val="59"/>
  </w:num>
  <w:num w:numId="88">
    <w:abstractNumId w:val="61"/>
  </w:num>
  <w:num w:numId="89">
    <w:abstractNumId w:val="63"/>
  </w:num>
  <w:num w:numId="90">
    <w:abstractNumId w:val="64"/>
  </w:num>
  <w:num w:numId="91">
    <w:abstractNumId w:val="65"/>
  </w:num>
  <w:num w:numId="92">
    <w:abstractNumId w:val="66"/>
  </w:num>
  <w:num w:numId="93">
    <w:abstractNumId w:val="68"/>
  </w:num>
  <w:num w:numId="94">
    <w:abstractNumId w:val="22"/>
  </w:num>
  <w:num w:numId="95">
    <w:abstractNumId w:val="45"/>
  </w:num>
  <w:num w:numId="96">
    <w:abstractNumId w:val="58"/>
  </w:num>
  <w:num w:numId="97">
    <w:abstractNumId w:val="55"/>
  </w:num>
  <w:num w:numId="98">
    <w:abstractNumId w:val="50"/>
  </w:num>
  <w:num w:numId="99">
    <w:abstractNumId w:val="40"/>
  </w:num>
  <w:num w:numId="100">
    <w:abstractNumId w:val="3"/>
  </w:num>
  <w:num w:numId="101">
    <w:abstractNumId w:val="27"/>
  </w:num>
  <w:num w:numId="102">
    <w:abstractNumId w:val="52"/>
  </w:num>
  <w:num w:numId="103">
    <w:abstractNumId w:val="6"/>
  </w:num>
  <w:num w:numId="104">
    <w:abstractNumId w:val="67"/>
  </w:num>
  <w:num w:numId="105">
    <w:abstractNumId w:val="56"/>
  </w:num>
  <w:num w:numId="106">
    <w:abstractNumId w:val="4"/>
  </w:num>
  <w:num w:numId="107">
    <w:abstractNumId w:val="31"/>
  </w:num>
  <w:num w:numId="108">
    <w:abstractNumId w:val="14"/>
  </w:num>
  <w:num w:numId="109">
    <w:abstractNumId w:val="47"/>
  </w:num>
  <w:num w:numId="110">
    <w:abstractNumId w:val="49"/>
  </w:num>
  <w:num w:numId="111">
    <w:abstractNumId w:val="33"/>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4767"/>
    <w:rsid w:val="00006E1F"/>
    <w:rsid w:val="000070D7"/>
    <w:rsid w:val="0001788C"/>
    <w:rsid w:val="00021189"/>
    <w:rsid w:val="00023F39"/>
    <w:rsid w:val="0002463C"/>
    <w:rsid w:val="000310D6"/>
    <w:rsid w:val="000324B6"/>
    <w:rsid w:val="000326B3"/>
    <w:rsid w:val="00033445"/>
    <w:rsid w:val="000337EF"/>
    <w:rsid w:val="00040747"/>
    <w:rsid w:val="00040C3A"/>
    <w:rsid w:val="000419AD"/>
    <w:rsid w:val="00042B3E"/>
    <w:rsid w:val="00043299"/>
    <w:rsid w:val="000433C9"/>
    <w:rsid w:val="00046A0E"/>
    <w:rsid w:val="000503A3"/>
    <w:rsid w:val="00050FA6"/>
    <w:rsid w:val="0005694D"/>
    <w:rsid w:val="000572BE"/>
    <w:rsid w:val="00061DBE"/>
    <w:rsid w:val="00062AE1"/>
    <w:rsid w:val="00064385"/>
    <w:rsid w:val="000647B1"/>
    <w:rsid w:val="00065765"/>
    <w:rsid w:val="000716C5"/>
    <w:rsid w:val="000729F4"/>
    <w:rsid w:val="00073FBF"/>
    <w:rsid w:val="00075E23"/>
    <w:rsid w:val="00080CDF"/>
    <w:rsid w:val="0009344A"/>
    <w:rsid w:val="000A0FE6"/>
    <w:rsid w:val="000A29CF"/>
    <w:rsid w:val="000A392E"/>
    <w:rsid w:val="000A4798"/>
    <w:rsid w:val="000A56D5"/>
    <w:rsid w:val="000A575F"/>
    <w:rsid w:val="000A7327"/>
    <w:rsid w:val="000B3A37"/>
    <w:rsid w:val="000C6D48"/>
    <w:rsid w:val="000D02FF"/>
    <w:rsid w:val="000D05CB"/>
    <w:rsid w:val="000D10DB"/>
    <w:rsid w:val="000E4803"/>
    <w:rsid w:val="000E5EB5"/>
    <w:rsid w:val="000F35ED"/>
    <w:rsid w:val="000F378A"/>
    <w:rsid w:val="000F6164"/>
    <w:rsid w:val="0010326F"/>
    <w:rsid w:val="00103FDE"/>
    <w:rsid w:val="00107131"/>
    <w:rsid w:val="0010736F"/>
    <w:rsid w:val="0011209D"/>
    <w:rsid w:val="001130C2"/>
    <w:rsid w:val="00113F73"/>
    <w:rsid w:val="00115433"/>
    <w:rsid w:val="00116215"/>
    <w:rsid w:val="00121694"/>
    <w:rsid w:val="00121CC2"/>
    <w:rsid w:val="0012498E"/>
    <w:rsid w:val="00124A8F"/>
    <w:rsid w:val="00125365"/>
    <w:rsid w:val="0012561B"/>
    <w:rsid w:val="0012608B"/>
    <w:rsid w:val="00131968"/>
    <w:rsid w:val="001325FB"/>
    <w:rsid w:val="00133EE5"/>
    <w:rsid w:val="00147470"/>
    <w:rsid w:val="0015205E"/>
    <w:rsid w:val="001649E2"/>
    <w:rsid w:val="00167A34"/>
    <w:rsid w:val="001713A6"/>
    <w:rsid w:val="00172CFE"/>
    <w:rsid w:val="00177B34"/>
    <w:rsid w:val="00180EBD"/>
    <w:rsid w:val="00186E4C"/>
    <w:rsid w:val="001873C4"/>
    <w:rsid w:val="001925EF"/>
    <w:rsid w:val="001A20AA"/>
    <w:rsid w:val="001A22AF"/>
    <w:rsid w:val="001A7870"/>
    <w:rsid w:val="001B31AA"/>
    <w:rsid w:val="001B31AB"/>
    <w:rsid w:val="001B3A00"/>
    <w:rsid w:val="001C1B41"/>
    <w:rsid w:val="001C1C38"/>
    <w:rsid w:val="001C3C69"/>
    <w:rsid w:val="001C4900"/>
    <w:rsid w:val="001C537A"/>
    <w:rsid w:val="001C7216"/>
    <w:rsid w:val="001D1E3C"/>
    <w:rsid w:val="001D2C9C"/>
    <w:rsid w:val="001D4934"/>
    <w:rsid w:val="001D65EF"/>
    <w:rsid w:val="001E10A5"/>
    <w:rsid w:val="001E3246"/>
    <w:rsid w:val="001E49E7"/>
    <w:rsid w:val="001F2C57"/>
    <w:rsid w:val="001F33AB"/>
    <w:rsid w:val="001F5A41"/>
    <w:rsid w:val="001F67BC"/>
    <w:rsid w:val="001F7201"/>
    <w:rsid w:val="00200CB9"/>
    <w:rsid w:val="002050E5"/>
    <w:rsid w:val="002050EC"/>
    <w:rsid w:val="00205447"/>
    <w:rsid w:val="002117C5"/>
    <w:rsid w:val="0021423F"/>
    <w:rsid w:val="00223A29"/>
    <w:rsid w:val="002244CC"/>
    <w:rsid w:val="002247A1"/>
    <w:rsid w:val="002250A3"/>
    <w:rsid w:val="00225203"/>
    <w:rsid w:val="00227AE4"/>
    <w:rsid w:val="00235217"/>
    <w:rsid w:val="00243568"/>
    <w:rsid w:val="00246D1F"/>
    <w:rsid w:val="00247403"/>
    <w:rsid w:val="00247542"/>
    <w:rsid w:val="00253471"/>
    <w:rsid w:val="00255341"/>
    <w:rsid w:val="00266B61"/>
    <w:rsid w:val="00266DD7"/>
    <w:rsid w:val="0026712A"/>
    <w:rsid w:val="002704DB"/>
    <w:rsid w:val="002709E5"/>
    <w:rsid w:val="0027118F"/>
    <w:rsid w:val="00271DE9"/>
    <w:rsid w:val="00280635"/>
    <w:rsid w:val="00280BD6"/>
    <w:rsid w:val="00282EB5"/>
    <w:rsid w:val="0028701E"/>
    <w:rsid w:val="002927DF"/>
    <w:rsid w:val="00292B47"/>
    <w:rsid w:val="0029546C"/>
    <w:rsid w:val="00295DD7"/>
    <w:rsid w:val="002A0AAE"/>
    <w:rsid w:val="002A185D"/>
    <w:rsid w:val="002A2767"/>
    <w:rsid w:val="002A38EC"/>
    <w:rsid w:val="002A5820"/>
    <w:rsid w:val="002B4A4A"/>
    <w:rsid w:val="002B7F0A"/>
    <w:rsid w:val="002C0994"/>
    <w:rsid w:val="002C1D4A"/>
    <w:rsid w:val="002D0424"/>
    <w:rsid w:val="002D25A7"/>
    <w:rsid w:val="002D2B26"/>
    <w:rsid w:val="002D5A23"/>
    <w:rsid w:val="002D7EA2"/>
    <w:rsid w:val="002E187C"/>
    <w:rsid w:val="002E32AF"/>
    <w:rsid w:val="002E54B6"/>
    <w:rsid w:val="002E59A7"/>
    <w:rsid w:val="002E6106"/>
    <w:rsid w:val="003007A2"/>
    <w:rsid w:val="00302169"/>
    <w:rsid w:val="00302733"/>
    <w:rsid w:val="00302820"/>
    <w:rsid w:val="003029EC"/>
    <w:rsid w:val="00305963"/>
    <w:rsid w:val="00305D44"/>
    <w:rsid w:val="00306B53"/>
    <w:rsid w:val="0030799F"/>
    <w:rsid w:val="00314078"/>
    <w:rsid w:val="0031535D"/>
    <w:rsid w:val="003174F8"/>
    <w:rsid w:val="00317504"/>
    <w:rsid w:val="00317A05"/>
    <w:rsid w:val="003239B8"/>
    <w:rsid w:val="00327870"/>
    <w:rsid w:val="0033121E"/>
    <w:rsid w:val="0033153C"/>
    <w:rsid w:val="0033169F"/>
    <w:rsid w:val="00340A31"/>
    <w:rsid w:val="003429A1"/>
    <w:rsid w:val="00344934"/>
    <w:rsid w:val="00344977"/>
    <w:rsid w:val="00344C28"/>
    <w:rsid w:val="0034575F"/>
    <w:rsid w:val="00346BBF"/>
    <w:rsid w:val="00346C95"/>
    <w:rsid w:val="0035308A"/>
    <w:rsid w:val="00356185"/>
    <w:rsid w:val="00360380"/>
    <w:rsid w:val="00363BC7"/>
    <w:rsid w:val="00364700"/>
    <w:rsid w:val="00366281"/>
    <w:rsid w:val="00367F77"/>
    <w:rsid w:val="00372483"/>
    <w:rsid w:val="003740D5"/>
    <w:rsid w:val="00374A80"/>
    <w:rsid w:val="0037519E"/>
    <w:rsid w:val="003845F3"/>
    <w:rsid w:val="00386CF0"/>
    <w:rsid w:val="00387FCB"/>
    <w:rsid w:val="00390567"/>
    <w:rsid w:val="00391C1D"/>
    <w:rsid w:val="00393067"/>
    <w:rsid w:val="0039378D"/>
    <w:rsid w:val="003958D0"/>
    <w:rsid w:val="003970E6"/>
    <w:rsid w:val="003A34EF"/>
    <w:rsid w:val="003A369D"/>
    <w:rsid w:val="003A42B1"/>
    <w:rsid w:val="003A4DBD"/>
    <w:rsid w:val="003A57DB"/>
    <w:rsid w:val="003A70D0"/>
    <w:rsid w:val="003A71B9"/>
    <w:rsid w:val="003A7FC4"/>
    <w:rsid w:val="003B0E28"/>
    <w:rsid w:val="003B200B"/>
    <w:rsid w:val="003B2896"/>
    <w:rsid w:val="003B450E"/>
    <w:rsid w:val="003B5697"/>
    <w:rsid w:val="003B6E3C"/>
    <w:rsid w:val="003B70FB"/>
    <w:rsid w:val="003C196B"/>
    <w:rsid w:val="003C1D3E"/>
    <w:rsid w:val="003C3A4C"/>
    <w:rsid w:val="003C6372"/>
    <w:rsid w:val="003C676B"/>
    <w:rsid w:val="003C6B3A"/>
    <w:rsid w:val="003D0317"/>
    <w:rsid w:val="003D0C52"/>
    <w:rsid w:val="003D0F72"/>
    <w:rsid w:val="003D3BC2"/>
    <w:rsid w:val="003D48A1"/>
    <w:rsid w:val="003D4B6C"/>
    <w:rsid w:val="003D78AE"/>
    <w:rsid w:val="003E6CA1"/>
    <w:rsid w:val="003F015D"/>
    <w:rsid w:val="003F01E7"/>
    <w:rsid w:val="003F2427"/>
    <w:rsid w:val="003F3274"/>
    <w:rsid w:val="003F46CA"/>
    <w:rsid w:val="004011A1"/>
    <w:rsid w:val="0040366D"/>
    <w:rsid w:val="004065A8"/>
    <w:rsid w:val="00407728"/>
    <w:rsid w:val="00407B93"/>
    <w:rsid w:val="00407D4B"/>
    <w:rsid w:val="004165C2"/>
    <w:rsid w:val="00421ACE"/>
    <w:rsid w:val="00424524"/>
    <w:rsid w:val="00431743"/>
    <w:rsid w:val="00435F63"/>
    <w:rsid w:val="00436BCA"/>
    <w:rsid w:val="00441ECB"/>
    <w:rsid w:val="004439B1"/>
    <w:rsid w:val="00445193"/>
    <w:rsid w:val="004471FF"/>
    <w:rsid w:val="00447AE7"/>
    <w:rsid w:val="00454AF2"/>
    <w:rsid w:val="00456214"/>
    <w:rsid w:val="00460F59"/>
    <w:rsid w:val="00460FF0"/>
    <w:rsid w:val="00461B3E"/>
    <w:rsid w:val="00462C1B"/>
    <w:rsid w:val="00463645"/>
    <w:rsid w:val="00467B7E"/>
    <w:rsid w:val="00467F67"/>
    <w:rsid w:val="00473BB4"/>
    <w:rsid w:val="00473DEC"/>
    <w:rsid w:val="00475A9B"/>
    <w:rsid w:val="00477592"/>
    <w:rsid w:val="004816C2"/>
    <w:rsid w:val="00482204"/>
    <w:rsid w:val="00486F1C"/>
    <w:rsid w:val="0049419D"/>
    <w:rsid w:val="00494A7C"/>
    <w:rsid w:val="004976F8"/>
    <w:rsid w:val="00497F8D"/>
    <w:rsid w:val="004A1261"/>
    <w:rsid w:val="004A2BC9"/>
    <w:rsid w:val="004A317D"/>
    <w:rsid w:val="004A4DAF"/>
    <w:rsid w:val="004A6265"/>
    <w:rsid w:val="004A6A54"/>
    <w:rsid w:val="004B3F0D"/>
    <w:rsid w:val="004B4737"/>
    <w:rsid w:val="004B50D1"/>
    <w:rsid w:val="004B5578"/>
    <w:rsid w:val="004C17AD"/>
    <w:rsid w:val="004C20D2"/>
    <w:rsid w:val="004C2312"/>
    <w:rsid w:val="004C2953"/>
    <w:rsid w:val="004C366F"/>
    <w:rsid w:val="004C4B62"/>
    <w:rsid w:val="004C54C9"/>
    <w:rsid w:val="004D0B07"/>
    <w:rsid w:val="004D0E83"/>
    <w:rsid w:val="004D4ABA"/>
    <w:rsid w:val="004D6025"/>
    <w:rsid w:val="004E2649"/>
    <w:rsid w:val="004E3658"/>
    <w:rsid w:val="004E6B18"/>
    <w:rsid w:val="004E79D8"/>
    <w:rsid w:val="004F5DA6"/>
    <w:rsid w:val="004F6F26"/>
    <w:rsid w:val="004F75BC"/>
    <w:rsid w:val="00501399"/>
    <w:rsid w:val="0050448D"/>
    <w:rsid w:val="0050633D"/>
    <w:rsid w:val="00507BC4"/>
    <w:rsid w:val="005128E4"/>
    <w:rsid w:val="005133DB"/>
    <w:rsid w:val="005155BB"/>
    <w:rsid w:val="0051565F"/>
    <w:rsid w:val="005171E9"/>
    <w:rsid w:val="005219D4"/>
    <w:rsid w:val="005225AC"/>
    <w:rsid w:val="00524058"/>
    <w:rsid w:val="0052437E"/>
    <w:rsid w:val="00525560"/>
    <w:rsid w:val="00533644"/>
    <w:rsid w:val="00534917"/>
    <w:rsid w:val="00536F58"/>
    <w:rsid w:val="00544C49"/>
    <w:rsid w:val="0054598E"/>
    <w:rsid w:val="0054620A"/>
    <w:rsid w:val="00547A62"/>
    <w:rsid w:val="005516A1"/>
    <w:rsid w:val="005527B6"/>
    <w:rsid w:val="0055569E"/>
    <w:rsid w:val="0055661A"/>
    <w:rsid w:val="00556B12"/>
    <w:rsid w:val="005628DB"/>
    <w:rsid w:val="00563557"/>
    <w:rsid w:val="0056565C"/>
    <w:rsid w:val="00566295"/>
    <w:rsid w:val="005679E9"/>
    <w:rsid w:val="00571128"/>
    <w:rsid w:val="00571688"/>
    <w:rsid w:val="0057402A"/>
    <w:rsid w:val="00576040"/>
    <w:rsid w:val="005771D0"/>
    <w:rsid w:val="00583EAE"/>
    <w:rsid w:val="00584059"/>
    <w:rsid w:val="0059191A"/>
    <w:rsid w:val="005921FF"/>
    <w:rsid w:val="005954FA"/>
    <w:rsid w:val="005A102A"/>
    <w:rsid w:val="005A15EF"/>
    <w:rsid w:val="005A24ED"/>
    <w:rsid w:val="005A2C08"/>
    <w:rsid w:val="005A66C2"/>
    <w:rsid w:val="005A6D0E"/>
    <w:rsid w:val="005B004E"/>
    <w:rsid w:val="005B52B0"/>
    <w:rsid w:val="005B6367"/>
    <w:rsid w:val="005B6806"/>
    <w:rsid w:val="005B6BD2"/>
    <w:rsid w:val="005B6E3C"/>
    <w:rsid w:val="005C2949"/>
    <w:rsid w:val="005C4225"/>
    <w:rsid w:val="005C4FBD"/>
    <w:rsid w:val="005C5AB8"/>
    <w:rsid w:val="005D0114"/>
    <w:rsid w:val="005D0B54"/>
    <w:rsid w:val="005D6E08"/>
    <w:rsid w:val="005E0C7F"/>
    <w:rsid w:val="005E57E1"/>
    <w:rsid w:val="005F0156"/>
    <w:rsid w:val="005F0DAD"/>
    <w:rsid w:val="005F0F33"/>
    <w:rsid w:val="005F13A7"/>
    <w:rsid w:val="005F4886"/>
    <w:rsid w:val="005F63B6"/>
    <w:rsid w:val="00600DEB"/>
    <w:rsid w:val="00614DC8"/>
    <w:rsid w:val="0061692A"/>
    <w:rsid w:val="006205F6"/>
    <w:rsid w:val="00621137"/>
    <w:rsid w:val="0062322C"/>
    <w:rsid w:val="00623AAF"/>
    <w:rsid w:val="00624646"/>
    <w:rsid w:val="00624726"/>
    <w:rsid w:val="00625BFB"/>
    <w:rsid w:val="00626F50"/>
    <w:rsid w:val="00627C9F"/>
    <w:rsid w:val="006311E9"/>
    <w:rsid w:val="00632354"/>
    <w:rsid w:val="00632F50"/>
    <w:rsid w:val="006334B7"/>
    <w:rsid w:val="00633B93"/>
    <w:rsid w:val="0063503A"/>
    <w:rsid w:val="00637CAB"/>
    <w:rsid w:val="00637EDB"/>
    <w:rsid w:val="00641CBE"/>
    <w:rsid w:val="00642810"/>
    <w:rsid w:val="00642A75"/>
    <w:rsid w:val="006445B3"/>
    <w:rsid w:val="00652333"/>
    <w:rsid w:val="00652706"/>
    <w:rsid w:val="0065376D"/>
    <w:rsid w:val="00656A52"/>
    <w:rsid w:val="00664FD9"/>
    <w:rsid w:val="006679C3"/>
    <w:rsid w:val="00670741"/>
    <w:rsid w:val="006719CC"/>
    <w:rsid w:val="00671D07"/>
    <w:rsid w:val="006731F5"/>
    <w:rsid w:val="0067591B"/>
    <w:rsid w:val="006765E9"/>
    <w:rsid w:val="0068009E"/>
    <w:rsid w:val="00680391"/>
    <w:rsid w:val="00683C1C"/>
    <w:rsid w:val="006870BE"/>
    <w:rsid w:val="00687FD7"/>
    <w:rsid w:val="0069176F"/>
    <w:rsid w:val="00692219"/>
    <w:rsid w:val="006A0D73"/>
    <w:rsid w:val="006A17D2"/>
    <w:rsid w:val="006A32CB"/>
    <w:rsid w:val="006A73E6"/>
    <w:rsid w:val="006B2D5C"/>
    <w:rsid w:val="006B6F99"/>
    <w:rsid w:val="006B7617"/>
    <w:rsid w:val="006C44F3"/>
    <w:rsid w:val="006C4C0D"/>
    <w:rsid w:val="006C4EB1"/>
    <w:rsid w:val="006C575B"/>
    <w:rsid w:val="006C7262"/>
    <w:rsid w:val="006D089B"/>
    <w:rsid w:val="006D0A16"/>
    <w:rsid w:val="006D30D0"/>
    <w:rsid w:val="006D4121"/>
    <w:rsid w:val="006E0166"/>
    <w:rsid w:val="006E0413"/>
    <w:rsid w:val="006E2FFB"/>
    <w:rsid w:val="006E4422"/>
    <w:rsid w:val="006E701C"/>
    <w:rsid w:val="006E7B34"/>
    <w:rsid w:val="006F31AE"/>
    <w:rsid w:val="006F3D40"/>
    <w:rsid w:val="006F578E"/>
    <w:rsid w:val="00700299"/>
    <w:rsid w:val="007003FC"/>
    <w:rsid w:val="00700B57"/>
    <w:rsid w:val="007029FD"/>
    <w:rsid w:val="0070697F"/>
    <w:rsid w:val="00707142"/>
    <w:rsid w:val="00714E63"/>
    <w:rsid w:val="00714E68"/>
    <w:rsid w:val="00720C62"/>
    <w:rsid w:val="0072199C"/>
    <w:rsid w:val="00722C9F"/>
    <w:rsid w:val="007253B8"/>
    <w:rsid w:val="00725CB4"/>
    <w:rsid w:val="007348EC"/>
    <w:rsid w:val="0073741F"/>
    <w:rsid w:val="00737EBE"/>
    <w:rsid w:val="00740A7A"/>
    <w:rsid w:val="007445F2"/>
    <w:rsid w:val="007472A1"/>
    <w:rsid w:val="00750900"/>
    <w:rsid w:val="0075352B"/>
    <w:rsid w:val="007558F6"/>
    <w:rsid w:val="00756F70"/>
    <w:rsid w:val="00760E32"/>
    <w:rsid w:val="0076643F"/>
    <w:rsid w:val="00767AC2"/>
    <w:rsid w:val="0077038A"/>
    <w:rsid w:val="00770F4E"/>
    <w:rsid w:val="00773EAD"/>
    <w:rsid w:val="00777F63"/>
    <w:rsid w:val="007803DF"/>
    <w:rsid w:val="007846C7"/>
    <w:rsid w:val="00790A8C"/>
    <w:rsid w:val="00792A50"/>
    <w:rsid w:val="0079370A"/>
    <w:rsid w:val="007965F9"/>
    <w:rsid w:val="007A0C58"/>
    <w:rsid w:val="007A0CDC"/>
    <w:rsid w:val="007A5817"/>
    <w:rsid w:val="007A64EF"/>
    <w:rsid w:val="007B05C4"/>
    <w:rsid w:val="007B60E9"/>
    <w:rsid w:val="007B6CC3"/>
    <w:rsid w:val="007B76D3"/>
    <w:rsid w:val="007C0428"/>
    <w:rsid w:val="007C143B"/>
    <w:rsid w:val="007C3334"/>
    <w:rsid w:val="007C5660"/>
    <w:rsid w:val="007C590C"/>
    <w:rsid w:val="007D072E"/>
    <w:rsid w:val="007D1662"/>
    <w:rsid w:val="007D2007"/>
    <w:rsid w:val="007D2B98"/>
    <w:rsid w:val="007D43B6"/>
    <w:rsid w:val="007D57AB"/>
    <w:rsid w:val="007D57FB"/>
    <w:rsid w:val="007D5E9E"/>
    <w:rsid w:val="007E1AE3"/>
    <w:rsid w:val="007E21BC"/>
    <w:rsid w:val="007E7C82"/>
    <w:rsid w:val="007F1023"/>
    <w:rsid w:val="007F1467"/>
    <w:rsid w:val="007F588D"/>
    <w:rsid w:val="007F7826"/>
    <w:rsid w:val="00801D01"/>
    <w:rsid w:val="00802A1D"/>
    <w:rsid w:val="00803F1C"/>
    <w:rsid w:val="00804143"/>
    <w:rsid w:val="0080600E"/>
    <w:rsid w:val="00817612"/>
    <w:rsid w:val="00821B3D"/>
    <w:rsid w:val="008225FC"/>
    <w:rsid w:val="00824764"/>
    <w:rsid w:val="00824BA5"/>
    <w:rsid w:val="0083218A"/>
    <w:rsid w:val="008338A4"/>
    <w:rsid w:val="00834D49"/>
    <w:rsid w:val="008350CE"/>
    <w:rsid w:val="00836017"/>
    <w:rsid w:val="00836E07"/>
    <w:rsid w:val="00836EEF"/>
    <w:rsid w:val="00837C45"/>
    <w:rsid w:val="00841892"/>
    <w:rsid w:val="00842108"/>
    <w:rsid w:val="00844730"/>
    <w:rsid w:val="008457C2"/>
    <w:rsid w:val="0085053E"/>
    <w:rsid w:val="00850ECA"/>
    <w:rsid w:val="0085118C"/>
    <w:rsid w:val="00851F80"/>
    <w:rsid w:val="0085655A"/>
    <w:rsid w:val="00857A82"/>
    <w:rsid w:val="0086105A"/>
    <w:rsid w:val="00861CAA"/>
    <w:rsid w:val="00863E08"/>
    <w:rsid w:val="00867C8F"/>
    <w:rsid w:val="00873836"/>
    <w:rsid w:val="008760F5"/>
    <w:rsid w:val="00876126"/>
    <w:rsid w:val="00880D34"/>
    <w:rsid w:val="00881AC5"/>
    <w:rsid w:val="00883D74"/>
    <w:rsid w:val="0088440A"/>
    <w:rsid w:val="00885737"/>
    <w:rsid w:val="00890650"/>
    <w:rsid w:val="008923DE"/>
    <w:rsid w:val="00894FB0"/>
    <w:rsid w:val="00897E12"/>
    <w:rsid w:val="008A0A76"/>
    <w:rsid w:val="008A5BAE"/>
    <w:rsid w:val="008A7E0F"/>
    <w:rsid w:val="008B12F5"/>
    <w:rsid w:val="008B2D17"/>
    <w:rsid w:val="008B3BE8"/>
    <w:rsid w:val="008B4289"/>
    <w:rsid w:val="008B470E"/>
    <w:rsid w:val="008C15B3"/>
    <w:rsid w:val="008C2D53"/>
    <w:rsid w:val="008C35D4"/>
    <w:rsid w:val="008C709E"/>
    <w:rsid w:val="008D033B"/>
    <w:rsid w:val="008D5126"/>
    <w:rsid w:val="008D768D"/>
    <w:rsid w:val="008E0FAC"/>
    <w:rsid w:val="008E3759"/>
    <w:rsid w:val="008E3BFE"/>
    <w:rsid w:val="008E3CC8"/>
    <w:rsid w:val="008E6089"/>
    <w:rsid w:val="008E6AEA"/>
    <w:rsid w:val="008F1912"/>
    <w:rsid w:val="008F1CD4"/>
    <w:rsid w:val="008F2AFB"/>
    <w:rsid w:val="008F56E9"/>
    <w:rsid w:val="0090270B"/>
    <w:rsid w:val="009041DC"/>
    <w:rsid w:val="00904F31"/>
    <w:rsid w:val="00906241"/>
    <w:rsid w:val="009143CA"/>
    <w:rsid w:val="00917B5A"/>
    <w:rsid w:val="00920A58"/>
    <w:rsid w:val="00920A8C"/>
    <w:rsid w:val="00920C88"/>
    <w:rsid w:val="0092397B"/>
    <w:rsid w:val="00924695"/>
    <w:rsid w:val="00924CCC"/>
    <w:rsid w:val="009268C8"/>
    <w:rsid w:val="00926E3D"/>
    <w:rsid w:val="00932D54"/>
    <w:rsid w:val="00934A2C"/>
    <w:rsid w:val="00941A8A"/>
    <w:rsid w:val="00943560"/>
    <w:rsid w:val="0094377C"/>
    <w:rsid w:val="00944D5E"/>
    <w:rsid w:val="00946DD4"/>
    <w:rsid w:val="00961893"/>
    <w:rsid w:val="00961934"/>
    <w:rsid w:val="00963488"/>
    <w:rsid w:val="0096706E"/>
    <w:rsid w:val="009712EA"/>
    <w:rsid w:val="00974491"/>
    <w:rsid w:val="00975C4E"/>
    <w:rsid w:val="00976CF5"/>
    <w:rsid w:val="009774AD"/>
    <w:rsid w:val="00981FBA"/>
    <w:rsid w:val="0098741B"/>
    <w:rsid w:val="00987DCB"/>
    <w:rsid w:val="00991E54"/>
    <w:rsid w:val="00992FFB"/>
    <w:rsid w:val="00993CAC"/>
    <w:rsid w:val="00995D07"/>
    <w:rsid w:val="009960EE"/>
    <w:rsid w:val="00997BC5"/>
    <w:rsid w:val="009A1117"/>
    <w:rsid w:val="009A4F41"/>
    <w:rsid w:val="009B3169"/>
    <w:rsid w:val="009B381B"/>
    <w:rsid w:val="009B3FBF"/>
    <w:rsid w:val="009B46C2"/>
    <w:rsid w:val="009B5E42"/>
    <w:rsid w:val="009B6543"/>
    <w:rsid w:val="009C08AD"/>
    <w:rsid w:val="009C6C01"/>
    <w:rsid w:val="009D1753"/>
    <w:rsid w:val="009D2244"/>
    <w:rsid w:val="009D4605"/>
    <w:rsid w:val="009D6CF2"/>
    <w:rsid w:val="009D7611"/>
    <w:rsid w:val="009D7731"/>
    <w:rsid w:val="009D7E23"/>
    <w:rsid w:val="009E0B61"/>
    <w:rsid w:val="009E162E"/>
    <w:rsid w:val="009E2A4B"/>
    <w:rsid w:val="009E2D6D"/>
    <w:rsid w:val="009E4060"/>
    <w:rsid w:val="009E4AF4"/>
    <w:rsid w:val="009E53DE"/>
    <w:rsid w:val="009E70A3"/>
    <w:rsid w:val="00A0269E"/>
    <w:rsid w:val="00A05D1C"/>
    <w:rsid w:val="00A10831"/>
    <w:rsid w:val="00A11212"/>
    <w:rsid w:val="00A11981"/>
    <w:rsid w:val="00A11E44"/>
    <w:rsid w:val="00A1531D"/>
    <w:rsid w:val="00A16E1E"/>
    <w:rsid w:val="00A174C8"/>
    <w:rsid w:val="00A22E6F"/>
    <w:rsid w:val="00A2362F"/>
    <w:rsid w:val="00A276B4"/>
    <w:rsid w:val="00A30672"/>
    <w:rsid w:val="00A31213"/>
    <w:rsid w:val="00A32521"/>
    <w:rsid w:val="00A328B3"/>
    <w:rsid w:val="00A32F79"/>
    <w:rsid w:val="00A3498E"/>
    <w:rsid w:val="00A41173"/>
    <w:rsid w:val="00A41397"/>
    <w:rsid w:val="00A41E58"/>
    <w:rsid w:val="00A4442E"/>
    <w:rsid w:val="00A47126"/>
    <w:rsid w:val="00A472BF"/>
    <w:rsid w:val="00A503AF"/>
    <w:rsid w:val="00A50B9C"/>
    <w:rsid w:val="00A50FCF"/>
    <w:rsid w:val="00A528D1"/>
    <w:rsid w:val="00A52D19"/>
    <w:rsid w:val="00A5456B"/>
    <w:rsid w:val="00A560F3"/>
    <w:rsid w:val="00A57CAC"/>
    <w:rsid w:val="00A60ADC"/>
    <w:rsid w:val="00A610CD"/>
    <w:rsid w:val="00A614A3"/>
    <w:rsid w:val="00A6373B"/>
    <w:rsid w:val="00A64A73"/>
    <w:rsid w:val="00A65989"/>
    <w:rsid w:val="00A66549"/>
    <w:rsid w:val="00A67E8B"/>
    <w:rsid w:val="00A714C1"/>
    <w:rsid w:val="00A747F7"/>
    <w:rsid w:val="00A758AA"/>
    <w:rsid w:val="00A76AE3"/>
    <w:rsid w:val="00A7777D"/>
    <w:rsid w:val="00AA09A2"/>
    <w:rsid w:val="00AA0A9E"/>
    <w:rsid w:val="00AA31AB"/>
    <w:rsid w:val="00AA434A"/>
    <w:rsid w:val="00AA5C10"/>
    <w:rsid w:val="00AA7996"/>
    <w:rsid w:val="00AB3AD8"/>
    <w:rsid w:val="00AC19CB"/>
    <w:rsid w:val="00AC50C9"/>
    <w:rsid w:val="00AD0FB0"/>
    <w:rsid w:val="00AD482D"/>
    <w:rsid w:val="00AE08C3"/>
    <w:rsid w:val="00AE5488"/>
    <w:rsid w:val="00AE6CD8"/>
    <w:rsid w:val="00AE6F91"/>
    <w:rsid w:val="00AF1C7A"/>
    <w:rsid w:val="00AF1F4A"/>
    <w:rsid w:val="00AF2C78"/>
    <w:rsid w:val="00AF3883"/>
    <w:rsid w:val="00AF5571"/>
    <w:rsid w:val="00B0299F"/>
    <w:rsid w:val="00B07341"/>
    <w:rsid w:val="00B23B40"/>
    <w:rsid w:val="00B23FD7"/>
    <w:rsid w:val="00B247F6"/>
    <w:rsid w:val="00B24CA0"/>
    <w:rsid w:val="00B250E7"/>
    <w:rsid w:val="00B30539"/>
    <w:rsid w:val="00B314DB"/>
    <w:rsid w:val="00B347B5"/>
    <w:rsid w:val="00B351BF"/>
    <w:rsid w:val="00B361F2"/>
    <w:rsid w:val="00B3718B"/>
    <w:rsid w:val="00B3745F"/>
    <w:rsid w:val="00B40D0D"/>
    <w:rsid w:val="00B42648"/>
    <w:rsid w:val="00B4267A"/>
    <w:rsid w:val="00B42B64"/>
    <w:rsid w:val="00B43C12"/>
    <w:rsid w:val="00B43C44"/>
    <w:rsid w:val="00B45798"/>
    <w:rsid w:val="00B4632A"/>
    <w:rsid w:val="00B47342"/>
    <w:rsid w:val="00B51EFF"/>
    <w:rsid w:val="00B521A9"/>
    <w:rsid w:val="00B530F1"/>
    <w:rsid w:val="00B61558"/>
    <w:rsid w:val="00B655FC"/>
    <w:rsid w:val="00B657E2"/>
    <w:rsid w:val="00B6708B"/>
    <w:rsid w:val="00B676B4"/>
    <w:rsid w:val="00B704E5"/>
    <w:rsid w:val="00B71774"/>
    <w:rsid w:val="00B76F6B"/>
    <w:rsid w:val="00B827F0"/>
    <w:rsid w:val="00B83428"/>
    <w:rsid w:val="00B84837"/>
    <w:rsid w:val="00B936B7"/>
    <w:rsid w:val="00B94A7A"/>
    <w:rsid w:val="00B96118"/>
    <w:rsid w:val="00BA276C"/>
    <w:rsid w:val="00BA7DBC"/>
    <w:rsid w:val="00BB306F"/>
    <w:rsid w:val="00BB3DFC"/>
    <w:rsid w:val="00BB6745"/>
    <w:rsid w:val="00BC11F4"/>
    <w:rsid w:val="00BC28EC"/>
    <w:rsid w:val="00BC3CAC"/>
    <w:rsid w:val="00BD2BA9"/>
    <w:rsid w:val="00BD3DF0"/>
    <w:rsid w:val="00BD4B89"/>
    <w:rsid w:val="00BD5922"/>
    <w:rsid w:val="00BD755C"/>
    <w:rsid w:val="00BE2FCD"/>
    <w:rsid w:val="00BF02CB"/>
    <w:rsid w:val="00BF6FD8"/>
    <w:rsid w:val="00C02083"/>
    <w:rsid w:val="00C02CEF"/>
    <w:rsid w:val="00C03680"/>
    <w:rsid w:val="00C04188"/>
    <w:rsid w:val="00C054DF"/>
    <w:rsid w:val="00C12A37"/>
    <w:rsid w:val="00C13C4C"/>
    <w:rsid w:val="00C14190"/>
    <w:rsid w:val="00C1662C"/>
    <w:rsid w:val="00C21762"/>
    <w:rsid w:val="00C2181D"/>
    <w:rsid w:val="00C21FEF"/>
    <w:rsid w:val="00C24543"/>
    <w:rsid w:val="00C256A2"/>
    <w:rsid w:val="00C3736A"/>
    <w:rsid w:val="00C41F63"/>
    <w:rsid w:val="00C42D54"/>
    <w:rsid w:val="00C45D90"/>
    <w:rsid w:val="00C50E3C"/>
    <w:rsid w:val="00C51515"/>
    <w:rsid w:val="00C527A0"/>
    <w:rsid w:val="00C5660B"/>
    <w:rsid w:val="00C576CE"/>
    <w:rsid w:val="00C61E25"/>
    <w:rsid w:val="00C66B72"/>
    <w:rsid w:val="00C67B3B"/>
    <w:rsid w:val="00C7348D"/>
    <w:rsid w:val="00C7595C"/>
    <w:rsid w:val="00C77187"/>
    <w:rsid w:val="00C77DBF"/>
    <w:rsid w:val="00C77F49"/>
    <w:rsid w:val="00C8701E"/>
    <w:rsid w:val="00C87AC4"/>
    <w:rsid w:val="00C90C31"/>
    <w:rsid w:val="00C92821"/>
    <w:rsid w:val="00C928F3"/>
    <w:rsid w:val="00C9567A"/>
    <w:rsid w:val="00C960BD"/>
    <w:rsid w:val="00CA21E4"/>
    <w:rsid w:val="00CA3406"/>
    <w:rsid w:val="00CA4A81"/>
    <w:rsid w:val="00CA7698"/>
    <w:rsid w:val="00CB212D"/>
    <w:rsid w:val="00CB2660"/>
    <w:rsid w:val="00CB43FF"/>
    <w:rsid w:val="00CB4536"/>
    <w:rsid w:val="00CB7DF8"/>
    <w:rsid w:val="00CC5E90"/>
    <w:rsid w:val="00CD046C"/>
    <w:rsid w:val="00CD2D5C"/>
    <w:rsid w:val="00CE076C"/>
    <w:rsid w:val="00CE5199"/>
    <w:rsid w:val="00CE66D5"/>
    <w:rsid w:val="00CE7248"/>
    <w:rsid w:val="00CE7FE5"/>
    <w:rsid w:val="00CF637A"/>
    <w:rsid w:val="00CF6ABC"/>
    <w:rsid w:val="00D054D5"/>
    <w:rsid w:val="00D059DE"/>
    <w:rsid w:val="00D05ABD"/>
    <w:rsid w:val="00D065E0"/>
    <w:rsid w:val="00D0774E"/>
    <w:rsid w:val="00D13FCE"/>
    <w:rsid w:val="00D22294"/>
    <w:rsid w:val="00D26CA5"/>
    <w:rsid w:val="00D306D1"/>
    <w:rsid w:val="00D30800"/>
    <w:rsid w:val="00D34786"/>
    <w:rsid w:val="00D370CF"/>
    <w:rsid w:val="00D37BFC"/>
    <w:rsid w:val="00D4217A"/>
    <w:rsid w:val="00D43075"/>
    <w:rsid w:val="00D46F3A"/>
    <w:rsid w:val="00D4790A"/>
    <w:rsid w:val="00D47965"/>
    <w:rsid w:val="00D47A8E"/>
    <w:rsid w:val="00D52264"/>
    <w:rsid w:val="00D52732"/>
    <w:rsid w:val="00D52D14"/>
    <w:rsid w:val="00D537D8"/>
    <w:rsid w:val="00D5581D"/>
    <w:rsid w:val="00D577AD"/>
    <w:rsid w:val="00D5790D"/>
    <w:rsid w:val="00D630C1"/>
    <w:rsid w:val="00D632A7"/>
    <w:rsid w:val="00D6597E"/>
    <w:rsid w:val="00D712D3"/>
    <w:rsid w:val="00D71422"/>
    <w:rsid w:val="00D72DC6"/>
    <w:rsid w:val="00D741A7"/>
    <w:rsid w:val="00D74381"/>
    <w:rsid w:val="00D7489E"/>
    <w:rsid w:val="00D7558D"/>
    <w:rsid w:val="00D81D92"/>
    <w:rsid w:val="00D840F3"/>
    <w:rsid w:val="00D84567"/>
    <w:rsid w:val="00D876F9"/>
    <w:rsid w:val="00D97772"/>
    <w:rsid w:val="00D97F1F"/>
    <w:rsid w:val="00DA2609"/>
    <w:rsid w:val="00DA411A"/>
    <w:rsid w:val="00DA4EF4"/>
    <w:rsid w:val="00DA68B8"/>
    <w:rsid w:val="00DA6C62"/>
    <w:rsid w:val="00DA7B5F"/>
    <w:rsid w:val="00DB4D08"/>
    <w:rsid w:val="00DC07FB"/>
    <w:rsid w:val="00DC11E7"/>
    <w:rsid w:val="00DC24E3"/>
    <w:rsid w:val="00DC7023"/>
    <w:rsid w:val="00DC7661"/>
    <w:rsid w:val="00DC769A"/>
    <w:rsid w:val="00DD3D86"/>
    <w:rsid w:val="00DD4AD2"/>
    <w:rsid w:val="00DD52CB"/>
    <w:rsid w:val="00DD67A8"/>
    <w:rsid w:val="00DD735B"/>
    <w:rsid w:val="00DD766C"/>
    <w:rsid w:val="00DD78C6"/>
    <w:rsid w:val="00DE50DB"/>
    <w:rsid w:val="00DF02B6"/>
    <w:rsid w:val="00DF1EC4"/>
    <w:rsid w:val="00E0340B"/>
    <w:rsid w:val="00E04A90"/>
    <w:rsid w:val="00E0501A"/>
    <w:rsid w:val="00E0551F"/>
    <w:rsid w:val="00E0616E"/>
    <w:rsid w:val="00E077F1"/>
    <w:rsid w:val="00E07FB6"/>
    <w:rsid w:val="00E16EAC"/>
    <w:rsid w:val="00E219C7"/>
    <w:rsid w:val="00E24688"/>
    <w:rsid w:val="00E30112"/>
    <w:rsid w:val="00E31EC3"/>
    <w:rsid w:val="00E338B2"/>
    <w:rsid w:val="00E33FB9"/>
    <w:rsid w:val="00E40FD9"/>
    <w:rsid w:val="00E4118C"/>
    <w:rsid w:val="00E42C71"/>
    <w:rsid w:val="00E43157"/>
    <w:rsid w:val="00E461CE"/>
    <w:rsid w:val="00E46716"/>
    <w:rsid w:val="00E508D0"/>
    <w:rsid w:val="00E532ED"/>
    <w:rsid w:val="00E53F6F"/>
    <w:rsid w:val="00E5528D"/>
    <w:rsid w:val="00E57CCE"/>
    <w:rsid w:val="00E60495"/>
    <w:rsid w:val="00E62422"/>
    <w:rsid w:val="00E63ADB"/>
    <w:rsid w:val="00E65A11"/>
    <w:rsid w:val="00E67A09"/>
    <w:rsid w:val="00E720CA"/>
    <w:rsid w:val="00E7733E"/>
    <w:rsid w:val="00E7740A"/>
    <w:rsid w:val="00E82946"/>
    <w:rsid w:val="00E83501"/>
    <w:rsid w:val="00E84EB5"/>
    <w:rsid w:val="00E85662"/>
    <w:rsid w:val="00E8789F"/>
    <w:rsid w:val="00E9146D"/>
    <w:rsid w:val="00E94DC8"/>
    <w:rsid w:val="00E97B71"/>
    <w:rsid w:val="00E97CF8"/>
    <w:rsid w:val="00EA0ED0"/>
    <w:rsid w:val="00EA1433"/>
    <w:rsid w:val="00EA1460"/>
    <w:rsid w:val="00EA1F49"/>
    <w:rsid w:val="00EA2440"/>
    <w:rsid w:val="00EA3D34"/>
    <w:rsid w:val="00EA457B"/>
    <w:rsid w:val="00EA4D57"/>
    <w:rsid w:val="00EA51F0"/>
    <w:rsid w:val="00EA7D54"/>
    <w:rsid w:val="00EB02EF"/>
    <w:rsid w:val="00EB1D2E"/>
    <w:rsid w:val="00EB454D"/>
    <w:rsid w:val="00EC7BAC"/>
    <w:rsid w:val="00ED01FB"/>
    <w:rsid w:val="00ED549D"/>
    <w:rsid w:val="00ED76BE"/>
    <w:rsid w:val="00ED79C3"/>
    <w:rsid w:val="00EE00E9"/>
    <w:rsid w:val="00EE117E"/>
    <w:rsid w:val="00EE4B13"/>
    <w:rsid w:val="00EF619B"/>
    <w:rsid w:val="00EF7E12"/>
    <w:rsid w:val="00F00B55"/>
    <w:rsid w:val="00F02AD1"/>
    <w:rsid w:val="00F13B46"/>
    <w:rsid w:val="00F1408E"/>
    <w:rsid w:val="00F21F14"/>
    <w:rsid w:val="00F253CC"/>
    <w:rsid w:val="00F317E8"/>
    <w:rsid w:val="00F32C8A"/>
    <w:rsid w:val="00F32D78"/>
    <w:rsid w:val="00F37106"/>
    <w:rsid w:val="00F465CF"/>
    <w:rsid w:val="00F46A33"/>
    <w:rsid w:val="00F519CF"/>
    <w:rsid w:val="00F52CF5"/>
    <w:rsid w:val="00F537BA"/>
    <w:rsid w:val="00F55478"/>
    <w:rsid w:val="00F55EA3"/>
    <w:rsid w:val="00F56BA5"/>
    <w:rsid w:val="00F60E22"/>
    <w:rsid w:val="00F61352"/>
    <w:rsid w:val="00F62E0E"/>
    <w:rsid w:val="00F6323E"/>
    <w:rsid w:val="00F64E32"/>
    <w:rsid w:val="00F67A01"/>
    <w:rsid w:val="00F7077C"/>
    <w:rsid w:val="00F72CCB"/>
    <w:rsid w:val="00F75DF1"/>
    <w:rsid w:val="00F81395"/>
    <w:rsid w:val="00F81BB8"/>
    <w:rsid w:val="00F834F3"/>
    <w:rsid w:val="00F84E09"/>
    <w:rsid w:val="00F86BE7"/>
    <w:rsid w:val="00F8779D"/>
    <w:rsid w:val="00F87C7E"/>
    <w:rsid w:val="00F917D1"/>
    <w:rsid w:val="00F9371A"/>
    <w:rsid w:val="00F93D71"/>
    <w:rsid w:val="00F9653B"/>
    <w:rsid w:val="00FA43F7"/>
    <w:rsid w:val="00FA4F26"/>
    <w:rsid w:val="00FA6263"/>
    <w:rsid w:val="00FB1898"/>
    <w:rsid w:val="00FB2F14"/>
    <w:rsid w:val="00FB6106"/>
    <w:rsid w:val="00FB62CF"/>
    <w:rsid w:val="00FC24C2"/>
    <w:rsid w:val="00FC35C4"/>
    <w:rsid w:val="00FC3CEC"/>
    <w:rsid w:val="00FC6FF9"/>
    <w:rsid w:val="00FD0D17"/>
    <w:rsid w:val="00FD22BB"/>
    <w:rsid w:val="00FD2C6E"/>
    <w:rsid w:val="00FD39E1"/>
    <w:rsid w:val="00FD3C3B"/>
    <w:rsid w:val="00FD3CDB"/>
    <w:rsid w:val="00FD3F91"/>
    <w:rsid w:val="00FD558F"/>
    <w:rsid w:val="00FD5B3B"/>
    <w:rsid w:val="00FD5BB5"/>
    <w:rsid w:val="00FD6475"/>
    <w:rsid w:val="00FD6B53"/>
    <w:rsid w:val="00FD7F0D"/>
    <w:rsid w:val="00FE07DD"/>
    <w:rsid w:val="00FE2412"/>
    <w:rsid w:val="00FE2540"/>
    <w:rsid w:val="00FE352D"/>
    <w:rsid w:val="00FE6088"/>
    <w:rsid w:val="00FE6B45"/>
    <w:rsid w:val="00FF0FCB"/>
    <w:rsid w:val="00FF106A"/>
    <w:rsid w:val="00FF17E3"/>
    <w:rsid w:val="00FF55F3"/>
    <w:rsid w:val="00FF5851"/>
    <w:rsid w:val="00FF69DB"/>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42"/>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310D6"/>
    <w:rPr>
      <w:i/>
      <w:iCs/>
    </w:rPr>
  </w:style>
  <w:style w:type="character" w:styleId="CommentReference">
    <w:name w:val="annotation reference"/>
    <w:basedOn w:val="DefaultParagraphFont"/>
    <w:uiPriority w:val="99"/>
    <w:semiHidden/>
    <w:unhideWhenUsed/>
    <w:rsid w:val="00BC11F4"/>
    <w:rPr>
      <w:sz w:val="16"/>
      <w:szCs w:val="16"/>
    </w:rPr>
  </w:style>
  <w:style w:type="paragraph" w:styleId="CommentText">
    <w:name w:val="annotation text"/>
    <w:basedOn w:val="Normal"/>
    <w:link w:val="CommentTextChar"/>
    <w:uiPriority w:val="99"/>
    <w:semiHidden/>
    <w:unhideWhenUsed/>
    <w:rsid w:val="00BC11F4"/>
    <w:rPr>
      <w:sz w:val="20"/>
      <w:szCs w:val="20"/>
    </w:rPr>
  </w:style>
  <w:style w:type="character" w:customStyle="1" w:styleId="CommentTextChar">
    <w:name w:val="Comment Text Char"/>
    <w:basedOn w:val="DefaultParagraphFont"/>
    <w:link w:val="CommentText"/>
    <w:uiPriority w:val="99"/>
    <w:semiHidden/>
    <w:rsid w:val="00BC11F4"/>
    <w:rPr>
      <w:lang w:val="en-US" w:eastAsia="en-US"/>
    </w:rPr>
  </w:style>
  <w:style w:type="paragraph" w:styleId="CommentSubject">
    <w:name w:val="annotation subject"/>
    <w:basedOn w:val="CommentText"/>
    <w:next w:val="CommentText"/>
    <w:link w:val="CommentSubjectChar"/>
    <w:uiPriority w:val="99"/>
    <w:semiHidden/>
    <w:unhideWhenUsed/>
    <w:rsid w:val="00BC11F4"/>
    <w:rPr>
      <w:b/>
      <w:bCs/>
    </w:rPr>
  </w:style>
  <w:style w:type="character" w:customStyle="1" w:styleId="CommentSubjectChar">
    <w:name w:val="Comment Subject Char"/>
    <w:basedOn w:val="CommentTextChar"/>
    <w:link w:val="CommentSubject"/>
    <w:uiPriority w:val="99"/>
    <w:semiHidden/>
    <w:rsid w:val="00BC11F4"/>
    <w:rPr>
      <w:b/>
      <w:bCs/>
      <w:lang w:val="en-US" w:eastAsia="en-US"/>
    </w:rPr>
  </w:style>
  <w:style w:type="character" w:styleId="FollowedHyperlink">
    <w:name w:val="FollowedHyperlink"/>
    <w:basedOn w:val="DefaultParagraphFont"/>
    <w:uiPriority w:val="99"/>
    <w:semiHidden/>
    <w:unhideWhenUsed/>
    <w:rsid w:val="0011209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692345">
      <w:bodyDiv w:val="1"/>
      <w:marLeft w:val="0"/>
      <w:marRight w:val="0"/>
      <w:marTop w:val="0"/>
      <w:marBottom w:val="0"/>
      <w:divBdr>
        <w:top w:val="none" w:sz="0" w:space="0" w:color="auto"/>
        <w:left w:val="none" w:sz="0" w:space="0" w:color="auto"/>
        <w:bottom w:val="none" w:sz="0" w:space="0" w:color="auto"/>
        <w:right w:val="none" w:sz="0" w:space="0" w:color="auto"/>
      </w:divBdr>
    </w:div>
    <w:div w:id="294606749">
      <w:bodyDiv w:val="1"/>
      <w:marLeft w:val="0"/>
      <w:marRight w:val="0"/>
      <w:marTop w:val="0"/>
      <w:marBottom w:val="0"/>
      <w:divBdr>
        <w:top w:val="none" w:sz="0" w:space="0" w:color="auto"/>
        <w:left w:val="none" w:sz="0" w:space="0" w:color="auto"/>
        <w:bottom w:val="none" w:sz="0" w:space="0" w:color="auto"/>
        <w:right w:val="none" w:sz="0" w:space="0" w:color="auto"/>
      </w:divBdr>
    </w:div>
    <w:div w:id="321354505">
      <w:bodyDiv w:val="1"/>
      <w:marLeft w:val="0"/>
      <w:marRight w:val="0"/>
      <w:marTop w:val="0"/>
      <w:marBottom w:val="0"/>
      <w:divBdr>
        <w:top w:val="none" w:sz="0" w:space="0" w:color="auto"/>
        <w:left w:val="none" w:sz="0" w:space="0" w:color="auto"/>
        <w:bottom w:val="none" w:sz="0" w:space="0" w:color="auto"/>
        <w:right w:val="none" w:sz="0" w:space="0" w:color="auto"/>
      </w:divBdr>
      <w:divsChild>
        <w:div w:id="560823946">
          <w:marLeft w:val="0"/>
          <w:marRight w:val="0"/>
          <w:marTop w:val="0"/>
          <w:marBottom w:val="0"/>
          <w:divBdr>
            <w:top w:val="none" w:sz="0" w:space="0" w:color="auto"/>
            <w:left w:val="none" w:sz="0" w:space="0" w:color="auto"/>
            <w:bottom w:val="none" w:sz="0" w:space="0" w:color="auto"/>
            <w:right w:val="none" w:sz="0" w:space="0" w:color="auto"/>
          </w:divBdr>
          <w:divsChild>
            <w:div w:id="1944651917">
              <w:marLeft w:val="0"/>
              <w:marRight w:val="0"/>
              <w:marTop w:val="0"/>
              <w:marBottom w:val="0"/>
              <w:divBdr>
                <w:top w:val="none" w:sz="0" w:space="0" w:color="auto"/>
                <w:left w:val="none" w:sz="0" w:space="0" w:color="auto"/>
                <w:bottom w:val="none" w:sz="0" w:space="0" w:color="auto"/>
                <w:right w:val="none" w:sz="0" w:space="0" w:color="auto"/>
              </w:divBdr>
              <w:divsChild>
                <w:div w:id="924071379">
                  <w:marLeft w:val="0"/>
                  <w:marRight w:val="0"/>
                  <w:marTop w:val="0"/>
                  <w:marBottom w:val="0"/>
                  <w:divBdr>
                    <w:top w:val="none" w:sz="0" w:space="0" w:color="auto"/>
                    <w:left w:val="none" w:sz="0" w:space="0" w:color="auto"/>
                    <w:bottom w:val="none" w:sz="0" w:space="0" w:color="auto"/>
                    <w:right w:val="none" w:sz="0" w:space="0" w:color="auto"/>
                  </w:divBdr>
                  <w:divsChild>
                    <w:div w:id="1029644291">
                      <w:marLeft w:val="0"/>
                      <w:marRight w:val="0"/>
                      <w:marTop w:val="0"/>
                      <w:marBottom w:val="0"/>
                      <w:divBdr>
                        <w:top w:val="none" w:sz="0" w:space="0" w:color="auto"/>
                        <w:left w:val="none" w:sz="0" w:space="0" w:color="auto"/>
                        <w:bottom w:val="none" w:sz="0" w:space="0" w:color="auto"/>
                        <w:right w:val="none" w:sz="0" w:space="0" w:color="auto"/>
                      </w:divBdr>
                      <w:divsChild>
                        <w:div w:id="1317799905">
                          <w:marLeft w:val="0"/>
                          <w:marRight w:val="0"/>
                          <w:marTop w:val="0"/>
                          <w:marBottom w:val="0"/>
                          <w:divBdr>
                            <w:top w:val="none" w:sz="0" w:space="0" w:color="auto"/>
                            <w:left w:val="none" w:sz="0" w:space="0" w:color="auto"/>
                            <w:bottom w:val="none" w:sz="0" w:space="0" w:color="auto"/>
                            <w:right w:val="none" w:sz="0" w:space="0" w:color="auto"/>
                          </w:divBdr>
                          <w:divsChild>
                            <w:div w:id="147378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983264241">
      <w:bodyDiv w:val="1"/>
      <w:marLeft w:val="0"/>
      <w:marRight w:val="0"/>
      <w:marTop w:val="0"/>
      <w:marBottom w:val="0"/>
      <w:divBdr>
        <w:top w:val="none" w:sz="0" w:space="0" w:color="auto"/>
        <w:left w:val="none" w:sz="0" w:space="0" w:color="auto"/>
        <w:bottom w:val="none" w:sz="0" w:space="0" w:color="auto"/>
        <w:right w:val="none" w:sz="0" w:space="0" w:color="auto"/>
      </w:divBdr>
    </w:div>
    <w:div w:id="21434979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interpol.int/es/Recursos/Documento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Univers">
    <w:altName w:val="Arial"/>
    <w:panose1 w:val="020B0603020202030204"/>
    <w:charset w:val="00"/>
    <w:family w:val="swiss"/>
    <w:pitch w:val="variable"/>
    <w:sig w:usb0="8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1A1454"/>
    <w:rsid w:val="00200821"/>
    <w:rsid w:val="002242CE"/>
    <w:rsid w:val="00356126"/>
    <w:rsid w:val="00365B6E"/>
    <w:rsid w:val="00394049"/>
    <w:rsid w:val="004F2DF8"/>
    <w:rsid w:val="006F168E"/>
    <w:rsid w:val="008C72A9"/>
    <w:rsid w:val="009550CE"/>
    <w:rsid w:val="009A261B"/>
    <w:rsid w:val="009A4BB9"/>
    <w:rsid w:val="00AA00D2"/>
    <w:rsid w:val="00AA4207"/>
    <w:rsid w:val="00AA5059"/>
    <w:rsid w:val="00AC15A4"/>
    <w:rsid w:val="00AC7B4B"/>
    <w:rsid w:val="00B0336C"/>
    <w:rsid w:val="00B07C3A"/>
    <w:rsid w:val="00B45EF9"/>
    <w:rsid w:val="00B62F85"/>
    <w:rsid w:val="00BD5E46"/>
    <w:rsid w:val="00C40E43"/>
    <w:rsid w:val="00C75E56"/>
    <w:rsid w:val="00CF40AD"/>
    <w:rsid w:val="00D010A2"/>
    <w:rsid w:val="00F00D2F"/>
    <w:rsid w:val="00F128DF"/>
    <w:rsid w:val="00FF48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F4682D-EAE7-48A2-BC8C-8CEF07F15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6481</Words>
  <Characters>34026</Characters>
  <Application>Microsoft Office Word</Application>
  <DocSecurity>0</DocSecurity>
  <Lines>642</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2022-02-09T18:34:00Z</dcterms:created>
  <dcterms:modified xsi:type="dcterms:W3CDTF">2022-02-09T18:34:00Z</dcterms:modified>
</cp:coreProperties>
</file>