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E2CD965">
              <v:rect id="Rectangle 1"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B055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E0418" w14:textId="27B2A5BE"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E87F21">
                              <w:rPr>
                                <w:rFonts w:ascii="Cambria" w:hAnsi="Cambria" w:cs="Arial"/>
                                <w:b/>
                                <w:bCs/>
                                <w:color w:val="0D0D0D"/>
                                <w:sz w:val="36"/>
                                <w:szCs w:val="22"/>
                                <w:lang w:val="es-ES_tradnl"/>
                              </w:rPr>
                              <w:t>23</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w:t>
                            </w:r>
                            <w:r w:rsidR="006B2F11">
                              <w:rPr>
                                <w:rFonts w:ascii="Cambria" w:hAnsi="Cambria" w:cs="Arial"/>
                                <w:b/>
                                <w:bCs/>
                                <w:color w:val="0D0D0D"/>
                                <w:sz w:val="36"/>
                                <w:szCs w:val="22"/>
                                <w:lang w:val="es-ES_tradnl"/>
                              </w:rPr>
                              <w:t>2</w:t>
                            </w:r>
                          </w:p>
                          <w:p w14:paraId="1E400F8C" w14:textId="4CF7CAD5"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sidR="00E87F21">
                              <w:rPr>
                                <w:rFonts w:ascii="Cambria" w:hAnsi="Cambria" w:cs="Arial"/>
                                <w:b/>
                                <w:color w:val="0D0D0D"/>
                                <w:sz w:val="36"/>
                                <w:szCs w:val="22"/>
                                <w:lang w:val="es-ES_tradnl"/>
                              </w:rPr>
                              <w:t>569</w:t>
                            </w:r>
                            <w:r w:rsidRPr="00333146">
                              <w:rPr>
                                <w:rFonts w:ascii="Cambria" w:hAnsi="Cambria" w:cs="Arial"/>
                                <w:b/>
                                <w:color w:val="0D0D0D"/>
                                <w:sz w:val="36"/>
                                <w:szCs w:val="22"/>
                                <w:lang w:val="es-ES_tradnl"/>
                              </w:rPr>
                              <w:t>-</w:t>
                            </w:r>
                            <w:r>
                              <w:rPr>
                                <w:rFonts w:ascii="Cambria" w:hAnsi="Cambria" w:cs="Arial"/>
                                <w:b/>
                                <w:color w:val="0D0D0D"/>
                                <w:sz w:val="36"/>
                                <w:szCs w:val="22"/>
                                <w:lang w:val="es-ES_tradnl"/>
                              </w:rPr>
                              <w:t>1</w:t>
                            </w:r>
                            <w:r w:rsidR="00E87F21">
                              <w:rPr>
                                <w:rFonts w:ascii="Cambria" w:hAnsi="Cambria" w:cs="Arial"/>
                                <w:b/>
                                <w:color w:val="0D0D0D"/>
                                <w:sz w:val="36"/>
                                <w:szCs w:val="22"/>
                                <w:lang w:val="es-ES_tradnl"/>
                              </w:rPr>
                              <w:t>2</w:t>
                            </w:r>
                            <w:r w:rsidRPr="00333146">
                              <w:rPr>
                                <w:rFonts w:ascii="Cambria" w:hAnsi="Cambria" w:cs="Arial"/>
                                <w:b/>
                                <w:color w:val="0D0D0D"/>
                                <w:sz w:val="36"/>
                                <w:szCs w:val="22"/>
                                <w:lang w:val="es-ES_tradnl"/>
                              </w:rPr>
                              <w:t xml:space="preserve"> </w:t>
                            </w:r>
                          </w:p>
                          <w:p w14:paraId="1AA12708"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bookmarkEnd w:id="0"/>
                          <w:p w14:paraId="62891DBF" w14:textId="77777777" w:rsidR="00AA71FE" w:rsidRPr="00AA71FE" w:rsidRDefault="00AA71FE" w:rsidP="00AA71FE">
                            <w:pPr>
                              <w:rPr>
                                <w:rFonts w:ascii="Cambria" w:hAnsi="Cambria" w:cs="Arial"/>
                                <w:color w:val="0D0D0D"/>
                                <w:szCs w:val="22"/>
                                <w:lang w:val="es-ES_tradnl"/>
                              </w:rPr>
                            </w:pPr>
                            <w:r w:rsidRPr="00AA71FE">
                              <w:rPr>
                                <w:rFonts w:ascii="Cambria" w:hAnsi="Cambria" w:cs="Arial"/>
                                <w:color w:val="0D0D0D"/>
                                <w:szCs w:val="22"/>
                                <w:lang w:val="es-ES_tradnl"/>
                              </w:rPr>
                              <w:t>DANIEL BENIGNO MARRERO TAGLE</w:t>
                            </w:r>
                          </w:p>
                          <w:p w14:paraId="6D9AEAC1" w14:textId="414720CC" w:rsidR="00F115A5" w:rsidRPr="00AE5488" w:rsidRDefault="00AA71FE" w:rsidP="00AA71FE">
                            <w:pPr>
                              <w:rPr>
                                <w:color w:val="0D0D0D" w:themeColor="text1" w:themeTint="F2"/>
                                <w:lang w:val="es-ES_tradnl"/>
                              </w:rPr>
                            </w:pPr>
                            <w:r w:rsidRPr="00AA71FE">
                              <w:rPr>
                                <w:rFonts w:ascii="Cambria" w:hAnsi="Cambria" w:cs="Arial"/>
                                <w:color w:val="0D0D0D"/>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78E0418" w14:textId="27B2A5BE"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E87F21">
                        <w:rPr>
                          <w:rFonts w:ascii="Cambria" w:hAnsi="Cambria" w:cs="Arial"/>
                          <w:b/>
                          <w:bCs/>
                          <w:color w:val="0D0D0D"/>
                          <w:sz w:val="36"/>
                          <w:szCs w:val="22"/>
                          <w:lang w:val="es-ES_tradnl"/>
                        </w:rPr>
                        <w:t>23</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w:t>
                      </w:r>
                      <w:r w:rsidR="006B2F11">
                        <w:rPr>
                          <w:rFonts w:ascii="Cambria" w:hAnsi="Cambria" w:cs="Arial"/>
                          <w:b/>
                          <w:bCs/>
                          <w:color w:val="0D0D0D"/>
                          <w:sz w:val="36"/>
                          <w:szCs w:val="22"/>
                          <w:lang w:val="es-ES_tradnl"/>
                        </w:rPr>
                        <w:t>2</w:t>
                      </w:r>
                    </w:p>
                    <w:p w14:paraId="1E400F8C" w14:textId="4CF7CAD5"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sidR="00E87F21">
                        <w:rPr>
                          <w:rFonts w:ascii="Cambria" w:hAnsi="Cambria" w:cs="Arial"/>
                          <w:b/>
                          <w:color w:val="0D0D0D"/>
                          <w:sz w:val="36"/>
                          <w:szCs w:val="22"/>
                          <w:lang w:val="es-ES_tradnl"/>
                        </w:rPr>
                        <w:t>569</w:t>
                      </w:r>
                      <w:r w:rsidRPr="00333146">
                        <w:rPr>
                          <w:rFonts w:ascii="Cambria" w:hAnsi="Cambria" w:cs="Arial"/>
                          <w:b/>
                          <w:color w:val="0D0D0D"/>
                          <w:sz w:val="36"/>
                          <w:szCs w:val="22"/>
                          <w:lang w:val="es-ES_tradnl"/>
                        </w:rPr>
                        <w:t>-</w:t>
                      </w:r>
                      <w:r>
                        <w:rPr>
                          <w:rFonts w:ascii="Cambria" w:hAnsi="Cambria" w:cs="Arial"/>
                          <w:b/>
                          <w:color w:val="0D0D0D"/>
                          <w:sz w:val="36"/>
                          <w:szCs w:val="22"/>
                          <w:lang w:val="es-ES_tradnl"/>
                        </w:rPr>
                        <w:t>1</w:t>
                      </w:r>
                      <w:r w:rsidR="00E87F21">
                        <w:rPr>
                          <w:rFonts w:ascii="Cambria" w:hAnsi="Cambria" w:cs="Arial"/>
                          <w:b/>
                          <w:color w:val="0D0D0D"/>
                          <w:sz w:val="36"/>
                          <w:szCs w:val="22"/>
                          <w:lang w:val="es-ES_tradnl"/>
                        </w:rPr>
                        <w:t>2</w:t>
                      </w:r>
                      <w:r w:rsidRPr="00333146">
                        <w:rPr>
                          <w:rFonts w:ascii="Cambria" w:hAnsi="Cambria" w:cs="Arial"/>
                          <w:b/>
                          <w:color w:val="0D0D0D"/>
                          <w:sz w:val="36"/>
                          <w:szCs w:val="22"/>
                          <w:lang w:val="es-ES_tradnl"/>
                        </w:rPr>
                        <w:t xml:space="preserve"> </w:t>
                      </w:r>
                    </w:p>
                    <w:p w14:paraId="1AA12708"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14:paraId="62891DBF" w14:textId="77777777" w:rsidR="00AA71FE" w:rsidRPr="00AA71FE" w:rsidRDefault="00AA71FE" w:rsidP="00AA71FE">
                      <w:pPr>
                        <w:rPr>
                          <w:rFonts w:ascii="Cambria" w:hAnsi="Cambria" w:cs="Arial"/>
                          <w:color w:val="0D0D0D"/>
                          <w:szCs w:val="22"/>
                          <w:lang w:val="es-ES_tradnl"/>
                        </w:rPr>
                      </w:pPr>
                      <w:r w:rsidRPr="00AA71FE">
                        <w:rPr>
                          <w:rFonts w:ascii="Cambria" w:hAnsi="Cambria" w:cs="Arial"/>
                          <w:color w:val="0D0D0D"/>
                          <w:szCs w:val="22"/>
                          <w:lang w:val="es-ES_tradnl"/>
                        </w:rPr>
                        <w:t>DANIEL BENIGNO MARRERO TAGLE</w:t>
                      </w:r>
                    </w:p>
                    <w:p w14:paraId="6D9AEAC1" w14:textId="414720CC" w:rsidR="00F115A5" w:rsidRPr="00AE5488" w:rsidRDefault="00AA71FE" w:rsidP="00AA71FE">
                      <w:pPr>
                        <w:rPr>
                          <w:color w:val="0D0D0D" w:themeColor="text1" w:themeTint="F2"/>
                          <w:lang w:val="es-ES_tradnl"/>
                        </w:rPr>
                      </w:pPr>
                      <w:r w:rsidRPr="00AA71FE">
                        <w:rPr>
                          <w:rFonts w:ascii="Cambria" w:hAnsi="Cambria" w:cs="Arial"/>
                          <w:color w:val="0D0D0D"/>
                          <w:szCs w:val="22"/>
                          <w:lang w:val="es-ES_tradnl"/>
                        </w:rPr>
                        <w:t>ARGENTINA</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75D5F183" w:rsidR="00F115A5" w:rsidRPr="00F87638" w:rsidRDefault="00F115A5" w:rsidP="000673D0">
                            <w:pPr>
                              <w:spacing w:line="276" w:lineRule="auto"/>
                              <w:jc w:val="right"/>
                              <w:rPr>
                                <w:rFonts w:asciiTheme="minorHAnsi" w:hAnsiTheme="minorHAnsi"/>
                                <w:color w:val="FFFFFF" w:themeColor="background1"/>
                                <w:sz w:val="22"/>
                                <w:lang w:val="es-419"/>
                              </w:rPr>
                            </w:pPr>
                            <w:r w:rsidRPr="00F87638">
                              <w:rPr>
                                <w:rFonts w:asciiTheme="minorHAnsi" w:hAnsiTheme="minorHAnsi"/>
                                <w:color w:val="FFFFFF" w:themeColor="background1"/>
                                <w:sz w:val="22"/>
                                <w:lang w:val="es-419"/>
                              </w:rPr>
                              <w:t>OEA/</w:t>
                            </w:r>
                            <w:proofErr w:type="spellStart"/>
                            <w:r w:rsidRPr="00F87638">
                              <w:rPr>
                                <w:rFonts w:asciiTheme="minorHAnsi" w:hAnsiTheme="minorHAnsi"/>
                                <w:color w:val="FFFFFF" w:themeColor="background1"/>
                                <w:sz w:val="22"/>
                                <w:lang w:val="es-419"/>
                              </w:rPr>
                              <w:t>Ser.L</w:t>
                            </w:r>
                            <w:proofErr w:type="spellEnd"/>
                            <w:r w:rsidRPr="00F87638">
                              <w:rPr>
                                <w:rFonts w:asciiTheme="minorHAnsi" w:hAnsiTheme="minorHAnsi"/>
                                <w:color w:val="FFFFFF" w:themeColor="background1"/>
                                <w:sz w:val="22"/>
                                <w:lang w:val="es-419"/>
                              </w:rPr>
                              <w:t>/V/II</w:t>
                            </w:r>
                          </w:p>
                          <w:p w14:paraId="3449BBFC" w14:textId="3FD7506F" w:rsidR="00F115A5" w:rsidRPr="00F87638" w:rsidRDefault="00F115A5" w:rsidP="000673D0">
                            <w:pPr>
                              <w:spacing w:line="276" w:lineRule="auto"/>
                              <w:jc w:val="right"/>
                              <w:rPr>
                                <w:rFonts w:asciiTheme="minorHAnsi" w:hAnsiTheme="minorHAnsi"/>
                                <w:color w:val="FFFFFF" w:themeColor="background1"/>
                                <w:sz w:val="22"/>
                                <w:lang w:val="es-419"/>
                              </w:rPr>
                            </w:pPr>
                            <w:r w:rsidRPr="00F87638">
                              <w:rPr>
                                <w:rFonts w:asciiTheme="minorHAnsi" w:hAnsiTheme="minorHAnsi"/>
                                <w:color w:val="FFFFFF" w:themeColor="background1"/>
                                <w:sz w:val="22"/>
                                <w:lang w:val="es-419"/>
                              </w:rPr>
                              <w:t xml:space="preserve">Doc. </w:t>
                            </w:r>
                            <w:r w:rsidR="00461A71">
                              <w:rPr>
                                <w:rFonts w:asciiTheme="minorHAnsi" w:hAnsiTheme="minorHAnsi"/>
                                <w:color w:val="FFFFFF" w:themeColor="background1"/>
                                <w:sz w:val="22"/>
                                <w:lang w:val="es-419"/>
                              </w:rPr>
                              <w:t>25</w:t>
                            </w:r>
                          </w:p>
                          <w:p w14:paraId="0BBD91A2" w14:textId="18279A76" w:rsidR="00F115A5" w:rsidRPr="00C25ADB" w:rsidRDefault="00461A71"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F115A5" w:rsidRPr="00C25ADB">
                              <w:rPr>
                                <w:rFonts w:asciiTheme="minorHAnsi" w:hAnsiTheme="minorHAnsi"/>
                                <w:color w:val="FFFFFF" w:themeColor="background1"/>
                                <w:sz w:val="22"/>
                                <w:lang w:val="es-PA"/>
                              </w:rPr>
                              <w:t xml:space="preserve"> 202</w:t>
                            </w:r>
                            <w:r w:rsidR="00FC509B">
                              <w:rPr>
                                <w:rFonts w:asciiTheme="minorHAnsi" w:hAnsiTheme="minorHAnsi"/>
                                <w:color w:val="FFFFFF" w:themeColor="background1"/>
                                <w:sz w:val="22"/>
                                <w:lang w:val="es-PA"/>
                              </w:rPr>
                              <w:t>2</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75D5F183" w:rsidR="00F115A5" w:rsidRPr="00F87638" w:rsidRDefault="00F115A5" w:rsidP="000673D0">
                      <w:pPr>
                        <w:spacing w:line="276" w:lineRule="auto"/>
                        <w:jc w:val="right"/>
                        <w:rPr>
                          <w:rFonts w:asciiTheme="minorHAnsi" w:hAnsiTheme="minorHAnsi"/>
                          <w:color w:val="FFFFFF" w:themeColor="background1"/>
                          <w:sz w:val="22"/>
                          <w:lang w:val="es-419"/>
                        </w:rPr>
                      </w:pPr>
                      <w:r w:rsidRPr="00F87638">
                        <w:rPr>
                          <w:rFonts w:asciiTheme="minorHAnsi" w:hAnsiTheme="minorHAnsi"/>
                          <w:color w:val="FFFFFF" w:themeColor="background1"/>
                          <w:sz w:val="22"/>
                          <w:lang w:val="es-419"/>
                        </w:rPr>
                        <w:t>OEA/</w:t>
                      </w:r>
                      <w:proofErr w:type="spellStart"/>
                      <w:r w:rsidRPr="00F87638">
                        <w:rPr>
                          <w:rFonts w:asciiTheme="minorHAnsi" w:hAnsiTheme="minorHAnsi"/>
                          <w:color w:val="FFFFFF" w:themeColor="background1"/>
                          <w:sz w:val="22"/>
                          <w:lang w:val="es-419"/>
                        </w:rPr>
                        <w:t>Ser.L</w:t>
                      </w:r>
                      <w:proofErr w:type="spellEnd"/>
                      <w:r w:rsidRPr="00F87638">
                        <w:rPr>
                          <w:rFonts w:asciiTheme="minorHAnsi" w:hAnsiTheme="minorHAnsi"/>
                          <w:color w:val="FFFFFF" w:themeColor="background1"/>
                          <w:sz w:val="22"/>
                          <w:lang w:val="es-419"/>
                        </w:rPr>
                        <w:t>/V/II</w:t>
                      </w:r>
                    </w:p>
                    <w:p w14:paraId="3449BBFC" w14:textId="3FD7506F" w:rsidR="00F115A5" w:rsidRPr="00F87638" w:rsidRDefault="00F115A5" w:rsidP="000673D0">
                      <w:pPr>
                        <w:spacing w:line="276" w:lineRule="auto"/>
                        <w:jc w:val="right"/>
                        <w:rPr>
                          <w:rFonts w:asciiTheme="minorHAnsi" w:hAnsiTheme="minorHAnsi"/>
                          <w:color w:val="FFFFFF" w:themeColor="background1"/>
                          <w:sz w:val="22"/>
                          <w:lang w:val="es-419"/>
                        </w:rPr>
                      </w:pPr>
                      <w:r w:rsidRPr="00F87638">
                        <w:rPr>
                          <w:rFonts w:asciiTheme="minorHAnsi" w:hAnsiTheme="minorHAnsi"/>
                          <w:color w:val="FFFFFF" w:themeColor="background1"/>
                          <w:sz w:val="22"/>
                          <w:lang w:val="es-419"/>
                        </w:rPr>
                        <w:t xml:space="preserve">Doc. </w:t>
                      </w:r>
                      <w:r w:rsidR="00461A71">
                        <w:rPr>
                          <w:rFonts w:asciiTheme="minorHAnsi" w:hAnsiTheme="minorHAnsi"/>
                          <w:color w:val="FFFFFF" w:themeColor="background1"/>
                          <w:sz w:val="22"/>
                          <w:lang w:val="es-419"/>
                        </w:rPr>
                        <w:t>25</w:t>
                      </w:r>
                    </w:p>
                    <w:p w14:paraId="0BBD91A2" w14:textId="18279A76" w:rsidR="00F115A5" w:rsidRPr="00C25ADB" w:rsidRDefault="00461A71"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F115A5" w:rsidRPr="00C25ADB">
                        <w:rPr>
                          <w:rFonts w:asciiTheme="minorHAnsi" w:hAnsiTheme="minorHAnsi"/>
                          <w:color w:val="FFFFFF" w:themeColor="background1"/>
                          <w:sz w:val="22"/>
                          <w:lang w:val="es-PA"/>
                        </w:rPr>
                        <w:t xml:space="preserve"> 202</w:t>
                      </w:r>
                      <w:r w:rsidR="00FC509B">
                        <w:rPr>
                          <w:rFonts w:asciiTheme="minorHAnsi" w:hAnsiTheme="minorHAnsi"/>
                          <w:color w:val="FFFFFF" w:themeColor="background1"/>
                          <w:sz w:val="22"/>
                          <w:lang w:val="es-PA"/>
                        </w:rPr>
                        <w:t>2</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1353D04E"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61A71">
                              <w:rPr>
                                <w:rFonts w:asciiTheme="majorHAnsi" w:hAnsiTheme="majorHAnsi"/>
                                <w:color w:val="0D0D0D" w:themeColor="text1" w:themeTint="F2"/>
                                <w:sz w:val="18"/>
                                <w:szCs w:val="22"/>
                                <w:lang w:val="es-ES"/>
                              </w:rPr>
                              <w:t>9</w:t>
                            </w:r>
                            <w:r w:rsidR="00F700AC">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F700AC">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700AC">
                              <w:rPr>
                                <w:rFonts w:asciiTheme="majorHAnsi" w:hAnsiTheme="majorHAnsi"/>
                                <w:color w:val="0D0D0D" w:themeColor="text1" w:themeTint="F2"/>
                                <w:sz w:val="18"/>
                                <w:szCs w:val="22"/>
                                <w:lang w:val="es-ES"/>
                              </w:rPr>
                              <w:t>2</w:t>
                            </w:r>
                            <w:r w:rsidR="00F87638">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1353D04E"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61A71">
                        <w:rPr>
                          <w:rFonts w:asciiTheme="majorHAnsi" w:hAnsiTheme="majorHAnsi"/>
                          <w:color w:val="0D0D0D" w:themeColor="text1" w:themeTint="F2"/>
                          <w:sz w:val="18"/>
                          <w:szCs w:val="22"/>
                          <w:lang w:val="es-ES"/>
                        </w:rPr>
                        <w:t>9</w:t>
                      </w:r>
                      <w:r w:rsidR="00F700AC">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F700AC">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700AC">
                        <w:rPr>
                          <w:rFonts w:asciiTheme="majorHAnsi" w:hAnsiTheme="majorHAnsi"/>
                          <w:color w:val="0D0D0D" w:themeColor="text1" w:themeTint="F2"/>
                          <w:sz w:val="18"/>
                          <w:szCs w:val="22"/>
                          <w:lang w:val="es-ES"/>
                        </w:rPr>
                        <w:t>2</w:t>
                      </w:r>
                      <w:r w:rsidR="00F87638">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FCBDA" w14:textId="223B4E0E"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0C23AF">
                              <w:rPr>
                                <w:rFonts w:ascii="Cambria" w:hAnsi="Cambria"/>
                                <w:color w:val="595959"/>
                                <w:sz w:val="18"/>
                                <w:szCs w:val="18"/>
                                <w:lang w:val="pt-BR"/>
                              </w:rPr>
                              <w:t>2</w:t>
                            </w:r>
                            <w:r w:rsidR="00461A71">
                              <w:rPr>
                                <w:rFonts w:ascii="Cambria" w:hAnsi="Cambria"/>
                                <w:color w:val="595959"/>
                                <w:sz w:val="18"/>
                                <w:szCs w:val="18"/>
                                <w:lang w:val="pt-BR"/>
                              </w:rPr>
                              <w:t>3</w:t>
                            </w:r>
                            <w:r w:rsidRPr="000C23AF">
                              <w:rPr>
                                <w:rFonts w:ascii="Cambria" w:hAnsi="Cambria"/>
                                <w:color w:val="595959"/>
                                <w:sz w:val="18"/>
                                <w:szCs w:val="18"/>
                                <w:lang w:val="pt-BR"/>
                              </w:rPr>
                              <w:t>/2</w:t>
                            </w:r>
                            <w:r w:rsidR="000C23AF" w:rsidRPr="000C23AF">
                              <w:rPr>
                                <w:rFonts w:ascii="Cambria" w:hAnsi="Cambria"/>
                                <w:color w:val="595959"/>
                                <w:sz w:val="18"/>
                                <w:szCs w:val="18"/>
                                <w:lang w:val="pt-BR"/>
                              </w:rPr>
                              <w:t>2</w:t>
                            </w:r>
                            <w:r w:rsidRPr="000C23AF">
                              <w:rPr>
                                <w:rFonts w:ascii="Cambria" w:hAnsi="Cambria"/>
                                <w:color w:val="595959"/>
                                <w:sz w:val="18"/>
                                <w:szCs w:val="18"/>
                                <w:lang w:val="pt-BR"/>
                              </w:rPr>
                              <w:t xml:space="preserve">. </w:t>
                            </w:r>
                            <w:r>
                              <w:rPr>
                                <w:rFonts w:ascii="Cambria" w:hAnsi="Cambria"/>
                                <w:color w:val="595959"/>
                                <w:sz w:val="18"/>
                                <w:szCs w:val="18"/>
                                <w:lang w:val="es-ES_tradnl"/>
                              </w:rPr>
                              <w:t>Petición</w:t>
                            </w:r>
                            <w:r w:rsidR="00C92C03">
                              <w:rPr>
                                <w:rFonts w:ascii="Cambria" w:hAnsi="Cambria"/>
                                <w:color w:val="595959"/>
                                <w:sz w:val="18"/>
                                <w:szCs w:val="18"/>
                                <w:lang w:val="es-ES"/>
                              </w:rPr>
                              <w:t xml:space="preserve"> </w:t>
                            </w:r>
                            <w:r w:rsidR="00461A71">
                              <w:rPr>
                                <w:rFonts w:ascii="Cambria" w:hAnsi="Cambria"/>
                                <w:color w:val="595959"/>
                                <w:sz w:val="18"/>
                                <w:szCs w:val="18"/>
                                <w:lang w:val="es-ES"/>
                              </w:rPr>
                              <w:t>569</w:t>
                            </w:r>
                            <w:r>
                              <w:rPr>
                                <w:rFonts w:ascii="Cambria" w:hAnsi="Cambria"/>
                                <w:color w:val="595959"/>
                                <w:sz w:val="18"/>
                                <w:szCs w:val="18"/>
                                <w:lang w:val="es-ES"/>
                              </w:rPr>
                              <w:t>-1</w:t>
                            </w:r>
                            <w:r w:rsidR="00461A71">
                              <w:rPr>
                                <w:rFonts w:ascii="Cambria" w:hAnsi="Cambria"/>
                                <w:color w:val="595959"/>
                                <w:sz w:val="18"/>
                                <w:szCs w:val="18"/>
                                <w:lang w:val="es-ES"/>
                              </w:rPr>
                              <w:t>2</w:t>
                            </w:r>
                            <w:r w:rsidRPr="00333146">
                              <w:rPr>
                                <w:rFonts w:ascii="Cambria" w:hAnsi="Cambria"/>
                                <w:color w:val="595959"/>
                                <w:sz w:val="18"/>
                                <w:szCs w:val="18"/>
                                <w:lang w:val="es-ES"/>
                              </w:rPr>
                              <w:t xml:space="preserve">. </w:t>
                            </w:r>
                            <w:r>
                              <w:rPr>
                                <w:rFonts w:ascii="Cambria" w:hAnsi="Cambria"/>
                                <w:color w:val="595959"/>
                                <w:sz w:val="18"/>
                                <w:szCs w:val="18"/>
                                <w:lang w:val="es-ES_tradnl"/>
                              </w:rPr>
                              <w:t>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r w:rsidR="00461A71">
                              <w:rPr>
                                <w:rFonts w:ascii="Cambria" w:hAnsi="Cambria" w:cs="Arial"/>
                                <w:color w:val="595959"/>
                                <w:sz w:val="18"/>
                                <w:szCs w:val="18"/>
                                <w:lang w:val="es-ES_tradnl"/>
                              </w:rPr>
                              <w:t>Daniel Benigno Marrero Tagle</w:t>
                            </w:r>
                            <w:r w:rsidRPr="00333146">
                              <w:rPr>
                                <w:rFonts w:ascii="Cambria" w:hAnsi="Cambria"/>
                                <w:color w:val="595959"/>
                                <w:sz w:val="18"/>
                                <w:szCs w:val="18"/>
                                <w:lang w:val="es-ES_tradnl"/>
                              </w:rPr>
                              <w:t xml:space="preserve">. Argentina. </w:t>
                            </w:r>
                            <w:r w:rsidR="003D63A8">
                              <w:rPr>
                                <w:rFonts w:ascii="Cambria" w:hAnsi="Cambria"/>
                                <w:color w:val="595959"/>
                                <w:sz w:val="18"/>
                                <w:szCs w:val="18"/>
                                <w:lang w:val="es-ES"/>
                              </w:rPr>
                              <w:t>9</w:t>
                            </w:r>
                            <w:r w:rsidR="000C23AF">
                              <w:rPr>
                                <w:rFonts w:ascii="Cambria" w:hAnsi="Cambria"/>
                                <w:color w:val="595959"/>
                                <w:sz w:val="18"/>
                                <w:szCs w:val="18"/>
                                <w:lang w:val="es-ES"/>
                              </w:rPr>
                              <w:t xml:space="preserve"> de marzo de 2022</w:t>
                            </w:r>
                            <w:r w:rsidRPr="00333146">
                              <w:rPr>
                                <w:rFonts w:ascii="Cambria" w:hAnsi="Cambria"/>
                                <w:color w:val="595959"/>
                                <w:sz w:val="18"/>
                                <w:szCs w:val="18"/>
                                <w:lang w:val="es-ES"/>
                              </w:rPr>
                              <w:t>.</w:t>
                            </w:r>
                          </w:p>
                          <w:p w14:paraId="0CF2B52A" w14:textId="2E0234C9" w:rsidR="00F115A5" w:rsidRPr="00566B26" w:rsidRDefault="00F115A5" w:rsidP="000673D0">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5AFCBDA" w14:textId="223B4E0E"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0C23AF">
                        <w:rPr>
                          <w:rFonts w:ascii="Cambria" w:hAnsi="Cambria"/>
                          <w:color w:val="595959"/>
                          <w:sz w:val="18"/>
                          <w:szCs w:val="18"/>
                          <w:lang w:val="pt-BR"/>
                        </w:rPr>
                        <w:t>2</w:t>
                      </w:r>
                      <w:r w:rsidR="00461A71">
                        <w:rPr>
                          <w:rFonts w:ascii="Cambria" w:hAnsi="Cambria"/>
                          <w:color w:val="595959"/>
                          <w:sz w:val="18"/>
                          <w:szCs w:val="18"/>
                          <w:lang w:val="pt-BR"/>
                        </w:rPr>
                        <w:t>3</w:t>
                      </w:r>
                      <w:r w:rsidRPr="000C23AF">
                        <w:rPr>
                          <w:rFonts w:ascii="Cambria" w:hAnsi="Cambria"/>
                          <w:color w:val="595959"/>
                          <w:sz w:val="18"/>
                          <w:szCs w:val="18"/>
                          <w:lang w:val="pt-BR"/>
                        </w:rPr>
                        <w:t>/2</w:t>
                      </w:r>
                      <w:r w:rsidR="000C23AF" w:rsidRPr="000C23AF">
                        <w:rPr>
                          <w:rFonts w:ascii="Cambria" w:hAnsi="Cambria"/>
                          <w:color w:val="595959"/>
                          <w:sz w:val="18"/>
                          <w:szCs w:val="18"/>
                          <w:lang w:val="pt-BR"/>
                        </w:rPr>
                        <w:t>2</w:t>
                      </w:r>
                      <w:r w:rsidRPr="000C23AF">
                        <w:rPr>
                          <w:rFonts w:ascii="Cambria" w:hAnsi="Cambria"/>
                          <w:color w:val="595959"/>
                          <w:sz w:val="18"/>
                          <w:szCs w:val="18"/>
                          <w:lang w:val="pt-BR"/>
                        </w:rPr>
                        <w:t xml:space="preserve">. </w:t>
                      </w:r>
                      <w:r>
                        <w:rPr>
                          <w:rFonts w:ascii="Cambria" w:hAnsi="Cambria"/>
                          <w:color w:val="595959"/>
                          <w:sz w:val="18"/>
                          <w:szCs w:val="18"/>
                          <w:lang w:val="es-ES_tradnl"/>
                        </w:rPr>
                        <w:t>Petición</w:t>
                      </w:r>
                      <w:r w:rsidR="00C92C03">
                        <w:rPr>
                          <w:rFonts w:ascii="Cambria" w:hAnsi="Cambria"/>
                          <w:color w:val="595959"/>
                          <w:sz w:val="18"/>
                          <w:szCs w:val="18"/>
                          <w:lang w:val="es-ES"/>
                        </w:rPr>
                        <w:t xml:space="preserve"> </w:t>
                      </w:r>
                      <w:r w:rsidR="00461A71">
                        <w:rPr>
                          <w:rFonts w:ascii="Cambria" w:hAnsi="Cambria"/>
                          <w:color w:val="595959"/>
                          <w:sz w:val="18"/>
                          <w:szCs w:val="18"/>
                          <w:lang w:val="es-ES"/>
                        </w:rPr>
                        <w:t>569</w:t>
                      </w:r>
                      <w:r>
                        <w:rPr>
                          <w:rFonts w:ascii="Cambria" w:hAnsi="Cambria"/>
                          <w:color w:val="595959"/>
                          <w:sz w:val="18"/>
                          <w:szCs w:val="18"/>
                          <w:lang w:val="es-ES"/>
                        </w:rPr>
                        <w:t>-1</w:t>
                      </w:r>
                      <w:r w:rsidR="00461A71">
                        <w:rPr>
                          <w:rFonts w:ascii="Cambria" w:hAnsi="Cambria"/>
                          <w:color w:val="595959"/>
                          <w:sz w:val="18"/>
                          <w:szCs w:val="18"/>
                          <w:lang w:val="es-ES"/>
                        </w:rPr>
                        <w:t>2</w:t>
                      </w:r>
                      <w:r w:rsidRPr="00333146">
                        <w:rPr>
                          <w:rFonts w:ascii="Cambria" w:hAnsi="Cambria"/>
                          <w:color w:val="595959"/>
                          <w:sz w:val="18"/>
                          <w:szCs w:val="18"/>
                          <w:lang w:val="es-ES"/>
                        </w:rPr>
                        <w:t xml:space="preserve">. </w:t>
                      </w:r>
                      <w:r>
                        <w:rPr>
                          <w:rFonts w:ascii="Cambria" w:hAnsi="Cambria"/>
                          <w:color w:val="595959"/>
                          <w:sz w:val="18"/>
                          <w:szCs w:val="18"/>
                          <w:lang w:val="es-ES_tradnl"/>
                        </w:rPr>
                        <w:t>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r w:rsidR="00461A71">
                        <w:rPr>
                          <w:rFonts w:ascii="Cambria" w:hAnsi="Cambria" w:cs="Arial"/>
                          <w:color w:val="595959"/>
                          <w:sz w:val="18"/>
                          <w:szCs w:val="18"/>
                          <w:lang w:val="es-ES_tradnl"/>
                        </w:rPr>
                        <w:t>Daniel Benigno Marrero Tagle</w:t>
                      </w:r>
                      <w:r w:rsidRPr="00333146">
                        <w:rPr>
                          <w:rFonts w:ascii="Cambria" w:hAnsi="Cambria"/>
                          <w:color w:val="595959"/>
                          <w:sz w:val="18"/>
                          <w:szCs w:val="18"/>
                          <w:lang w:val="es-ES_tradnl"/>
                        </w:rPr>
                        <w:t xml:space="preserve">. Argentina. </w:t>
                      </w:r>
                      <w:r w:rsidR="003D63A8">
                        <w:rPr>
                          <w:rFonts w:ascii="Cambria" w:hAnsi="Cambria"/>
                          <w:color w:val="595959"/>
                          <w:sz w:val="18"/>
                          <w:szCs w:val="18"/>
                          <w:lang w:val="es-ES"/>
                        </w:rPr>
                        <w:t>9</w:t>
                      </w:r>
                      <w:r w:rsidR="000C23AF">
                        <w:rPr>
                          <w:rFonts w:ascii="Cambria" w:hAnsi="Cambria"/>
                          <w:color w:val="595959"/>
                          <w:sz w:val="18"/>
                          <w:szCs w:val="18"/>
                          <w:lang w:val="es-ES"/>
                        </w:rPr>
                        <w:t xml:space="preserve"> de marzo de 2022</w:t>
                      </w:r>
                      <w:r w:rsidRPr="00333146">
                        <w:rPr>
                          <w:rFonts w:ascii="Cambria" w:hAnsi="Cambria"/>
                          <w:color w:val="595959"/>
                          <w:sz w:val="18"/>
                          <w:szCs w:val="18"/>
                          <w:lang w:val="es-ES"/>
                        </w:rPr>
                        <w:t>.</w:t>
                      </w:r>
                    </w:p>
                    <w:p w14:paraId="0CF2B52A" w14:textId="2E0234C9" w:rsidR="00F115A5" w:rsidRPr="00566B26" w:rsidRDefault="00F115A5" w:rsidP="000673D0">
                      <w:pPr>
                        <w:spacing w:line="276" w:lineRule="auto"/>
                        <w:rPr>
                          <w:rFonts w:asciiTheme="majorHAnsi" w:hAnsiTheme="majorHAnsi"/>
                          <w:color w:val="595959" w:themeColor="text1" w:themeTint="A6"/>
                          <w:sz w:val="18"/>
                          <w:szCs w:val="18"/>
                        </w:rPr>
                      </w:pP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0D915066"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39E975DD" wp14:editId="3AD2EF7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1AC60C4F" w:rsidR="000673D0" w:rsidRDefault="00693A4D"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2BF9F72E" wp14:editId="05D1457A">
                <wp:simplePos x="0" y="0"/>
                <wp:positionH relativeFrom="column">
                  <wp:posOffset>1329690</wp:posOffset>
                </wp:positionH>
                <wp:positionV relativeFrom="paragraph">
                  <wp:posOffset>593725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D661C47" w:rsidR="00F115A5" w:rsidRPr="00D72DC6" w:rsidRDefault="00693A4D" w:rsidP="000673D0">
                            <w:pPr>
                              <w:rPr>
                                <w:color w:val="FFFFFF" w:themeColor="background1"/>
                                <w14:textFill>
                                  <w14:noFill/>
                                </w14:textFill>
                              </w:rPr>
                            </w:pPr>
                            <w:r>
                              <w:rPr>
                                <w:noProof/>
                                <w:color w:val="FFFFFF" w:themeColor="background1"/>
                              </w:rPr>
                              <w:drawing>
                                <wp:inline distT="0" distB="0" distL="0" distR="0" wp14:anchorId="115799C0" wp14:editId="6A4EF90C">
                                  <wp:extent cx="1724025" cy="443458"/>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9471" cy="4448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6.7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" fillcolor="white [3201]" stroked="f" strokeweight=".5pt">
                <v:textbox>
                  <w:txbxContent>
                    <w:p w14:paraId="561CB564" w14:textId="3D661C47" w:rsidR="00F115A5" w:rsidRPr="00D72DC6" w:rsidRDefault="00693A4D" w:rsidP="000673D0">
                      <w:pPr>
                        <w:rPr>
                          <w:color w:val="FFFFFF" w:themeColor="background1"/>
                          <w14:textFill>
                            <w14:noFill/>
                          </w14:textFill>
                        </w:rPr>
                      </w:pPr>
                      <w:r>
                        <w:rPr>
                          <w:noProof/>
                          <w:color w:val="FFFFFF" w:themeColor="background1"/>
                        </w:rPr>
                        <w:drawing>
                          <wp:inline distT="0" distB="0" distL="0" distR="0" wp14:anchorId="115799C0" wp14:editId="6A4EF90C">
                            <wp:extent cx="1724025" cy="443458"/>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9471" cy="444859"/>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E85A3A"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Parte</w:t>
            </w:r>
            <w:proofErr w:type="spellEnd"/>
            <w:r w:rsidRPr="009C6CB7">
              <w:rPr>
                <w:rFonts w:asciiTheme="majorHAnsi" w:hAnsiTheme="majorHAnsi"/>
                <w:b/>
                <w:bCs/>
                <w:color w:val="FFFFFF" w:themeColor="background1"/>
                <w:sz w:val="19"/>
                <w:szCs w:val="19"/>
              </w:rPr>
              <w:t xml:space="preserve"> </w:t>
            </w:r>
            <w:proofErr w:type="spellStart"/>
            <w:r w:rsidRPr="009C6CB7">
              <w:rPr>
                <w:rFonts w:asciiTheme="majorHAnsi" w:hAnsiTheme="majorHAnsi"/>
                <w:b/>
                <w:bCs/>
                <w:color w:val="FFFFFF" w:themeColor="background1"/>
                <w:sz w:val="19"/>
                <w:szCs w:val="19"/>
              </w:rPr>
              <w:t>peticionaria</w:t>
            </w:r>
            <w:proofErr w:type="spellEnd"/>
            <w:r w:rsidRPr="009C6CB7">
              <w:rPr>
                <w:rFonts w:asciiTheme="majorHAnsi" w:hAnsiTheme="majorHAnsi"/>
                <w:b/>
                <w:bCs/>
                <w:color w:val="FFFFFF" w:themeColor="background1"/>
                <w:sz w:val="19"/>
                <w:szCs w:val="19"/>
              </w:rPr>
              <w:t>:</w:t>
            </w:r>
          </w:p>
        </w:tc>
        <w:tc>
          <w:tcPr>
            <w:tcW w:w="5760" w:type="dxa"/>
            <w:vAlign w:val="center"/>
          </w:tcPr>
          <w:p w14:paraId="5A4F615E" w14:textId="5BADB042" w:rsidR="000673D0" w:rsidRPr="002C3AE5" w:rsidRDefault="002C3AE5" w:rsidP="00B46185">
            <w:pPr>
              <w:jc w:val="both"/>
              <w:rPr>
                <w:rFonts w:asciiTheme="majorHAnsi" w:hAnsiTheme="majorHAnsi"/>
                <w:bCs/>
                <w:sz w:val="19"/>
                <w:szCs w:val="19"/>
                <w:lang w:val="pt-BR"/>
              </w:rPr>
            </w:pPr>
            <w:r w:rsidRPr="002C3AE5">
              <w:rPr>
                <w:rFonts w:ascii="Cambria" w:hAnsi="Cambria" w:cs="Arial"/>
                <w:sz w:val="20"/>
                <w:szCs w:val="20"/>
                <w:lang w:val="pt-BR"/>
              </w:rPr>
              <w:t>Eugenio M. Spota, Maria Lucrecia Lambardi</w:t>
            </w:r>
          </w:p>
        </w:tc>
      </w:tr>
      <w:tr w:rsidR="000673D0" w:rsidRPr="009C6CB7"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9C6CB7" w:rsidRDefault="00E37204" w:rsidP="00B46185">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9C6CB7">
                  <w:rPr>
                    <w:rFonts w:asciiTheme="majorHAnsi" w:hAnsiTheme="majorHAnsi"/>
                    <w:b/>
                    <w:bCs/>
                    <w:color w:val="FFFFFF" w:themeColor="background1"/>
                    <w:sz w:val="19"/>
                    <w:szCs w:val="19"/>
                  </w:rPr>
                  <w:t>Presunta víctima</w:t>
                </w:r>
              </w:sdtContent>
            </w:sdt>
            <w:r w:rsidR="000673D0" w:rsidRPr="009C6CB7">
              <w:rPr>
                <w:rFonts w:asciiTheme="majorHAnsi" w:hAnsiTheme="majorHAnsi"/>
                <w:b/>
                <w:bCs/>
                <w:color w:val="FFFFFF" w:themeColor="background1"/>
                <w:sz w:val="19"/>
                <w:szCs w:val="19"/>
              </w:rPr>
              <w:t>:</w:t>
            </w:r>
          </w:p>
        </w:tc>
        <w:tc>
          <w:tcPr>
            <w:tcW w:w="5760" w:type="dxa"/>
            <w:vAlign w:val="center"/>
          </w:tcPr>
          <w:p w14:paraId="23FE9BA4" w14:textId="2A501F04" w:rsidR="000673D0" w:rsidRPr="009C6CB7" w:rsidRDefault="004B048C" w:rsidP="00B46185">
            <w:pPr>
              <w:jc w:val="both"/>
              <w:rPr>
                <w:rFonts w:asciiTheme="majorHAnsi" w:hAnsiTheme="majorHAnsi"/>
                <w:bCs/>
                <w:sz w:val="19"/>
                <w:szCs w:val="19"/>
                <w:lang w:val="es-ES"/>
              </w:rPr>
            </w:pPr>
            <w:r w:rsidRPr="004B048C">
              <w:rPr>
                <w:rFonts w:ascii="Cambria" w:hAnsi="Cambria"/>
                <w:bCs/>
                <w:sz w:val="20"/>
                <w:szCs w:val="20"/>
                <w:lang w:val="es-ES"/>
              </w:rPr>
              <w:t>Daniel Benigno Marrero Tagle</w:t>
            </w:r>
          </w:p>
        </w:tc>
      </w:tr>
      <w:tr w:rsidR="000673D0" w:rsidRPr="009C6CB7"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 xml:space="preserve">Estado </w:t>
            </w:r>
            <w:proofErr w:type="spellStart"/>
            <w:r w:rsidRPr="009C6CB7">
              <w:rPr>
                <w:rFonts w:asciiTheme="majorHAnsi" w:hAnsiTheme="majorHAnsi"/>
                <w:b/>
                <w:bCs/>
                <w:color w:val="FFFFFF" w:themeColor="background1"/>
                <w:sz w:val="19"/>
                <w:szCs w:val="19"/>
              </w:rPr>
              <w:t>denunciado</w:t>
            </w:r>
            <w:proofErr w:type="spellEnd"/>
            <w:r w:rsidRPr="009C6CB7">
              <w:rPr>
                <w:rFonts w:asciiTheme="majorHAnsi" w:hAnsiTheme="majorHAnsi"/>
                <w:b/>
                <w:bCs/>
                <w:color w:val="FFFFFF" w:themeColor="background1"/>
                <w:sz w:val="19"/>
                <w:szCs w:val="19"/>
              </w:rPr>
              <w:t>:</w:t>
            </w:r>
          </w:p>
        </w:tc>
        <w:tc>
          <w:tcPr>
            <w:tcW w:w="5760" w:type="dxa"/>
            <w:vAlign w:val="center"/>
          </w:tcPr>
          <w:p w14:paraId="057DC689" w14:textId="77777777" w:rsidR="000673D0" w:rsidRPr="009C6CB7" w:rsidRDefault="000673D0" w:rsidP="00B46185">
            <w:pPr>
              <w:jc w:val="both"/>
              <w:rPr>
                <w:rFonts w:asciiTheme="majorHAnsi" w:hAnsiTheme="majorHAnsi"/>
                <w:bCs/>
                <w:sz w:val="19"/>
                <w:szCs w:val="19"/>
              </w:rPr>
            </w:pPr>
            <w:r w:rsidRPr="009C6CB7">
              <w:rPr>
                <w:rFonts w:asciiTheme="majorHAnsi" w:hAnsiTheme="majorHAnsi"/>
                <w:bCs/>
                <w:sz w:val="19"/>
                <w:szCs w:val="19"/>
              </w:rPr>
              <w:t>Argentina</w:t>
            </w:r>
          </w:p>
        </w:tc>
      </w:tr>
      <w:tr w:rsidR="000673D0" w:rsidRPr="00E85A3A"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 xml:space="preserve">Derechos </w:t>
            </w:r>
            <w:proofErr w:type="spellStart"/>
            <w:r w:rsidRPr="009C6CB7">
              <w:rPr>
                <w:rFonts w:asciiTheme="majorHAnsi" w:hAnsiTheme="majorHAnsi"/>
                <w:b/>
                <w:bCs/>
                <w:color w:val="FFFFFF" w:themeColor="background1"/>
                <w:sz w:val="19"/>
                <w:szCs w:val="19"/>
              </w:rPr>
              <w:t>invocados</w:t>
            </w:r>
            <w:proofErr w:type="spellEnd"/>
            <w:r w:rsidRPr="009C6CB7">
              <w:rPr>
                <w:rFonts w:asciiTheme="majorHAnsi" w:hAnsiTheme="majorHAnsi"/>
                <w:b/>
                <w:bCs/>
                <w:color w:val="FFFFFF" w:themeColor="background1"/>
                <w:sz w:val="19"/>
                <w:szCs w:val="19"/>
              </w:rPr>
              <w:t>:</w:t>
            </w:r>
          </w:p>
        </w:tc>
        <w:tc>
          <w:tcPr>
            <w:tcW w:w="5760" w:type="dxa"/>
            <w:vAlign w:val="center"/>
          </w:tcPr>
          <w:p w14:paraId="4E238173" w14:textId="7DE3C6A6" w:rsidR="000673D0" w:rsidRPr="0033347C" w:rsidRDefault="0033347C" w:rsidP="00BB79D4">
            <w:pPr>
              <w:jc w:val="both"/>
              <w:rPr>
                <w:rFonts w:asciiTheme="majorHAnsi" w:hAnsiTheme="majorHAnsi"/>
                <w:bCs/>
                <w:sz w:val="19"/>
                <w:szCs w:val="19"/>
                <w:lang w:val="es-419"/>
              </w:rPr>
            </w:pPr>
            <w:r w:rsidRPr="0033347C">
              <w:rPr>
                <w:rFonts w:asciiTheme="majorHAnsi" w:hAnsiTheme="majorHAnsi"/>
                <w:bCs/>
                <w:sz w:val="19"/>
                <w:szCs w:val="19"/>
                <w:lang w:val="es-PA"/>
              </w:rPr>
              <w:t>Artículos 5 (integridad personal), 7 (libertad personal), 8 (garantías judiciales), 22 (circulación y residencia), 24 (igualdad ante la ley) y 25 (protección judicial) de la Convención Americana de Derechos Humanos, en conexión con sus artículos 1.1 (obligación de respetar los derechos) y 2 (deber de adoptar disposiciones de derecho interno); artículos I (integridad personal), II (igualdad ante la ley), V (protección a la honra, la reputación personal y la vida privada y familiar), VIII (residencia y tránsito), XVIII (justicia), XXV (protección contra la detención arbitraria), XXVI (proceso regular) y XXVII (asilo) de la Declaración Americana de Derechos Humanos</w:t>
            </w:r>
          </w:p>
        </w:tc>
      </w:tr>
    </w:tbl>
    <w:p w14:paraId="3D195461" w14:textId="74419451"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9C6CB7"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3A7E56AA" w:rsidR="000673D0" w:rsidRPr="009C6CB7" w:rsidRDefault="00513FDF" w:rsidP="00B46185">
            <w:pPr>
              <w:jc w:val="center"/>
              <w:rPr>
                <w:rFonts w:asciiTheme="majorHAnsi" w:hAnsiTheme="majorHAnsi"/>
                <w:b/>
                <w:bCs/>
                <w:color w:val="FFFFFF" w:themeColor="background1"/>
                <w:sz w:val="19"/>
                <w:szCs w:val="19"/>
                <w:lang w:val="es-ES"/>
              </w:rPr>
            </w:pPr>
            <w:r w:rsidRPr="00513FDF">
              <w:rPr>
                <w:rFonts w:asciiTheme="majorHAnsi" w:hAnsiTheme="majorHAnsi"/>
                <w:b/>
                <w:bCs/>
                <w:color w:val="FFFFFF" w:themeColor="background1"/>
                <w:sz w:val="19"/>
                <w:szCs w:val="19"/>
                <w:lang w:val="es-ES"/>
              </w:rPr>
              <w:t>Recepción de la petición</w:t>
            </w:r>
          </w:p>
        </w:tc>
        <w:tc>
          <w:tcPr>
            <w:tcW w:w="5760" w:type="dxa"/>
            <w:vAlign w:val="center"/>
          </w:tcPr>
          <w:p w14:paraId="5B768921" w14:textId="5DE80711" w:rsidR="000673D0" w:rsidRPr="004A11FB" w:rsidRDefault="00BD75AE" w:rsidP="006C3525">
            <w:pPr>
              <w:jc w:val="both"/>
              <w:rPr>
                <w:rFonts w:asciiTheme="majorHAnsi" w:hAnsiTheme="majorHAnsi"/>
                <w:bCs/>
                <w:sz w:val="19"/>
                <w:szCs w:val="19"/>
                <w:lang w:val="es-ES"/>
              </w:rPr>
            </w:pPr>
            <w:r w:rsidRPr="004A11FB">
              <w:rPr>
                <w:rFonts w:asciiTheme="majorHAnsi" w:hAnsiTheme="majorHAnsi"/>
                <w:bCs/>
                <w:sz w:val="19"/>
                <w:szCs w:val="19"/>
                <w:lang w:val="es-ES"/>
              </w:rPr>
              <w:t>4 de abril de 2012</w:t>
            </w:r>
          </w:p>
        </w:tc>
      </w:tr>
      <w:tr w:rsidR="006D4A83" w:rsidRPr="006D4A83" w14:paraId="0C78A18F" w14:textId="77777777" w:rsidTr="00B46185">
        <w:tc>
          <w:tcPr>
            <w:tcW w:w="3600" w:type="dxa"/>
            <w:tcBorders>
              <w:top w:val="single" w:sz="6" w:space="0" w:color="auto"/>
              <w:bottom w:val="single" w:sz="6" w:space="0" w:color="auto"/>
            </w:tcBorders>
            <w:shd w:val="clear" w:color="auto" w:fill="386294"/>
            <w:vAlign w:val="center"/>
          </w:tcPr>
          <w:p w14:paraId="493B5B00" w14:textId="3EDD8768" w:rsidR="006D4A83" w:rsidRPr="009C6CB7" w:rsidRDefault="003C364B" w:rsidP="00B46185">
            <w:pPr>
              <w:jc w:val="center"/>
              <w:rPr>
                <w:rFonts w:asciiTheme="majorHAnsi" w:hAnsiTheme="majorHAnsi"/>
                <w:b/>
                <w:bCs/>
                <w:color w:val="FFFFFF" w:themeColor="background1"/>
                <w:sz w:val="19"/>
                <w:szCs w:val="19"/>
                <w:lang w:val="es-ES"/>
              </w:rPr>
            </w:pPr>
            <w:r w:rsidRPr="003C364B">
              <w:rPr>
                <w:rFonts w:asciiTheme="majorHAnsi" w:hAnsiTheme="majorHAnsi"/>
                <w:b/>
                <w:bCs/>
                <w:color w:val="FFFFFF" w:themeColor="background1"/>
                <w:sz w:val="19"/>
                <w:szCs w:val="19"/>
                <w:lang w:val="es-ES"/>
              </w:rPr>
              <w:t>Notificación de la petición</w:t>
            </w:r>
          </w:p>
        </w:tc>
        <w:tc>
          <w:tcPr>
            <w:tcW w:w="5760" w:type="dxa"/>
            <w:vAlign w:val="center"/>
          </w:tcPr>
          <w:p w14:paraId="051EDFB4" w14:textId="0FDF75B5" w:rsidR="006D4A83" w:rsidRPr="004A11FB" w:rsidRDefault="00BD75AE" w:rsidP="006C3525">
            <w:pPr>
              <w:jc w:val="both"/>
              <w:rPr>
                <w:rFonts w:asciiTheme="majorHAnsi" w:hAnsiTheme="majorHAnsi"/>
                <w:bCs/>
                <w:sz w:val="19"/>
                <w:szCs w:val="19"/>
                <w:lang w:val="es-ES"/>
              </w:rPr>
            </w:pPr>
            <w:r w:rsidRPr="004A11FB">
              <w:rPr>
                <w:rFonts w:asciiTheme="majorHAnsi" w:hAnsiTheme="majorHAnsi"/>
                <w:bCs/>
                <w:sz w:val="19"/>
                <w:szCs w:val="19"/>
                <w:lang w:val="es-ES"/>
              </w:rPr>
              <w:t>12 de julio de 2017</w:t>
            </w:r>
          </w:p>
        </w:tc>
      </w:tr>
      <w:tr w:rsidR="000673D0" w:rsidRPr="00A0430D"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02F8FA31" w:rsidR="000673D0" w:rsidRPr="00A0430D" w:rsidRDefault="00A0430D" w:rsidP="00B46185">
            <w:pPr>
              <w:jc w:val="center"/>
              <w:rPr>
                <w:rFonts w:asciiTheme="majorHAnsi" w:hAnsiTheme="majorHAnsi"/>
                <w:b/>
                <w:bCs/>
                <w:color w:val="FFFFFF" w:themeColor="background1"/>
                <w:sz w:val="19"/>
                <w:szCs w:val="19"/>
                <w:lang w:val="es-419"/>
              </w:rPr>
            </w:pPr>
            <w:r w:rsidRPr="00A0430D">
              <w:rPr>
                <w:rFonts w:asciiTheme="majorHAnsi" w:hAnsiTheme="majorHAnsi"/>
                <w:b/>
                <w:bCs/>
                <w:color w:val="FFFFFF" w:themeColor="background1"/>
                <w:sz w:val="19"/>
                <w:szCs w:val="19"/>
                <w:lang w:val="es-419"/>
              </w:rPr>
              <w:t>Solicitación de prórroga por parte del Estado</w:t>
            </w:r>
          </w:p>
        </w:tc>
        <w:tc>
          <w:tcPr>
            <w:tcW w:w="5760" w:type="dxa"/>
            <w:vAlign w:val="center"/>
          </w:tcPr>
          <w:p w14:paraId="311A328A" w14:textId="13328CCE" w:rsidR="000673D0" w:rsidRPr="004A11FB" w:rsidRDefault="00BD75AE" w:rsidP="006C3525">
            <w:pPr>
              <w:jc w:val="both"/>
              <w:rPr>
                <w:rFonts w:asciiTheme="majorHAnsi" w:hAnsiTheme="majorHAnsi"/>
                <w:bCs/>
                <w:sz w:val="19"/>
                <w:szCs w:val="19"/>
                <w:lang w:val="es-ES"/>
              </w:rPr>
            </w:pPr>
            <w:r w:rsidRPr="004A11FB">
              <w:rPr>
                <w:rFonts w:asciiTheme="majorHAnsi" w:hAnsiTheme="majorHAnsi"/>
                <w:bCs/>
                <w:sz w:val="19"/>
                <w:szCs w:val="19"/>
                <w:lang w:val="es-ES"/>
              </w:rPr>
              <w:t>24 de octubre de 2017</w:t>
            </w:r>
          </w:p>
        </w:tc>
      </w:tr>
      <w:tr w:rsidR="000673D0" w:rsidRPr="00A0430D"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202FC7AC" w:rsidR="000673D0" w:rsidRPr="00886712" w:rsidRDefault="00886712" w:rsidP="00B46185">
            <w:pPr>
              <w:jc w:val="center"/>
              <w:rPr>
                <w:rFonts w:asciiTheme="majorHAnsi" w:hAnsiTheme="majorHAnsi"/>
                <w:b/>
                <w:bCs/>
                <w:color w:val="FFFFFF" w:themeColor="background1"/>
                <w:sz w:val="19"/>
                <w:szCs w:val="19"/>
                <w:lang w:val="es-419"/>
              </w:rPr>
            </w:pPr>
            <w:r w:rsidRPr="00886712">
              <w:rPr>
                <w:rFonts w:asciiTheme="majorHAnsi" w:hAnsiTheme="majorHAnsi"/>
                <w:b/>
                <w:bCs/>
                <w:color w:val="FFFFFF" w:themeColor="background1"/>
                <w:sz w:val="19"/>
                <w:szCs w:val="19"/>
                <w:lang w:val="es-419"/>
              </w:rPr>
              <w:t>Concesión de la prórroga por parte de la CIDH</w:t>
            </w:r>
          </w:p>
        </w:tc>
        <w:tc>
          <w:tcPr>
            <w:tcW w:w="5760" w:type="dxa"/>
            <w:vAlign w:val="center"/>
          </w:tcPr>
          <w:p w14:paraId="62EA084B" w14:textId="7D75F045" w:rsidR="000673D0" w:rsidRPr="004A11FB" w:rsidRDefault="00BA286D" w:rsidP="006C3525">
            <w:pPr>
              <w:jc w:val="both"/>
              <w:rPr>
                <w:rFonts w:asciiTheme="majorHAnsi" w:hAnsiTheme="majorHAnsi"/>
                <w:bCs/>
                <w:sz w:val="19"/>
                <w:szCs w:val="19"/>
                <w:lang w:val="es-ES"/>
              </w:rPr>
            </w:pPr>
            <w:r w:rsidRPr="004A11FB">
              <w:rPr>
                <w:rFonts w:asciiTheme="majorHAnsi" w:hAnsiTheme="majorHAnsi"/>
                <w:bCs/>
                <w:sz w:val="19"/>
                <w:szCs w:val="19"/>
                <w:lang w:val="es-ES"/>
              </w:rPr>
              <w:t>27 de octubre de 2017</w:t>
            </w:r>
          </w:p>
        </w:tc>
      </w:tr>
      <w:tr w:rsidR="0096697B" w:rsidRPr="00AA71FE" w14:paraId="5B03CD16" w14:textId="77777777" w:rsidTr="00B46185">
        <w:tc>
          <w:tcPr>
            <w:tcW w:w="3600" w:type="dxa"/>
            <w:tcBorders>
              <w:top w:val="single" w:sz="6" w:space="0" w:color="auto"/>
              <w:bottom w:val="single" w:sz="6" w:space="0" w:color="auto"/>
            </w:tcBorders>
            <w:shd w:val="clear" w:color="auto" w:fill="386294"/>
            <w:vAlign w:val="center"/>
          </w:tcPr>
          <w:p w14:paraId="61819B75" w14:textId="24D21356" w:rsidR="0096697B" w:rsidRPr="009C6CB7" w:rsidRDefault="00BE793F" w:rsidP="00B46185">
            <w:pPr>
              <w:jc w:val="center"/>
              <w:rPr>
                <w:rFonts w:asciiTheme="majorHAnsi" w:hAnsiTheme="majorHAnsi"/>
                <w:b/>
                <w:color w:val="FFFFFF" w:themeColor="background1"/>
                <w:sz w:val="19"/>
                <w:szCs w:val="19"/>
                <w:lang w:val="es-ES"/>
              </w:rPr>
            </w:pPr>
            <w:r w:rsidRPr="00BE793F">
              <w:rPr>
                <w:rFonts w:asciiTheme="majorHAnsi" w:hAnsiTheme="majorHAnsi"/>
                <w:b/>
                <w:color w:val="FFFFFF" w:themeColor="background1"/>
                <w:sz w:val="19"/>
                <w:szCs w:val="19"/>
                <w:lang w:val="es-ES"/>
              </w:rPr>
              <w:t>Primera respuesta del Estado</w:t>
            </w:r>
          </w:p>
        </w:tc>
        <w:tc>
          <w:tcPr>
            <w:tcW w:w="5760" w:type="dxa"/>
            <w:vAlign w:val="center"/>
          </w:tcPr>
          <w:p w14:paraId="4435B23E" w14:textId="0640D7FE" w:rsidR="0096697B" w:rsidRPr="004A11FB" w:rsidRDefault="00BA286D" w:rsidP="006C3525">
            <w:pPr>
              <w:jc w:val="both"/>
              <w:rPr>
                <w:rFonts w:asciiTheme="majorHAnsi" w:hAnsiTheme="majorHAnsi"/>
                <w:bCs/>
                <w:sz w:val="19"/>
                <w:szCs w:val="19"/>
                <w:lang w:val="es-PA"/>
              </w:rPr>
            </w:pPr>
            <w:r w:rsidRPr="004A11FB">
              <w:rPr>
                <w:rFonts w:asciiTheme="majorHAnsi" w:hAnsiTheme="majorHAnsi"/>
                <w:bCs/>
                <w:sz w:val="19"/>
                <w:szCs w:val="19"/>
                <w:lang w:val="es-PA"/>
              </w:rPr>
              <w:t>17 de julio de 2018</w:t>
            </w:r>
          </w:p>
        </w:tc>
      </w:tr>
      <w:tr w:rsidR="008C119E" w:rsidRPr="00A0430D" w14:paraId="15AC3B97" w14:textId="77777777" w:rsidTr="00B46185">
        <w:tc>
          <w:tcPr>
            <w:tcW w:w="3600" w:type="dxa"/>
            <w:tcBorders>
              <w:top w:val="single" w:sz="6" w:space="0" w:color="auto"/>
              <w:bottom w:val="single" w:sz="6" w:space="0" w:color="auto"/>
            </w:tcBorders>
            <w:shd w:val="clear" w:color="auto" w:fill="386294"/>
            <w:vAlign w:val="center"/>
          </w:tcPr>
          <w:p w14:paraId="0427D482" w14:textId="03E82A78" w:rsidR="008C119E" w:rsidRPr="003F584A" w:rsidRDefault="003F584A" w:rsidP="00B46185">
            <w:pPr>
              <w:jc w:val="center"/>
              <w:rPr>
                <w:rFonts w:asciiTheme="majorHAnsi" w:hAnsiTheme="majorHAnsi"/>
                <w:b/>
                <w:bCs/>
                <w:color w:val="FFFFFF" w:themeColor="background1"/>
                <w:sz w:val="19"/>
                <w:szCs w:val="19"/>
                <w:lang w:val="es-419"/>
              </w:rPr>
            </w:pPr>
            <w:r w:rsidRPr="003F584A">
              <w:rPr>
                <w:rFonts w:asciiTheme="majorHAnsi" w:hAnsiTheme="majorHAnsi"/>
                <w:b/>
                <w:bCs/>
                <w:color w:val="FFFFFF" w:themeColor="background1"/>
                <w:sz w:val="19"/>
                <w:szCs w:val="19"/>
                <w:lang w:val="es-419"/>
              </w:rPr>
              <w:t>Observaciones adicionales de la parte peticionaria</w:t>
            </w:r>
          </w:p>
        </w:tc>
        <w:tc>
          <w:tcPr>
            <w:tcW w:w="5760" w:type="dxa"/>
            <w:vAlign w:val="center"/>
          </w:tcPr>
          <w:p w14:paraId="07104178" w14:textId="784828A3" w:rsidR="008C119E" w:rsidRPr="004A11FB" w:rsidRDefault="00BA286D" w:rsidP="006C3525">
            <w:pPr>
              <w:jc w:val="both"/>
              <w:rPr>
                <w:rFonts w:asciiTheme="majorHAnsi" w:hAnsiTheme="majorHAnsi"/>
                <w:bCs/>
                <w:sz w:val="19"/>
                <w:szCs w:val="19"/>
                <w:lang w:val="es-ES"/>
              </w:rPr>
            </w:pPr>
            <w:r w:rsidRPr="004A11FB">
              <w:rPr>
                <w:rFonts w:asciiTheme="majorHAnsi" w:hAnsiTheme="majorHAnsi"/>
                <w:bCs/>
                <w:sz w:val="19"/>
                <w:szCs w:val="19"/>
                <w:lang w:val="es-ES"/>
              </w:rPr>
              <w:t>8 de abril de 2019</w:t>
            </w:r>
          </w:p>
        </w:tc>
      </w:tr>
      <w:tr w:rsidR="001C65EA" w:rsidRPr="00A0430D" w14:paraId="3AF1F985" w14:textId="77777777" w:rsidTr="00B46185">
        <w:tc>
          <w:tcPr>
            <w:tcW w:w="3600" w:type="dxa"/>
            <w:tcBorders>
              <w:top w:val="single" w:sz="6" w:space="0" w:color="auto"/>
              <w:bottom w:val="single" w:sz="6" w:space="0" w:color="auto"/>
            </w:tcBorders>
            <w:shd w:val="clear" w:color="auto" w:fill="386294"/>
            <w:vAlign w:val="center"/>
          </w:tcPr>
          <w:p w14:paraId="426F1F46" w14:textId="3983A680" w:rsidR="001C65EA" w:rsidRDefault="00BD75AE" w:rsidP="00B46185">
            <w:pPr>
              <w:jc w:val="center"/>
              <w:rPr>
                <w:rFonts w:asciiTheme="majorHAnsi" w:hAnsiTheme="majorHAnsi"/>
                <w:b/>
                <w:bCs/>
                <w:color w:val="FFFFFF" w:themeColor="background1"/>
                <w:sz w:val="19"/>
                <w:szCs w:val="19"/>
                <w:lang w:val="es-ES"/>
              </w:rPr>
            </w:pPr>
            <w:r w:rsidRPr="00BD75AE">
              <w:rPr>
                <w:rFonts w:asciiTheme="majorHAnsi" w:hAnsiTheme="majorHAnsi"/>
                <w:b/>
                <w:bCs/>
                <w:color w:val="FFFFFF" w:themeColor="background1"/>
                <w:sz w:val="19"/>
                <w:szCs w:val="19"/>
                <w:lang w:val="es-ES"/>
              </w:rPr>
              <w:t>Observaciones adicionales del Estado</w:t>
            </w:r>
          </w:p>
        </w:tc>
        <w:tc>
          <w:tcPr>
            <w:tcW w:w="5760" w:type="dxa"/>
            <w:vAlign w:val="center"/>
          </w:tcPr>
          <w:p w14:paraId="3C0F8870" w14:textId="0F1138CE" w:rsidR="001C65EA" w:rsidRPr="004A11FB" w:rsidRDefault="00BA286D" w:rsidP="006C3525">
            <w:pPr>
              <w:jc w:val="both"/>
              <w:rPr>
                <w:rFonts w:asciiTheme="majorHAnsi" w:hAnsiTheme="majorHAnsi"/>
                <w:bCs/>
                <w:sz w:val="19"/>
                <w:szCs w:val="19"/>
                <w:lang w:val="es-ES"/>
              </w:rPr>
            </w:pPr>
            <w:r w:rsidRPr="004A11FB">
              <w:rPr>
                <w:rFonts w:asciiTheme="majorHAnsi" w:hAnsiTheme="majorHAnsi"/>
                <w:bCs/>
                <w:sz w:val="19"/>
                <w:szCs w:val="19"/>
                <w:lang w:val="es-ES"/>
              </w:rPr>
              <w:t>28 de agosto de 2020</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9C6CB7"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9C6CB7" w:rsidRDefault="000673D0" w:rsidP="00B46185">
            <w:pPr>
              <w:jc w:val="center"/>
              <w:rPr>
                <w:rFonts w:asciiTheme="majorHAnsi" w:hAnsiTheme="majorHAnsi"/>
                <w:b/>
                <w:bCs/>
                <w:i/>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personae:</w:t>
            </w:r>
          </w:p>
        </w:tc>
        <w:tc>
          <w:tcPr>
            <w:tcW w:w="5760" w:type="dxa"/>
            <w:vAlign w:val="center"/>
          </w:tcPr>
          <w:p w14:paraId="55AEE8CD" w14:textId="77777777" w:rsidR="000673D0" w:rsidRPr="009C6CB7" w:rsidRDefault="000673D0" w:rsidP="00B46185">
            <w:pPr>
              <w:rPr>
                <w:rFonts w:asciiTheme="majorHAnsi" w:hAnsiTheme="majorHAnsi"/>
                <w:bCs/>
                <w:sz w:val="19"/>
                <w:szCs w:val="19"/>
              </w:rPr>
            </w:pPr>
            <w:proofErr w:type="spellStart"/>
            <w:r w:rsidRPr="009C6CB7">
              <w:rPr>
                <w:rFonts w:asciiTheme="majorHAnsi" w:hAnsiTheme="majorHAnsi"/>
                <w:bCs/>
                <w:sz w:val="19"/>
                <w:szCs w:val="19"/>
              </w:rPr>
              <w:t>Sí</w:t>
            </w:r>
            <w:proofErr w:type="spellEnd"/>
          </w:p>
        </w:tc>
      </w:tr>
      <w:tr w:rsidR="000673D0" w:rsidRPr="009C6CB7"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loci</w:t>
            </w:r>
            <w:r w:rsidRPr="009C6CB7">
              <w:rPr>
                <w:rFonts w:asciiTheme="majorHAnsi" w:hAnsiTheme="majorHAnsi"/>
                <w:b/>
                <w:bCs/>
                <w:color w:val="FFFFFF" w:themeColor="background1"/>
                <w:sz w:val="19"/>
                <w:szCs w:val="19"/>
              </w:rPr>
              <w:t>:</w:t>
            </w:r>
          </w:p>
        </w:tc>
        <w:tc>
          <w:tcPr>
            <w:tcW w:w="5760" w:type="dxa"/>
            <w:vAlign w:val="center"/>
          </w:tcPr>
          <w:p w14:paraId="77DDBD87" w14:textId="77777777" w:rsidR="000673D0" w:rsidRPr="009C6CB7" w:rsidRDefault="000673D0" w:rsidP="00B46185">
            <w:pPr>
              <w:rPr>
                <w:rFonts w:asciiTheme="majorHAnsi" w:hAnsiTheme="majorHAnsi"/>
                <w:bCs/>
                <w:sz w:val="19"/>
                <w:szCs w:val="19"/>
              </w:rPr>
            </w:pPr>
            <w:proofErr w:type="spellStart"/>
            <w:r w:rsidRPr="009C6CB7">
              <w:rPr>
                <w:rFonts w:asciiTheme="majorHAnsi" w:hAnsiTheme="majorHAnsi"/>
                <w:bCs/>
                <w:sz w:val="19"/>
                <w:szCs w:val="19"/>
              </w:rPr>
              <w:t>Sí</w:t>
            </w:r>
            <w:proofErr w:type="spellEnd"/>
          </w:p>
        </w:tc>
      </w:tr>
      <w:tr w:rsidR="000673D0" w:rsidRPr="00071600"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temporis</w:t>
            </w:r>
            <w:proofErr w:type="spellEnd"/>
            <w:r w:rsidRPr="009C6CB7">
              <w:rPr>
                <w:rFonts w:asciiTheme="majorHAnsi" w:hAnsiTheme="majorHAnsi"/>
                <w:b/>
                <w:bCs/>
                <w:color w:val="FFFFFF" w:themeColor="background1"/>
                <w:sz w:val="19"/>
                <w:szCs w:val="19"/>
              </w:rPr>
              <w:t>:</w:t>
            </w:r>
          </w:p>
        </w:tc>
        <w:tc>
          <w:tcPr>
            <w:tcW w:w="5760" w:type="dxa"/>
            <w:vAlign w:val="center"/>
          </w:tcPr>
          <w:p w14:paraId="76910945" w14:textId="01DD63C3" w:rsidR="000673D0" w:rsidRPr="009C6CB7" w:rsidRDefault="000673D0" w:rsidP="009C6CB7">
            <w:pPr>
              <w:rPr>
                <w:rFonts w:asciiTheme="majorHAnsi" w:hAnsiTheme="majorHAnsi"/>
                <w:bCs/>
                <w:sz w:val="19"/>
                <w:szCs w:val="19"/>
                <w:lang w:val="es-PA"/>
              </w:rPr>
            </w:pPr>
            <w:r w:rsidRPr="009C6CB7">
              <w:rPr>
                <w:rFonts w:asciiTheme="majorHAnsi" w:hAnsiTheme="majorHAnsi"/>
                <w:bCs/>
                <w:sz w:val="19"/>
                <w:szCs w:val="19"/>
                <w:lang w:val="es-PA"/>
              </w:rPr>
              <w:t>Sí</w:t>
            </w:r>
          </w:p>
        </w:tc>
      </w:tr>
      <w:tr w:rsidR="000673D0" w:rsidRPr="00E85A3A"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materiae</w:t>
            </w:r>
            <w:proofErr w:type="spellEnd"/>
            <w:r w:rsidRPr="009C6CB7">
              <w:rPr>
                <w:rFonts w:asciiTheme="majorHAnsi" w:hAnsiTheme="majorHAnsi"/>
                <w:b/>
                <w:bCs/>
                <w:color w:val="FFFFFF" w:themeColor="background1"/>
                <w:sz w:val="19"/>
                <w:szCs w:val="19"/>
              </w:rPr>
              <w:t>:</w:t>
            </w:r>
          </w:p>
        </w:tc>
        <w:tc>
          <w:tcPr>
            <w:tcW w:w="5760" w:type="dxa"/>
            <w:vAlign w:val="center"/>
          </w:tcPr>
          <w:p w14:paraId="6AB0A733" w14:textId="77777777" w:rsidR="000673D0" w:rsidRPr="009C6CB7" w:rsidRDefault="000673D0" w:rsidP="00B46185">
            <w:pPr>
              <w:jc w:val="both"/>
              <w:rPr>
                <w:rFonts w:asciiTheme="majorHAnsi" w:hAnsiTheme="majorHAnsi"/>
                <w:bCs/>
                <w:sz w:val="19"/>
                <w:szCs w:val="19"/>
                <w:lang w:val="es-ES"/>
              </w:rPr>
            </w:pPr>
            <w:r w:rsidRPr="009C6CB7">
              <w:rPr>
                <w:rFonts w:asciiTheme="majorHAnsi" w:hAnsiTheme="majorHAnsi"/>
                <w:bCs/>
                <w:sz w:val="19"/>
                <w:szCs w:val="19"/>
                <w:lang w:val="es-ES"/>
              </w:rPr>
              <w:t>Sí, Convención Americana (depósito del instrumento de ratificación realizado el 5 de septiembre de 1984)</w:t>
            </w:r>
          </w:p>
        </w:tc>
      </w:tr>
    </w:tbl>
    <w:p w14:paraId="46F3B92A" w14:textId="04B84A75"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5C0974">
        <w:rPr>
          <w:rFonts w:asciiTheme="majorHAnsi" w:hAnsiTheme="majorHAnsi"/>
          <w:b/>
          <w:bCs/>
          <w:i/>
          <w:sz w:val="19"/>
          <w:szCs w:val="19"/>
          <w:lang w:val="es-ES"/>
        </w:rPr>
        <w:t xml:space="preserve"> </w:t>
      </w:r>
      <w:r w:rsidRPr="009C6CB7">
        <w:rPr>
          <w:rFonts w:asciiTheme="majorHAnsi" w:hAnsiTheme="majorHAnsi"/>
          <w:b/>
          <w:bCs/>
          <w:sz w:val="19"/>
          <w:szCs w:val="19"/>
          <w:lang w:val="es-ES"/>
        </w:rPr>
        <w:t xml:space="preserve">INTERNACIONAL, 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9C6CB7" w14:paraId="3755C687" w14:textId="77777777" w:rsidTr="00F5479D">
        <w:trPr>
          <w:cantSplit/>
        </w:trPr>
        <w:tc>
          <w:tcPr>
            <w:tcW w:w="3561" w:type="dxa"/>
            <w:tcBorders>
              <w:top w:val="single" w:sz="4" w:space="0" w:color="auto"/>
              <w:bottom w:val="single" w:sz="6" w:space="0" w:color="auto"/>
            </w:tcBorders>
            <w:shd w:val="clear" w:color="auto" w:fill="386294"/>
            <w:vAlign w:val="center"/>
          </w:tcPr>
          <w:p w14:paraId="0F134D10" w14:textId="272EAE2A"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Duplicación y cosa juzgada internacional:</w:t>
            </w:r>
          </w:p>
        </w:tc>
        <w:tc>
          <w:tcPr>
            <w:tcW w:w="5681" w:type="dxa"/>
            <w:vAlign w:val="center"/>
          </w:tcPr>
          <w:p w14:paraId="72801941" w14:textId="77777777" w:rsidR="000673D0" w:rsidRPr="009C6CB7" w:rsidRDefault="000673D0" w:rsidP="00B46185">
            <w:pPr>
              <w:jc w:val="both"/>
              <w:rPr>
                <w:rFonts w:asciiTheme="majorHAnsi" w:hAnsiTheme="majorHAnsi"/>
                <w:bCs/>
                <w:sz w:val="19"/>
                <w:szCs w:val="19"/>
                <w:lang w:val="es-ES"/>
              </w:rPr>
            </w:pPr>
            <w:r w:rsidRPr="009C6CB7">
              <w:rPr>
                <w:rFonts w:asciiTheme="majorHAnsi" w:hAnsiTheme="majorHAnsi"/>
                <w:bCs/>
                <w:sz w:val="19"/>
                <w:szCs w:val="19"/>
                <w:lang w:val="es-ES"/>
              </w:rPr>
              <w:t>No</w:t>
            </w:r>
          </w:p>
        </w:tc>
      </w:tr>
      <w:tr w:rsidR="00F5479D" w:rsidRPr="00E85A3A" w14:paraId="5733AA78" w14:textId="77777777" w:rsidTr="00F5479D">
        <w:trPr>
          <w:cantSplit/>
        </w:trPr>
        <w:tc>
          <w:tcPr>
            <w:tcW w:w="3561" w:type="dxa"/>
            <w:tcBorders>
              <w:top w:val="single" w:sz="4" w:space="0" w:color="auto"/>
              <w:bottom w:val="single" w:sz="6" w:space="0" w:color="auto"/>
            </w:tcBorders>
            <w:shd w:val="clear" w:color="auto" w:fill="386294"/>
            <w:vAlign w:val="center"/>
          </w:tcPr>
          <w:p w14:paraId="70AE02E1" w14:textId="77777777" w:rsidR="00F5479D" w:rsidRPr="009C6CB7" w:rsidRDefault="00F5479D" w:rsidP="00F5479D">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 xml:space="preserve">Derechos </w:t>
            </w:r>
            <w:proofErr w:type="spellStart"/>
            <w:r w:rsidRPr="009C6CB7">
              <w:rPr>
                <w:rFonts w:asciiTheme="majorHAnsi" w:hAnsiTheme="majorHAnsi"/>
                <w:b/>
                <w:bCs/>
                <w:color w:val="FFFFFF" w:themeColor="background1"/>
                <w:sz w:val="19"/>
                <w:szCs w:val="19"/>
              </w:rPr>
              <w:t>declarados</w:t>
            </w:r>
            <w:proofErr w:type="spellEnd"/>
            <w:r w:rsidRPr="009C6CB7">
              <w:rPr>
                <w:rFonts w:asciiTheme="majorHAnsi" w:hAnsiTheme="majorHAnsi"/>
                <w:b/>
                <w:bCs/>
                <w:color w:val="FFFFFF" w:themeColor="background1"/>
                <w:sz w:val="19"/>
                <w:szCs w:val="19"/>
              </w:rPr>
              <w:t xml:space="preserve"> </w:t>
            </w:r>
            <w:proofErr w:type="spellStart"/>
            <w:r w:rsidRPr="009C6CB7">
              <w:rPr>
                <w:rFonts w:asciiTheme="majorHAnsi" w:hAnsiTheme="majorHAnsi"/>
                <w:b/>
                <w:bCs/>
                <w:color w:val="FFFFFF" w:themeColor="background1"/>
                <w:sz w:val="19"/>
                <w:szCs w:val="19"/>
              </w:rPr>
              <w:t>admisibles</w:t>
            </w:r>
            <w:proofErr w:type="spellEnd"/>
            <w:r w:rsidRPr="009C6CB7">
              <w:rPr>
                <w:rFonts w:asciiTheme="majorHAnsi" w:hAnsiTheme="majorHAnsi"/>
                <w:b/>
                <w:bCs/>
                <w:i/>
                <w:color w:val="FFFFFF" w:themeColor="background1"/>
                <w:sz w:val="19"/>
                <w:szCs w:val="19"/>
              </w:rPr>
              <w:t>:</w:t>
            </w:r>
          </w:p>
        </w:tc>
        <w:tc>
          <w:tcPr>
            <w:tcW w:w="5681" w:type="dxa"/>
          </w:tcPr>
          <w:p w14:paraId="5EB169C6" w14:textId="2CAD5053" w:rsidR="00F5479D" w:rsidRPr="009C6CB7" w:rsidRDefault="00F5479D" w:rsidP="00F5479D">
            <w:pPr>
              <w:jc w:val="both"/>
              <w:rPr>
                <w:rFonts w:asciiTheme="majorHAnsi" w:hAnsiTheme="majorHAnsi"/>
                <w:bCs/>
                <w:sz w:val="19"/>
                <w:szCs w:val="19"/>
                <w:lang w:val="es-PA" w:eastAsia="es-ES"/>
              </w:rPr>
            </w:pPr>
            <w:r w:rsidRPr="00F5479D">
              <w:rPr>
                <w:sz w:val="19"/>
                <w:lang w:val="es-419"/>
              </w:rPr>
              <w:t>Artículos 8, 24 y 25 de la Convención Americana, en conexión con sus artículos 1.1 (obligación de respetar los derechos) y 2 (deber de adoptar disposiciones de derecho interno).</w:t>
            </w:r>
          </w:p>
        </w:tc>
      </w:tr>
      <w:tr w:rsidR="00F5479D" w:rsidRPr="00E85A3A" w14:paraId="56C738B6" w14:textId="77777777" w:rsidTr="00F5479D">
        <w:trPr>
          <w:cantSplit/>
        </w:trPr>
        <w:tc>
          <w:tcPr>
            <w:tcW w:w="3561" w:type="dxa"/>
            <w:tcBorders>
              <w:top w:val="single" w:sz="6" w:space="0" w:color="auto"/>
              <w:bottom w:val="single" w:sz="6" w:space="0" w:color="auto"/>
            </w:tcBorders>
            <w:shd w:val="clear" w:color="auto" w:fill="386294"/>
            <w:vAlign w:val="center"/>
          </w:tcPr>
          <w:p w14:paraId="741F99C1" w14:textId="77777777" w:rsidR="00F5479D" w:rsidRPr="009C6CB7" w:rsidRDefault="00F5479D" w:rsidP="00F5479D">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Agotamiento de recursos internos o procedencia de una excepción:</w:t>
            </w:r>
          </w:p>
        </w:tc>
        <w:tc>
          <w:tcPr>
            <w:tcW w:w="5681" w:type="dxa"/>
            <w:vAlign w:val="center"/>
          </w:tcPr>
          <w:p w14:paraId="7B5A6AFC" w14:textId="0CB57571" w:rsidR="00F5479D" w:rsidRPr="00DC275E" w:rsidRDefault="00DC275E" w:rsidP="00F5479D">
            <w:pPr>
              <w:rPr>
                <w:rFonts w:asciiTheme="majorHAnsi" w:hAnsiTheme="majorHAnsi"/>
                <w:bCs/>
                <w:sz w:val="19"/>
                <w:szCs w:val="19"/>
                <w:lang w:val="es-419"/>
              </w:rPr>
            </w:pPr>
            <w:r w:rsidRPr="00DC275E">
              <w:rPr>
                <w:rFonts w:asciiTheme="majorHAnsi" w:hAnsiTheme="majorHAnsi"/>
                <w:bCs/>
                <w:sz w:val="19"/>
                <w:szCs w:val="19"/>
                <w:lang w:val="es-ES"/>
              </w:rPr>
              <w:t>Sí, el 11 de octubre de 2011</w:t>
            </w:r>
          </w:p>
        </w:tc>
      </w:tr>
      <w:tr w:rsidR="00F5479D" w:rsidRPr="00E85A3A" w14:paraId="64377EF5" w14:textId="77777777" w:rsidTr="00F5479D">
        <w:trPr>
          <w:cantSplit/>
        </w:trPr>
        <w:tc>
          <w:tcPr>
            <w:tcW w:w="3561" w:type="dxa"/>
            <w:tcBorders>
              <w:top w:val="single" w:sz="6" w:space="0" w:color="auto"/>
              <w:bottom w:val="single" w:sz="6" w:space="0" w:color="auto"/>
            </w:tcBorders>
            <w:shd w:val="clear" w:color="auto" w:fill="386294"/>
            <w:vAlign w:val="center"/>
          </w:tcPr>
          <w:p w14:paraId="33D77F00" w14:textId="77777777" w:rsidR="00F5479D" w:rsidRPr="009C6CB7" w:rsidRDefault="00F5479D" w:rsidP="00F5479D">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lang w:val="es-PA"/>
              </w:rPr>
              <w:t xml:space="preserve">Presentación dentro de </w:t>
            </w:r>
            <w:proofErr w:type="spellStart"/>
            <w:r w:rsidRPr="009C6CB7">
              <w:rPr>
                <w:rFonts w:asciiTheme="majorHAnsi" w:hAnsiTheme="majorHAnsi"/>
                <w:b/>
                <w:bCs/>
                <w:color w:val="FFFFFF" w:themeColor="background1"/>
                <w:sz w:val="19"/>
                <w:szCs w:val="19"/>
                <w:lang w:val="es-PA"/>
              </w:rPr>
              <w:t>plaz</w:t>
            </w:r>
            <w:proofErr w:type="spellEnd"/>
            <w:r w:rsidRPr="009C6CB7">
              <w:rPr>
                <w:rFonts w:asciiTheme="majorHAnsi" w:hAnsiTheme="majorHAnsi"/>
                <w:b/>
                <w:bCs/>
                <w:color w:val="FFFFFF" w:themeColor="background1"/>
                <w:sz w:val="19"/>
                <w:szCs w:val="19"/>
              </w:rPr>
              <w:t>o:</w:t>
            </w:r>
          </w:p>
        </w:tc>
        <w:tc>
          <w:tcPr>
            <w:tcW w:w="5681" w:type="dxa"/>
            <w:vAlign w:val="center"/>
          </w:tcPr>
          <w:p w14:paraId="6D2FF784" w14:textId="12E793EF" w:rsidR="00F5479D" w:rsidRPr="00042EB4" w:rsidRDefault="00042EB4" w:rsidP="00F5479D">
            <w:pPr>
              <w:rPr>
                <w:rFonts w:asciiTheme="majorHAnsi" w:hAnsiTheme="majorHAnsi"/>
                <w:bCs/>
                <w:sz w:val="19"/>
                <w:szCs w:val="19"/>
                <w:lang w:val="es-419"/>
              </w:rPr>
            </w:pPr>
            <w:r w:rsidRPr="00042EB4">
              <w:rPr>
                <w:rFonts w:asciiTheme="majorHAnsi" w:hAnsiTheme="majorHAnsi"/>
                <w:bCs/>
                <w:sz w:val="19"/>
                <w:szCs w:val="19"/>
                <w:lang w:val="es-PA"/>
              </w:rPr>
              <w:t>Sí, cf. sección VI infra.</w:t>
            </w:r>
          </w:p>
        </w:tc>
      </w:tr>
    </w:tbl>
    <w:p w14:paraId="45289755" w14:textId="77777777" w:rsidR="00840AE8" w:rsidRDefault="00840AE8" w:rsidP="004217A5">
      <w:pPr>
        <w:ind w:firstLine="720"/>
        <w:jc w:val="both"/>
        <w:rPr>
          <w:rFonts w:asciiTheme="majorHAnsi" w:hAnsiTheme="majorHAnsi"/>
          <w:b/>
          <w:sz w:val="20"/>
          <w:szCs w:val="20"/>
          <w:lang w:val="es-UY"/>
        </w:rPr>
      </w:pPr>
    </w:p>
    <w:p w14:paraId="18E6423B" w14:textId="1DA45A4A" w:rsidR="003239B8" w:rsidRDefault="00223A29" w:rsidP="004217A5">
      <w:pPr>
        <w:ind w:firstLine="720"/>
        <w:jc w:val="both"/>
        <w:rPr>
          <w:rFonts w:asciiTheme="majorHAnsi" w:hAnsiTheme="majorHAnsi"/>
          <w:b/>
          <w:sz w:val="20"/>
          <w:szCs w:val="20"/>
          <w:lang w:val="es-UY"/>
        </w:rPr>
      </w:pPr>
      <w:r w:rsidRPr="000673D0">
        <w:rPr>
          <w:rFonts w:asciiTheme="majorHAnsi" w:hAnsiTheme="majorHAnsi"/>
          <w:b/>
          <w:sz w:val="20"/>
          <w:szCs w:val="20"/>
          <w:lang w:val="es-UY"/>
        </w:rPr>
        <w:t xml:space="preserve">V. </w:t>
      </w:r>
      <w:r w:rsidRPr="000673D0">
        <w:rPr>
          <w:rFonts w:asciiTheme="majorHAnsi" w:hAnsiTheme="majorHAnsi"/>
          <w:b/>
          <w:sz w:val="20"/>
          <w:szCs w:val="20"/>
          <w:lang w:val="es-UY"/>
        </w:rPr>
        <w:tab/>
      </w:r>
      <w:r w:rsidR="003239B8" w:rsidRPr="000673D0">
        <w:rPr>
          <w:rFonts w:asciiTheme="majorHAnsi" w:hAnsiTheme="majorHAnsi"/>
          <w:b/>
          <w:sz w:val="20"/>
          <w:szCs w:val="20"/>
          <w:lang w:val="es-UY"/>
        </w:rPr>
        <w:t xml:space="preserve">HECHOS ALEGADOS </w:t>
      </w:r>
    </w:p>
    <w:p w14:paraId="1EB5EEB5" w14:textId="77777777" w:rsidR="002E7AE8" w:rsidRPr="000673D0" w:rsidRDefault="002E7AE8" w:rsidP="004217A5">
      <w:pPr>
        <w:ind w:firstLine="720"/>
        <w:jc w:val="both"/>
        <w:rPr>
          <w:rFonts w:asciiTheme="majorHAnsi" w:hAnsiTheme="majorHAnsi"/>
          <w:b/>
          <w:sz w:val="20"/>
          <w:szCs w:val="20"/>
          <w:lang w:val="es-UY"/>
        </w:rPr>
      </w:pPr>
    </w:p>
    <w:p w14:paraId="6A1A8F50" w14:textId="77777777" w:rsidR="006E557C" w:rsidRPr="00E24A53" w:rsidRDefault="006E557C"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E24A53">
        <w:rPr>
          <w:rFonts w:asciiTheme="majorHAnsi" w:hAnsiTheme="majorHAnsi"/>
          <w:sz w:val="20"/>
          <w:szCs w:val="20"/>
          <w:lang w:val="es-ES_tradnl"/>
        </w:rPr>
        <w:t xml:space="preserve">La parte peticionaria denuncia la violación de los derechos humanos de </w:t>
      </w:r>
      <w:r w:rsidRPr="006E557C">
        <w:rPr>
          <w:sz w:val="20"/>
          <w:szCs w:val="20"/>
          <w:lang w:val="es-419"/>
        </w:rPr>
        <w:t>Daniel Benigno Marrero Tagle</w:t>
      </w:r>
      <w:r w:rsidRPr="006E557C">
        <w:rPr>
          <w:bCs/>
          <w:sz w:val="20"/>
          <w:szCs w:val="20"/>
          <w:lang w:val="es-419"/>
        </w:rPr>
        <w:t xml:space="preserve"> (en adelante “la presunta víctima”) </w:t>
      </w:r>
      <w:r w:rsidRPr="00E24A53">
        <w:rPr>
          <w:rFonts w:asciiTheme="majorHAnsi" w:hAnsiTheme="majorHAnsi"/>
          <w:sz w:val="20"/>
          <w:szCs w:val="20"/>
          <w:lang w:val="es-ES_tradnl"/>
        </w:rPr>
        <w:t xml:space="preserve">como consecuencia de hechos relacionados a la persecución que </w:t>
      </w:r>
      <w:r>
        <w:rPr>
          <w:rFonts w:asciiTheme="majorHAnsi" w:hAnsiTheme="majorHAnsi"/>
          <w:sz w:val="20"/>
          <w:szCs w:val="20"/>
          <w:lang w:val="es-ES_tradnl"/>
        </w:rPr>
        <w:t xml:space="preserve">habría sufrido </w:t>
      </w:r>
      <w:r w:rsidRPr="00E24A53">
        <w:rPr>
          <w:rFonts w:asciiTheme="majorHAnsi" w:hAnsiTheme="majorHAnsi"/>
          <w:sz w:val="20"/>
          <w:szCs w:val="20"/>
          <w:lang w:val="es-ES_tradnl"/>
        </w:rPr>
        <w:t xml:space="preserve">durante los años 70, así como a la solicitud </w:t>
      </w:r>
      <w:r>
        <w:rPr>
          <w:rFonts w:asciiTheme="majorHAnsi" w:hAnsiTheme="majorHAnsi"/>
          <w:sz w:val="20"/>
          <w:szCs w:val="20"/>
          <w:lang w:val="es-ES_tradnl"/>
        </w:rPr>
        <w:t>de</w:t>
      </w:r>
      <w:r w:rsidRPr="00E24A53">
        <w:rPr>
          <w:rFonts w:asciiTheme="majorHAnsi" w:hAnsiTheme="majorHAnsi"/>
          <w:sz w:val="20"/>
          <w:szCs w:val="20"/>
          <w:lang w:val="es-ES_tradnl"/>
        </w:rPr>
        <w:t xml:space="preserve"> reparaciones </w:t>
      </w:r>
      <w:r>
        <w:rPr>
          <w:rFonts w:asciiTheme="majorHAnsi" w:hAnsiTheme="majorHAnsi"/>
          <w:sz w:val="20"/>
          <w:szCs w:val="20"/>
          <w:lang w:val="es-ES_tradnl"/>
        </w:rPr>
        <w:t xml:space="preserve">que hizo conforme a </w:t>
      </w:r>
      <w:r w:rsidRPr="00E24A53">
        <w:rPr>
          <w:rFonts w:asciiTheme="majorHAnsi" w:hAnsiTheme="majorHAnsi"/>
          <w:sz w:val="20"/>
          <w:szCs w:val="20"/>
          <w:lang w:val="es-ES_tradnl"/>
        </w:rPr>
        <w:t>la Ley No. 24.043.</w:t>
      </w:r>
    </w:p>
    <w:p w14:paraId="17F8EE3F" w14:textId="77777777" w:rsidR="006E557C" w:rsidRPr="002A4F3F" w:rsidRDefault="006E557C" w:rsidP="006E557C">
      <w:pPr>
        <w:pStyle w:val="ListParagraph"/>
        <w:ind w:left="0"/>
        <w:rPr>
          <w:sz w:val="20"/>
          <w:szCs w:val="20"/>
          <w:lang w:val="es-ES_tradnl"/>
        </w:rPr>
      </w:pPr>
    </w:p>
    <w:p w14:paraId="43D895DE" w14:textId="77777777" w:rsidR="006E557C" w:rsidRPr="002A4F3F" w:rsidRDefault="006E557C"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 xml:space="preserve">La </w:t>
      </w:r>
      <w:r>
        <w:rPr>
          <w:rFonts w:asciiTheme="majorHAnsi" w:hAnsiTheme="majorHAnsi"/>
          <w:sz w:val="20"/>
          <w:szCs w:val="20"/>
          <w:lang w:val="es-ES_tradnl"/>
        </w:rPr>
        <w:t>presunta víctima</w:t>
      </w:r>
      <w:r w:rsidRPr="00DB6FD7">
        <w:rPr>
          <w:rFonts w:asciiTheme="majorHAnsi" w:hAnsiTheme="majorHAnsi"/>
          <w:sz w:val="20"/>
          <w:szCs w:val="20"/>
          <w:lang w:val="es-ES_tradnl"/>
        </w:rPr>
        <w:t>, de nacionalidad uruguaya, ingresó a Argentina con su espos</w:t>
      </w:r>
      <w:r>
        <w:rPr>
          <w:rFonts w:asciiTheme="majorHAnsi" w:hAnsiTheme="majorHAnsi"/>
          <w:sz w:val="20"/>
          <w:szCs w:val="20"/>
          <w:lang w:val="es-ES_tradnl"/>
        </w:rPr>
        <w:t>a</w:t>
      </w:r>
      <w:r w:rsidRPr="00DB6FD7">
        <w:rPr>
          <w:rFonts w:asciiTheme="majorHAnsi" w:hAnsiTheme="majorHAnsi"/>
          <w:sz w:val="20"/>
          <w:szCs w:val="20"/>
          <w:lang w:val="es-ES_tradnl"/>
        </w:rPr>
        <w:t xml:space="preserve"> el 8 de abril de 1974, luego de huir de la persecución de la dictatura en Uruguay</w:t>
      </w:r>
      <w:r>
        <w:rPr>
          <w:rFonts w:asciiTheme="majorHAnsi" w:hAnsiTheme="majorHAnsi"/>
          <w:sz w:val="20"/>
          <w:szCs w:val="20"/>
          <w:lang w:val="es-ES_tradnl"/>
        </w:rPr>
        <w:t>. La parte peticionaria refiere que</w:t>
      </w:r>
      <w:r w:rsidRPr="00DB6FD7">
        <w:rPr>
          <w:rFonts w:asciiTheme="majorHAnsi" w:hAnsiTheme="majorHAnsi"/>
          <w:sz w:val="20"/>
          <w:szCs w:val="20"/>
          <w:lang w:val="es-ES_tradnl"/>
        </w:rPr>
        <w:t xml:space="preserve"> el 2 de junio de 1974, mientras </w:t>
      </w:r>
      <w:r>
        <w:rPr>
          <w:rFonts w:asciiTheme="majorHAnsi" w:hAnsiTheme="majorHAnsi"/>
          <w:sz w:val="20"/>
          <w:szCs w:val="20"/>
          <w:lang w:val="es-ES_tradnl"/>
        </w:rPr>
        <w:t xml:space="preserve">la pareja se hallaba </w:t>
      </w:r>
      <w:r w:rsidRPr="00DB6FD7">
        <w:rPr>
          <w:rFonts w:asciiTheme="majorHAnsi" w:hAnsiTheme="majorHAnsi"/>
          <w:sz w:val="20"/>
          <w:szCs w:val="20"/>
          <w:lang w:val="es-ES_tradnl"/>
        </w:rPr>
        <w:t>en Buenos Aires</w:t>
      </w:r>
      <w:r>
        <w:rPr>
          <w:rFonts w:asciiTheme="majorHAnsi" w:hAnsiTheme="majorHAnsi"/>
          <w:sz w:val="20"/>
          <w:szCs w:val="20"/>
          <w:lang w:val="es-ES_tradnl"/>
        </w:rPr>
        <w:t xml:space="preserve"> participando</w:t>
      </w:r>
      <w:r w:rsidRPr="00DB6FD7">
        <w:rPr>
          <w:rFonts w:asciiTheme="majorHAnsi" w:hAnsiTheme="majorHAnsi"/>
          <w:sz w:val="20"/>
          <w:szCs w:val="20"/>
          <w:lang w:val="es-ES_tradnl"/>
        </w:rPr>
        <w:t xml:space="preserve"> de una reunión del </w:t>
      </w:r>
      <w:r>
        <w:rPr>
          <w:rFonts w:asciiTheme="majorHAnsi" w:hAnsiTheme="majorHAnsi"/>
          <w:sz w:val="20"/>
          <w:szCs w:val="20"/>
          <w:lang w:val="es-ES_tradnl"/>
        </w:rPr>
        <w:t>“</w:t>
      </w:r>
      <w:r w:rsidRPr="00DB6FD7">
        <w:rPr>
          <w:rFonts w:asciiTheme="majorHAnsi" w:hAnsiTheme="majorHAnsi"/>
          <w:sz w:val="20"/>
          <w:szCs w:val="20"/>
          <w:lang w:val="es-ES_tradnl"/>
        </w:rPr>
        <w:t>Comité 19 de abril</w:t>
      </w:r>
      <w:r>
        <w:rPr>
          <w:rFonts w:asciiTheme="majorHAnsi" w:hAnsiTheme="majorHAnsi"/>
          <w:sz w:val="20"/>
          <w:szCs w:val="20"/>
          <w:lang w:val="es-ES_tradnl"/>
        </w:rPr>
        <w:t>”,</w:t>
      </w:r>
      <w:r w:rsidRPr="00DB6FD7">
        <w:rPr>
          <w:rFonts w:asciiTheme="majorHAnsi" w:hAnsiTheme="majorHAnsi"/>
          <w:sz w:val="20"/>
          <w:szCs w:val="20"/>
          <w:lang w:val="es-ES_tradnl"/>
        </w:rPr>
        <w:t xml:space="preserve"> organización política que luchaba por liberar a los presos políticos uruguayos y argentinos, </w:t>
      </w:r>
      <w:r>
        <w:rPr>
          <w:rFonts w:asciiTheme="majorHAnsi" w:hAnsiTheme="majorHAnsi"/>
          <w:sz w:val="20"/>
          <w:szCs w:val="20"/>
          <w:lang w:val="es-ES_tradnl"/>
        </w:rPr>
        <w:t>ambos</w:t>
      </w:r>
      <w:r w:rsidRPr="00DB6FD7">
        <w:rPr>
          <w:rFonts w:asciiTheme="majorHAnsi" w:hAnsiTheme="majorHAnsi"/>
          <w:sz w:val="20"/>
          <w:szCs w:val="20"/>
          <w:lang w:val="es-ES_tradnl"/>
        </w:rPr>
        <w:t xml:space="preserve"> fueron detenidos e interrogados</w:t>
      </w:r>
      <w:r>
        <w:rPr>
          <w:rFonts w:asciiTheme="majorHAnsi" w:hAnsiTheme="majorHAnsi"/>
          <w:sz w:val="20"/>
          <w:szCs w:val="20"/>
          <w:lang w:val="es-ES_tradnl"/>
        </w:rPr>
        <w:t>. Se les impuso</w:t>
      </w:r>
      <w:r w:rsidRPr="00DB6FD7">
        <w:rPr>
          <w:rFonts w:asciiTheme="majorHAnsi" w:hAnsiTheme="majorHAnsi"/>
          <w:sz w:val="20"/>
          <w:szCs w:val="20"/>
          <w:lang w:val="es-ES_tradnl"/>
        </w:rPr>
        <w:t xml:space="preserve"> una pena de 30 días de arresto por violación del edicto que prohibía las reuniones públicas y por razones de seguridad pública</w:t>
      </w:r>
      <w:r>
        <w:rPr>
          <w:rFonts w:asciiTheme="majorHAnsi" w:hAnsiTheme="majorHAnsi"/>
          <w:sz w:val="20"/>
          <w:szCs w:val="20"/>
          <w:lang w:val="es-ES_tradnl"/>
        </w:rPr>
        <w:t xml:space="preserve">. La presunta víctima </w:t>
      </w:r>
      <w:r w:rsidRPr="00DB6FD7">
        <w:rPr>
          <w:rFonts w:asciiTheme="majorHAnsi" w:hAnsiTheme="majorHAnsi"/>
          <w:sz w:val="20"/>
          <w:szCs w:val="20"/>
          <w:lang w:val="es-ES_tradnl"/>
        </w:rPr>
        <w:t>fue conducid</w:t>
      </w:r>
      <w:r>
        <w:rPr>
          <w:rFonts w:asciiTheme="majorHAnsi" w:hAnsiTheme="majorHAnsi"/>
          <w:sz w:val="20"/>
          <w:szCs w:val="20"/>
          <w:lang w:val="es-ES_tradnl"/>
        </w:rPr>
        <w:t>a</w:t>
      </w:r>
      <w:r w:rsidRPr="00DB6FD7">
        <w:rPr>
          <w:rFonts w:asciiTheme="majorHAnsi" w:hAnsiTheme="majorHAnsi"/>
          <w:sz w:val="20"/>
          <w:szCs w:val="20"/>
          <w:lang w:val="es-ES_tradnl"/>
        </w:rPr>
        <w:t xml:space="preserve"> a la cárcel de Villa Devoto y </w:t>
      </w:r>
      <w:r>
        <w:rPr>
          <w:rFonts w:asciiTheme="majorHAnsi" w:hAnsiTheme="majorHAnsi"/>
          <w:sz w:val="20"/>
          <w:szCs w:val="20"/>
          <w:lang w:val="es-ES_tradnl"/>
        </w:rPr>
        <w:t>su esposa</w:t>
      </w:r>
      <w:r w:rsidRPr="00DB6FD7">
        <w:rPr>
          <w:rFonts w:asciiTheme="majorHAnsi" w:hAnsiTheme="majorHAnsi"/>
          <w:sz w:val="20"/>
          <w:szCs w:val="20"/>
          <w:lang w:val="es-ES_tradnl"/>
        </w:rPr>
        <w:t xml:space="preserve"> a la cárcel de San Miguel, donde estuvieron aproximadamente quince días</w:t>
      </w:r>
      <w:r>
        <w:rPr>
          <w:rFonts w:asciiTheme="majorHAnsi" w:hAnsiTheme="majorHAnsi"/>
          <w:sz w:val="20"/>
          <w:szCs w:val="20"/>
          <w:lang w:val="es-ES_tradnl"/>
        </w:rPr>
        <w:t>.</w:t>
      </w:r>
      <w:r w:rsidRPr="00DB6FD7">
        <w:rPr>
          <w:rFonts w:asciiTheme="majorHAnsi" w:hAnsiTheme="majorHAnsi"/>
          <w:sz w:val="20"/>
          <w:szCs w:val="20"/>
          <w:lang w:val="es-ES_tradnl"/>
        </w:rPr>
        <w:t xml:space="preserve"> </w:t>
      </w:r>
      <w:r>
        <w:rPr>
          <w:rFonts w:asciiTheme="majorHAnsi" w:hAnsiTheme="majorHAnsi"/>
          <w:sz w:val="20"/>
          <w:szCs w:val="20"/>
          <w:lang w:val="es-ES_tradnl"/>
        </w:rPr>
        <w:t>D</w:t>
      </w:r>
      <w:r w:rsidRPr="00DB6FD7">
        <w:rPr>
          <w:rFonts w:asciiTheme="majorHAnsi" w:hAnsiTheme="majorHAnsi"/>
          <w:sz w:val="20"/>
          <w:szCs w:val="20"/>
          <w:lang w:val="es-ES_tradnl"/>
        </w:rPr>
        <w:t>espués de su liberación, fueron allanadas las pensiones donde vivían y se vieron forzados a cambiar de domicilio repetidas veces con el propósito de proteger sus vidas</w:t>
      </w:r>
      <w:r>
        <w:rPr>
          <w:rFonts w:asciiTheme="majorHAnsi" w:hAnsiTheme="majorHAnsi"/>
          <w:sz w:val="20"/>
          <w:szCs w:val="20"/>
          <w:lang w:val="es-ES_tradnl"/>
        </w:rPr>
        <w:t>. A</w:t>
      </w:r>
      <w:r w:rsidRPr="00DB6FD7">
        <w:rPr>
          <w:rFonts w:asciiTheme="majorHAnsi" w:hAnsiTheme="majorHAnsi"/>
          <w:sz w:val="20"/>
          <w:szCs w:val="20"/>
          <w:lang w:val="es-ES_tradnl"/>
        </w:rPr>
        <w:t xml:space="preserve"> continuación</w:t>
      </w:r>
      <w:r>
        <w:rPr>
          <w:rFonts w:asciiTheme="majorHAnsi" w:hAnsiTheme="majorHAnsi"/>
          <w:sz w:val="20"/>
          <w:szCs w:val="20"/>
          <w:lang w:val="es-ES_tradnl"/>
        </w:rPr>
        <w:t>,</w:t>
      </w:r>
      <w:r w:rsidRPr="00DB6FD7">
        <w:rPr>
          <w:rFonts w:asciiTheme="majorHAnsi" w:hAnsiTheme="majorHAnsi"/>
          <w:sz w:val="20"/>
          <w:szCs w:val="20"/>
          <w:lang w:val="es-ES_tradnl"/>
        </w:rPr>
        <w:t xml:space="preserve"> solicitaron el amparo del Alto Comisionado de las Naciones Unidas para los Refugiados (ACNUR)</w:t>
      </w:r>
      <w:r>
        <w:rPr>
          <w:rFonts w:asciiTheme="majorHAnsi" w:hAnsiTheme="majorHAnsi"/>
          <w:sz w:val="20"/>
          <w:szCs w:val="20"/>
          <w:lang w:val="es-ES_tradnl"/>
        </w:rPr>
        <w:t>, y</w:t>
      </w:r>
      <w:r w:rsidRPr="00DB6FD7">
        <w:rPr>
          <w:rFonts w:asciiTheme="majorHAnsi" w:hAnsiTheme="majorHAnsi"/>
          <w:sz w:val="20"/>
          <w:szCs w:val="20"/>
          <w:lang w:val="es-ES_tradnl"/>
        </w:rPr>
        <w:t xml:space="preserve"> permanecieron en un refugio en la ciudad de Buenos Aires</w:t>
      </w:r>
      <w:r>
        <w:rPr>
          <w:rFonts w:asciiTheme="majorHAnsi" w:hAnsiTheme="majorHAnsi"/>
          <w:sz w:val="20"/>
          <w:szCs w:val="20"/>
          <w:lang w:val="es-ES_tradnl"/>
        </w:rPr>
        <w:t>.</w:t>
      </w:r>
      <w:r w:rsidRPr="00DB6FD7">
        <w:rPr>
          <w:rFonts w:asciiTheme="majorHAnsi" w:hAnsiTheme="majorHAnsi"/>
          <w:sz w:val="20"/>
          <w:szCs w:val="20"/>
          <w:lang w:val="es-ES_tradnl"/>
        </w:rPr>
        <w:t xml:space="preserve"> </w:t>
      </w:r>
      <w:r>
        <w:rPr>
          <w:rFonts w:asciiTheme="majorHAnsi" w:hAnsiTheme="majorHAnsi"/>
          <w:sz w:val="20"/>
          <w:szCs w:val="20"/>
          <w:lang w:val="es-ES_tradnl"/>
        </w:rPr>
        <w:t>En</w:t>
      </w:r>
      <w:r w:rsidRPr="00DB6FD7">
        <w:rPr>
          <w:rFonts w:asciiTheme="majorHAnsi" w:hAnsiTheme="majorHAnsi"/>
          <w:sz w:val="20"/>
          <w:szCs w:val="20"/>
          <w:lang w:val="es-ES_tradnl"/>
        </w:rPr>
        <w:t xml:space="preserve"> febrero de 1975, fuerzas policiales allanaron el recinto, ignoraron que se trataba de un refugio que contaba con el apoyo de las Naciones Unidas, llevaron a dos ciudadanos chilenos y a dos uruguayos por la fuerza y amenazaron de muerte a los demás</w:t>
      </w:r>
      <w:r>
        <w:rPr>
          <w:rFonts w:asciiTheme="majorHAnsi" w:hAnsiTheme="majorHAnsi"/>
          <w:sz w:val="20"/>
          <w:szCs w:val="20"/>
          <w:lang w:val="es-ES_tradnl"/>
        </w:rPr>
        <w:t>.</w:t>
      </w:r>
      <w:r w:rsidRPr="00DB6FD7">
        <w:rPr>
          <w:rFonts w:asciiTheme="majorHAnsi" w:hAnsiTheme="majorHAnsi"/>
          <w:sz w:val="20"/>
          <w:szCs w:val="20"/>
          <w:lang w:val="es-ES_tradnl"/>
        </w:rPr>
        <w:t xml:space="preserve"> </w:t>
      </w:r>
      <w:r>
        <w:rPr>
          <w:rFonts w:asciiTheme="majorHAnsi" w:hAnsiTheme="majorHAnsi"/>
          <w:sz w:val="20"/>
          <w:szCs w:val="20"/>
          <w:lang w:val="es-ES_tradnl"/>
        </w:rPr>
        <w:t>A</w:t>
      </w:r>
      <w:r w:rsidRPr="00DB6FD7">
        <w:rPr>
          <w:rFonts w:asciiTheme="majorHAnsi" w:hAnsiTheme="majorHAnsi"/>
          <w:sz w:val="20"/>
          <w:szCs w:val="20"/>
          <w:lang w:val="es-ES_tradnl"/>
        </w:rPr>
        <w:t xml:space="preserve">l día siguiente la </w:t>
      </w:r>
      <w:r>
        <w:rPr>
          <w:rFonts w:asciiTheme="majorHAnsi" w:hAnsiTheme="majorHAnsi"/>
          <w:sz w:val="20"/>
          <w:szCs w:val="20"/>
          <w:lang w:val="es-ES_tradnl"/>
        </w:rPr>
        <w:t>presunta víctima</w:t>
      </w:r>
      <w:r w:rsidRPr="00DB6FD7">
        <w:rPr>
          <w:rFonts w:asciiTheme="majorHAnsi" w:hAnsiTheme="majorHAnsi"/>
          <w:sz w:val="20"/>
          <w:szCs w:val="20"/>
          <w:lang w:val="es-ES_tradnl"/>
        </w:rPr>
        <w:t xml:space="preserve"> denunció </w:t>
      </w:r>
      <w:r>
        <w:rPr>
          <w:rFonts w:asciiTheme="majorHAnsi" w:hAnsiTheme="majorHAnsi"/>
          <w:sz w:val="20"/>
          <w:szCs w:val="20"/>
          <w:lang w:val="es-ES_tradnl"/>
        </w:rPr>
        <w:t>lo</w:t>
      </w:r>
      <w:r w:rsidRPr="00DB6FD7">
        <w:rPr>
          <w:rFonts w:asciiTheme="majorHAnsi" w:hAnsiTheme="majorHAnsi"/>
          <w:sz w:val="20"/>
          <w:szCs w:val="20"/>
          <w:lang w:val="es-ES_tradnl"/>
        </w:rPr>
        <w:t xml:space="preserve"> ocurrido </w:t>
      </w:r>
      <w:r>
        <w:rPr>
          <w:rFonts w:asciiTheme="majorHAnsi" w:hAnsiTheme="majorHAnsi"/>
          <w:sz w:val="20"/>
          <w:szCs w:val="20"/>
          <w:lang w:val="es-ES_tradnl"/>
        </w:rPr>
        <w:t>al Representante de ACNUR</w:t>
      </w:r>
      <w:r w:rsidRPr="00DB6FD7">
        <w:rPr>
          <w:rFonts w:asciiTheme="majorHAnsi" w:hAnsiTheme="majorHAnsi"/>
          <w:sz w:val="20"/>
          <w:szCs w:val="20"/>
          <w:lang w:val="es-ES_tradnl"/>
        </w:rPr>
        <w:t>, qu</w:t>
      </w:r>
      <w:r>
        <w:rPr>
          <w:rFonts w:asciiTheme="majorHAnsi" w:hAnsiTheme="majorHAnsi"/>
          <w:sz w:val="20"/>
          <w:szCs w:val="20"/>
          <w:lang w:val="es-ES_tradnl"/>
        </w:rPr>
        <w:t>e</w:t>
      </w:r>
      <w:r w:rsidRPr="00DB6FD7">
        <w:rPr>
          <w:rFonts w:asciiTheme="majorHAnsi" w:hAnsiTheme="majorHAnsi"/>
          <w:sz w:val="20"/>
          <w:szCs w:val="20"/>
          <w:lang w:val="es-ES_tradnl"/>
        </w:rPr>
        <w:t xml:space="preserve"> inmediatamente concurrió a las dependencias de la Policía Federal Argentina y logró rescatar a las personas detenidas</w:t>
      </w:r>
      <w:r>
        <w:rPr>
          <w:rFonts w:asciiTheme="majorHAnsi" w:hAnsiTheme="majorHAnsi"/>
          <w:sz w:val="20"/>
          <w:szCs w:val="20"/>
          <w:lang w:val="es-ES_tradnl"/>
        </w:rPr>
        <w:t>; con esta acción probablemente evitó su desaparición forzada.</w:t>
      </w:r>
      <w:r w:rsidRPr="00DB6FD7">
        <w:rPr>
          <w:rFonts w:asciiTheme="majorHAnsi" w:hAnsiTheme="majorHAnsi"/>
          <w:sz w:val="20"/>
          <w:szCs w:val="20"/>
          <w:lang w:val="es-ES_tradnl"/>
        </w:rPr>
        <w:t xml:space="preserve"> </w:t>
      </w:r>
    </w:p>
    <w:p w14:paraId="66FA3B37" w14:textId="77777777" w:rsidR="006E557C" w:rsidRPr="002A4F3F" w:rsidRDefault="006E557C" w:rsidP="006E557C">
      <w:pPr>
        <w:pStyle w:val="ListParagraph"/>
        <w:adjustRightInd w:val="0"/>
        <w:ind w:left="0"/>
        <w:rPr>
          <w:sz w:val="20"/>
          <w:szCs w:val="20"/>
          <w:lang w:val="es-ES_tradnl"/>
        </w:rPr>
      </w:pPr>
    </w:p>
    <w:p w14:paraId="28BE9775" w14:textId="77777777" w:rsidR="006E557C" w:rsidRPr="002D7241" w:rsidRDefault="006E557C" w:rsidP="009A6972">
      <w:pPr>
        <w:pStyle w:val="ListParagraph"/>
        <w:numPr>
          <w:ilvl w:val="0"/>
          <w:numId w:val="56"/>
        </w:numPr>
        <w:ind w:left="0" w:firstLine="720"/>
        <w:jc w:val="both"/>
        <w:rPr>
          <w:rFonts w:asciiTheme="majorHAnsi" w:hAnsiTheme="majorHAnsi"/>
          <w:i/>
          <w:iCs/>
          <w:sz w:val="20"/>
          <w:szCs w:val="20"/>
          <w:lang w:val="es-ES_tradnl"/>
        </w:rPr>
      </w:pPr>
      <w:r>
        <w:rPr>
          <w:rFonts w:asciiTheme="majorHAnsi" w:hAnsiTheme="majorHAnsi"/>
          <w:sz w:val="20"/>
          <w:szCs w:val="20"/>
          <w:lang w:val="es-ES_tradnl"/>
        </w:rPr>
        <w:t>P</w:t>
      </w:r>
      <w:r w:rsidRPr="00DB6FD7">
        <w:rPr>
          <w:rFonts w:asciiTheme="majorHAnsi" w:hAnsiTheme="majorHAnsi"/>
          <w:sz w:val="20"/>
          <w:szCs w:val="20"/>
          <w:lang w:val="es-ES_tradnl"/>
        </w:rPr>
        <w:t xml:space="preserve">aralelamente, desde el arresto de 2 de junio de 1974 se </w:t>
      </w:r>
      <w:r>
        <w:rPr>
          <w:rFonts w:asciiTheme="majorHAnsi" w:hAnsiTheme="majorHAnsi"/>
          <w:sz w:val="20"/>
          <w:szCs w:val="20"/>
          <w:lang w:val="es-ES_tradnl"/>
        </w:rPr>
        <w:t>inici</w:t>
      </w:r>
      <w:r w:rsidRPr="00DB6FD7">
        <w:rPr>
          <w:rFonts w:asciiTheme="majorHAnsi" w:hAnsiTheme="majorHAnsi"/>
          <w:sz w:val="20"/>
          <w:szCs w:val="20"/>
          <w:lang w:val="es-ES_tradnl"/>
        </w:rPr>
        <w:t xml:space="preserve">ó una causa contravencional en contra de la pareja (Expediente DNM Nro. 88.833/74) </w:t>
      </w:r>
      <w:r>
        <w:rPr>
          <w:rFonts w:asciiTheme="majorHAnsi" w:hAnsiTheme="majorHAnsi"/>
          <w:sz w:val="20"/>
          <w:szCs w:val="20"/>
          <w:lang w:val="es-ES_tradnl"/>
        </w:rPr>
        <w:t xml:space="preserve">porque habrían formado </w:t>
      </w:r>
      <w:r w:rsidRPr="00DB6FD7">
        <w:rPr>
          <w:rFonts w:asciiTheme="majorHAnsi" w:hAnsiTheme="majorHAnsi"/>
          <w:sz w:val="20"/>
          <w:szCs w:val="20"/>
          <w:lang w:val="es-ES_tradnl"/>
        </w:rPr>
        <w:t xml:space="preserve">parte de una reunión no autorizada </w:t>
      </w:r>
      <w:r>
        <w:rPr>
          <w:rFonts w:asciiTheme="majorHAnsi" w:hAnsiTheme="majorHAnsi"/>
          <w:sz w:val="20"/>
          <w:szCs w:val="20"/>
          <w:lang w:val="es-ES_tradnl"/>
        </w:rPr>
        <w:t>de la que</w:t>
      </w:r>
      <w:r w:rsidRPr="00DB6FD7">
        <w:rPr>
          <w:rFonts w:asciiTheme="majorHAnsi" w:hAnsiTheme="majorHAnsi"/>
          <w:sz w:val="20"/>
          <w:szCs w:val="20"/>
          <w:lang w:val="es-ES_tradnl"/>
        </w:rPr>
        <w:t xml:space="preserve"> </w:t>
      </w:r>
      <w:r w:rsidRPr="002D7241">
        <w:rPr>
          <w:rFonts w:asciiTheme="majorHAnsi" w:hAnsiTheme="majorHAnsi"/>
          <w:sz w:val="20"/>
          <w:szCs w:val="20"/>
          <w:lang w:val="es-ES_tradnl"/>
        </w:rPr>
        <w:t>“se procedió al secuestro de abundante material ideológico de carácter subversivo, como así también carteles con inscripciones contra el gobierno uruguayo”</w:t>
      </w:r>
      <w:r>
        <w:rPr>
          <w:rFonts w:asciiTheme="majorHAnsi" w:hAnsiTheme="majorHAnsi"/>
          <w:sz w:val="20"/>
          <w:szCs w:val="20"/>
          <w:lang w:val="es-ES_tradnl"/>
        </w:rPr>
        <w:t>.</w:t>
      </w:r>
      <w:r w:rsidRPr="00DB6FD7">
        <w:rPr>
          <w:rFonts w:asciiTheme="majorHAnsi" w:hAnsiTheme="majorHAnsi"/>
          <w:sz w:val="20"/>
          <w:szCs w:val="20"/>
          <w:lang w:val="es-ES_tradnl"/>
        </w:rPr>
        <w:t xml:space="preserve"> </w:t>
      </w:r>
      <w:r>
        <w:rPr>
          <w:rFonts w:asciiTheme="majorHAnsi" w:hAnsiTheme="majorHAnsi"/>
          <w:sz w:val="20"/>
          <w:szCs w:val="20"/>
          <w:lang w:val="es-ES_tradnl"/>
        </w:rPr>
        <w:t>C</w:t>
      </w:r>
      <w:r w:rsidRPr="00DB6FD7">
        <w:rPr>
          <w:rFonts w:asciiTheme="majorHAnsi" w:hAnsiTheme="majorHAnsi"/>
          <w:sz w:val="20"/>
          <w:szCs w:val="20"/>
          <w:lang w:val="es-ES_tradnl"/>
        </w:rPr>
        <w:t>omo resultado, les fue negada la radicación y se decretó su expulsión a Uruguay</w:t>
      </w:r>
      <w:r>
        <w:rPr>
          <w:rFonts w:asciiTheme="majorHAnsi" w:hAnsiTheme="majorHAnsi"/>
          <w:sz w:val="20"/>
          <w:szCs w:val="20"/>
          <w:lang w:val="es-ES_tradnl"/>
        </w:rPr>
        <w:t>. Para</w:t>
      </w:r>
      <w:r w:rsidRPr="00DB6FD7">
        <w:rPr>
          <w:rFonts w:asciiTheme="majorHAnsi" w:hAnsiTheme="majorHAnsi"/>
          <w:sz w:val="20"/>
          <w:szCs w:val="20"/>
          <w:lang w:val="es-ES_tradnl"/>
        </w:rPr>
        <w:t xml:space="preserve"> evitar su detención y expulsión, se ocultaron precariamente hasta que </w:t>
      </w:r>
      <w:r>
        <w:rPr>
          <w:rFonts w:asciiTheme="majorHAnsi" w:hAnsiTheme="majorHAnsi"/>
          <w:sz w:val="20"/>
          <w:szCs w:val="20"/>
          <w:lang w:val="es-ES_tradnl"/>
        </w:rPr>
        <w:t xml:space="preserve">las gestiones de </w:t>
      </w:r>
      <w:r w:rsidRPr="00DB6FD7">
        <w:rPr>
          <w:rFonts w:asciiTheme="majorHAnsi" w:hAnsiTheme="majorHAnsi"/>
          <w:sz w:val="20"/>
          <w:szCs w:val="20"/>
          <w:lang w:val="es-ES_tradnl"/>
        </w:rPr>
        <w:t xml:space="preserve">ACNUR </w:t>
      </w:r>
      <w:r>
        <w:rPr>
          <w:rFonts w:asciiTheme="majorHAnsi" w:hAnsiTheme="majorHAnsi"/>
          <w:sz w:val="20"/>
          <w:szCs w:val="20"/>
          <w:lang w:val="es-ES_tradnl"/>
        </w:rPr>
        <w:t>resultaron en el otorgamiento de asilo político en</w:t>
      </w:r>
      <w:r w:rsidRPr="00DB6FD7">
        <w:rPr>
          <w:rFonts w:asciiTheme="majorHAnsi" w:hAnsiTheme="majorHAnsi"/>
          <w:sz w:val="20"/>
          <w:szCs w:val="20"/>
          <w:lang w:val="es-ES_tradnl"/>
        </w:rPr>
        <w:t xml:space="preserve"> Suecia</w:t>
      </w:r>
      <w:r>
        <w:rPr>
          <w:rFonts w:asciiTheme="majorHAnsi" w:hAnsiTheme="majorHAnsi"/>
          <w:sz w:val="20"/>
          <w:szCs w:val="20"/>
          <w:lang w:val="es-ES_tradnl"/>
        </w:rPr>
        <w:t>. La pareja se trasladó rumbo a dicho país</w:t>
      </w:r>
      <w:r w:rsidRPr="00DB6FD7">
        <w:rPr>
          <w:rFonts w:asciiTheme="majorHAnsi" w:hAnsiTheme="majorHAnsi"/>
          <w:sz w:val="20"/>
          <w:szCs w:val="20"/>
          <w:lang w:val="es-ES_tradnl"/>
        </w:rPr>
        <w:t xml:space="preserve"> el 28 de febrero de 1975, luego de </w:t>
      </w:r>
      <w:r>
        <w:rPr>
          <w:rFonts w:asciiTheme="majorHAnsi" w:hAnsiTheme="majorHAnsi"/>
          <w:sz w:val="20"/>
          <w:szCs w:val="20"/>
          <w:lang w:val="es-ES_tradnl"/>
        </w:rPr>
        <w:t xml:space="preserve">lograr </w:t>
      </w:r>
      <w:r w:rsidRPr="00DB6FD7">
        <w:rPr>
          <w:rFonts w:asciiTheme="majorHAnsi" w:hAnsiTheme="majorHAnsi"/>
          <w:sz w:val="20"/>
          <w:szCs w:val="20"/>
          <w:lang w:val="es-ES_tradnl"/>
        </w:rPr>
        <w:t xml:space="preserve">su salida del país </w:t>
      </w:r>
      <w:r>
        <w:rPr>
          <w:rFonts w:asciiTheme="majorHAnsi" w:hAnsiTheme="majorHAnsi"/>
          <w:sz w:val="20"/>
          <w:szCs w:val="20"/>
          <w:lang w:val="es-ES_tradnl"/>
        </w:rPr>
        <w:t>mediante la intervención de</w:t>
      </w:r>
      <w:r w:rsidRPr="00DB6FD7">
        <w:rPr>
          <w:rFonts w:asciiTheme="majorHAnsi" w:hAnsiTheme="majorHAnsi"/>
          <w:sz w:val="20"/>
          <w:szCs w:val="20"/>
          <w:lang w:val="es-ES_tradnl"/>
        </w:rPr>
        <w:t xml:space="preserve"> la Comisión Católica, que logró que se levantara por dos horas la orden de captura de ellos</w:t>
      </w:r>
      <w:r>
        <w:rPr>
          <w:rFonts w:asciiTheme="majorHAnsi" w:hAnsiTheme="majorHAnsi"/>
          <w:sz w:val="20"/>
          <w:szCs w:val="20"/>
          <w:lang w:val="es-ES_tradnl"/>
        </w:rPr>
        <w:t>;</w:t>
      </w:r>
      <w:r w:rsidRPr="00DB6FD7">
        <w:rPr>
          <w:rFonts w:asciiTheme="majorHAnsi" w:hAnsiTheme="majorHAnsi"/>
          <w:sz w:val="20"/>
          <w:szCs w:val="20"/>
          <w:lang w:val="es-ES_tradnl"/>
        </w:rPr>
        <w:t xml:space="preserve"> en ese momento, la </w:t>
      </w:r>
      <w:r>
        <w:rPr>
          <w:rFonts w:asciiTheme="majorHAnsi" w:hAnsiTheme="majorHAnsi"/>
          <w:sz w:val="20"/>
          <w:szCs w:val="20"/>
          <w:lang w:val="es-ES_tradnl"/>
        </w:rPr>
        <w:t>presunta víctima</w:t>
      </w:r>
      <w:r w:rsidRPr="00DB6FD7">
        <w:rPr>
          <w:rFonts w:asciiTheme="majorHAnsi" w:hAnsiTheme="majorHAnsi"/>
          <w:sz w:val="20"/>
          <w:szCs w:val="20"/>
          <w:lang w:val="es-ES_tradnl"/>
        </w:rPr>
        <w:t xml:space="preserve"> estaba embarazada de seis meses</w:t>
      </w:r>
      <w:r>
        <w:rPr>
          <w:rFonts w:asciiTheme="majorHAnsi" w:hAnsiTheme="majorHAnsi"/>
          <w:sz w:val="20"/>
          <w:szCs w:val="20"/>
          <w:lang w:val="es-ES_tradnl"/>
        </w:rPr>
        <w:t>.</w:t>
      </w:r>
      <w:r w:rsidRPr="00DB6FD7">
        <w:rPr>
          <w:rFonts w:asciiTheme="majorHAnsi" w:hAnsiTheme="majorHAnsi"/>
          <w:sz w:val="20"/>
          <w:szCs w:val="20"/>
          <w:lang w:val="es-ES_tradnl"/>
        </w:rPr>
        <w:t xml:space="preserve"> </w:t>
      </w:r>
      <w:r>
        <w:rPr>
          <w:rFonts w:asciiTheme="majorHAnsi" w:hAnsiTheme="majorHAnsi"/>
          <w:sz w:val="20"/>
          <w:szCs w:val="20"/>
          <w:lang w:val="es-ES_tradnl"/>
        </w:rPr>
        <w:t>La</w:t>
      </w:r>
      <w:r w:rsidRPr="00DB6FD7">
        <w:rPr>
          <w:rFonts w:asciiTheme="majorHAnsi" w:hAnsiTheme="majorHAnsi"/>
          <w:sz w:val="20"/>
          <w:szCs w:val="20"/>
          <w:lang w:val="es-ES_tradnl"/>
        </w:rPr>
        <w:t xml:space="preserve"> familia sólo regresaría a Argentina el 10 de enero de 1983.</w:t>
      </w:r>
    </w:p>
    <w:p w14:paraId="32C51B40" w14:textId="77777777" w:rsidR="006E557C" w:rsidRPr="002A4F3F" w:rsidRDefault="006E557C" w:rsidP="006E557C">
      <w:pPr>
        <w:rPr>
          <w:sz w:val="20"/>
          <w:szCs w:val="20"/>
          <w:lang w:val="es-ES_tradnl"/>
        </w:rPr>
      </w:pPr>
    </w:p>
    <w:p w14:paraId="4EB3457C" w14:textId="77777777" w:rsidR="006E557C" w:rsidRPr="00C5491B" w:rsidRDefault="006E557C"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5491B">
        <w:rPr>
          <w:rFonts w:asciiTheme="majorHAnsi" w:hAnsiTheme="majorHAnsi"/>
          <w:sz w:val="20"/>
          <w:szCs w:val="20"/>
          <w:lang w:val="es-ES_tradnl"/>
        </w:rPr>
        <w:t xml:space="preserve">Años después, en 1998, la presunta víctima </w:t>
      </w:r>
      <w:r>
        <w:rPr>
          <w:rFonts w:asciiTheme="majorHAnsi" w:hAnsiTheme="majorHAnsi"/>
          <w:sz w:val="20"/>
          <w:szCs w:val="20"/>
          <w:lang w:val="es-ES_tradnl"/>
        </w:rPr>
        <w:t xml:space="preserve">presentó una solicitud de reparaciones </w:t>
      </w:r>
      <w:r w:rsidRPr="00C5491B">
        <w:rPr>
          <w:rFonts w:asciiTheme="majorHAnsi" w:hAnsiTheme="majorHAnsi"/>
          <w:sz w:val="20"/>
          <w:szCs w:val="20"/>
          <w:lang w:val="es-ES_tradnl"/>
        </w:rPr>
        <w:t>en el marco de la Ley 24.043</w:t>
      </w:r>
      <w:r>
        <w:rPr>
          <w:rStyle w:val="FootnoteReference"/>
          <w:rFonts w:asciiTheme="majorHAnsi" w:hAnsiTheme="majorHAnsi"/>
          <w:sz w:val="20"/>
          <w:szCs w:val="20"/>
        </w:rPr>
        <w:footnoteReference w:id="2"/>
      </w:r>
      <w:r w:rsidRPr="00C5491B">
        <w:rPr>
          <w:rFonts w:asciiTheme="majorHAnsi" w:hAnsiTheme="majorHAnsi"/>
          <w:sz w:val="20"/>
          <w:szCs w:val="20"/>
          <w:lang w:val="es-ES_tradnl"/>
        </w:rPr>
        <w:t xml:space="preserve">, que fue rechazada el 16 de septiembre de 2008 </w:t>
      </w:r>
      <w:r>
        <w:rPr>
          <w:rFonts w:asciiTheme="majorHAnsi" w:hAnsiTheme="majorHAnsi"/>
          <w:sz w:val="20"/>
          <w:szCs w:val="20"/>
          <w:lang w:val="es-ES_tradnl"/>
        </w:rPr>
        <w:t>por la R</w:t>
      </w:r>
      <w:r w:rsidRPr="00C5491B">
        <w:rPr>
          <w:rFonts w:asciiTheme="majorHAnsi" w:hAnsiTheme="majorHAnsi"/>
          <w:sz w:val="20"/>
          <w:szCs w:val="20"/>
          <w:lang w:val="es-ES_tradnl"/>
        </w:rPr>
        <w:t>esolución No. 2665/08</w:t>
      </w:r>
      <w:r>
        <w:rPr>
          <w:rFonts w:asciiTheme="majorHAnsi" w:hAnsiTheme="majorHAnsi"/>
          <w:sz w:val="20"/>
          <w:szCs w:val="20"/>
          <w:lang w:val="es-ES_tradnl"/>
        </w:rPr>
        <w:t>, pues</w:t>
      </w:r>
      <w:r w:rsidRPr="00C5491B">
        <w:rPr>
          <w:rFonts w:asciiTheme="majorHAnsi" w:hAnsiTheme="majorHAnsi"/>
          <w:sz w:val="20"/>
          <w:szCs w:val="20"/>
          <w:lang w:val="es-ES_tradnl"/>
        </w:rPr>
        <w:t xml:space="preserve"> se consideró que no estaban acreditados los requisitos </w:t>
      </w:r>
      <w:r>
        <w:rPr>
          <w:rFonts w:asciiTheme="majorHAnsi" w:hAnsiTheme="majorHAnsi"/>
          <w:sz w:val="20"/>
          <w:szCs w:val="20"/>
          <w:lang w:val="es-ES_tradnl"/>
        </w:rPr>
        <w:t>legales</w:t>
      </w:r>
      <w:r w:rsidRPr="00C5491B">
        <w:rPr>
          <w:rFonts w:asciiTheme="majorHAnsi" w:hAnsiTheme="majorHAnsi"/>
          <w:sz w:val="20"/>
          <w:szCs w:val="20"/>
          <w:lang w:val="es-ES_tradnl"/>
        </w:rPr>
        <w:t>. Contra el rechazo</w:t>
      </w:r>
      <w:r>
        <w:rPr>
          <w:rFonts w:asciiTheme="majorHAnsi" w:hAnsiTheme="majorHAnsi"/>
          <w:sz w:val="20"/>
          <w:szCs w:val="20"/>
          <w:lang w:val="es-ES_tradnl"/>
        </w:rPr>
        <w:t>,</w:t>
      </w:r>
      <w:r w:rsidRPr="00C5491B">
        <w:rPr>
          <w:rFonts w:asciiTheme="majorHAnsi" w:hAnsiTheme="majorHAnsi"/>
          <w:sz w:val="20"/>
          <w:szCs w:val="20"/>
          <w:lang w:val="es-ES_tradnl"/>
        </w:rPr>
        <w:t xml:space="preserve"> la presunta víctima interpuso el 7 de octubre de 2008</w:t>
      </w:r>
      <w:r>
        <w:rPr>
          <w:rFonts w:asciiTheme="majorHAnsi" w:hAnsiTheme="majorHAnsi"/>
          <w:sz w:val="20"/>
          <w:szCs w:val="20"/>
          <w:lang w:val="es-ES_tradnl"/>
        </w:rPr>
        <w:t xml:space="preserve"> un</w:t>
      </w:r>
      <w:r w:rsidRPr="00C5491B">
        <w:rPr>
          <w:rFonts w:asciiTheme="majorHAnsi" w:hAnsiTheme="majorHAnsi"/>
          <w:sz w:val="20"/>
          <w:szCs w:val="20"/>
          <w:lang w:val="es-ES_tradnl"/>
        </w:rPr>
        <w:t xml:space="preserve"> recurso ante la Cámara Nacional de Apelaciones en lo Contencioso Administrativo Federal</w:t>
      </w:r>
      <w:r>
        <w:rPr>
          <w:rFonts w:asciiTheme="majorHAnsi" w:hAnsiTheme="majorHAnsi"/>
          <w:sz w:val="20"/>
          <w:szCs w:val="20"/>
          <w:lang w:val="es-ES_tradnl"/>
        </w:rPr>
        <w:t>,</w:t>
      </w:r>
      <w:r w:rsidRPr="00C5491B">
        <w:rPr>
          <w:rFonts w:asciiTheme="majorHAnsi" w:hAnsiTheme="majorHAnsi"/>
          <w:sz w:val="20"/>
          <w:szCs w:val="20"/>
          <w:lang w:val="es-ES_tradnl"/>
        </w:rPr>
        <w:t xml:space="preserve"> </w:t>
      </w:r>
      <w:r>
        <w:rPr>
          <w:rFonts w:asciiTheme="majorHAnsi" w:hAnsiTheme="majorHAnsi"/>
          <w:sz w:val="20"/>
          <w:szCs w:val="20"/>
          <w:lang w:val="es-ES_tradnl"/>
        </w:rPr>
        <w:t xml:space="preserve">que </w:t>
      </w:r>
      <w:r w:rsidRPr="00C5491B">
        <w:rPr>
          <w:rFonts w:asciiTheme="majorHAnsi" w:hAnsiTheme="majorHAnsi"/>
          <w:sz w:val="20"/>
          <w:szCs w:val="20"/>
          <w:lang w:val="es-ES_tradnl"/>
        </w:rPr>
        <w:t>fue desestimado el 2 de julio de 2009</w:t>
      </w:r>
      <w:r>
        <w:rPr>
          <w:rFonts w:asciiTheme="majorHAnsi" w:hAnsiTheme="majorHAnsi"/>
          <w:sz w:val="20"/>
          <w:szCs w:val="20"/>
          <w:lang w:val="es-ES_tradnl"/>
        </w:rPr>
        <w:t xml:space="preserve"> </w:t>
      </w:r>
      <w:r w:rsidRPr="00C5491B">
        <w:rPr>
          <w:rFonts w:asciiTheme="majorHAnsi" w:hAnsiTheme="majorHAnsi"/>
          <w:sz w:val="20"/>
          <w:szCs w:val="20"/>
          <w:lang w:val="es-ES_tradnl"/>
        </w:rPr>
        <w:t>por la Sala II del citad</w:t>
      </w:r>
      <w:r>
        <w:rPr>
          <w:rFonts w:asciiTheme="majorHAnsi" w:hAnsiTheme="majorHAnsi"/>
          <w:sz w:val="20"/>
          <w:szCs w:val="20"/>
          <w:lang w:val="es-ES_tradnl"/>
        </w:rPr>
        <w:t>o tribunal</w:t>
      </w:r>
      <w:r w:rsidRPr="00C5491B">
        <w:rPr>
          <w:rFonts w:asciiTheme="majorHAnsi" w:hAnsiTheme="majorHAnsi"/>
          <w:sz w:val="20"/>
          <w:szCs w:val="20"/>
          <w:lang w:val="es-ES_tradnl"/>
        </w:rPr>
        <w:t xml:space="preserve">. Contra dicha decisión, el 4 de noviembre de 2009 la </w:t>
      </w:r>
      <w:r>
        <w:rPr>
          <w:rFonts w:asciiTheme="majorHAnsi" w:hAnsiTheme="majorHAnsi"/>
          <w:sz w:val="20"/>
          <w:szCs w:val="20"/>
          <w:lang w:val="es-ES_tradnl"/>
        </w:rPr>
        <w:t>presunta víctima</w:t>
      </w:r>
      <w:r w:rsidRPr="00C5491B">
        <w:rPr>
          <w:rFonts w:asciiTheme="majorHAnsi" w:hAnsiTheme="majorHAnsi"/>
          <w:sz w:val="20"/>
          <w:szCs w:val="20"/>
          <w:lang w:val="es-ES_tradnl"/>
        </w:rPr>
        <w:t xml:space="preserve"> interpuso </w:t>
      </w:r>
      <w:r>
        <w:rPr>
          <w:rFonts w:asciiTheme="majorHAnsi" w:hAnsiTheme="majorHAnsi"/>
          <w:sz w:val="20"/>
          <w:szCs w:val="20"/>
          <w:lang w:val="es-ES_tradnl"/>
        </w:rPr>
        <w:t xml:space="preserve">un </w:t>
      </w:r>
      <w:r w:rsidRPr="00C5491B">
        <w:rPr>
          <w:rFonts w:asciiTheme="majorHAnsi" w:hAnsiTheme="majorHAnsi"/>
          <w:sz w:val="20"/>
          <w:szCs w:val="20"/>
          <w:lang w:val="es-ES_tradnl"/>
        </w:rPr>
        <w:t>recurso extraordinario federal ante la Corte Suprema de Justicia de la Nación (</w:t>
      </w:r>
      <w:r>
        <w:rPr>
          <w:rFonts w:asciiTheme="majorHAnsi" w:hAnsiTheme="majorHAnsi"/>
          <w:sz w:val="20"/>
          <w:szCs w:val="20"/>
          <w:lang w:val="es-ES_tradnl"/>
        </w:rPr>
        <w:t>“</w:t>
      </w:r>
      <w:r w:rsidRPr="00C5491B">
        <w:rPr>
          <w:rFonts w:asciiTheme="majorHAnsi" w:hAnsiTheme="majorHAnsi"/>
          <w:sz w:val="20"/>
          <w:szCs w:val="20"/>
          <w:lang w:val="es-ES_tradnl"/>
        </w:rPr>
        <w:t>CSJN</w:t>
      </w:r>
      <w:r>
        <w:rPr>
          <w:rFonts w:asciiTheme="majorHAnsi" w:hAnsiTheme="majorHAnsi"/>
          <w:sz w:val="20"/>
          <w:szCs w:val="20"/>
          <w:lang w:val="es-ES_tradnl"/>
        </w:rPr>
        <w:t>”</w:t>
      </w:r>
      <w:r w:rsidRPr="00C5491B">
        <w:rPr>
          <w:rFonts w:asciiTheme="majorHAnsi" w:hAnsiTheme="majorHAnsi"/>
          <w:sz w:val="20"/>
          <w:szCs w:val="20"/>
          <w:lang w:val="es-ES_tradnl"/>
        </w:rPr>
        <w:t xml:space="preserve">), </w:t>
      </w:r>
      <w:r>
        <w:rPr>
          <w:rFonts w:asciiTheme="majorHAnsi" w:hAnsiTheme="majorHAnsi"/>
          <w:sz w:val="20"/>
          <w:szCs w:val="20"/>
          <w:lang w:val="es-ES_tradnl"/>
        </w:rPr>
        <w:t xml:space="preserve">que fue </w:t>
      </w:r>
      <w:r w:rsidRPr="00C5491B">
        <w:rPr>
          <w:rFonts w:asciiTheme="majorHAnsi" w:hAnsiTheme="majorHAnsi"/>
          <w:sz w:val="20"/>
          <w:szCs w:val="20"/>
          <w:lang w:val="es-ES_tradnl"/>
        </w:rPr>
        <w:t>rechazad</w:t>
      </w:r>
      <w:r>
        <w:rPr>
          <w:rFonts w:asciiTheme="majorHAnsi" w:hAnsiTheme="majorHAnsi"/>
          <w:sz w:val="20"/>
          <w:szCs w:val="20"/>
          <w:lang w:val="es-ES_tradnl"/>
        </w:rPr>
        <w:t>o</w:t>
      </w:r>
      <w:r w:rsidRPr="00C5491B">
        <w:rPr>
          <w:rFonts w:asciiTheme="majorHAnsi" w:hAnsiTheme="majorHAnsi"/>
          <w:sz w:val="20"/>
          <w:szCs w:val="20"/>
          <w:lang w:val="es-ES_tradnl"/>
        </w:rPr>
        <w:t xml:space="preserve"> el 23 de febrero de 2010</w:t>
      </w:r>
      <w:r>
        <w:rPr>
          <w:rFonts w:asciiTheme="majorHAnsi" w:hAnsiTheme="majorHAnsi"/>
          <w:sz w:val="20"/>
          <w:szCs w:val="20"/>
          <w:lang w:val="es-ES_tradnl"/>
        </w:rPr>
        <w:t>. E</w:t>
      </w:r>
      <w:r w:rsidRPr="00C5491B">
        <w:rPr>
          <w:rFonts w:asciiTheme="majorHAnsi" w:hAnsiTheme="majorHAnsi"/>
          <w:sz w:val="20"/>
          <w:szCs w:val="20"/>
          <w:lang w:val="es-ES_tradnl"/>
        </w:rPr>
        <w:t xml:space="preserve">l 12 de marzo de 2010 presentó </w:t>
      </w:r>
      <w:r>
        <w:rPr>
          <w:rFonts w:asciiTheme="majorHAnsi" w:hAnsiTheme="majorHAnsi"/>
          <w:sz w:val="20"/>
          <w:szCs w:val="20"/>
          <w:lang w:val="es-ES_tradnl"/>
        </w:rPr>
        <w:t xml:space="preserve">un </w:t>
      </w:r>
      <w:r w:rsidRPr="00C5491B">
        <w:rPr>
          <w:rFonts w:asciiTheme="majorHAnsi" w:hAnsiTheme="majorHAnsi"/>
          <w:sz w:val="20"/>
          <w:szCs w:val="20"/>
          <w:lang w:val="es-ES_tradnl"/>
        </w:rPr>
        <w:t>recurso de queja por denegación de recurso extraordinario federal</w:t>
      </w:r>
      <w:r>
        <w:rPr>
          <w:rFonts w:asciiTheme="majorHAnsi" w:hAnsiTheme="majorHAnsi"/>
          <w:sz w:val="20"/>
          <w:szCs w:val="20"/>
          <w:lang w:val="es-ES_tradnl"/>
        </w:rPr>
        <w:t>, que fue igualmente rechazado</w:t>
      </w:r>
      <w:r w:rsidRPr="00C5491B">
        <w:rPr>
          <w:rFonts w:asciiTheme="majorHAnsi" w:hAnsiTheme="majorHAnsi"/>
          <w:sz w:val="20"/>
          <w:szCs w:val="20"/>
          <w:lang w:val="es-ES_tradnl"/>
        </w:rPr>
        <w:t xml:space="preserve"> </w:t>
      </w:r>
      <w:r>
        <w:rPr>
          <w:rFonts w:asciiTheme="majorHAnsi" w:hAnsiTheme="majorHAnsi"/>
          <w:sz w:val="20"/>
          <w:szCs w:val="20"/>
          <w:lang w:val="es-ES_tradnl"/>
        </w:rPr>
        <w:t>e</w:t>
      </w:r>
      <w:r w:rsidRPr="00C5491B">
        <w:rPr>
          <w:rFonts w:asciiTheme="majorHAnsi" w:hAnsiTheme="majorHAnsi"/>
          <w:sz w:val="20"/>
          <w:szCs w:val="20"/>
          <w:lang w:val="es-ES_tradnl"/>
        </w:rPr>
        <w:t>l 27 de septiembre de 2011</w:t>
      </w:r>
      <w:r>
        <w:rPr>
          <w:rFonts w:asciiTheme="majorHAnsi" w:hAnsiTheme="majorHAnsi"/>
          <w:sz w:val="20"/>
          <w:szCs w:val="20"/>
          <w:lang w:val="es-ES_tradnl"/>
        </w:rPr>
        <w:t>, en</w:t>
      </w:r>
      <w:r w:rsidRPr="00C5491B">
        <w:rPr>
          <w:rFonts w:asciiTheme="majorHAnsi" w:hAnsiTheme="majorHAnsi"/>
          <w:sz w:val="20"/>
          <w:szCs w:val="20"/>
          <w:lang w:val="es-ES_tradnl"/>
        </w:rPr>
        <w:t xml:space="preserve"> decisión </w:t>
      </w:r>
      <w:r>
        <w:rPr>
          <w:rFonts w:asciiTheme="majorHAnsi" w:hAnsiTheme="majorHAnsi"/>
          <w:sz w:val="20"/>
          <w:szCs w:val="20"/>
          <w:lang w:val="es-ES_tradnl"/>
        </w:rPr>
        <w:t xml:space="preserve">que </w:t>
      </w:r>
      <w:r w:rsidRPr="00C5491B">
        <w:rPr>
          <w:rFonts w:asciiTheme="majorHAnsi" w:hAnsiTheme="majorHAnsi"/>
          <w:sz w:val="20"/>
          <w:szCs w:val="20"/>
          <w:lang w:val="es-ES_tradnl"/>
        </w:rPr>
        <w:t xml:space="preserve">fue notificada el 6 de octubre de 2011. La parte peticionaria argumenta que lo resuelto por los recursos internos genera una situación de manifiesta desigualdad </w:t>
      </w:r>
      <w:r>
        <w:rPr>
          <w:rFonts w:asciiTheme="majorHAnsi" w:hAnsiTheme="majorHAnsi"/>
          <w:sz w:val="20"/>
          <w:szCs w:val="20"/>
          <w:lang w:val="es-ES_tradnl"/>
        </w:rPr>
        <w:t xml:space="preserve">ya que </w:t>
      </w:r>
      <w:r w:rsidRPr="00C5491B">
        <w:rPr>
          <w:rFonts w:asciiTheme="majorHAnsi" w:hAnsiTheme="majorHAnsi"/>
          <w:sz w:val="20"/>
          <w:szCs w:val="20"/>
          <w:lang w:val="es-ES_tradnl"/>
        </w:rPr>
        <w:t>se denieg</w:t>
      </w:r>
      <w:r>
        <w:rPr>
          <w:rFonts w:asciiTheme="majorHAnsi" w:hAnsiTheme="majorHAnsi"/>
          <w:sz w:val="20"/>
          <w:szCs w:val="20"/>
          <w:lang w:val="es-ES_tradnl"/>
        </w:rPr>
        <w:t>a</w:t>
      </w:r>
      <w:r w:rsidRPr="00C5491B">
        <w:rPr>
          <w:rFonts w:asciiTheme="majorHAnsi" w:hAnsiTheme="majorHAnsi"/>
          <w:sz w:val="20"/>
          <w:szCs w:val="20"/>
          <w:lang w:val="es-ES_tradnl"/>
        </w:rPr>
        <w:t xml:space="preserve"> a la </w:t>
      </w:r>
      <w:r>
        <w:rPr>
          <w:rFonts w:asciiTheme="majorHAnsi" w:hAnsiTheme="majorHAnsi"/>
          <w:sz w:val="20"/>
          <w:szCs w:val="20"/>
          <w:lang w:val="es-ES_tradnl"/>
        </w:rPr>
        <w:t>presunta víctima</w:t>
      </w:r>
      <w:r w:rsidRPr="00C5491B">
        <w:rPr>
          <w:rFonts w:asciiTheme="majorHAnsi" w:hAnsiTheme="majorHAnsi"/>
          <w:sz w:val="20"/>
          <w:szCs w:val="20"/>
          <w:lang w:val="es-ES_tradnl"/>
        </w:rPr>
        <w:t xml:space="preserve"> lo que se reconoció a otros perseguidos políticos que debieron exiliarse</w:t>
      </w:r>
      <w:r>
        <w:rPr>
          <w:rStyle w:val="FootnoteReference"/>
          <w:rFonts w:asciiTheme="majorHAnsi" w:hAnsiTheme="majorHAnsi"/>
          <w:sz w:val="20"/>
          <w:szCs w:val="20"/>
        </w:rPr>
        <w:footnoteReference w:id="3"/>
      </w:r>
      <w:r w:rsidRPr="00C5491B">
        <w:rPr>
          <w:rFonts w:asciiTheme="majorHAnsi" w:hAnsiTheme="majorHAnsi"/>
          <w:sz w:val="20"/>
          <w:szCs w:val="20"/>
          <w:lang w:val="es-ES_tradnl"/>
        </w:rPr>
        <w:t xml:space="preserve">. </w:t>
      </w:r>
    </w:p>
    <w:p w14:paraId="4E7D7AB7" w14:textId="77777777" w:rsidR="006E557C" w:rsidRPr="0093007E" w:rsidRDefault="006E557C" w:rsidP="006E557C">
      <w:pPr>
        <w:pStyle w:val="ListParagraph"/>
        <w:adjustRightInd w:val="0"/>
        <w:ind w:left="0"/>
        <w:rPr>
          <w:sz w:val="20"/>
          <w:szCs w:val="20"/>
          <w:lang w:val="es-ES_tradnl"/>
        </w:rPr>
      </w:pPr>
    </w:p>
    <w:p w14:paraId="3ED9A210" w14:textId="77777777" w:rsidR="006E557C" w:rsidRDefault="006E557C"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 xml:space="preserve">De su parte, el Estado alega que </w:t>
      </w:r>
      <w:r>
        <w:rPr>
          <w:rFonts w:asciiTheme="majorHAnsi" w:hAnsiTheme="majorHAnsi"/>
          <w:sz w:val="20"/>
          <w:szCs w:val="20"/>
          <w:lang w:val="es-ES_tradnl"/>
        </w:rPr>
        <w:t>la presunta víctima obtuvo</w:t>
      </w:r>
      <w:r w:rsidRPr="00DB6FD7">
        <w:rPr>
          <w:rFonts w:asciiTheme="majorHAnsi" w:hAnsiTheme="majorHAnsi"/>
          <w:sz w:val="20"/>
          <w:szCs w:val="20"/>
          <w:lang w:val="es-ES_tradnl"/>
        </w:rPr>
        <w:t xml:space="preserve"> un certificado </w:t>
      </w:r>
      <w:r>
        <w:rPr>
          <w:rFonts w:asciiTheme="majorHAnsi" w:hAnsiTheme="majorHAnsi"/>
          <w:sz w:val="20"/>
          <w:szCs w:val="20"/>
          <w:lang w:val="es-ES_tradnl"/>
        </w:rPr>
        <w:t xml:space="preserve">de </w:t>
      </w:r>
      <w:r w:rsidRPr="00DB6FD7">
        <w:rPr>
          <w:rFonts w:asciiTheme="majorHAnsi" w:hAnsiTheme="majorHAnsi"/>
          <w:sz w:val="20"/>
          <w:szCs w:val="20"/>
          <w:lang w:val="es-ES_tradnl"/>
        </w:rPr>
        <w:t>ACNUR que lo reconocía como persona bajo su mandato al 28 de febrero de 1975, “dicho reconocimiento lo fue por la persecución política de la que era objeto en su país de origen al cual debería regresar con motivo de la expulsión de la Argentina y donde era buscado por el gobierno de facto y su vida corría peligro”</w:t>
      </w:r>
      <w:r>
        <w:rPr>
          <w:rFonts w:asciiTheme="majorHAnsi" w:hAnsiTheme="majorHAnsi"/>
          <w:sz w:val="20"/>
          <w:szCs w:val="20"/>
          <w:lang w:val="es-ES_tradnl"/>
        </w:rPr>
        <w:t>,</w:t>
      </w:r>
      <w:r w:rsidRPr="00DB6FD7">
        <w:rPr>
          <w:rFonts w:asciiTheme="majorHAnsi" w:hAnsiTheme="majorHAnsi"/>
          <w:sz w:val="20"/>
          <w:szCs w:val="20"/>
          <w:lang w:val="es-ES_tradnl"/>
        </w:rPr>
        <w:t xml:space="preserve"> como </w:t>
      </w:r>
      <w:r>
        <w:rPr>
          <w:rFonts w:asciiTheme="majorHAnsi" w:hAnsiTheme="majorHAnsi"/>
          <w:sz w:val="20"/>
          <w:szCs w:val="20"/>
          <w:lang w:val="es-ES_tradnl"/>
        </w:rPr>
        <w:t xml:space="preserve">se </w:t>
      </w:r>
      <w:r w:rsidRPr="00DB6FD7">
        <w:rPr>
          <w:rFonts w:asciiTheme="majorHAnsi" w:hAnsiTheme="majorHAnsi"/>
          <w:sz w:val="20"/>
          <w:szCs w:val="20"/>
          <w:lang w:val="es-ES_tradnl"/>
        </w:rPr>
        <w:t xml:space="preserve">señala </w:t>
      </w:r>
      <w:r>
        <w:rPr>
          <w:rFonts w:asciiTheme="majorHAnsi" w:hAnsiTheme="majorHAnsi"/>
          <w:sz w:val="20"/>
          <w:szCs w:val="20"/>
          <w:lang w:val="es-ES_tradnl"/>
        </w:rPr>
        <w:t xml:space="preserve">en </w:t>
      </w:r>
      <w:r w:rsidRPr="00DB6FD7">
        <w:rPr>
          <w:rFonts w:asciiTheme="majorHAnsi" w:hAnsiTheme="majorHAnsi"/>
          <w:sz w:val="20"/>
          <w:szCs w:val="20"/>
          <w:lang w:val="es-ES_tradnl"/>
        </w:rPr>
        <w:t xml:space="preserve">el rechazo de la solicitud de reparaciones </w:t>
      </w:r>
      <w:r>
        <w:rPr>
          <w:rFonts w:asciiTheme="majorHAnsi" w:hAnsiTheme="majorHAnsi"/>
          <w:sz w:val="20"/>
          <w:szCs w:val="20"/>
          <w:lang w:val="es-ES_tradnl"/>
        </w:rPr>
        <w:t>b</w:t>
      </w:r>
      <w:r w:rsidRPr="00DB6FD7">
        <w:rPr>
          <w:rFonts w:asciiTheme="majorHAnsi" w:hAnsiTheme="majorHAnsi"/>
          <w:sz w:val="20"/>
          <w:szCs w:val="20"/>
          <w:lang w:val="es-ES_tradnl"/>
        </w:rPr>
        <w:t>ajo la Ley 24.043. En virtud de</w:t>
      </w:r>
      <w:r>
        <w:rPr>
          <w:rFonts w:asciiTheme="majorHAnsi" w:hAnsiTheme="majorHAnsi"/>
          <w:sz w:val="20"/>
          <w:szCs w:val="20"/>
          <w:lang w:val="es-ES_tradnl"/>
        </w:rPr>
        <w:t xml:space="preserve"> </w:t>
      </w:r>
      <w:r w:rsidRPr="00DB6FD7">
        <w:rPr>
          <w:rFonts w:asciiTheme="majorHAnsi" w:hAnsiTheme="majorHAnsi"/>
          <w:sz w:val="20"/>
          <w:szCs w:val="20"/>
          <w:lang w:val="es-ES_tradnl"/>
        </w:rPr>
        <w:t>l</w:t>
      </w:r>
      <w:r>
        <w:rPr>
          <w:rFonts w:asciiTheme="majorHAnsi" w:hAnsiTheme="majorHAnsi"/>
          <w:sz w:val="20"/>
          <w:szCs w:val="20"/>
          <w:lang w:val="es-ES_tradnl"/>
        </w:rPr>
        <w:t>o</w:t>
      </w:r>
      <w:r w:rsidRPr="00DB6FD7">
        <w:rPr>
          <w:rFonts w:asciiTheme="majorHAnsi" w:hAnsiTheme="majorHAnsi"/>
          <w:sz w:val="20"/>
          <w:szCs w:val="20"/>
          <w:lang w:val="es-ES_tradnl"/>
        </w:rPr>
        <w:t xml:space="preserve"> expuesto, el Estado argumenta que la situación descrita por la parte peticionaria no guard</w:t>
      </w:r>
      <w:r>
        <w:rPr>
          <w:rFonts w:asciiTheme="majorHAnsi" w:hAnsiTheme="majorHAnsi"/>
          <w:sz w:val="20"/>
          <w:szCs w:val="20"/>
          <w:lang w:val="es-ES_tradnl"/>
        </w:rPr>
        <w:t>a</w:t>
      </w:r>
      <w:r w:rsidRPr="00DB6FD7">
        <w:rPr>
          <w:rFonts w:asciiTheme="majorHAnsi" w:hAnsiTheme="majorHAnsi"/>
          <w:sz w:val="20"/>
          <w:szCs w:val="20"/>
          <w:lang w:val="es-ES_tradnl"/>
        </w:rPr>
        <w:t xml:space="preserve"> identidad sustancial con los casos que la jurisprudencia reconoció comprendidos por </w:t>
      </w:r>
      <w:r>
        <w:rPr>
          <w:rFonts w:asciiTheme="majorHAnsi" w:hAnsiTheme="majorHAnsi"/>
          <w:sz w:val="20"/>
          <w:szCs w:val="20"/>
          <w:lang w:val="es-ES_tradnl"/>
        </w:rPr>
        <w:t>dicha</w:t>
      </w:r>
      <w:r w:rsidRPr="00DB6FD7">
        <w:rPr>
          <w:rFonts w:asciiTheme="majorHAnsi" w:hAnsiTheme="majorHAnsi"/>
          <w:sz w:val="20"/>
          <w:szCs w:val="20"/>
          <w:lang w:val="es-ES_tradnl"/>
        </w:rPr>
        <w:t xml:space="preserve"> norma.</w:t>
      </w:r>
    </w:p>
    <w:p w14:paraId="3E2B02A6" w14:textId="77777777" w:rsidR="006E557C" w:rsidRPr="0093007E" w:rsidRDefault="006E557C" w:rsidP="006E557C">
      <w:pPr>
        <w:suppressAutoHyphens/>
        <w:rPr>
          <w:rFonts w:asciiTheme="majorHAnsi" w:hAnsiTheme="majorHAnsi"/>
          <w:sz w:val="20"/>
          <w:szCs w:val="20"/>
          <w:lang w:val="es-ES_tradnl"/>
        </w:rPr>
      </w:pPr>
    </w:p>
    <w:p w14:paraId="1311750C" w14:textId="77777777" w:rsidR="006E557C" w:rsidRPr="00DB6FD7" w:rsidRDefault="006E557C"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DB6FD7">
        <w:rPr>
          <w:rFonts w:asciiTheme="majorHAnsi" w:hAnsiTheme="majorHAnsi"/>
          <w:sz w:val="20"/>
          <w:szCs w:val="20"/>
          <w:lang w:val="es-ES_tradnl"/>
        </w:rPr>
        <w:t xml:space="preserve">El Estado agrega que la pretensión de la </w:t>
      </w:r>
      <w:r>
        <w:rPr>
          <w:rFonts w:asciiTheme="majorHAnsi" w:hAnsiTheme="majorHAnsi"/>
          <w:sz w:val="20"/>
          <w:szCs w:val="20"/>
          <w:lang w:val="es-ES_tradnl"/>
        </w:rPr>
        <w:t>presunta víctima no</w:t>
      </w:r>
      <w:r w:rsidRPr="00DB6FD7">
        <w:rPr>
          <w:rFonts w:asciiTheme="majorHAnsi" w:hAnsiTheme="majorHAnsi"/>
          <w:sz w:val="20"/>
          <w:szCs w:val="20"/>
          <w:lang w:val="es-ES_tradnl"/>
        </w:rPr>
        <w:t xml:space="preserve"> prosperó por considerarse que su situación no se encuadraba en </w:t>
      </w:r>
      <w:r>
        <w:rPr>
          <w:rFonts w:asciiTheme="majorHAnsi" w:hAnsiTheme="majorHAnsi"/>
          <w:sz w:val="20"/>
          <w:szCs w:val="20"/>
          <w:lang w:val="es-ES_tradnl"/>
        </w:rPr>
        <w:t>al</w:t>
      </w:r>
      <w:r w:rsidRPr="00DB6FD7">
        <w:rPr>
          <w:rFonts w:asciiTheme="majorHAnsi" w:hAnsiTheme="majorHAnsi"/>
          <w:sz w:val="20"/>
          <w:szCs w:val="20"/>
          <w:lang w:val="es-ES_tradnl"/>
        </w:rPr>
        <w:t xml:space="preserve">guna de las contempladas en la Ley 24.043. </w:t>
      </w:r>
      <w:r>
        <w:rPr>
          <w:rFonts w:asciiTheme="majorHAnsi" w:hAnsiTheme="majorHAnsi"/>
          <w:sz w:val="20"/>
          <w:szCs w:val="20"/>
          <w:lang w:val="es-ES_tradnl"/>
        </w:rPr>
        <w:t>S</w:t>
      </w:r>
      <w:r w:rsidRPr="00DB6FD7">
        <w:rPr>
          <w:rFonts w:asciiTheme="majorHAnsi" w:hAnsiTheme="majorHAnsi"/>
          <w:sz w:val="20"/>
          <w:szCs w:val="20"/>
          <w:lang w:val="es-ES_tradnl"/>
        </w:rPr>
        <w:t xml:space="preserve">obre el recurso de queja, el </w:t>
      </w:r>
      <w:r w:rsidRPr="00DB6FD7">
        <w:rPr>
          <w:rFonts w:asciiTheme="majorHAnsi" w:hAnsiTheme="majorHAnsi"/>
          <w:sz w:val="20"/>
          <w:szCs w:val="20"/>
          <w:lang w:val="es-ES_tradnl"/>
        </w:rPr>
        <w:lastRenderedPageBreak/>
        <w:t>Estado señala que la CS</w:t>
      </w:r>
      <w:r>
        <w:rPr>
          <w:rFonts w:asciiTheme="majorHAnsi" w:hAnsiTheme="majorHAnsi"/>
          <w:sz w:val="20"/>
          <w:szCs w:val="20"/>
          <w:lang w:val="es-ES_tradnl"/>
        </w:rPr>
        <w:t>JN</w:t>
      </w:r>
      <w:r w:rsidRPr="00DB6FD7">
        <w:rPr>
          <w:rFonts w:asciiTheme="majorHAnsi" w:hAnsiTheme="majorHAnsi"/>
          <w:sz w:val="20"/>
          <w:szCs w:val="20"/>
          <w:lang w:val="es-ES_tradnl"/>
        </w:rPr>
        <w:t xml:space="preserve"> lo rechazó por considerar que no refutaba a todos los fundamentos de la resolución que denegó la apertura de la vía federal. Sin embargo, la CIDH </w:t>
      </w:r>
      <w:r>
        <w:rPr>
          <w:rFonts w:asciiTheme="majorHAnsi" w:hAnsiTheme="majorHAnsi"/>
          <w:sz w:val="20"/>
          <w:szCs w:val="20"/>
          <w:lang w:val="es-ES_tradnl"/>
        </w:rPr>
        <w:t>observa</w:t>
      </w:r>
      <w:r w:rsidRPr="00DB6FD7">
        <w:rPr>
          <w:rFonts w:asciiTheme="majorHAnsi" w:hAnsiTheme="majorHAnsi"/>
          <w:sz w:val="20"/>
          <w:szCs w:val="20"/>
          <w:lang w:val="es-ES_tradnl"/>
        </w:rPr>
        <w:t xml:space="preserve"> que, según las copias del proceso judicial interno, el recurso de queja contenía una sección destinada a refutar los fundamentos que dieron sustento a la </w:t>
      </w:r>
      <w:r>
        <w:rPr>
          <w:rFonts w:asciiTheme="majorHAnsi" w:hAnsiTheme="majorHAnsi"/>
          <w:sz w:val="20"/>
          <w:szCs w:val="20"/>
          <w:lang w:val="es-ES_tradnl"/>
        </w:rPr>
        <w:t>referida r</w:t>
      </w:r>
      <w:r w:rsidRPr="00DB6FD7">
        <w:rPr>
          <w:rFonts w:asciiTheme="majorHAnsi" w:hAnsiTheme="majorHAnsi"/>
          <w:sz w:val="20"/>
          <w:szCs w:val="20"/>
          <w:lang w:val="es-ES_tradnl"/>
        </w:rPr>
        <w:t>esolución denegatoria.</w:t>
      </w:r>
    </w:p>
    <w:p w14:paraId="1984BD27" w14:textId="77777777" w:rsidR="00840AE8" w:rsidRPr="006C2D45"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F4D4171" w14:textId="07EA7712" w:rsidR="003239B8" w:rsidRPr="009125DA" w:rsidRDefault="003239B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r w:rsidRPr="009125DA">
        <w:rPr>
          <w:rFonts w:asciiTheme="majorHAnsi" w:eastAsia="Cambria" w:hAnsiTheme="majorHAnsi" w:cs="Cambria"/>
          <w:b/>
          <w:bCs/>
          <w:color w:val="000000"/>
          <w:sz w:val="20"/>
          <w:szCs w:val="20"/>
          <w:u w:color="000000"/>
          <w:lang w:val="es-ES" w:eastAsia="es-ES"/>
        </w:rPr>
        <w:t>VI.</w:t>
      </w:r>
      <w:r w:rsidRPr="009125DA">
        <w:rPr>
          <w:rFonts w:asciiTheme="majorHAnsi" w:eastAsia="Cambria" w:hAnsiTheme="majorHAnsi" w:cs="Cambria"/>
          <w:b/>
          <w:bCs/>
          <w:color w:val="000000"/>
          <w:sz w:val="20"/>
          <w:szCs w:val="20"/>
          <w:u w:color="000000"/>
          <w:lang w:val="es-ES" w:eastAsia="es-ES"/>
        </w:rPr>
        <w:tab/>
      </w:r>
      <w:r w:rsidR="0064121A" w:rsidRPr="0064121A">
        <w:rPr>
          <w:rFonts w:asciiTheme="majorHAnsi" w:hAnsiTheme="majorHAnsi"/>
          <w:b/>
          <w:bCs/>
          <w:sz w:val="20"/>
          <w:szCs w:val="20"/>
          <w:lang w:val="es-ES_tradnl"/>
        </w:rPr>
        <w:t>AGOTAMIENTO DE LOS RECURSOS INTERNOS Y PLAZO DE PRESENTACIÓN</w:t>
      </w:r>
      <w:r w:rsidR="00C21FEF" w:rsidRPr="009125DA">
        <w:rPr>
          <w:rFonts w:asciiTheme="majorHAnsi" w:eastAsia="Cambria" w:hAnsiTheme="majorHAnsi" w:cs="Cambria"/>
          <w:b/>
          <w:bCs/>
          <w:color w:val="000000"/>
          <w:sz w:val="20"/>
          <w:szCs w:val="20"/>
          <w:u w:color="000000"/>
          <w:lang w:val="es-ES" w:eastAsia="es-ES"/>
        </w:rPr>
        <w:t xml:space="preserve"> </w:t>
      </w:r>
    </w:p>
    <w:p w14:paraId="4A544841" w14:textId="77777777" w:rsid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UY"/>
        </w:rPr>
      </w:pPr>
    </w:p>
    <w:p w14:paraId="636AB073" w14:textId="77777777" w:rsidR="00EC5307" w:rsidRPr="00DB6FD7" w:rsidRDefault="00EC5307"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 xml:space="preserve">El Estado advierte a la CIDH que la petición </w:t>
      </w:r>
      <w:r>
        <w:rPr>
          <w:rFonts w:asciiTheme="majorHAnsi" w:hAnsiTheme="majorHAnsi"/>
          <w:sz w:val="20"/>
          <w:szCs w:val="20"/>
          <w:lang w:val="es-ES_tradnl"/>
        </w:rPr>
        <w:t xml:space="preserve">le </w:t>
      </w:r>
      <w:r w:rsidRPr="00DB6FD7">
        <w:rPr>
          <w:rFonts w:asciiTheme="majorHAnsi" w:hAnsiTheme="majorHAnsi"/>
          <w:sz w:val="20"/>
          <w:szCs w:val="20"/>
          <w:lang w:val="es-ES_tradnl"/>
        </w:rPr>
        <w:t>fue puesta en conocimiento muchos años después</w:t>
      </w:r>
      <w:r>
        <w:rPr>
          <w:rFonts w:asciiTheme="majorHAnsi" w:hAnsiTheme="majorHAnsi"/>
          <w:sz w:val="20"/>
          <w:szCs w:val="20"/>
          <w:lang w:val="es-ES_tradnl"/>
        </w:rPr>
        <w:t xml:space="preserve"> de su presentación</w:t>
      </w:r>
      <w:r w:rsidRPr="00DB6FD7">
        <w:rPr>
          <w:rFonts w:asciiTheme="majorHAnsi" w:hAnsiTheme="majorHAnsi"/>
          <w:sz w:val="20"/>
          <w:szCs w:val="20"/>
          <w:lang w:val="es-ES_tradnl"/>
        </w:rPr>
        <w:t>. Adicionalmente, afirma que no hubo agotamiento en buena y debida forma, porque el recurso extraordinario federal fue rechazado por defectos formales. Asimismo, que la parte peticionaria tuvo a su disposición el sistema ordinario de reparación en sede judicial, en cuyo marco podría haber intentado una acción de daños y perjuicios con el propósito de obtener una indemnización fundada en el alegado exilio forzoso, pero no hay indicios que dicha acción hubiera sido siquiera intentada; en consecuencia, no se agotaron a los recursos internos disponibles. Finalmente sostiene que la petición no observa el carácter subsidiario del sistema interamericano</w:t>
      </w:r>
      <w:r>
        <w:rPr>
          <w:rFonts w:asciiTheme="majorHAnsi" w:hAnsiTheme="majorHAnsi"/>
          <w:sz w:val="20"/>
          <w:szCs w:val="20"/>
          <w:lang w:val="es-ES_tradnl"/>
        </w:rPr>
        <w:t xml:space="preserve"> e invoca</w:t>
      </w:r>
      <w:r w:rsidRPr="00DB6FD7">
        <w:rPr>
          <w:rFonts w:asciiTheme="majorHAnsi" w:hAnsiTheme="majorHAnsi"/>
          <w:sz w:val="20"/>
          <w:szCs w:val="20"/>
          <w:lang w:val="es-ES_tradnl"/>
        </w:rPr>
        <w:t xml:space="preserve"> la doctrina de la cuarta instancia. </w:t>
      </w:r>
    </w:p>
    <w:p w14:paraId="0F002816" w14:textId="77777777" w:rsidR="00EC5307" w:rsidRDefault="00EC5307" w:rsidP="00EC5307">
      <w:pPr>
        <w:pStyle w:val="ListParagraph"/>
        <w:suppressAutoHyphens/>
        <w:rPr>
          <w:rFonts w:asciiTheme="majorHAnsi" w:hAnsiTheme="majorHAnsi"/>
          <w:sz w:val="20"/>
          <w:szCs w:val="20"/>
          <w:lang w:val="es-ES_tradnl"/>
        </w:rPr>
      </w:pPr>
    </w:p>
    <w:p w14:paraId="140E9495" w14:textId="77777777" w:rsidR="00EC5307" w:rsidRPr="00DB6FD7" w:rsidRDefault="00EC5307"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Pr>
          <w:rFonts w:asciiTheme="majorHAnsi" w:hAnsiTheme="majorHAnsi"/>
          <w:sz w:val="20"/>
          <w:szCs w:val="20"/>
          <w:lang w:val="es-ES_tradnl"/>
        </w:rPr>
        <w:t>La</w:t>
      </w:r>
      <w:r w:rsidRPr="00DB6FD7">
        <w:rPr>
          <w:rFonts w:asciiTheme="majorHAnsi" w:hAnsiTheme="majorHAnsi"/>
          <w:sz w:val="20"/>
          <w:szCs w:val="20"/>
          <w:lang w:val="es-ES_tradnl"/>
        </w:rPr>
        <w:t xml:space="preserve"> parte peticionaria afirma que agotó la solicitud administrativa de reparación y los recursos judiciales, incluidos un recurso extraordinario federal y un recurso de queja. Asimismo, señala que el alegato del Estado </w:t>
      </w:r>
      <w:r>
        <w:rPr>
          <w:rFonts w:asciiTheme="majorHAnsi" w:hAnsiTheme="majorHAnsi"/>
          <w:sz w:val="20"/>
          <w:szCs w:val="20"/>
          <w:lang w:val="es-ES_tradnl"/>
        </w:rPr>
        <w:t xml:space="preserve">sobre el incumplimiento de tal requisito </w:t>
      </w:r>
      <w:r w:rsidRPr="00DB6FD7">
        <w:rPr>
          <w:rFonts w:asciiTheme="majorHAnsi" w:hAnsiTheme="majorHAnsi"/>
          <w:sz w:val="20"/>
          <w:szCs w:val="20"/>
          <w:lang w:val="es-ES_tradnl"/>
        </w:rPr>
        <w:t xml:space="preserve">por defectos formales fue genérico y no refleja la realidad del expediente. </w:t>
      </w:r>
      <w:r>
        <w:rPr>
          <w:rFonts w:asciiTheme="majorHAnsi" w:hAnsiTheme="majorHAnsi"/>
          <w:sz w:val="20"/>
          <w:szCs w:val="20"/>
          <w:lang w:val="es-ES_tradnl"/>
        </w:rPr>
        <w:t>S</w:t>
      </w:r>
      <w:r w:rsidRPr="00DB6FD7">
        <w:rPr>
          <w:rFonts w:asciiTheme="majorHAnsi" w:hAnsiTheme="majorHAnsi"/>
          <w:sz w:val="20"/>
          <w:szCs w:val="20"/>
          <w:lang w:val="es-ES_tradnl"/>
        </w:rPr>
        <w:t xml:space="preserve">ostiene que el rechazo de la queja y del recurso extraordinario </w:t>
      </w:r>
      <w:r>
        <w:rPr>
          <w:rFonts w:asciiTheme="majorHAnsi" w:hAnsiTheme="majorHAnsi"/>
          <w:sz w:val="20"/>
          <w:szCs w:val="20"/>
          <w:lang w:val="es-ES_tradnl"/>
        </w:rPr>
        <w:t xml:space="preserve">sigue </w:t>
      </w:r>
      <w:r w:rsidRPr="00DB6FD7">
        <w:rPr>
          <w:rFonts w:asciiTheme="majorHAnsi" w:hAnsiTheme="majorHAnsi"/>
          <w:sz w:val="20"/>
          <w:szCs w:val="20"/>
          <w:lang w:val="es-ES_tradnl"/>
        </w:rPr>
        <w:t xml:space="preserve">la postura </w:t>
      </w:r>
      <w:r>
        <w:rPr>
          <w:rFonts w:asciiTheme="majorHAnsi" w:hAnsiTheme="majorHAnsi"/>
          <w:sz w:val="20"/>
          <w:szCs w:val="20"/>
          <w:lang w:val="es-ES_tradnl"/>
        </w:rPr>
        <w:t xml:space="preserve">de la </w:t>
      </w:r>
      <w:r w:rsidRPr="00DB6FD7">
        <w:rPr>
          <w:rFonts w:asciiTheme="majorHAnsi" w:hAnsiTheme="majorHAnsi"/>
          <w:sz w:val="20"/>
          <w:szCs w:val="20"/>
          <w:lang w:val="es-ES_tradnl"/>
        </w:rPr>
        <w:t xml:space="preserve">CSJN de que no hay agravio federal suficiente o </w:t>
      </w:r>
      <w:r>
        <w:rPr>
          <w:rFonts w:asciiTheme="majorHAnsi" w:hAnsiTheme="majorHAnsi"/>
          <w:sz w:val="20"/>
          <w:szCs w:val="20"/>
          <w:lang w:val="es-ES_tradnl"/>
        </w:rPr>
        <w:t xml:space="preserve">que </w:t>
      </w:r>
      <w:r w:rsidRPr="00DB6FD7">
        <w:rPr>
          <w:rFonts w:asciiTheme="majorHAnsi" w:hAnsiTheme="majorHAnsi"/>
          <w:sz w:val="20"/>
          <w:szCs w:val="20"/>
          <w:lang w:val="es-ES_tradnl"/>
        </w:rPr>
        <w:t>la cuestión planteada es insustancial o carente de trascendencia.</w:t>
      </w:r>
    </w:p>
    <w:p w14:paraId="0E66E1A3" w14:textId="77777777" w:rsidR="00EC5307" w:rsidRPr="00064F47" w:rsidRDefault="00EC5307" w:rsidP="00EC5307">
      <w:pPr>
        <w:pStyle w:val="ListParagraph"/>
        <w:suppressAutoHyphens/>
        <w:rPr>
          <w:sz w:val="20"/>
          <w:lang w:val="es-ES_tradnl"/>
        </w:rPr>
      </w:pPr>
    </w:p>
    <w:p w14:paraId="1BEAE4F6" w14:textId="77777777" w:rsidR="00EC5307" w:rsidRPr="00DB6FD7" w:rsidRDefault="00EC5307"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lang w:val="es-ES_tradnl"/>
        </w:rPr>
      </w:pPr>
      <w:r w:rsidRPr="00DB6FD7">
        <w:rPr>
          <w:rFonts w:asciiTheme="majorHAnsi" w:hAnsiTheme="majorHAnsi" w:cs="Calibri"/>
          <w:sz w:val="20"/>
          <w:szCs w:val="20"/>
          <w:lang w:val="es-ES_tradnl"/>
        </w:rPr>
        <w:t xml:space="preserve">La </w:t>
      </w:r>
      <w:r w:rsidRPr="00DB6FD7">
        <w:rPr>
          <w:sz w:val="20"/>
          <w:lang w:val="es-ES_tradnl"/>
        </w:rPr>
        <w:t xml:space="preserve">petición incluye alegatos de violaciones </w:t>
      </w:r>
      <w:r w:rsidRPr="00DB6FD7">
        <w:rPr>
          <w:rFonts w:asciiTheme="majorHAnsi" w:hAnsiTheme="majorHAnsi"/>
          <w:sz w:val="20"/>
          <w:szCs w:val="20"/>
          <w:lang w:val="es-ES_tradnl"/>
        </w:rPr>
        <w:t xml:space="preserve">como consecuencia de hechos relacionados a la persecución que la presunta víctima indica haber sufrido durante los años 70, así como a la solicitud que hizo por reparaciones bajo la Ley No. 24.043. En cuanto a los alegatos relacionados a la persecución, no se observa concretamente información sobre previo agotamiento. </w:t>
      </w:r>
      <w:r>
        <w:rPr>
          <w:rFonts w:asciiTheme="majorHAnsi" w:hAnsiTheme="majorHAnsi"/>
          <w:sz w:val="20"/>
          <w:szCs w:val="20"/>
          <w:lang w:val="es-ES_tradnl"/>
        </w:rPr>
        <w:t xml:space="preserve">Respecto </w:t>
      </w:r>
      <w:r w:rsidRPr="00DB6FD7">
        <w:rPr>
          <w:sz w:val="20"/>
          <w:lang w:val="es-ES_tradnl"/>
        </w:rPr>
        <w:t xml:space="preserve">a la solicitud de reparaciones, el recurso de queja consistió en un último intento por parte de la presunta víctima de resolver la situación en </w:t>
      </w:r>
      <w:r>
        <w:rPr>
          <w:sz w:val="20"/>
          <w:lang w:val="es-ES_tradnl"/>
        </w:rPr>
        <w:t xml:space="preserve">el ámbito </w:t>
      </w:r>
      <w:r w:rsidRPr="00DB6FD7">
        <w:rPr>
          <w:sz w:val="20"/>
          <w:lang w:val="es-ES_tradnl"/>
        </w:rPr>
        <w:t>interno</w:t>
      </w:r>
      <w:r>
        <w:rPr>
          <w:sz w:val="20"/>
          <w:lang w:val="es-ES_tradnl"/>
        </w:rPr>
        <w:t>. La</w:t>
      </w:r>
      <w:r w:rsidRPr="00DB6FD7">
        <w:rPr>
          <w:sz w:val="20"/>
          <w:lang w:val="es-ES_tradnl"/>
        </w:rPr>
        <w:t xml:space="preserve"> relación entre dicho recurso y los requisitos formales y de depósito previo exigidos podrá ser evaluada en la etapa de fondo </w:t>
      </w:r>
      <w:r>
        <w:rPr>
          <w:sz w:val="20"/>
          <w:lang w:val="es-ES_tradnl"/>
        </w:rPr>
        <w:t xml:space="preserve">para determinar si es consistente </w:t>
      </w:r>
      <w:r w:rsidRPr="00DB6FD7">
        <w:rPr>
          <w:sz w:val="20"/>
          <w:lang w:val="es-ES_tradnl"/>
        </w:rPr>
        <w:t>con las normas de la Convención Americana</w:t>
      </w:r>
      <w:r w:rsidRPr="00DB6FD7">
        <w:rPr>
          <w:sz w:val="20"/>
          <w:vertAlign w:val="superscript"/>
          <w:lang w:val="es-ES_tradnl"/>
        </w:rPr>
        <w:footnoteReference w:id="4"/>
      </w:r>
      <w:r w:rsidRPr="00DB6FD7">
        <w:rPr>
          <w:sz w:val="20"/>
          <w:lang w:val="es-ES_tradnl"/>
        </w:rPr>
        <w:t>.</w:t>
      </w:r>
    </w:p>
    <w:p w14:paraId="1D5E746E" w14:textId="77777777" w:rsidR="00EC5307" w:rsidRPr="00064F47" w:rsidRDefault="00EC5307" w:rsidP="00EC5307">
      <w:pPr>
        <w:pStyle w:val="ListParagraph"/>
        <w:suppressAutoHyphens/>
        <w:rPr>
          <w:rFonts w:asciiTheme="majorHAnsi" w:hAnsiTheme="majorHAnsi"/>
          <w:sz w:val="20"/>
          <w:szCs w:val="20"/>
          <w:lang w:val="es-ES_tradnl"/>
        </w:rPr>
      </w:pPr>
    </w:p>
    <w:p w14:paraId="4BA5693E" w14:textId="77777777" w:rsidR="00EC5307" w:rsidRPr="00DB6FD7" w:rsidRDefault="00EC5307"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cs="Calibri"/>
          <w:sz w:val="20"/>
          <w:szCs w:val="20"/>
          <w:lang w:val="es-ES_tradnl"/>
        </w:rPr>
        <w:t xml:space="preserve">La Comisión </w:t>
      </w:r>
      <w:r>
        <w:rPr>
          <w:rFonts w:asciiTheme="majorHAnsi" w:hAnsiTheme="majorHAnsi" w:cs="Calibri"/>
          <w:sz w:val="20"/>
          <w:szCs w:val="20"/>
          <w:lang w:val="es-ES_tradnl"/>
        </w:rPr>
        <w:t xml:space="preserve">Interamericana </w:t>
      </w:r>
      <w:r w:rsidRPr="00DB6FD7">
        <w:rPr>
          <w:rFonts w:asciiTheme="majorHAnsi" w:hAnsiTheme="majorHAnsi" w:cs="Calibri"/>
          <w:sz w:val="20"/>
          <w:szCs w:val="20"/>
          <w:lang w:val="es-ES_tradnl"/>
        </w:rPr>
        <w:t xml:space="preserve">ha establecido </w:t>
      </w:r>
      <w:r>
        <w:rPr>
          <w:rFonts w:asciiTheme="majorHAnsi" w:hAnsiTheme="majorHAnsi" w:cs="Calibri"/>
          <w:sz w:val="20"/>
          <w:szCs w:val="20"/>
          <w:lang w:val="es-ES_tradnl"/>
        </w:rPr>
        <w:t xml:space="preserve">previamente </w:t>
      </w:r>
      <w:r w:rsidRPr="00DB6FD7">
        <w:rPr>
          <w:rFonts w:asciiTheme="majorHAnsi" w:hAnsiTheme="majorHAnsi" w:cs="Calibri"/>
          <w:sz w:val="20"/>
          <w:szCs w:val="20"/>
          <w:lang w:val="es-ES_tradnl"/>
        </w:rPr>
        <w:t>que “no puede considerar que el peticionario ha cumplido debidamente con el requisito del agotamiento previo de los recursos internos si los mismos han sido rechazados con fundamentos procesales razonables y no arbitrarios”</w:t>
      </w:r>
      <w:r w:rsidRPr="00DB6FD7">
        <w:rPr>
          <w:rStyle w:val="FootnoteReference"/>
          <w:rFonts w:asciiTheme="majorHAnsi" w:hAnsiTheme="majorHAnsi" w:cs="Calibri"/>
          <w:sz w:val="20"/>
          <w:szCs w:val="20"/>
        </w:rPr>
        <w:footnoteReference w:id="5"/>
      </w:r>
      <w:r w:rsidRPr="00DB6FD7">
        <w:rPr>
          <w:rFonts w:asciiTheme="majorHAnsi" w:hAnsiTheme="majorHAnsi" w:cs="Calibri"/>
          <w:sz w:val="20"/>
          <w:szCs w:val="20"/>
          <w:lang w:val="es-ES_tradnl"/>
        </w:rPr>
        <w:t>. En el presente</w:t>
      </w:r>
      <w:r>
        <w:rPr>
          <w:rFonts w:asciiTheme="majorHAnsi" w:hAnsiTheme="majorHAnsi" w:cs="Calibri"/>
          <w:sz w:val="20"/>
          <w:szCs w:val="20"/>
          <w:lang w:val="es-ES_tradnl"/>
        </w:rPr>
        <w:t xml:space="preserve"> asunto</w:t>
      </w:r>
      <w:r w:rsidRPr="00DB6FD7">
        <w:rPr>
          <w:rFonts w:asciiTheme="majorHAnsi" w:hAnsiTheme="majorHAnsi" w:cs="Calibri"/>
          <w:sz w:val="20"/>
          <w:szCs w:val="20"/>
          <w:lang w:val="es-ES_tradnl"/>
        </w:rPr>
        <w:t>, la información disponible sobre el rechazo de los últimos recursos</w:t>
      </w:r>
      <w:r w:rsidRPr="00DB6FD7">
        <w:rPr>
          <w:rFonts w:asciiTheme="majorHAnsi" w:hAnsiTheme="majorHAnsi"/>
          <w:sz w:val="20"/>
          <w:szCs w:val="20"/>
          <w:lang w:val="es-ES_tradnl"/>
        </w:rPr>
        <w:t xml:space="preserve"> no resulta suficiente para desacreditar </w:t>
      </w:r>
      <w:r>
        <w:rPr>
          <w:rFonts w:asciiTheme="majorHAnsi" w:hAnsiTheme="majorHAnsi"/>
          <w:sz w:val="20"/>
          <w:szCs w:val="20"/>
          <w:lang w:val="es-ES_tradnl"/>
        </w:rPr>
        <w:t>la</w:t>
      </w:r>
      <w:r w:rsidRPr="00DB6FD7">
        <w:rPr>
          <w:rFonts w:asciiTheme="majorHAnsi" w:hAnsiTheme="majorHAnsi"/>
          <w:sz w:val="20"/>
          <w:szCs w:val="20"/>
          <w:lang w:val="es-ES_tradnl"/>
        </w:rPr>
        <w:t xml:space="preserve"> interposición del recurso extraordinario federal y del recurso de queja como recursos válidamente agotados. </w:t>
      </w:r>
    </w:p>
    <w:p w14:paraId="23C33BBA" w14:textId="77777777" w:rsidR="00EC5307" w:rsidRPr="00064F47" w:rsidRDefault="00EC5307" w:rsidP="00EC5307">
      <w:pPr>
        <w:pStyle w:val="ListParagraph"/>
        <w:suppressAutoHyphens/>
        <w:rPr>
          <w:rFonts w:asciiTheme="majorHAnsi" w:hAnsiTheme="majorHAnsi"/>
          <w:sz w:val="20"/>
          <w:szCs w:val="20"/>
          <w:lang w:val="es-ES_tradnl"/>
        </w:rPr>
      </w:pPr>
    </w:p>
    <w:p w14:paraId="13D71DFF" w14:textId="77777777" w:rsidR="00EC5307" w:rsidRPr="00DB6FD7" w:rsidRDefault="00EC5307"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sz w:val="20"/>
          <w:szCs w:val="20"/>
          <w:lang w:val="es-ES_tradnl"/>
        </w:rPr>
        <w:t>En atención a estas consideraciones</w:t>
      </w:r>
      <w:r>
        <w:rPr>
          <w:sz w:val="20"/>
          <w:szCs w:val="20"/>
          <w:lang w:val="es-ES_tradnl"/>
        </w:rPr>
        <w:t>,</w:t>
      </w:r>
      <w:r w:rsidRPr="00DB6FD7">
        <w:rPr>
          <w:sz w:val="20"/>
          <w:szCs w:val="20"/>
          <w:lang w:val="es-ES_tradnl"/>
        </w:rPr>
        <w:t xml:space="preserve"> la C</w:t>
      </w:r>
      <w:r>
        <w:rPr>
          <w:sz w:val="20"/>
          <w:szCs w:val="20"/>
          <w:lang w:val="es-ES_tradnl"/>
        </w:rPr>
        <w:t>IDH</w:t>
      </w:r>
      <w:r w:rsidRPr="00DB6FD7">
        <w:rPr>
          <w:sz w:val="20"/>
          <w:szCs w:val="20"/>
          <w:lang w:val="es-ES_tradnl"/>
        </w:rPr>
        <w:t xml:space="preserve"> estima que la secuencia procesal de los recursos internos interpuestos tuvo como última decisión la de 27 de septiembre de 2011, notificada el 6 de octubre de 2011. Por lo tanto, la presente petición cumple con el requisito establecido en el artículo 46.1</w:t>
      </w:r>
      <w:r>
        <w:rPr>
          <w:sz w:val="20"/>
          <w:szCs w:val="20"/>
          <w:lang w:val="es-ES_tradnl"/>
        </w:rPr>
        <w:t>(</w:t>
      </w:r>
      <w:r w:rsidRPr="00DB6FD7">
        <w:rPr>
          <w:sz w:val="20"/>
          <w:szCs w:val="20"/>
          <w:lang w:val="es-ES_tradnl"/>
        </w:rPr>
        <w:t xml:space="preserve">a) de la Convención Americana. Asimismo, la presente petición fue presentada el 4 de abril de 2012, </w:t>
      </w:r>
      <w:r>
        <w:rPr>
          <w:sz w:val="20"/>
          <w:szCs w:val="20"/>
          <w:lang w:val="es-ES_tradnl"/>
        </w:rPr>
        <w:t xml:space="preserve">por lo que </w:t>
      </w:r>
      <w:r w:rsidRPr="00DB6FD7">
        <w:rPr>
          <w:sz w:val="20"/>
          <w:szCs w:val="20"/>
          <w:lang w:val="es-ES_tradnl"/>
        </w:rPr>
        <w:t>la CIDH concluye que fue presentada dentro del plazo de seis meses establecido en el artículo 46.1</w:t>
      </w:r>
      <w:r>
        <w:rPr>
          <w:sz w:val="20"/>
          <w:szCs w:val="20"/>
          <w:lang w:val="es-ES_tradnl"/>
        </w:rPr>
        <w:t>(</w:t>
      </w:r>
      <w:r w:rsidRPr="00DB6FD7">
        <w:rPr>
          <w:sz w:val="20"/>
          <w:szCs w:val="20"/>
          <w:lang w:val="es-ES_tradnl"/>
        </w:rPr>
        <w:t xml:space="preserve">b) de </w:t>
      </w:r>
      <w:r>
        <w:rPr>
          <w:sz w:val="20"/>
          <w:szCs w:val="20"/>
          <w:lang w:val="es-ES_tradnl"/>
        </w:rPr>
        <w:t>dicho tratado.</w:t>
      </w:r>
    </w:p>
    <w:p w14:paraId="3EA687CB" w14:textId="77777777" w:rsidR="00EC5307" w:rsidRPr="00CA2482" w:rsidRDefault="00EC5307" w:rsidP="00EC5307">
      <w:pPr>
        <w:pStyle w:val="ListParagraph"/>
        <w:suppressAutoHyphens/>
        <w:rPr>
          <w:rFonts w:asciiTheme="majorHAnsi" w:hAnsiTheme="majorHAnsi"/>
          <w:sz w:val="20"/>
          <w:szCs w:val="20"/>
          <w:lang w:val="es-ES_tradnl"/>
        </w:rPr>
      </w:pPr>
    </w:p>
    <w:p w14:paraId="0D91AC10" w14:textId="77777777" w:rsidR="00974B36" w:rsidRPr="00DB6FD7" w:rsidRDefault="00974B36"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cs="Calibri"/>
          <w:sz w:val="20"/>
          <w:szCs w:val="20"/>
          <w:lang w:val="es-ES_tradnl"/>
        </w:rPr>
        <w:t xml:space="preserve">La Comisión Interamericana también toma nota del reclamo del Estado sobre lo que describe o califica como la extemporaneidad en el traslado de la petición. La CIDH señala al respecto que ni la Convención Americana ni </w:t>
      </w:r>
      <w:r>
        <w:rPr>
          <w:rFonts w:asciiTheme="majorHAnsi" w:hAnsiTheme="majorHAnsi" w:cs="Calibri"/>
          <w:sz w:val="20"/>
          <w:szCs w:val="20"/>
          <w:lang w:val="es-ES_tradnl"/>
        </w:rPr>
        <w:t>su</w:t>
      </w:r>
      <w:r w:rsidRPr="00DB6FD7">
        <w:rPr>
          <w:rFonts w:asciiTheme="majorHAnsi" w:hAnsiTheme="majorHAnsi" w:cs="Calibri"/>
          <w:sz w:val="20"/>
          <w:szCs w:val="20"/>
          <w:lang w:val="es-ES_tradnl"/>
        </w:rPr>
        <w:t xml:space="preserve"> Reglamento establecen un plazo para el traslado de una petición al Estado a partir de su recepción</w:t>
      </w:r>
      <w:r>
        <w:rPr>
          <w:rFonts w:asciiTheme="majorHAnsi" w:hAnsiTheme="majorHAnsi" w:cs="Calibri"/>
          <w:sz w:val="20"/>
          <w:szCs w:val="20"/>
          <w:lang w:val="es-ES_tradnl"/>
        </w:rPr>
        <w:t>;</w:t>
      </w:r>
      <w:r w:rsidRPr="00DB6FD7">
        <w:rPr>
          <w:rFonts w:asciiTheme="majorHAnsi" w:hAnsiTheme="majorHAnsi" w:cs="Calibri"/>
          <w:sz w:val="20"/>
          <w:szCs w:val="20"/>
          <w:lang w:val="es-ES_tradnl"/>
        </w:rPr>
        <w:t xml:space="preserve"> y que los plazos establecidos en </w:t>
      </w:r>
      <w:r>
        <w:rPr>
          <w:rFonts w:asciiTheme="majorHAnsi" w:hAnsiTheme="majorHAnsi" w:cs="Calibri"/>
          <w:sz w:val="20"/>
          <w:szCs w:val="20"/>
          <w:lang w:val="es-ES_tradnl"/>
        </w:rPr>
        <w:t xml:space="preserve">dichos instrumentos </w:t>
      </w:r>
      <w:r w:rsidRPr="00DB6FD7">
        <w:rPr>
          <w:rFonts w:asciiTheme="majorHAnsi" w:hAnsiTheme="majorHAnsi" w:cs="Calibri"/>
          <w:sz w:val="20"/>
          <w:szCs w:val="20"/>
          <w:lang w:val="es-ES_tradnl"/>
        </w:rPr>
        <w:t>para otras etapas del trámite no son aplicables por analogía</w:t>
      </w:r>
      <w:r w:rsidRPr="00DB6FD7">
        <w:rPr>
          <w:rFonts w:asciiTheme="majorHAnsi" w:hAnsiTheme="majorHAnsi"/>
          <w:sz w:val="20"/>
          <w:szCs w:val="20"/>
          <w:vertAlign w:val="superscript"/>
          <w:lang w:val="es-ES_tradnl"/>
        </w:rPr>
        <w:footnoteReference w:id="6"/>
      </w:r>
      <w:r w:rsidRPr="00DB6FD7">
        <w:rPr>
          <w:rFonts w:asciiTheme="majorHAnsi" w:hAnsiTheme="majorHAnsi" w:cs="Calibri"/>
          <w:sz w:val="20"/>
          <w:szCs w:val="20"/>
          <w:lang w:val="es-ES_tradnl"/>
        </w:rPr>
        <w:t>.</w:t>
      </w:r>
    </w:p>
    <w:p w14:paraId="4650C532" w14:textId="77777777" w:rsidR="00840AE8" w:rsidRPr="00974B36" w:rsidRDefault="00840AE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4FFBE378" w14:textId="46F9198F" w:rsidR="003239B8" w:rsidRPr="00B22BAC" w:rsidRDefault="00DB2F9B"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
        </w:rPr>
      </w:pPr>
      <w:r w:rsidRPr="00DB2F9B">
        <w:rPr>
          <w:rFonts w:asciiTheme="majorHAnsi" w:hAnsiTheme="majorHAnsi"/>
          <w:b/>
          <w:bCs/>
          <w:sz w:val="20"/>
          <w:szCs w:val="20"/>
          <w:lang w:val="es-ES"/>
        </w:rPr>
        <w:lastRenderedPageBreak/>
        <w:t xml:space="preserve">VI. </w:t>
      </w:r>
      <w:r w:rsidRPr="00DB2F9B">
        <w:rPr>
          <w:rFonts w:asciiTheme="majorHAnsi" w:hAnsiTheme="majorHAnsi"/>
          <w:b/>
          <w:bCs/>
          <w:sz w:val="20"/>
          <w:szCs w:val="20"/>
          <w:lang w:val="es-ES"/>
        </w:rPr>
        <w:tab/>
        <w:t>CARACTERIZACIÓN</w:t>
      </w:r>
    </w:p>
    <w:p w14:paraId="4842BE33" w14:textId="77777777" w:rsidR="00840AE8" w:rsidRPr="00840AE8" w:rsidRDefault="00840AE8" w:rsidP="00840A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10"/>
        <w:jc w:val="both"/>
        <w:rPr>
          <w:rFonts w:asciiTheme="majorHAnsi" w:hAnsiTheme="majorHAnsi"/>
          <w:sz w:val="20"/>
          <w:szCs w:val="20"/>
          <w:lang w:val="es-MX"/>
        </w:rPr>
      </w:pPr>
    </w:p>
    <w:p w14:paraId="02E61ABF" w14:textId="77777777" w:rsidR="00BB613C" w:rsidRPr="00064F47" w:rsidRDefault="00BB613C" w:rsidP="009A69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 xml:space="preserve">La </w:t>
      </w:r>
      <w:r w:rsidRPr="00DB6FD7">
        <w:rPr>
          <w:sz w:val="20"/>
          <w:szCs w:val="20"/>
          <w:lang w:val="es-ES_tradnl"/>
        </w:rPr>
        <w:t xml:space="preserve">presente denuncia se refiere a </w:t>
      </w:r>
      <w:r>
        <w:rPr>
          <w:sz w:val="20"/>
          <w:szCs w:val="20"/>
          <w:lang w:val="es-ES_tradnl"/>
        </w:rPr>
        <w:t xml:space="preserve">violaciones </w:t>
      </w:r>
      <w:r w:rsidRPr="00DB6FD7">
        <w:rPr>
          <w:sz w:val="20"/>
          <w:szCs w:val="20"/>
          <w:lang w:val="es-ES_tradnl"/>
        </w:rPr>
        <w:t xml:space="preserve">de derechos humanos de la </w:t>
      </w:r>
      <w:r>
        <w:rPr>
          <w:sz w:val="20"/>
          <w:szCs w:val="20"/>
          <w:lang w:val="es-ES_tradnl"/>
        </w:rPr>
        <w:t>presunta v</w:t>
      </w:r>
      <w:r w:rsidRPr="00BB613C">
        <w:rPr>
          <w:sz w:val="20"/>
          <w:szCs w:val="20"/>
          <w:lang w:val="es-419"/>
        </w:rPr>
        <w:t>í</w:t>
      </w:r>
      <w:proofErr w:type="spellStart"/>
      <w:r>
        <w:rPr>
          <w:sz w:val="20"/>
          <w:szCs w:val="20"/>
          <w:lang w:val="es-ES_tradnl"/>
        </w:rPr>
        <w:t>ctima</w:t>
      </w:r>
      <w:proofErr w:type="spellEnd"/>
      <w:r w:rsidRPr="00DB6FD7">
        <w:rPr>
          <w:sz w:val="20"/>
          <w:szCs w:val="20"/>
          <w:lang w:val="es-ES_tradnl"/>
        </w:rPr>
        <w:t xml:space="preserve"> en el marco de su solicitud interna </w:t>
      </w:r>
      <w:r>
        <w:rPr>
          <w:sz w:val="20"/>
          <w:szCs w:val="20"/>
          <w:lang w:val="es-ES_tradnl"/>
        </w:rPr>
        <w:t>de</w:t>
      </w:r>
      <w:r w:rsidRPr="00DB6FD7">
        <w:rPr>
          <w:sz w:val="20"/>
          <w:szCs w:val="20"/>
          <w:lang w:val="es-ES_tradnl"/>
        </w:rPr>
        <w:t xml:space="preserve"> reparaciones bajo la Ley No. 24.043.</w:t>
      </w:r>
      <w:r w:rsidRPr="00DB6FD7">
        <w:rPr>
          <w:rStyle w:val="FootnoteReference"/>
          <w:rFonts w:asciiTheme="majorHAnsi" w:hAnsiTheme="majorHAnsi" w:cs="Calibri"/>
          <w:sz w:val="20"/>
          <w:szCs w:val="20"/>
        </w:rPr>
        <w:footnoteReference w:id="7"/>
      </w:r>
      <w:r w:rsidRPr="00DB6FD7">
        <w:rPr>
          <w:sz w:val="20"/>
          <w:szCs w:val="20"/>
          <w:lang w:val="es-ES_tradnl"/>
        </w:rPr>
        <w:t xml:space="preserve"> Los alegatos y hechos presentados ante la CIDH incluyen consideraciones sobre trato diferenciado del caso de </w:t>
      </w:r>
      <w:r>
        <w:rPr>
          <w:sz w:val="20"/>
          <w:szCs w:val="20"/>
          <w:lang w:val="es-ES_tradnl"/>
        </w:rPr>
        <w:t>aquella respecto</w:t>
      </w:r>
      <w:r w:rsidRPr="00DB6FD7">
        <w:rPr>
          <w:sz w:val="20"/>
          <w:szCs w:val="20"/>
          <w:lang w:val="es-ES_tradnl"/>
        </w:rPr>
        <w:t xml:space="preserve"> de otras solicitudes de reparación que serían comparables. La denuncia también se refiere a posibles violaciones de derechos humanos </w:t>
      </w:r>
      <w:r>
        <w:rPr>
          <w:sz w:val="20"/>
          <w:szCs w:val="20"/>
          <w:lang w:val="es-ES_tradnl"/>
        </w:rPr>
        <w:t>durante</w:t>
      </w:r>
      <w:r w:rsidRPr="00DB6FD7">
        <w:rPr>
          <w:sz w:val="20"/>
          <w:szCs w:val="20"/>
          <w:lang w:val="es-ES_tradnl"/>
        </w:rPr>
        <w:t xml:space="preserve"> la dictadura cívico-militar argentina, en p</w:t>
      </w:r>
      <w:r>
        <w:rPr>
          <w:sz w:val="20"/>
          <w:szCs w:val="20"/>
          <w:lang w:val="es-ES_tradnl"/>
        </w:rPr>
        <w:t>e</w:t>
      </w:r>
      <w:r w:rsidRPr="00DB6FD7">
        <w:rPr>
          <w:sz w:val="20"/>
          <w:szCs w:val="20"/>
          <w:lang w:val="es-ES_tradnl"/>
        </w:rPr>
        <w:t xml:space="preserve">rjuicio </w:t>
      </w:r>
      <w:r>
        <w:rPr>
          <w:sz w:val="20"/>
          <w:szCs w:val="20"/>
          <w:lang w:val="es-ES_tradnl"/>
        </w:rPr>
        <w:t xml:space="preserve">de la presunta víctima </w:t>
      </w:r>
      <w:r w:rsidRPr="00DB6FD7">
        <w:rPr>
          <w:sz w:val="20"/>
          <w:szCs w:val="20"/>
          <w:lang w:val="es-ES_tradnl"/>
        </w:rPr>
        <w:t>y de su familia.</w:t>
      </w:r>
    </w:p>
    <w:p w14:paraId="509CC756" w14:textId="77777777" w:rsidR="00BB613C" w:rsidRPr="00DB6FD7" w:rsidRDefault="00BB613C" w:rsidP="00BB613C">
      <w:pPr>
        <w:pStyle w:val="ListParagraph"/>
        <w:suppressAutoHyphens/>
        <w:rPr>
          <w:rFonts w:asciiTheme="majorHAnsi" w:hAnsiTheme="majorHAnsi"/>
          <w:sz w:val="20"/>
          <w:szCs w:val="20"/>
          <w:lang w:val="es-ES_tradnl"/>
        </w:rPr>
      </w:pPr>
    </w:p>
    <w:p w14:paraId="2997FFB1" w14:textId="77777777" w:rsidR="00BB613C" w:rsidRPr="00DB6FD7" w:rsidRDefault="00BB613C" w:rsidP="009A6972">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Respe</w:t>
      </w:r>
      <w:r>
        <w:rPr>
          <w:rFonts w:asciiTheme="majorHAnsi" w:hAnsiTheme="majorHAnsi"/>
          <w:sz w:val="20"/>
          <w:szCs w:val="20"/>
          <w:lang w:val="es-ES_tradnl"/>
        </w:rPr>
        <w:t>c</w:t>
      </w:r>
      <w:r w:rsidRPr="00DB6FD7">
        <w:rPr>
          <w:rFonts w:asciiTheme="majorHAnsi" w:hAnsiTheme="majorHAnsi"/>
          <w:sz w:val="20"/>
          <w:szCs w:val="20"/>
          <w:lang w:val="es-ES_tradnl"/>
        </w:rPr>
        <w:t>to a los casos de exilio, la CIDH toma nota que la CSJ</w:t>
      </w:r>
      <w:r>
        <w:rPr>
          <w:rFonts w:asciiTheme="majorHAnsi" w:hAnsiTheme="majorHAnsi"/>
          <w:sz w:val="20"/>
          <w:szCs w:val="20"/>
          <w:lang w:val="es-ES_tradnl"/>
        </w:rPr>
        <w:t>N</w:t>
      </w:r>
      <w:r w:rsidRPr="00DB6FD7">
        <w:rPr>
          <w:rFonts w:asciiTheme="majorHAnsi" w:hAnsiTheme="majorHAnsi"/>
          <w:sz w:val="20"/>
          <w:szCs w:val="20"/>
          <w:lang w:val="es-ES_tradnl"/>
        </w:rPr>
        <w:t xml:space="preserve"> reconoció el 8 de octubre de 2019 en el fallo Fernández, María Cristina c/EN que los exilados durante la pasada dictadura tend</w:t>
      </w:r>
      <w:r>
        <w:rPr>
          <w:rFonts w:asciiTheme="majorHAnsi" w:hAnsiTheme="majorHAnsi"/>
          <w:sz w:val="20"/>
          <w:szCs w:val="20"/>
          <w:lang w:val="es-ES_tradnl"/>
        </w:rPr>
        <w:t>rían</w:t>
      </w:r>
      <w:r w:rsidRPr="00DB6FD7">
        <w:rPr>
          <w:rFonts w:asciiTheme="majorHAnsi" w:hAnsiTheme="majorHAnsi"/>
          <w:sz w:val="20"/>
          <w:szCs w:val="20"/>
          <w:lang w:val="es-ES_tradnl"/>
        </w:rPr>
        <w:t xml:space="preserve"> igual indemnización que los detenidos en los términos de la Ley No 24.043. Por lo tanto, la Comisión Interamericana considera que le corresponde ejercer su competencia complementaria en este asunto y analizar en la etapa de fondo si el sistema interno ofreció a la </w:t>
      </w:r>
      <w:r>
        <w:rPr>
          <w:rFonts w:asciiTheme="majorHAnsi" w:hAnsiTheme="majorHAnsi"/>
          <w:sz w:val="20"/>
          <w:szCs w:val="20"/>
          <w:lang w:val="es-ES_tradnl"/>
        </w:rPr>
        <w:t>presunta víctima</w:t>
      </w:r>
      <w:r w:rsidRPr="00DB6FD7">
        <w:rPr>
          <w:rFonts w:asciiTheme="majorHAnsi" w:hAnsiTheme="majorHAnsi"/>
          <w:sz w:val="20"/>
          <w:szCs w:val="20"/>
          <w:lang w:val="es-ES_tradnl"/>
        </w:rPr>
        <w:t xml:space="preserve"> las vías adecuadas para buscar una debida reparación y garantizar </w:t>
      </w:r>
      <w:r>
        <w:rPr>
          <w:rFonts w:asciiTheme="majorHAnsi" w:hAnsiTheme="majorHAnsi"/>
          <w:sz w:val="20"/>
          <w:szCs w:val="20"/>
          <w:lang w:val="es-ES_tradnl"/>
        </w:rPr>
        <w:t>su</w:t>
      </w:r>
      <w:r w:rsidRPr="00DB6FD7">
        <w:rPr>
          <w:rFonts w:asciiTheme="majorHAnsi" w:hAnsiTheme="majorHAnsi"/>
          <w:sz w:val="20"/>
          <w:szCs w:val="20"/>
          <w:lang w:val="es-ES_tradnl"/>
        </w:rPr>
        <w:t xml:space="preserve"> derecho a la tutela judicial efectiva</w:t>
      </w:r>
      <w:r>
        <w:rPr>
          <w:rFonts w:asciiTheme="majorHAnsi" w:hAnsiTheme="majorHAnsi"/>
          <w:sz w:val="20"/>
          <w:szCs w:val="20"/>
          <w:lang w:val="es-ES_tradnl"/>
        </w:rPr>
        <w:t>;</w:t>
      </w:r>
      <w:r w:rsidRPr="00DB6FD7">
        <w:rPr>
          <w:rFonts w:asciiTheme="majorHAnsi" w:hAnsiTheme="majorHAnsi"/>
          <w:sz w:val="20"/>
          <w:szCs w:val="20"/>
          <w:lang w:val="es-ES_tradnl"/>
        </w:rPr>
        <w:t xml:space="preserve"> y si hay una violación </w:t>
      </w:r>
      <w:r>
        <w:rPr>
          <w:rFonts w:asciiTheme="majorHAnsi" w:hAnsiTheme="majorHAnsi"/>
          <w:sz w:val="20"/>
          <w:szCs w:val="20"/>
          <w:lang w:val="es-ES_tradnl"/>
        </w:rPr>
        <w:t>de</w:t>
      </w:r>
      <w:r w:rsidRPr="00DB6FD7">
        <w:rPr>
          <w:rFonts w:asciiTheme="majorHAnsi" w:hAnsiTheme="majorHAnsi"/>
          <w:sz w:val="20"/>
          <w:szCs w:val="20"/>
          <w:lang w:val="es-ES_tradnl"/>
        </w:rPr>
        <w:t xml:space="preserve">l derecho a la igualdad y no discriminación en los casos que escapan al esquema de previsión de supuestos reparables por vía de la </w:t>
      </w:r>
      <w:r>
        <w:rPr>
          <w:rFonts w:asciiTheme="majorHAnsi" w:hAnsiTheme="majorHAnsi"/>
          <w:sz w:val="20"/>
          <w:szCs w:val="20"/>
          <w:lang w:val="es-ES_tradnl"/>
        </w:rPr>
        <w:t>dicha l</w:t>
      </w:r>
      <w:r w:rsidRPr="00DB6FD7">
        <w:rPr>
          <w:rFonts w:asciiTheme="majorHAnsi" w:hAnsiTheme="majorHAnsi"/>
          <w:sz w:val="20"/>
          <w:szCs w:val="20"/>
          <w:lang w:val="es-ES_tradnl"/>
        </w:rPr>
        <w:t xml:space="preserve">ey.  </w:t>
      </w:r>
    </w:p>
    <w:p w14:paraId="473904CA" w14:textId="77777777" w:rsidR="00BB613C" w:rsidRPr="00A90891" w:rsidRDefault="00BB613C" w:rsidP="00BB613C">
      <w:pPr>
        <w:jc w:val="both"/>
        <w:rPr>
          <w:rFonts w:asciiTheme="majorHAnsi" w:hAnsiTheme="majorHAnsi"/>
          <w:sz w:val="20"/>
          <w:szCs w:val="20"/>
          <w:lang w:val="es-ES_tradnl"/>
        </w:rPr>
      </w:pPr>
    </w:p>
    <w:p w14:paraId="71798AE7" w14:textId="77777777" w:rsidR="00BB613C" w:rsidRPr="00DB6FD7" w:rsidRDefault="00BB613C" w:rsidP="009A6972">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Con respecto al alegato del Estado de lo que considera una “cuarta instancia”, la C</w:t>
      </w:r>
      <w:r>
        <w:rPr>
          <w:rFonts w:asciiTheme="majorHAnsi" w:hAnsiTheme="majorHAnsi"/>
          <w:sz w:val="20"/>
          <w:szCs w:val="20"/>
          <w:lang w:val="es-ES_tradnl"/>
        </w:rPr>
        <w:t>IDH</w:t>
      </w:r>
      <w:r w:rsidRPr="00DB6FD7">
        <w:rPr>
          <w:rFonts w:asciiTheme="majorHAnsi" w:hAnsiTheme="majorHAnsi"/>
          <w:sz w:val="20"/>
          <w:szCs w:val="20"/>
          <w:lang w:val="es-ES_tradnl"/>
        </w:rPr>
        <w:t xml:space="preserve"> observa que al admitir esta petición no pretende suplantar la competencia de las autoridades judiciales </w:t>
      </w:r>
      <w:r>
        <w:rPr>
          <w:rFonts w:asciiTheme="majorHAnsi" w:hAnsiTheme="majorHAnsi"/>
          <w:sz w:val="20"/>
          <w:szCs w:val="20"/>
          <w:lang w:val="es-ES_tradnl"/>
        </w:rPr>
        <w:t>nacionales</w:t>
      </w:r>
      <w:r w:rsidRPr="00DB6FD7">
        <w:rPr>
          <w:rFonts w:asciiTheme="majorHAnsi" w:hAnsiTheme="majorHAnsi"/>
          <w:sz w:val="20"/>
          <w:szCs w:val="20"/>
          <w:lang w:val="es-ES_tradnl"/>
        </w:rPr>
        <w:t xml:space="preserve">. </w:t>
      </w:r>
      <w:r>
        <w:rPr>
          <w:rFonts w:asciiTheme="majorHAnsi" w:hAnsiTheme="majorHAnsi"/>
          <w:sz w:val="20"/>
          <w:szCs w:val="20"/>
          <w:lang w:val="es-ES_tradnl"/>
        </w:rPr>
        <w:t xml:space="preserve">Lo que sí hará es </w:t>
      </w:r>
      <w:r w:rsidRPr="00DB6FD7">
        <w:rPr>
          <w:rFonts w:asciiTheme="majorHAnsi" w:hAnsiTheme="majorHAnsi"/>
          <w:sz w:val="20"/>
          <w:szCs w:val="20"/>
          <w:lang w:val="es-ES_tradnl"/>
        </w:rPr>
        <w:t>analizar en la etapa de fondo si los proce</w:t>
      </w:r>
      <w:r>
        <w:rPr>
          <w:rFonts w:asciiTheme="majorHAnsi" w:hAnsiTheme="majorHAnsi"/>
          <w:sz w:val="20"/>
          <w:szCs w:val="20"/>
          <w:lang w:val="es-ES_tradnl"/>
        </w:rPr>
        <w:t>dimientos</w:t>
      </w:r>
      <w:r w:rsidRPr="00DB6FD7">
        <w:rPr>
          <w:rFonts w:asciiTheme="majorHAnsi" w:hAnsiTheme="majorHAnsi"/>
          <w:sz w:val="20"/>
          <w:szCs w:val="20"/>
          <w:lang w:val="es-ES_tradnl"/>
        </w:rPr>
        <w:t xml:space="preserve"> internos cumplieron con las garantías del debido proceso y protección judicial, y </w:t>
      </w:r>
      <w:r>
        <w:rPr>
          <w:rFonts w:asciiTheme="majorHAnsi" w:hAnsiTheme="majorHAnsi"/>
          <w:sz w:val="20"/>
          <w:szCs w:val="20"/>
          <w:lang w:val="es-ES_tradnl"/>
        </w:rPr>
        <w:t xml:space="preserve">si el Estado </w:t>
      </w:r>
      <w:r w:rsidRPr="00DB6FD7">
        <w:rPr>
          <w:rFonts w:asciiTheme="majorHAnsi" w:hAnsiTheme="majorHAnsi"/>
          <w:sz w:val="20"/>
          <w:szCs w:val="20"/>
          <w:lang w:val="es-ES_tradnl"/>
        </w:rPr>
        <w:t xml:space="preserve">ofreció las debidas garantías de acceso a la justicia a las presuntas víctimas en los términos de la Convención Americana. Asimismo, dentro del marco de su mandato </w:t>
      </w:r>
      <w:r>
        <w:rPr>
          <w:rFonts w:asciiTheme="majorHAnsi" w:hAnsiTheme="majorHAnsi"/>
          <w:sz w:val="20"/>
          <w:szCs w:val="20"/>
          <w:lang w:val="es-ES_tradnl"/>
        </w:rPr>
        <w:t xml:space="preserve">la Comisión Interamericana </w:t>
      </w:r>
      <w:r w:rsidRPr="00DB6FD7">
        <w:rPr>
          <w:rFonts w:asciiTheme="majorHAnsi" w:hAnsiTheme="majorHAnsi"/>
          <w:sz w:val="20"/>
          <w:szCs w:val="20"/>
          <w:lang w:val="es-ES_tradnl"/>
        </w:rPr>
        <w:t xml:space="preserve">es competente para declarar admisible una petición cuando se refiere a procesos internos que podrían ser violatorios de derechos garantizados por </w:t>
      </w:r>
      <w:r>
        <w:rPr>
          <w:rFonts w:asciiTheme="majorHAnsi" w:hAnsiTheme="majorHAnsi"/>
          <w:sz w:val="20"/>
          <w:szCs w:val="20"/>
          <w:lang w:val="es-ES_tradnl"/>
        </w:rPr>
        <w:t>dicho tratado</w:t>
      </w:r>
      <w:r w:rsidRPr="00DB6FD7">
        <w:rPr>
          <w:rFonts w:asciiTheme="majorHAnsi" w:hAnsiTheme="majorHAnsi"/>
          <w:sz w:val="20"/>
          <w:szCs w:val="20"/>
          <w:lang w:val="es-ES_tradnl"/>
        </w:rPr>
        <w:t xml:space="preserve">. Es decir que, de acuerdo con las normas convencionales citadas, en concordancia con el artículo 34 de su Reglamento, el análisis de admisibilidad se centra en la verificación de tales requisitos, </w:t>
      </w:r>
      <w:r>
        <w:rPr>
          <w:rFonts w:asciiTheme="majorHAnsi" w:hAnsiTheme="majorHAnsi"/>
          <w:sz w:val="20"/>
          <w:szCs w:val="20"/>
          <w:lang w:val="es-ES_tradnl"/>
        </w:rPr>
        <w:t xml:space="preserve">que </w:t>
      </w:r>
      <w:r w:rsidRPr="00DB6FD7">
        <w:rPr>
          <w:rFonts w:asciiTheme="majorHAnsi" w:hAnsiTheme="majorHAnsi"/>
          <w:sz w:val="20"/>
          <w:szCs w:val="20"/>
          <w:lang w:val="es-ES_tradnl"/>
        </w:rPr>
        <w:t xml:space="preserve">se refieren a la existencia de elementos que, de ser ciertos, podrían constituir </w:t>
      </w:r>
      <w:r w:rsidRPr="00DB6FD7">
        <w:rPr>
          <w:rFonts w:asciiTheme="majorHAnsi" w:hAnsiTheme="majorHAnsi"/>
          <w:i/>
          <w:iCs/>
          <w:sz w:val="20"/>
          <w:szCs w:val="20"/>
          <w:lang w:val="es-ES_tradnl"/>
        </w:rPr>
        <w:t>prima facie</w:t>
      </w:r>
      <w:r w:rsidRPr="00DB6FD7">
        <w:rPr>
          <w:rFonts w:asciiTheme="majorHAnsi" w:hAnsiTheme="majorHAnsi"/>
          <w:sz w:val="20"/>
          <w:szCs w:val="20"/>
          <w:lang w:val="es-ES_tradnl"/>
        </w:rPr>
        <w:t xml:space="preserve"> violaciones </w:t>
      </w:r>
      <w:r>
        <w:rPr>
          <w:rFonts w:asciiTheme="majorHAnsi" w:hAnsiTheme="majorHAnsi"/>
          <w:sz w:val="20"/>
          <w:szCs w:val="20"/>
          <w:lang w:val="es-ES_tradnl"/>
        </w:rPr>
        <w:t>de</w:t>
      </w:r>
      <w:r w:rsidRPr="00DB6FD7">
        <w:rPr>
          <w:rFonts w:asciiTheme="majorHAnsi" w:hAnsiTheme="majorHAnsi"/>
          <w:sz w:val="20"/>
          <w:szCs w:val="20"/>
          <w:lang w:val="es-ES_tradnl"/>
        </w:rPr>
        <w:t xml:space="preserve"> la Convención Americana</w:t>
      </w:r>
      <w:r w:rsidRPr="00DB6FD7">
        <w:rPr>
          <w:rFonts w:asciiTheme="majorHAnsi" w:hAnsiTheme="majorHAnsi"/>
          <w:sz w:val="20"/>
          <w:szCs w:val="20"/>
          <w:vertAlign w:val="superscript"/>
          <w:lang w:val="es-ES_tradnl"/>
        </w:rPr>
        <w:footnoteReference w:id="8"/>
      </w:r>
      <w:r w:rsidRPr="00DB6FD7">
        <w:rPr>
          <w:rFonts w:asciiTheme="majorHAnsi" w:hAnsiTheme="majorHAnsi"/>
          <w:sz w:val="20"/>
          <w:szCs w:val="20"/>
          <w:lang w:val="es-ES_tradnl"/>
        </w:rPr>
        <w:t>.</w:t>
      </w:r>
    </w:p>
    <w:p w14:paraId="5ED2B1BC" w14:textId="77777777" w:rsidR="00BB613C" w:rsidRDefault="00BB613C" w:rsidP="00BB613C">
      <w:pPr>
        <w:pStyle w:val="ListParagraph"/>
        <w:ind w:left="851"/>
        <w:rPr>
          <w:rFonts w:asciiTheme="majorHAnsi" w:hAnsiTheme="majorHAnsi"/>
          <w:sz w:val="20"/>
          <w:szCs w:val="20"/>
          <w:lang w:val="es-ES_tradnl"/>
        </w:rPr>
      </w:pPr>
    </w:p>
    <w:p w14:paraId="53F94FD7" w14:textId="77777777" w:rsidR="00BB613C" w:rsidRPr="00DB6FD7" w:rsidRDefault="00BB613C" w:rsidP="009A6972">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Teniendo en cuenta lo anterior, y sus precedentes en esta materia</w:t>
      </w:r>
      <w:r w:rsidRPr="00DB6FD7">
        <w:rPr>
          <w:rFonts w:asciiTheme="majorHAnsi" w:hAnsiTheme="majorHAnsi"/>
          <w:sz w:val="20"/>
          <w:szCs w:val="20"/>
          <w:vertAlign w:val="superscript"/>
          <w:lang w:val="es-ES_tradnl"/>
        </w:rPr>
        <w:footnoteReference w:id="9"/>
      </w:r>
      <w:r w:rsidRPr="00DB6FD7">
        <w:rPr>
          <w:rFonts w:asciiTheme="majorHAnsi" w:hAnsiTheme="majorHAnsi"/>
          <w:sz w:val="20"/>
          <w:szCs w:val="20"/>
          <w:lang w:val="es-ES_tradnl"/>
        </w:rPr>
        <w:t xml:space="preserve">, la CIDH considera que los alegatos de la parte peticionaria no resultan manifiestamente infundadas y requieren un estudio de fondo, pues los hechos alegados </w:t>
      </w:r>
      <w:r>
        <w:rPr>
          <w:rFonts w:asciiTheme="majorHAnsi" w:hAnsiTheme="majorHAnsi"/>
          <w:sz w:val="20"/>
          <w:szCs w:val="20"/>
          <w:lang w:val="es-ES_tradnl"/>
        </w:rPr>
        <w:t>--</w:t>
      </w:r>
      <w:r w:rsidRPr="00DB6FD7">
        <w:rPr>
          <w:rFonts w:asciiTheme="majorHAnsi" w:hAnsiTheme="majorHAnsi"/>
          <w:sz w:val="20"/>
          <w:szCs w:val="20"/>
          <w:lang w:val="es-ES_tradnl"/>
        </w:rPr>
        <w:t>de corroborarse como ciertos</w:t>
      </w:r>
      <w:r>
        <w:rPr>
          <w:rFonts w:asciiTheme="majorHAnsi" w:hAnsiTheme="majorHAnsi"/>
          <w:sz w:val="20"/>
          <w:szCs w:val="20"/>
          <w:lang w:val="es-ES_tradnl"/>
        </w:rPr>
        <w:t>--</w:t>
      </w:r>
      <w:r w:rsidRPr="00DB6FD7">
        <w:rPr>
          <w:rFonts w:asciiTheme="majorHAnsi" w:hAnsiTheme="majorHAnsi"/>
          <w:sz w:val="20"/>
          <w:szCs w:val="20"/>
          <w:lang w:val="es-ES_tradnl"/>
        </w:rPr>
        <w:t xml:space="preserve"> podrían c</w:t>
      </w:r>
      <w:r>
        <w:rPr>
          <w:rFonts w:asciiTheme="majorHAnsi" w:hAnsiTheme="majorHAnsi"/>
          <w:sz w:val="20"/>
          <w:szCs w:val="20"/>
          <w:lang w:val="es-ES_tradnl"/>
        </w:rPr>
        <w:t>onstituir</w:t>
      </w:r>
      <w:r w:rsidRPr="00DB6FD7">
        <w:rPr>
          <w:rFonts w:asciiTheme="majorHAnsi" w:hAnsiTheme="majorHAnsi"/>
          <w:sz w:val="20"/>
          <w:szCs w:val="20"/>
          <w:lang w:val="es-ES_tradnl"/>
        </w:rPr>
        <w:t xml:space="preserve"> violaciones </w:t>
      </w:r>
      <w:r>
        <w:rPr>
          <w:rFonts w:asciiTheme="majorHAnsi" w:hAnsiTheme="majorHAnsi"/>
          <w:sz w:val="20"/>
          <w:szCs w:val="20"/>
          <w:lang w:val="es-ES_tradnl"/>
        </w:rPr>
        <w:t>de</w:t>
      </w:r>
      <w:r w:rsidRPr="00DB6FD7">
        <w:rPr>
          <w:rFonts w:asciiTheme="majorHAnsi" w:hAnsiTheme="majorHAnsi"/>
          <w:sz w:val="20"/>
          <w:szCs w:val="20"/>
          <w:lang w:val="es-ES_tradnl"/>
        </w:rPr>
        <w:t xml:space="preserve"> los derechos </w:t>
      </w:r>
      <w:r>
        <w:rPr>
          <w:rFonts w:asciiTheme="majorHAnsi" w:hAnsiTheme="majorHAnsi"/>
          <w:sz w:val="20"/>
          <w:szCs w:val="20"/>
          <w:lang w:val="es-ES_tradnl"/>
        </w:rPr>
        <w:t xml:space="preserve">reconocidos </w:t>
      </w:r>
      <w:r w:rsidRPr="00DB6FD7">
        <w:rPr>
          <w:rFonts w:asciiTheme="majorHAnsi" w:hAnsiTheme="majorHAnsi"/>
          <w:sz w:val="20"/>
          <w:szCs w:val="20"/>
          <w:lang w:val="es-ES_tradnl"/>
        </w:rPr>
        <w:t xml:space="preserve">en los artículos 8 (garantías judiciales), 24 (igualdad ante la ley) y 25 (protección judicial) de la Convención Americana, en relación con sus artículos 1.1 (obligación de respetar los derechos) y 2 (deber de adoptar disposiciones de derecho interno). </w:t>
      </w:r>
    </w:p>
    <w:p w14:paraId="1E78BD14" w14:textId="77777777" w:rsidR="00BB613C" w:rsidRPr="00064F47" w:rsidRDefault="00BB613C" w:rsidP="00BB613C">
      <w:pPr>
        <w:jc w:val="both"/>
        <w:rPr>
          <w:rFonts w:asciiTheme="majorHAnsi" w:hAnsiTheme="majorHAnsi"/>
          <w:sz w:val="20"/>
          <w:szCs w:val="20"/>
          <w:lang w:val="es-ES_tradnl"/>
        </w:rPr>
      </w:pPr>
    </w:p>
    <w:p w14:paraId="18FA772B" w14:textId="77777777" w:rsidR="00BB613C" w:rsidRPr="00DB6FD7" w:rsidRDefault="00BB613C" w:rsidP="009A6972">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DB6FD7">
        <w:rPr>
          <w:rFonts w:asciiTheme="majorHAnsi" w:hAnsiTheme="majorHAnsi"/>
          <w:sz w:val="20"/>
          <w:szCs w:val="20"/>
          <w:lang w:val="es-ES_tradnl"/>
        </w:rPr>
        <w:t xml:space="preserve">En relación con los artículos 5, 7 y 22 de la Convención Americana y </w:t>
      </w:r>
      <w:r>
        <w:rPr>
          <w:rFonts w:asciiTheme="majorHAnsi" w:hAnsiTheme="majorHAnsi"/>
          <w:sz w:val="20"/>
          <w:szCs w:val="20"/>
          <w:lang w:val="es-ES_tradnl"/>
        </w:rPr>
        <w:t xml:space="preserve">los </w:t>
      </w:r>
      <w:r w:rsidRPr="00DB6FD7">
        <w:rPr>
          <w:bCs/>
          <w:sz w:val="20"/>
          <w:szCs w:val="20"/>
          <w:lang w:val="es-ES_tradnl"/>
        </w:rPr>
        <w:t>artículos I, II, V, VIII, XVIII, XXV, XXVI y XXVII de la Declaración Americana</w:t>
      </w:r>
      <w:r w:rsidRPr="00DB6FD7">
        <w:rPr>
          <w:rFonts w:asciiTheme="majorHAnsi" w:hAnsiTheme="majorHAnsi"/>
          <w:sz w:val="20"/>
          <w:szCs w:val="20"/>
          <w:lang w:val="es-ES_tradnl"/>
        </w:rPr>
        <w:t xml:space="preserve">, no se observa concretamente informaciones sobre previo agotamiento o aplicación de excepciones a </w:t>
      </w:r>
      <w:r>
        <w:rPr>
          <w:rFonts w:asciiTheme="majorHAnsi" w:hAnsiTheme="majorHAnsi"/>
          <w:sz w:val="20"/>
          <w:szCs w:val="20"/>
          <w:lang w:val="es-ES_tradnl"/>
        </w:rPr>
        <w:t>dich</w:t>
      </w:r>
      <w:r w:rsidRPr="00DB6FD7">
        <w:rPr>
          <w:rFonts w:asciiTheme="majorHAnsi" w:hAnsiTheme="majorHAnsi"/>
          <w:sz w:val="20"/>
          <w:szCs w:val="20"/>
          <w:lang w:val="es-ES_tradnl"/>
        </w:rPr>
        <w:t xml:space="preserve">a regla, como </w:t>
      </w:r>
      <w:r>
        <w:rPr>
          <w:rFonts w:asciiTheme="majorHAnsi" w:hAnsiTheme="majorHAnsi"/>
          <w:sz w:val="20"/>
          <w:szCs w:val="20"/>
          <w:lang w:val="es-ES_tradnl"/>
        </w:rPr>
        <w:t xml:space="preserve">se indica </w:t>
      </w:r>
      <w:r w:rsidRPr="00DB6FD7">
        <w:rPr>
          <w:rFonts w:asciiTheme="majorHAnsi" w:hAnsiTheme="majorHAnsi"/>
          <w:sz w:val="20"/>
          <w:szCs w:val="20"/>
          <w:lang w:val="es-ES_tradnl"/>
        </w:rPr>
        <w:t xml:space="preserve">en el párrafo </w:t>
      </w:r>
      <w:r>
        <w:rPr>
          <w:rFonts w:asciiTheme="majorHAnsi" w:hAnsiTheme="majorHAnsi"/>
          <w:sz w:val="20"/>
          <w:szCs w:val="20"/>
          <w:lang w:val="es-ES_tradnl"/>
        </w:rPr>
        <w:t>9</w:t>
      </w:r>
      <w:r w:rsidRPr="00DB6FD7">
        <w:rPr>
          <w:rFonts w:asciiTheme="majorHAnsi" w:hAnsiTheme="majorHAnsi"/>
          <w:sz w:val="20"/>
          <w:szCs w:val="20"/>
          <w:lang w:val="es-ES_tradnl"/>
        </w:rPr>
        <w:t xml:space="preserve"> </w:t>
      </w:r>
      <w:r w:rsidRPr="00DB6FD7">
        <w:rPr>
          <w:rFonts w:asciiTheme="majorHAnsi" w:hAnsiTheme="majorHAnsi"/>
          <w:i/>
          <w:iCs/>
          <w:sz w:val="20"/>
          <w:szCs w:val="20"/>
          <w:lang w:val="es-ES_tradnl"/>
        </w:rPr>
        <w:t>supra</w:t>
      </w:r>
      <w:r w:rsidRPr="00DB6FD7">
        <w:rPr>
          <w:rFonts w:asciiTheme="majorHAnsi" w:hAnsiTheme="majorHAnsi"/>
          <w:sz w:val="20"/>
          <w:szCs w:val="20"/>
          <w:lang w:val="es-ES_tradnl"/>
        </w:rPr>
        <w:t xml:space="preserve">.  Sin embargo, los hechos iniciales ocurridos a partir de mediados de </w:t>
      </w:r>
      <w:r>
        <w:rPr>
          <w:rFonts w:asciiTheme="majorHAnsi" w:hAnsiTheme="majorHAnsi"/>
          <w:sz w:val="20"/>
          <w:szCs w:val="20"/>
          <w:lang w:val="es-ES_tradnl"/>
        </w:rPr>
        <w:t xml:space="preserve">la década de </w:t>
      </w:r>
      <w:r w:rsidRPr="00DB6FD7">
        <w:rPr>
          <w:rFonts w:asciiTheme="majorHAnsi" w:hAnsiTheme="majorHAnsi"/>
          <w:sz w:val="20"/>
          <w:szCs w:val="20"/>
          <w:lang w:val="es-ES_tradnl"/>
        </w:rPr>
        <w:t>los 70 serán valorados en la etapa de fondo a modo de contexto y antecedentes.</w:t>
      </w:r>
    </w:p>
    <w:p w14:paraId="347E81E3" w14:textId="77777777" w:rsidR="00840AE8" w:rsidRPr="00BB613C" w:rsidRDefault="00840AE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9BB41F5" w14:textId="19EDD638" w:rsidR="003239B8" w:rsidRPr="0094529B" w:rsidRDefault="003239B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94529B">
        <w:rPr>
          <w:rFonts w:asciiTheme="majorHAnsi" w:hAnsiTheme="majorHAnsi"/>
          <w:b/>
          <w:bCs/>
          <w:sz w:val="20"/>
          <w:szCs w:val="20"/>
          <w:lang w:val="es-ES"/>
        </w:rPr>
        <w:t xml:space="preserve">VII. </w:t>
      </w:r>
      <w:r w:rsidRPr="0094529B">
        <w:rPr>
          <w:rFonts w:asciiTheme="majorHAnsi" w:hAnsiTheme="majorHAnsi"/>
          <w:b/>
          <w:bCs/>
          <w:sz w:val="20"/>
          <w:szCs w:val="20"/>
          <w:lang w:val="es-ES"/>
        </w:rPr>
        <w:tab/>
        <w:t>DECISIÓN</w:t>
      </w:r>
    </w:p>
    <w:p w14:paraId="49AF4783" w14:textId="77777777" w:rsidR="00840AE8" w:rsidRPr="00840AE8"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7816CD0" w14:textId="13CF4BF8" w:rsidR="003330F2" w:rsidRPr="00DB6FD7" w:rsidRDefault="003330F2" w:rsidP="009A697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851"/>
        <w:jc w:val="both"/>
        <w:rPr>
          <w:rFonts w:asciiTheme="majorHAnsi" w:hAnsiTheme="majorHAnsi"/>
          <w:sz w:val="20"/>
          <w:szCs w:val="20"/>
          <w:lang w:val="es-ES_tradnl"/>
        </w:rPr>
      </w:pPr>
      <w:r w:rsidRPr="00DB6FD7">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DB6FD7">
        <w:rPr>
          <w:rFonts w:asciiTheme="majorHAnsi" w:hAnsiTheme="majorHAnsi"/>
          <w:spacing w:val="-11"/>
          <w:sz w:val="20"/>
          <w:szCs w:val="20"/>
          <w:lang w:val="es-ES_tradnl"/>
        </w:rPr>
        <w:t xml:space="preserve"> </w:t>
      </w:r>
      <w:r w:rsidRPr="00DB6FD7">
        <w:rPr>
          <w:rFonts w:asciiTheme="majorHAnsi" w:hAnsiTheme="majorHAnsi"/>
          <w:sz w:val="20"/>
          <w:szCs w:val="20"/>
          <w:lang w:val="es-ES_tradnl"/>
        </w:rPr>
        <w:t>instrumento</w:t>
      </w:r>
      <w:r w:rsidR="003F515B">
        <w:rPr>
          <w:rFonts w:asciiTheme="majorHAnsi" w:hAnsiTheme="majorHAnsi"/>
          <w:sz w:val="20"/>
          <w:szCs w:val="20"/>
          <w:lang w:val="es-ES_tradnl"/>
        </w:rPr>
        <w:t xml:space="preserve">; </w:t>
      </w:r>
    </w:p>
    <w:p w14:paraId="1B383D82" w14:textId="77777777" w:rsidR="003330F2" w:rsidRDefault="003330F2" w:rsidP="003330F2">
      <w:pPr>
        <w:pStyle w:val="ListParagraph"/>
        <w:suppressAutoHyphens/>
        <w:ind w:left="851"/>
        <w:rPr>
          <w:rFonts w:asciiTheme="majorHAnsi" w:hAnsiTheme="majorHAnsi"/>
          <w:sz w:val="20"/>
          <w:szCs w:val="20"/>
          <w:lang w:val="es-ES_tradnl"/>
        </w:rPr>
      </w:pPr>
    </w:p>
    <w:p w14:paraId="579C64D0" w14:textId="48A6B63C" w:rsidR="003330F2" w:rsidRDefault="003330F2" w:rsidP="009A697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851"/>
        <w:jc w:val="both"/>
        <w:rPr>
          <w:rFonts w:asciiTheme="majorHAnsi" w:hAnsiTheme="majorHAnsi"/>
          <w:sz w:val="20"/>
          <w:szCs w:val="20"/>
          <w:lang w:val="es-ES_tradnl"/>
        </w:rPr>
      </w:pPr>
      <w:r w:rsidRPr="00DB6FD7">
        <w:rPr>
          <w:rFonts w:asciiTheme="majorHAnsi" w:hAnsiTheme="majorHAnsi"/>
          <w:sz w:val="20"/>
          <w:szCs w:val="20"/>
          <w:lang w:val="es-ES_tradnl"/>
        </w:rPr>
        <w:t xml:space="preserve">Declarar inadmisible la presente petición en relación con los artículos 5, 7 y 22 de la Convención Americana, y </w:t>
      </w:r>
      <w:r w:rsidRPr="00DB6FD7">
        <w:rPr>
          <w:bCs/>
          <w:sz w:val="20"/>
          <w:szCs w:val="20"/>
          <w:lang w:val="es-ES_tradnl"/>
        </w:rPr>
        <w:t>artículos I, II, V, VIII, XVIII, XXV, XXVI y XXVII de la Declaración Americana</w:t>
      </w:r>
      <w:r w:rsidR="00DD13BF">
        <w:rPr>
          <w:rFonts w:asciiTheme="majorHAnsi" w:hAnsiTheme="majorHAnsi"/>
          <w:sz w:val="20"/>
          <w:szCs w:val="20"/>
          <w:lang w:val="es-ES_tradnl"/>
        </w:rPr>
        <w:t>, y;</w:t>
      </w:r>
    </w:p>
    <w:p w14:paraId="25D46F6F" w14:textId="77777777" w:rsidR="003330F2" w:rsidRPr="00064F47" w:rsidRDefault="003330F2" w:rsidP="003330F2">
      <w:pPr>
        <w:suppressAutoHyphens/>
        <w:jc w:val="both"/>
        <w:rPr>
          <w:rFonts w:asciiTheme="majorHAnsi" w:hAnsiTheme="majorHAnsi"/>
          <w:sz w:val="20"/>
          <w:szCs w:val="20"/>
          <w:lang w:val="es-ES_tradnl"/>
        </w:rPr>
      </w:pPr>
    </w:p>
    <w:p w14:paraId="61C3B011" w14:textId="77777777" w:rsidR="003330F2" w:rsidRPr="0069405A" w:rsidRDefault="003330F2" w:rsidP="009A697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851"/>
        <w:jc w:val="both"/>
        <w:rPr>
          <w:rFonts w:asciiTheme="majorHAnsi" w:hAnsiTheme="majorHAnsi" w:cs="Calibri"/>
          <w:sz w:val="20"/>
          <w:szCs w:val="20"/>
          <w:lang w:val="es-ES_tradnl"/>
        </w:rPr>
      </w:pPr>
      <w:r w:rsidRPr="00DB6FD7">
        <w:rPr>
          <w:rFonts w:asciiTheme="majorHAnsi" w:hAnsiTheme="majorHAnsi"/>
          <w:sz w:val="20"/>
          <w:szCs w:val="20"/>
          <w:lang w:val="es-ES_tradnl"/>
        </w:rPr>
        <w:t>Notificar</w:t>
      </w:r>
      <w:r w:rsidRPr="00DB6FD7">
        <w:rPr>
          <w:rFonts w:asciiTheme="majorHAnsi" w:hAnsiTheme="majorHAnsi"/>
          <w:spacing w:val="-5"/>
          <w:sz w:val="20"/>
          <w:szCs w:val="20"/>
          <w:lang w:val="es-ES_tradnl"/>
        </w:rPr>
        <w:t xml:space="preserve"> </w:t>
      </w:r>
      <w:r w:rsidRPr="00DB6FD7">
        <w:rPr>
          <w:rFonts w:asciiTheme="majorHAnsi" w:hAnsiTheme="majorHAnsi"/>
          <w:sz w:val="20"/>
          <w:szCs w:val="20"/>
          <w:lang w:val="es-ES_tradnl"/>
        </w:rPr>
        <w:t>a</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las</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partes</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la</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presente</w:t>
      </w:r>
      <w:r w:rsidRPr="00DB6FD7">
        <w:rPr>
          <w:rFonts w:asciiTheme="majorHAnsi" w:hAnsiTheme="majorHAnsi"/>
          <w:spacing w:val="-5"/>
          <w:sz w:val="20"/>
          <w:szCs w:val="20"/>
          <w:lang w:val="es-ES_tradnl"/>
        </w:rPr>
        <w:t xml:space="preserve"> </w:t>
      </w:r>
      <w:r w:rsidRPr="00DB6FD7">
        <w:rPr>
          <w:rFonts w:asciiTheme="majorHAnsi" w:hAnsiTheme="majorHAnsi"/>
          <w:sz w:val="20"/>
          <w:szCs w:val="20"/>
          <w:lang w:val="es-ES_tradnl"/>
        </w:rPr>
        <w:t>decisión;</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continuar</w:t>
      </w:r>
      <w:r w:rsidRPr="00DB6FD7">
        <w:rPr>
          <w:rFonts w:asciiTheme="majorHAnsi" w:hAnsiTheme="majorHAnsi"/>
          <w:spacing w:val="-5"/>
          <w:sz w:val="20"/>
          <w:szCs w:val="20"/>
          <w:lang w:val="es-ES_tradnl"/>
        </w:rPr>
        <w:t xml:space="preserve"> </w:t>
      </w:r>
      <w:r w:rsidRPr="00DB6FD7">
        <w:rPr>
          <w:rFonts w:asciiTheme="majorHAnsi" w:hAnsiTheme="majorHAnsi"/>
          <w:sz w:val="20"/>
          <w:szCs w:val="20"/>
          <w:lang w:val="es-ES_tradnl"/>
        </w:rPr>
        <w:t>con</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el</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análisis</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del</w:t>
      </w:r>
      <w:r w:rsidRPr="00DB6FD7">
        <w:rPr>
          <w:rFonts w:asciiTheme="majorHAnsi" w:hAnsiTheme="majorHAnsi"/>
          <w:spacing w:val="-2"/>
          <w:sz w:val="20"/>
          <w:szCs w:val="20"/>
          <w:lang w:val="es-ES_tradnl"/>
        </w:rPr>
        <w:t xml:space="preserve"> </w:t>
      </w:r>
      <w:r w:rsidRPr="00DB6FD7">
        <w:rPr>
          <w:rFonts w:asciiTheme="majorHAnsi" w:hAnsiTheme="majorHAnsi"/>
          <w:sz w:val="20"/>
          <w:szCs w:val="20"/>
          <w:lang w:val="es-ES_tradnl"/>
        </w:rPr>
        <w:t>fondo</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de</w:t>
      </w:r>
      <w:r w:rsidRPr="00DB6FD7">
        <w:rPr>
          <w:rFonts w:asciiTheme="majorHAnsi" w:hAnsiTheme="majorHAnsi"/>
          <w:spacing w:val="-5"/>
          <w:sz w:val="20"/>
          <w:szCs w:val="20"/>
          <w:lang w:val="es-ES_tradnl"/>
        </w:rPr>
        <w:t xml:space="preserve"> </w:t>
      </w:r>
      <w:r w:rsidRPr="00DB6FD7">
        <w:rPr>
          <w:rFonts w:asciiTheme="majorHAnsi" w:hAnsiTheme="majorHAnsi"/>
          <w:sz w:val="20"/>
          <w:szCs w:val="20"/>
          <w:lang w:val="es-ES_tradnl"/>
        </w:rPr>
        <w:t>la</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cuestión;</w:t>
      </w:r>
      <w:r w:rsidRPr="00DB6FD7">
        <w:rPr>
          <w:rFonts w:asciiTheme="majorHAnsi" w:hAnsiTheme="majorHAnsi"/>
          <w:spacing w:val="-3"/>
          <w:sz w:val="20"/>
          <w:szCs w:val="20"/>
          <w:lang w:val="es-ES_tradnl"/>
        </w:rPr>
        <w:t xml:space="preserve"> </w:t>
      </w:r>
      <w:r w:rsidRPr="00DB6FD7">
        <w:rPr>
          <w:rFonts w:asciiTheme="majorHAnsi" w:hAnsiTheme="majorHAnsi"/>
          <w:sz w:val="20"/>
          <w:szCs w:val="20"/>
          <w:lang w:val="es-ES_tradnl"/>
        </w:rPr>
        <w:t>y publicar esta decisión e incluirla en su Informe Anual a la Asamblea General de la Organización de los Estados Americanos.</w:t>
      </w:r>
    </w:p>
    <w:p w14:paraId="2B46659A" w14:textId="77777777" w:rsidR="003330F2" w:rsidRDefault="003330F2" w:rsidP="003330F2">
      <w:pPr>
        <w:pStyle w:val="ListParagraph"/>
        <w:suppressAutoHyphens/>
        <w:ind w:left="851"/>
        <w:rPr>
          <w:rFonts w:asciiTheme="majorHAnsi" w:hAnsiTheme="majorHAnsi"/>
          <w:sz w:val="20"/>
          <w:szCs w:val="20"/>
          <w:lang w:val="es-ES_tradnl"/>
        </w:rPr>
      </w:pPr>
    </w:p>
    <w:p w14:paraId="46B48E3A" w14:textId="5951E490" w:rsidR="003330F2" w:rsidRPr="00A37B82" w:rsidRDefault="003330F2" w:rsidP="60BFD022">
      <w:pPr>
        <w:ind w:firstLine="720"/>
        <w:jc w:val="both"/>
        <w:rPr>
          <w:rFonts w:asciiTheme="majorHAnsi" w:hAnsiTheme="majorHAnsi" w:cs="Arial"/>
          <w:noProof/>
          <w:spacing w:val="-2"/>
          <w:sz w:val="20"/>
          <w:szCs w:val="20"/>
          <w:lang w:val="es-CL"/>
        </w:rPr>
      </w:pPr>
      <w:bookmarkStart w:id="2" w:name="_Hlk95209781"/>
      <w:bookmarkStart w:id="3" w:name="_Hlk89320357"/>
      <w:r w:rsidRPr="60BFD022">
        <w:rPr>
          <w:rFonts w:asciiTheme="majorHAnsi" w:hAnsiTheme="majorHAnsi" w:cs="Arial"/>
          <w:noProof/>
          <w:spacing w:val="-2"/>
          <w:sz w:val="20"/>
          <w:szCs w:val="20"/>
          <w:lang w:val="es-CL"/>
        </w:rPr>
        <w:t>Aprobado por la Comisión Interamericana de Derechos Humanos a</w:t>
      </w:r>
      <w:r w:rsidR="00155EA7" w:rsidRPr="60BFD022">
        <w:rPr>
          <w:rFonts w:asciiTheme="majorHAnsi" w:hAnsiTheme="majorHAnsi" w:cs="Arial"/>
          <w:noProof/>
          <w:spacing w:val="-2"/>
          <w:sz w:val="20"/>
          <w:szCs w:val="20"/>
          <w:lang w:val="es-CL"/>
        </w:rPr>
        <w:t xml:space="preserve"> </w:t>
      </w:r>
      <w:r w:rsidRPr="60BFD022">
        <w:rPr>
          <w:rFonts w:asciiTheme="majorHAnsi" w:hAnsiTheme="majorHAnsi" w:cs="Arial"/>
          <w:noProof/>
          <w:spacing w:val="-2"/>
          <w:sz w:val="20"/>
          <w:szCs w:val="20"/>
          <w:lang w:val="es-CL"/>
        </w:rPr>
        <w:t>l</w:t>
      </w:r>
      <w:r w:rsidR="00155EA7" w:rsidRPr="60BFD022">
        <w:rPr>
          <w:rFonts w:asciiTheme="majorHAnsi" w:hAnsiTheme="majorHAnsi" w:cs="Arial"/>
          <w:noProof/>
          <w:spacing w:val="-2"/>
          <w:sz w:val="20"/>
          <w:szCs w:val="20"/>
          <w:lang w:val="es-CL"/>
        </w:rPr>
        <w:t>os</w:t>
      </w:r>
      <w:r w:rsidRPr="60BFD022">
        <w:rPr>
          <w:rFonts w:asciiTheme="majorHAnsi" w:hAnsiTheme="majorHAnsi" w:cs="Arial"/>
          <w:noProof/>
          <w:spacing w:val="-2"/>
          <w:sz w:val="20"/>
          <w:szCs w:val="20"/>
          <w:lang w:val="es-CL"/>
        </w:rPr>
        <w:t xml:space="preserve"> 9</w:t>
      </w:r>
      <w:r w:rsidR="00155EA7" w:rsidRPr="60BFD022">
        <w:rPr>
          <w:rFonts w:asciiTheme="majorHAnsi" w:hAnsiTheme="majorHAnsi" w:cs="Arial"/>
          <w:noProof/>
          <w:spacing w:val="-2"/>
          <w:sz w:val="20"/>
          <w:szCs w:val="20"/>
          <w:lang w:val="es-CL"/>
        </w:rPr>
        <w:t xml:space="preserve"> </w:t>
      </w:r>
      <w:r w:rsidRPr="60BFD022">
        <w:rPr>
          <w:rFonts w:asciiTheme="majorHAnsi" w:hAnsiTheme="majorHAnsi" w:cs="Arial"/>
          <w:noProof/>
          <w:spacing w:val="-2"/>
          <w:sz w:val="20"/>
          <w:szCs w:val="20"/>
          <w:lang w:val="es-CL"/>
        </w:rPr>
        <w:t>día</w:t>
      </w:r>
      <w:r w:rsidR="00155EA7" w:rsidRPr="60BFD022">
        <w:rPr>
          <w:rFonts w:asciiTheme="majorHAnsi" w:hAnsiTheme="majorHAnsi" w:cs="Arial"/>
          <w:noProof/>
          <w:spacing w:val="-2"/>
          <w:sz w:val="20"/>
          <w:szCs w:val="20"/>
          <w:lang w:val="es-CL"/>
        </w:rPr>
        <w:t>s</w:t>
      </w:r>
      <w:r w:rsidRPr="60BFD022">
        <w:rPr>
          <w:rFonts w:asciiTheme="majorHAnsi" w:hAnsiTheme="majorHAnsi" w:cs="Arial"/>
          <w:noProof/>
          <w:spacing w:val="-2"/>
          <w:sz w:val="20"/>
          <w:szCs w:val="20"/>
          <w:lang w:val="es-CL"/>
        </w:rPr>
        <w:t xml:space="preserve"> del mes de marzo de 2022.  (Firmado): Julissa Mantilla Falcón, Presidenta; Stuardo Ralón Orellana, Primer Vicepresidente; Esmeralda E. Arosemena Bernal de Troitiño y Joel Hernández, Miembros de la Comisión.</w:t>
      </w:r>
      <w:r w:rsidRPr="60BFD022">
        <w:rPr>
          <w:rFonts w:asciiTheme="majorHAnsi" w:hAnsiTheme="majorHAnsi" w:cs="Arial"/>
          <w:noProof/>
          <w:sz w:val="20"/>
          <w:szCs w:val="20"/>
          <w:lang w:val="es-CL"/>
        </w:rPr>
        <w:t xml:space="preserve"> </w:t>
      </w:r>
      <w:bookmarkEnd w:id="2"/>
    </w:p>
    <w:bookmarkEnd w:id="3"/>
    <w:p w14:paraId="17C11346" w14:textId="77777777" w:rsidR="003330F2" w:rsidRPr="00A37B82" w:rsidRDefault="003330F2" w:rsidP="003330F2">
      <w:pPr>
        <w:suppressAutoHyphens/>
        <w:ind w:firstLine="720"/>
        <w:jc w:val="both"/>
        <w:rPr>
          <w:rFonts w:asciiTheme="majorHAnsi" w:hAnsiTheme="majorHAnsi" w:cs="Arial"/>
          <w:noProof/>
          <w:spacing w:val="-2"/>
          <w:sz w:val="20"/>
          <w:szCs w:val="20"/>
          <w:lang w:val="es-CL"/>
        </w:rPr>
      </w:pPr>
    </w:p>
    <w:sectPr w:rsidR="003330F2" w:rsidRPr="00A37B82"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FFA3" w14:textId="77777777" w:rsidR="00E37204" w:rsidRDefault="00E37204">
      <w:r>
        <w:separator/>
      </w:r>
    </w:p>
  </w:endnote>
  <w:endnote w:type="continuationSeparator" w:id="0">
    <w:p w14:paraId="07317179" w14:textId="77777777" w:rsidR="00E37204" w:rsidRDefault="00E37204">
      <w:r>
        <w:continuationSeparator/>
      </w:r>
    </w:p>
  </w:endnote>
  <w:endnote w:type="continuationNotice" w:id="1">
    <w:p w14:paraId="0007D8A9" w14:textId="77777777" w:rsidR="00E37204" w:rsidRDefault="00E37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F115A5" w:rsidRDefault="00F11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F115A5" w:rsidRPr="00934A2C" w:rsidRDefault="00F115A5">
    <w:pPr>
      <w:pStyle w:val="Footer"/>
      <w:jc w:val="center"/>
      <w:rPr>
        <w:sz w:val="16"/>
        <w:szCs w:val="22"/>
      </w:rPr>
    </w:pPr>
  </w:p>
  <w:p w14:paraId="4EA5439C" w14:textId="77777777" w:rsidR="00F115A5" w:rsidRDefault="00F11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82FE2"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C6CB7">
          <w:rPr>
            <w:noProof/>
            <w:sz w:val="16"/>
            <w:szCs w:val="22"/>
          </w:rPr>
          <w:t>6</w:t>
        </w:r>
        <w:r w:rsidRPr="00934A2C">
          <w:rPr>
            <w:noProof/>
            <w:sz w:val="16"/>
            <w:szCs w:val="22"/>
          </w:rPr>
          <w:fldChar w:fldCharType="end"/>
        </w:r>
      </w:p>
    </w:sdtContent>
  </w:sdt>
  <w:p w14:paraId="68530E6A" w14:textId="77777777" w:rsidR="00F115A5" w:rsidRDefault="00F11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115A5" w:rsidRPr="00934A2C" w:rsidRDefault="00F115A5">
    <w:pPr>
      <w:pStyle w:val="Footer"/>
      <w:jc w:val="center"/>
      <w:rPr>
        <w:sz w:val="16"/>
        <w:szCs w:val="22"/>
      </w:rPr>
    </w:pPr>
  </w:p>
  <w:p w14:paraId="49059CE3" w14:textId="77777777" w:rsidR="00F115A5" w:rsidRDefault="00F1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A21B" w14:textId="77777777" w:rsidR="00E37204" w:rsidRPr="000F35ED" w:rsidRDefault="00E3720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9A5EF9F" w14:textId="77777777" w:rsidR="00E37204" w:rsidRPr="000F35ED" w:rsidRDefault="00E37204" w:rsidP="000F35ED">
      <w:pPr>
        <w:rPr>
          <w:rFonts w:asciiTheme="majorHAnsi" w:hAnsiTheme="majorHAnsi"/>
          <w:sz w:val="16"/>
          <w:szCs w:val="16"/>
        </w:rPr>
      </w:pPr>
      <w:r w:rsidRPr="000F35ED">
        <w:rPr>
          <w:rFonts w:asciiTheme="majorHAnsi" w:hAnsiTheme="majorHAnsi"/>
          <w:sz w:val="16"/>
          <w:szCs w:val="16"/>
        </w:rPr>
        <w:separator/>
      </w:r>
    </w:p>
    <w:p w14:paraId="0DE65EBD" w14:textId="77777777" w:rsidR="00E37204" w:rsidRPr="000F35ED" w:rsidRDefault="00E3720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D544136" w14:textId="77777777" w:rsidR="00E37204" w:rsidRPr="000F35ED" w:rsidRDefault="00E3720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FC3FF90" w14:textId="77777777" w:rsidR="006E557C" w:rsidRPr="002E7AE8" w:rsidRDefault="006E557C" w:rsidP="00F76A1D">
      <w:pPr>
        <w:pStyle w:val="FootnoteText"/>
        <w:ind w:firstLine="720"/>
        <w:jc w:val="both"/>
        <w:rPr>
          <w:rFonts w:asciiTheme="majorHAnsi" w:hAnsiTheme="majorHAnsi"/>
          <w:sz w:val="16"/>
          <w:szCs w:val="16"/>
          <w:lang w:val="es-PY"/>
        </w:rPr>
      </w:pPr>
      <w:r w:rsidRPr="002E7AE8">
        <w:rPr>
          <w:rStyle w:val="FootnoteReference"/>
          <w:rFonts w:asciiTheme="majorHAnsi" w:hAnsiTheme="majorHAnsi"/>
          <w:sz w:val="16"/>
          <w:szCs w:val="16"/>
        </w:rPr>
        <w:footnoteRef/>
      </w:r>
      <w:r w:rsidRPr="002E7AE8">
        <w:rPr>
          <w:rFonts w:asciiTheme="majorHAnsi" w:hAnsiTheme="majorHAnsi"/>
          <w:sz w:val="16"/>
          <w:szCs w:val="16"/>
          <w:lang w:val="es-PY"/>
        </w:rPr>
        <w:t xml:space="preserve"> </w:t>
      </w:r>
      <w:r w:rsidRPr="002E7AE8">
        <w:rPr>
          <w:rFonts w:asciiTheme="majorHAnsi" w:hAnsiTheme="majorHAnsi"/>
          <w:sz w:val="16"/>
          <w:szCs w:val="16"/>
          <w:lang w:val="es-ES_tradnl"/>
        </w:rPr>
        <w:t xml:space="preserve">La parte peticionaria señala que la citada ley fue dictada por el Congreso de Argentina debido a un compromiso adoptado por el Estado ante la CIDH, como consecuencia del acuerdo de solución amistosa que consta en el Informe </w:t>
      </w:r>
      <w:proofErr w:type="spellStart"/>
      <w:r w:rsidRPr="002E7AE8">
        <w:rPr>
          <w:rFonts w:asciiTheme="majorHAnsi" w:hAnsiTheme="majorHAnsi"/>
          <w:sz w:val="16"/>
          <w:szCs w:val="16"/>
          <w:lang w:val="es-ES_tradnl"/>
        </w:rPr>
        <w:t>Nº</w:t>
      </w:r>
      <w:proofErr w:type="spellEnd"/>
      <w:r w:rsidRPr="002E7AE8">
        <w:rPr>
          <w:rFonts w:asciiTheme="majorHAnsi" w:hAnsiTheme="majorHAnsi"/>
          <w:sz w:val="16"/>
          <w:szCs w:val="16"/>
          <w:lang w:val="es-ES_tradnl"/>
        </w:rPr>
        <w:t xml:space="preserve"> 1/93 (Informe sobre solución amistosa respecto de los Casos 10.228, 10.310, 10.436, 10.631 y 10.771, Argentina, 3 de marzo de 1993).</w:t>
      </w:r>
    </w:p>
  </w:footnote>
  <w:footnote w:id="3">
    <w:p w14:paraId="3D30059D" w14:textId="77777777" w:rsidR="006E557C" w:rsidRPr="00613495" w:rsidRDefault="006E557C" w:rsidP="00F76A1D">
      <w:pPr>
        <w:pStyle w:val="FootnoteText"/>
        <w:jc w:val="both"/>
        <w:rPr>
          <w:lang w:val="es-PY"/>
        </w:rPr>
      </w:pPr>
      <w:r w:rsidRPr="002E7AE8">
        <w:rPr>
          <w:rFonts w:asciiTheme="majorHAnsi" w:hAnsiTheme="majorHAnsi"/>
          <w:sz w:val="16"/>
          <w:szCs w:val="16"/>
          <w:lang w:val="es-ES_tradnl"/>
        </w:rPr>
        <w:tab/>
      </w:r>
      <w:r w:rsidRPr="002E7AE8">
        <w:rPr>
          <w:rFonts w:asciiTheme="majorHAnsi" w:hAnsiTheme="majorHAnsi"/>
          <w:sz w:val="16"/>
          <w:szCs w:val="16"/>
          <w:vertAlign w:val="superscript"/>
          <w:lang w:val="es-ES_tradnl"/>
        </w:rPr>
        <w:footnoteRef/>
      </w:r>
      <w:r w:rsidRPr="002E7AE8">
        <w:rPr>
          <w:rFonts w:asciiTheme="majorHAnsi" w:hAnsiTheme="majorHAnsi"/>
          <w:sz w:val="16"/>
          <w:szCs w:val="16"/>
          <w:vertAlign w:val="superscript"/>
          <w:lang w:val="es-ES_tradnl"/>
        </w:rPr>
        <w:t xml:space="preserve"> </w:t>
      </w:r>
      <w:r w:rsidRPr="002E7AE8">
        <w:rPr>
          <w:rFonts w:asciiTheme="majorHAnsi" w:hAnsiTheme="majorHAnsi"/>
          <w:sz w:val="16"/>
          <w:szCs w:val="16"/>
          <w:lang w:val="es-ES_tradnl"/>
        </w:rPr>
        <w:t xml:space="preserve">En este sentido, la parte peticionaria cita diferentes casos decididos en el ámbito interno, tales como los de Yofre de Vaca Narvaja, </w:t>
      </w:r>
      <w:proofErr w:type="spellStart"/>
      <w:r w:rsidRPr="002E7AE8">
        <w:rPr>
          <w:rFonts w:asciiTheme="majorHAnsi" w:hAnsiTheme="majorHAnsi"/>
          <w:sz w:val="16"/>
          <w:szCs w:val="16"/>
          <w:lang w:val="es-ES_tradnl"/>
        </w:rPr>
        <w:t>Bufano</w:t>
      </w:r>
      <w:proofErr w:type="spellEnd"/>
      <w:r w:rsidRPr="002E7AE8">
        <w:rPr>
          <w:rFonts w:asciiTheme="majorHAnsi" w:hAnsiTheme="majorHAnsi"/>
          <w:sz w:val="16"/>
          <w:szCs w:val="16"/>
          <w:lang w:val="es-ES_tradnl"/>
        </w:rPr>
        <w:t xml:space="preserve">, Quiroga, </w:t>
      </w:r>
      <w:proofErr w:type="spellStart"/>
      <w:r w:rsidRPr="002E7AE8">
        <w:rPr>
          <w:rFonts w:asciiTheme="majorHAnsi" w:hAnsiTheme="majorHAnsi"/>
          <w:sz w:val="16"/>
          <w:szCs w:val="16"/>
          <w:lang w:val="es-ES_tradnl"/>
        </w:rPr>
        <w:t>Geuna</w:t>
      </w:r>
      <w:proofErr w:type="spellEnd"/>
      <w:r w:rsidRPr="002E7AE8">
        <w:rPr>
          <w:rFonts w:asciiTheme="majorHAnsi" w:hAnsiTheme="majorHAnsi"/>
          <w:sz w:val="16"/>
          <w:szCs w:val="16"/>
          <w:lang w:val="es-ES_tradnl"/>
        </w:rPr>
        <w:t xml:space="preserve">, </w:t>
      </w:r>
      <w:proofErr w:type="spellStart"/>
      <w:r w:rsidRPr="002E7AE8">
        <w:rPr>
          <w:rFonts w:asciiTheme="majorHAnsi" w:hAnsiTheme="majorHAnsi"/>
          <w:sz w:val="16"/>
          <w:szCs w:val="16"/>
          <w:lang w:val="es-ES_tradnl"/>
        </w:rPr>
        <w:t>Tamburrini</w:t>
      </w:r>
      <w:proofErr w:type="spellEnd"/>
      <w:r w:rsidRPr="002E7AE8">
        <w:rPr>
          <w:rFonts w:asciiTheme="majorHAnsi" w:hAnsiTheme="majorHAnsi"/>
          <w:sz w:val="16"/>
          <w:szCs w:val="16"/>
          <w:lang w:val="es-ES_tradnl"/>
        </w:rPr>
        <w:t xml:space="preserve"> y </w:t>
      </w:r>
      <w:proofErr w:type="spellStart"/>
      <w:r w:rsidRPr="002E7AE8">
        <w:rPr>
          <w:rFonts w:asciiTheme="majorHAnsi" w:hAnsiTheme="majorHAnsi"/>
          <w:sz w:val="16"/>
          <w:szCs w:val="16"/>
          <w:lang w:val="es-ES_tradnl"/>
        </w:rPr>
        <w:t>Dragoevich</w:t>
      </w:r>
      <w:proofErr w:type="spellEnd"/>
      <w:r w:rsidRPr="002E7AE8">
        <w:rPr>
          <w:rFonts w:asciiTheme="majorHAnsi" w:hAnsiTheme="majorHAnsi"/>
          <w:sz w:val="16"/>
          <w:szCs w:val="16"/>
          <w:lang w:val="es-ES_tradnl"/>
        </w:rPr>
        <w:t>.</w:t>
      </w:r>
    </w:p>
  </w:footnote>
  <w:footnote w:id="4">
    <w:p w14:paraId="410E8177" w14:textId="77777777" w:rsidR="00EC5307" w:rsidRPr="00BB4DEE" w:rsidRDefault="00EC5307" w:rsidP="00F76A1D">
      <w:pPr>
        <w:pStyle w:val="FootnoteText"/>
        <w:ind w:firstLine="720"/>
        <w:jc w:val="both"/>
        <w:rPr>
          <w:rFonts w:asciiTheme="majorHAnsi" w:hAnsiTheme="majorHAnsi"/>
          <w:sz w:val="16"/>
          <w:szCs w:val="16"/>
          <w:lang w:val="es-419"/>
        </w:rPr>
      </w:pPr>
      <w:r w:rsidRPr="00BB4DEE">
        <w:rPr>
          <w:rStyle w:val="FootnoteReference"/>
          <w:rFonts w:asciiTheme="majorHAnsi" w:hAnsiTheme="majorHAnsi"/>
          <w:sz w:val="16"/>
          <w:szCs w:val="16"/>
        </w:rPr>
        <w:footnoteRef/>
      </w:r>
      <w:r w:rsidRPr="00BB4DEE">
        <w:rPr>
          <w:rFonts w:asciiTheme="majorHAnsi" w:hAnsiTheme="majorHAnsi"/>
          <w:sz w:val="16"/>
          <w:szCs w:val="16"/>
          <w:lang w:val="es-419"/>
        </w:rPr>
        <w:t xml:space="preserve"> Similarmente: CIDH, Informe No. 180/20, Petición 270-11. Admisibilidad. Mateo Amelia Griselda. Argentina. 6 de julio de 2020, párrafos 6, 10, 13.</w:t>
      </w:r>
    </w:p>
  </w:footnote>
  <w:footnote w:id="5">
    <w:p w14:paraId="64899B21" w14:textId="77777777" w:rsidR="00EC5307" w:rsidRPr="00EC5307" w:rsidRDefault="00EC5307" w:rsidP="00F76A1D">
      <w:pPr>
        <w:pStyle w:val="FootnoteText"/>
        <w:ind w:firstLine="720"/>
        <w:jc w:val="both"/>
        <w:rPr>
          <w:sz w:val="16"/>
          <w:szCs w:val="16"/>
          <w:lang w:val="es-419"/>
        </w:rPr>
      </w:pPr>
      <w:r w:rsidRPr="00BB4DEE">
        <w:rPr>
          <w:rStyle w:val="FootnoteReference"/>
          <w:rFonts w:asciiTheme="majorHAnsi" w:hAnsiTheme="majorHAnsi"/>
          <w:sz w:val="16"/>
          <w:szCs w:val="16"/>
        </w:rPr>
        <w:footnoteRef/>
      </w:r>
      <w:r w:rsidRPr="00BB4DEE">
        <w:rPr>
          <w:rFonts w:asciiTheme="majorHAnsi" w:hAnsiTheme="majorHAnsi"/>
          <w:sz w:val="16"/>
          <w:szCs w:val="16"/>
          <w:lang w:val="es-419"/>
        </w:rPr>
        <w:t xml:space="preserve"> </w:t>
      </w:r>
      <w:r w:rsidRPr="00BB4DEE">
        <w:rPr>
          <w:rFonts w:asciiTheme="majorHAnsi" w:hAnsiTheme="majorHAnsi"/>
          <w:sz w:val="16"/>
          <w:szCs w:val="16"/>
          <w:lang w:val="es-ES_tradnl"/>
        </w:rPr>
        <w:t>CIDH, Informe No. 90/03, Petición 0581/1999. Inadmisibilidad. Gustavo Trujillo González. Perú. 22 de octubre de 2003, párr. 32.</w:t>
      </w:r>
    </w:p>
  </w:footnote>
  <w:footnote w:id="6">
    <w:p w14:paraId="288297B0" w14:textId="77777777" w:rsidR="00974B36" w:rsidRPr="00BB613C" w:rsidRDefault="00974B36" w:rsidP="00F76A1D">
      <w:pPr>
        <w:ind w:firstLine="720"/>
        <w:jc w:val="both"/>
        <w:rPr>
          <w:rFonts w:asciiTheme="majorHAnsi" w:hAnsiTheme="majorHAnsi"/>
          <w:sz w:val="16"/>
          <w:szCs w:val="16"/>
          <w:lang w:val="es-US" w:eastAsia="fr-FR"/>
        </w:rPr>
      </w:pPr>
      <w:r w:rsidRPr="00BB613C">
        <w:rPr>
          <w:rStyle w:val="FootnoteReference"/>
          <w:rFonts w:asciiTheme="majorHAnsi" w:hAnsiTheme="majorHAnsi"/>
          <w:sz w:val="16"/>
          <w:szCs w:val="16"/>
        </w:rPr>
        <w:footnoteRef/>
      </w:r>
      <w:r w:rsidRPr="00BB613C">
        <w:rPr>
          <w:rFonts w:asciiTheme="majorHAnsi" w:hAnsiTheme="majorHAnsi"/>
          <w:sz w:val="16"/>
          <w:szCs w:val="16"/>
          <w:lang w:val="es-419"/>
        </w:rPr>
        <w:t xml:space="preserve"> </w:t>
      </w:r>
      <w:r w:rsidRPr="00BB613C">
        <w:rPr>
          <w:rFonts w:asciiTheme="majorHAnsi" w:hAnsiTheme="majorHAnsi"/>
          <w:sz w:val="16"/>
          <w:szCs w:val="16"/>
          <w:lang w:val="es-419" w:eastAsia="fr-FR"/>
        </w:rPr>
        <w:t xml:space="preserve">Véase CIDH, Informe No. 56/16. Petición 666-03. Admisibilidad. Luis Alberto Leiva. Argentina. 6 de diciembre de 2016. También véase Corte IDH, Caso </w:t>
      </w:r>
      <w:proofErr w:type="spellStart"/>
      <w:r w:rsidRPr="00BB613C">
        <w:rPr>
          <w:rFonts w:asciiTheme="majorHAnsi" w:hAnsiTheme="majorHAnsi"/>
          <w:sz w:val="16"/>
          <w:szCs w:val="16"/>
          <w:lang w:val="es-419" w:eastAsia="fr-FR"/>
        </w:rPr>
        <w:t>Mémoli</w:t>
      </w:r>
      <w:proofErr w:type="spellEnd"/>
      <w:r w:rsidRPr="00BB613C">
        <w:rPr>
          <w:rFonts w:asciiTheme="majorHAnsi" w:hAnsiTheme="majorHAnsi"/>
          <w:sz w:val="16"/>
          <w:szCs w:val="16"/>
          <w:lang w:val="es-419" w:eastAsia="fr-FR"/>
        </w:rPr>
        <w:t xml:space="preserve"> vs. Argentina. Excepciones Preliminares, Fondo, Reparaciones y Costas. </w:t>
      </w:r>
      <w:r w:rsidRPr="00DD13BF">
        <w:rPr>
          <w:rFonts w:asciiTheme="majorHAnsi" w:hAnsiTheme="majorHAnsi"/>
          <w:sz w:val="16"/>
          <w:szCs w:val="16"/>
          <w:lang w:val="es-419" w:eastAsia="fr-FR"/>
        </w:rPr>
        <w:t xml:space="preserve">Sentencia de 22 de agosto de 2013. Serie C No. 295, </w:t>
      </w:r>
      <w:proofErr w:type="spellStart"/>
      <w:r w:rsidRPr="00DD13BF">
        <w:rPr>
          <w:rFonts w:asciiTheme="majorHAnsi" w:hAnsiTheme="majorHAnsi"/>
          <w:sz w:val="16"/>
          <w:szCs w:val="16"/>
          <w:lang w:val="es-419" w:eastAsia="fr-FR"/>
        </w:rPr>
        <w:t>párrs</w:t>
      </w:r>
      <w:proofErr w:type="spellEnd"/>
      <w:r w:rsidRPr="00DD13BF">
        <w:rPr>
          <w:rFonts w:asciiTheme="majorHAnsi" w:hAnsiTheme="majorHAnsi"/>
          <w:sz w:val="16"/>
          <w:szCs w:val="16"/>
          <w:lang w:val="es-419" w:eastAsia="fr-FR"/>
        </w:rPr>
        <w:t>. 30-33.</w:t>
      </w:r>
    </w:p>
  </w:footnote>
  <w:footnote w:id="7">
    <w:p w14:paraId="5BBA6A5C" w14:textId="77777777" w:rsidR="00BB613C" w:rsidRPr="00BB613C" w:rsidRDefault="00BB613C" w:rsidP="00F76A1D">
      <w:pPr>
        <w:pStyle w:val="FootnoteText"/>
        <w:ind w:firstLine="720"/>
        <w:jc w:val="both"/>
        <w:rPr>
          <w:rFonts w:asciiTheme="majorHAnsi" w:hAnsiTheme="majorHAnsi"/>
          <w:sz w:val="16"/>
          <w:szCs w:val="16"/>
          <w:lang w:val="es-419"/>
        </w:rPr>
      </w:pPr>
      <w:r w:rsidRPr="00BB613C">
        <w:rPr>
          <w:rStyle w:val="FootnoteReference"/>
          <w:rFonts w:asciiTheme="majorHAnsi" w:hAnsiTheme="majorHAnsi"/>
          <w:sz w:val="16"/>
          <w:szCs w:val="16"/>
        </w:rPr>
        <w:footnoteRef/>
      </w:r>
      <w:r w:rsidRPr="00BB613C">
        <w:rPr>
          <w:rFonts w:asciiTheme="majorHAnsi" w:hAnsiTheme="majorHAnsi"/>
          <w:sz w:val="16"/>
          <w:szCs w:val="16"/>
          <w:lang w:val="es-419"/>
        </w:rPr>
        <w:t xml:space="preserve"> </w:t>
      </w:r>
      <w:r w:rsidRPr="00BB613C">
        <w:rPr>
          <w:rFonts w:asciiTheme="majorHAnsi" w:hAnsiTheme="majorHAnsi"/>
          <w:sz w:val="16"/>
          <w:szCs w:val="16"/>
          <w:lang w:val="es-ES_tradnl"/>
        </w:rPr>
        <w:t>Para una sistematización de la legislación argentina sobre el tema, véase: CIDH, Informe No. 56/19. Caso 13.392. Admisibilidad y Fondo. Familia Julien – Grisonas. Argentina. 4 de mayo de 2019, parágrafos 47 y siguientes.</w:t>
      </w:r>
    </w:p>
  </w:footnote>
  <w:footnote w:id="8">
    <w:p w14:paraId="198F3F0A" w14:textId="77777777" w:rsidR="00BB613C" w:rsidRPr="00BB613C" w:rsidRDefault="00BB613C" w:rsidP="00F76A1D">
      <w:pPr>
        <w:pStyle w:val="FootnoteText"/>
        <w:ind w:firstLine="720"/>
        <w:jc w:val="both"/>
        <w:rPr>
          <w:rFonts w:asciiTheme="majorHAnsi" w:hAnsiTheme="majorHAnsi"/>
          <w:sz w:val="16"/>
          <w:szCs w:val="16"/>
          <w:lang w:val="es-419"/>
        </w:rPr>
      </w:pPr>
      <w:r w:rsidRPr="00BB613C">
        <w:rPr>
          <w:rStyle w:val="FootnoteReference"/>
          <w:rFonts w:asciiTheme="majorHAnsi" w:hAnsiTheme="majorHAnsi"/>
          <w:sz w:val="16"/>
          <w:szCs w:val="16"/>
        </w:rPr>
        <w:footnoteRef/>
      </w:r>
      <w:r w:rsidRPr="00BB613C">
        <w:rPr>
          <w:rFonts w:asciiTheme="majorHAnsi" w:hAnsiTheme="majorHAnsi"/>
          <w:sz w:val="16"/>
          <w:szCs w:val="16"/>
          <w:lang w:val="es-PA"/>
        </w:rPr>
        <w:t xml:space="preserve"> CIDH, Informe No. 143/18, Petición 940-08. </w:t>
      </w:r>
      <w:r w:rsidRPr="00BB613C">
        <w:rPr>
          <w:rFonts w:asciiTheme="majorHAnsi" w:hAnsiTheme="majorHAnsi"/>
          <w:sz w:val="16"/>
          <w:szCs w:val="16"/>
          <w:lang w:val="es-419"/>
        </w:rPr>
        <w:t>Admisibilidad. Luis Américo Ayala Gonzales. Perú. 4 de diciembre de 2018, párr. 12.</w:t>
      </w:r>
    </w:p>
  </w:footnote>
  <w:footnote w:id="9">
    <w:p w14:paraId="27722087" w14:textId="77777777" w:rsidR="00BB613C" w:rsidRPr="00BB613C" w:rsidRDefault="00BB613C" w:rsidP="00F76A1D">
      <w:pPr>
        <w:ind w:firstLine="720"/>
        <w:jc w:val="both"/>
        <w:rPr>
          <w:rFonts w:asciiTheme="majorHAnsi" w:hAnsiTheme="majorHAnsi"/>
          <w:sz w:val="16"/>
          <w:szCs w:val="16"/>
          <w:lang w:val="es-US" w:eastAsia="fr-FR"/>
        </w:rPr>
      </w:pPr>
      <w:r w:rsidRPr="00BB613C">
        <w:rPr>
          <w:rStyle w:val="FootnoteReference"/>
          <w:rFonts w:asciiTheme="majorHAnsi" w:hAnsiTheme="majorHAnsi"/>
          <w:sz w:val="16"/>
          <w:szCs w:val="16"/>
        </w:rPr>
        <w:footnoteRef/>
      </w:r>
      <w:r w:rsidRPr="00BB613C">
        <w:rPr>
          <w:rFonts w:asciiTheme="majorHAnsi" w:hAnsiTheme="majorHAnsi"/>
          <w:sz w:val="16"/>
          <w:szCs w:val="16"/>
          <w:lang w:val="es-419"/>
        </w:rPr>
        <w:t xml:space="preserve"> </w:t>
      </w:r>
      <w:r w:rsidRPr="00BB613C">
        <w:rPr>
          <w:rFonts w:asciiTheme="majorHAnsi" w:hAnsiTheme="majorHAnsi"/>
          <w:sz w:val="16"/>
          <w:szCs w:val="16"/>
          <w:lang w:val="es-US" w:eastAsia="fr-FR"/>
        </w:rPr>
        <w:t xml:space="preserve">CIDH. </w:t>
      </w:r>
      <w:hyperlink r:id="rId1" w:history="1">
        <w:r w:rsidRPr="00BB613C">
          <w:rPr>
            <w:rStyle w:val="Hyperlink"/>
            <w:rFonts w:asciiTheme="majorHAnsi" w:hAnsiTheme="majorHAnsi"/>
            <w:sz w:val="16"/>
            <w:szCs w:val="16"/>
            <w:lang w:val="es-US" w:eastAsia="fr-FR"/>
          </w:rPr>
          <w:t>Informe 45/14</w:t>
        </w:r>
      </w:hyperlink>
      <w:r w:rsidRPr="00BB613C">
        <w:rPr>
          <w:rFonts w:asciiTheme="majorHAnsi" w:hAnsiTheme="majorHAnsi"/>
          <w:sz w:val="16"/>
          <w:szCs w:val="16"/>
          <w:lang w:val="es-US" w:eastAsia="fr-FR"/>
        </w:rPr>
        <w:t xml:space="preserve">. Admisibilidad. Petición 325-00. Rufino Jorge Almeida. Argentina. 18 de julio de 2014; CIDH. </w:t>
      </w:r>
      <w:hyperlink r:id="rId2" w:history="1">
        <w:r w:rsidRPr="00BB613C">
          <w:rPr>
            <w:rStyle w:val="Hyperlink"/>
            <w:rFonts w:asciiTheme="majorHAnsi" w:hAnsiTheme="majorHAnsi"/>
            <w:sz w:val="16"/>
            <w:szCs w:val="16"/>
            <w:lang w:val="es-US" w:eastAsia="fr-FR"/>
          </w:rPr>
          <w:t>Informe No. 57/16</w:t>
        </w:r>
      </w:hyperlink>
      <w:r w:rsidRPr="00BB613C">
        <w:rPr>
          <w:rFonts w:asciiTheme="majorHAnsi" w:hAnsiTheme="majorHAnsi"/>
          <w:sz w:val="16"/>
          <w:szCs w:val="16"/>
          <w:lang w:val="es-US" w:eastAsia="fr-FR"/>
        </w:rPr>
        <w:t>. Admisibilidad. Peticiones 589-07, 590-07 y 591-07. Julio Cesar Rito de los Santos y otros. Argentina. 6 de diciembre de 2016; CIDH</w:t>
      </w:r>
      <w:hyperlink r:id="rId3" w:history="1">
        <w:r w:rsidRPr="00BB613C">
          <w:rPr>
            <w:rStyle w:val="Hyperlink"/>
            <w:rFonts w:asciiTheme="majorHAnsi" w:hAnsiTheme="majorHAnsi"/>
            <w:sz w:val="16"/>
            <w:szCs w:val="16"/>
            <w:lang w:val="es-US" w:eastAsia="fr-FR"/>
          </w:rPr>
          <w:t>. Informe No. 58/21</w:t>
        </w:r>
      </w:hyperlink>
      <w:r w:rsidRPr="00BB613C">
        <w:rPr>
          <w:rFonts w:asciiTheme="majorHAnsi" w:hAnsiTheme="majorHAnsi"/>
          <w:sz w:val="16"/>
          <w:szCs w:val="16"/>
          <w:lang w:val="es-US" w:eastAsia="fr-FR"/>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F115A5" w:rsidRDefault="00F1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F115A5" w:rsidRPr="00EC7D62" w:rsidRDefault="00E37204"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115A5" w:rsidRDefault="00F11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115A5" w:rsidRPr="00EC7D62" w:rsidRDefault="00E37204"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AD47811"/>
    <w:multiLevelType w:val="hybridMultilevel"/>
    <w:tmpl w:val="ABDEEC68"/>
    <w:lvl w:ilvl="0" w:tplc="F61C5468">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61907165">
    <w:abstractNumId w:val="3"/>
  </w:num>
  <w:num w:numId="2" w16cid:durableId="756944257">
    <w:abstractNumId w:val="4"/>
  </w:num>
  <w:num w:numId="3" w16cid:durableId="88812862">
    <w:abstractNumId w:val="49"/>
  </w:num>
  <w:num w:numId="4" w16cid:durableId="1263416770">
    <w:abstractNumId w:val="20"/>
  </w:num>
  <w:num w:numId="5" w16cid:durableId="809515128">
    <w:abstractNumId w:val="43"/>
  </w:num>
  <w:num w:numId="6" w16cid:durableId="1455632899">
    <w:abstractNumId w:val="25"/>
  </w:num>
  <w:num w:numId="7" w16cid:durableId="582493649">
    <w:abstractNumId w:val="5"/>
  </w:num>
  <w:num w:numId="8" w16cid:durableId="1273242166">
    <w:abstractNumId w:val="15"/>
  </w:num>
  <w:num w:numId="9" w16cid:durableId="1210844567">
    <w:abstractNumId w:val="35"/>
  </w:num>
  <w:num w:numId="10" w16cid:durableId="594173082">
    <w:abstractNumId w:val="39"/>
  </w:num>
  <w:num w:numId="11" w16cid:durableId="2118210280">
    <w:abstractNumId w:val="0"/>
  </w:num>
  <w:num w:numId="12" w16cid:durableId="1164054263">
    <w:abstractNumId w:val="34"/>
  </w:num>
  <w:num w:numId="13" w16cid:durableId="1966545141">
    <w:abstractNumId w:val="40"/>
  </w:num>
  <w:num w:numId="14" w16cid:durableId="336152229">
    <w:abstractNumId w:val="1"/>
  </w:num>
  <w:num w:numId="15" w16cid:durableId="1506285632">
    <w:abstractNumId w:val="2"/>
  </w:num>
  <w:num w:numId="16" w16cid:durableId="1060245420">
    <w:abstractNumId w:val="6"/>
  </w:num>
  <w:num w:numId="17" w16cid:durableId="865172495">
    <w:abstractNumId w:val="7"/>
  </w:num>
  <w:num w:numId="18" w16cid:durableId="1330522542">
    <w:abstractNumId w:val="8"/>
  </w:num>
  <w:num w:numId="19" w16cid:durableId="661397338">
    <w:abstractNumId w:val="9"/>
  </w:num>
  <w:num w:numId="20" w16cid:durableId="138543167">
    <w:abstractNumId w:val="10"/>
  </w:num>
  <w:num w:numId="21" w16cid:durableId="1575312202">
    <w:abstractNumId w:val="11"/>
  </w:num>
  <w:num w:numId="22" w16cid:durableId="1021972682">
    <w:abstractNumId w:val="12"/>
  </w:num>
  <w:num w:numId="23" w16cid:durableId="83302492">
    <w:abstractNumId w:val="13"/>
  </w:num>
  <w:num w:numId="24" w16cid:durableId="1306355654">
    <w:abstractNumId w:val="14"/>
  </w:num>
  <w:num w:numId="25" w16cid:durableId="1895310634">
    <w:abstractNumId w:val="16"/>
  </w:num>
  <w:num w:numId="26" w16cid:durableId="1000932152">
    <w:abstractNumId w:val="17"/>
  </w:num>
  <w:num w:numId="27" w16cid:durableId="738750441">
    <w:abstractNumId w:val="21"/>
  </w:num>
  <w:num w:numId="28" w16cid:durableId="1569921411">
    <w:abstractNumId w:val="22"/>
  </w:num>
  <w:num w:numId="29" w16cid:durableId="273751565">
    <w:abstractNumId w:val="23"/>
  </w:num>
  <w:num w:numId="30" w16cid:durableId="341709213">
    <w:abstractNumId w:val="24"/>
  </w:num>
  <w:num w:numId="31" w16cid:durableId="1306007399">
    <w:abstractNumId w:val="26"/>
  </w:num>
  <w:num w:numId="32" w16cid:durableId="410156455">
    <w:abstractNumId w:val="27"/>
  </w:num>
  <w:num w:numId="33" w16cid:durableId="50351342">
    <w:abstractNumId w:val="28"/>
  </w:num>
  <w:num w:numId="34" w16cid:durableId="125440052">
    <w:abstractNumId w:val="29"/>
  </w:num>
  <w:num w:numId="35" w16cid:durableId="2091345880">
    <w:abstractNumId w:val="30"/>
  </w:num>
  <w:num w:numId="36" w16cid:durableId="141970089">
    <w:abstractNumId w:val="31"/>
  </w:num>
  <w:num w:numId="37" w16cid:durableId="583228238">
    <w:abstractNumId w:val="32"/>
  </w:num>
  <w:num w:numId="38" w16cid:durableId="1033387756">
    <w:abstractNumId w:val="33"/>
  </w:num>
  <w:num w:numId="39" w16cid:durableId="1677267280">
    <w:abstractNumId w:val="36"/>
  </w:num>
  <w:num w:numId="40" w16cid:durableId="1161896273">
    <w:abstractNumId w:val="37"/>
  </w:num>
  <w:num w:numId="41" w16cid:durableId="1287546895">
    <w:abstractNumId w:val="42"/>
  </w:num>
  <w:num w:numId="42" w16cid:durableId="1591356319">
    <w:abstractNumId w:val="44"/>
  </w:num>
  <w:num w:numId="43" w16cid:durableId="1669334120">
    <w:abstractNumId w:val="45"/>
  </w:num>
  <w:num w:numId="44" w16cid:durableId="1154832962">
    <w:abstractNumId w:val="47"/>
  </w:num>
  <w:num w:numId="45" w16cid:durableId="227541865">
    <w:abstractNumId w:val="48"/>
  </w:num>
  <w:num w:numId="46" w16cid:durableId="1233082997">
    <w:abstractNumId w:val="50"/>
  </w:num>
  <w:num w:numId="47" w16cid:durableId="1734308521">
    <w:abstractNumId w:val="52"/>
  </w:num>
  <w:num w:numId="48" w16cid:durableId="1317957986">
    <w:abstractNumId w:val="53"/>
  </w:num>
  <w:num w:numId="49" w16cid:durableId="358819402">
    <w:abstractNumId w:val="54"/>
  </w:num>
  <w:num w:numId="50" w16cid:durableId="1103526154">
    <w:abstractNumId w:val="55"/>
  </w:num>
  <w:num w:numId="51" w16cid:durableId="642925311">
    <w:abstractNumId w:val="19"/>
  </w:num>
  <w:num w:numId="52" w16cid:durableId="697700544">
    <w:abstractNumId w:val="38"/>
  </w:num>
  <w:num w:numId="53" w16cid:durableId="1301618677">
    <w:abstractNumId w:val="46"/>
  </w:num>
  <w:num w:numId="54" w16cid:durableId="1954165866">
    <w:abstractNumId w:val="41"/>
  </w:num>
  <w:num w:numId="55" w16cid:durableId="1286810675">
    <w:abstractNumId w:val="18"/>
  </w:num>
  <w:num w:numId="56" w16cid:durableId="682821183">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034D"/>
    <w:rsid w:val="000112E0"/>
    <w:rsid w:val="00012F86"/>
    <w:rsid w:val="00013A1E"/>
    <w:rsid w:val="00014313"/>
    <w:rsid w:val="0001788C"/>
    <w:rsid w:val="0002227C"/>
    <w:rsid w:val="000337EF"/>
    <w:rsid w:val="00033DB0"/>
    <w:rsid w:val="00040C3A"/>
    <w:rsid w:val="000419AD"/>
    <w:rsid w:val="00042EB4"/>
    <w:rsid w:val="000433C9"/>
    <w:rsid w:val="00043AF7"/>
    <w:rsid w:val="0004627C"/>
    <w:rsid w:val="00047262"/>
    <w:rsid w:val="00050A0B"/>
    <w:rsid w:val="00050D66"/>
    <w:rsid w:val="00054317"/>
    <w:rsid w:val="00056CD8"/>
    <w:rsid w:val="000673D0"/>
    <w:rsid w:val="00071600"/>
    <w:rsid w:val="000716C5"/>
    <w:rsid w:val="00072E35"/>
    <w:rsid w:val="00075E23"/>
    <w:rsid w:val="00086968"/>
    <w:rsid w:val="0008770E"/>
    <w:rsid w:val="0009344A"/>
    <w:rsid w:val="000A392E"/>
    <w:rsid w:val="000A4746"/>
    <w:rsid w:val="000A575F"/>
    <w:rsid w:val="000C225B"/>
    <w:rsid w:val="000C23AF"/>
    <w:rsid w:val="000C29DF"/>
    <w:rsid w:val="000D05CB"/>
    <w:rsid w:val="000D10DB"/>
    <w:rsid w:val="000D2ADB"/>
    <w:rsid w:val="000D407B"/>
    <w:rsid w:val="000E1E37"/>
    <w:rsid w:val="000E5EB5"/>
    <w:rsid w:val="000F02EC"/>
    <w:rsid w:val="000F056E"/>
    <w:rsid w:val="000F0824"/>
    <w:rsid w:val="000F35ED"/>
    <w:rsid w:val="000F3C3B"/>
    <w:rsid w:val="000F3FE4"/>
    <w:rsid w:val="000F59E2"/>
    <w:rsid w:val="000F5C9D"/>
    <w:rsid w:val="000F5F2D"/>
    <w:rsid w:val="00107131"/>
    <w:rsid w:val="0010736F"/>
    <w:rsid w:val="00113F73"/>
    <w:rsid w:val="00121CC2"/>
    <w:rsid w:val="00130420"/>
    <w:rsid w:val="00131425"/>
    <w:rsid w:val="00133EE5"/>
    <w:rsid w:val="00135499"/>
    <w:rsid w:val="001510C5"/>
    <w:rsid w:val="00155EA7"/>
    <w:rsid w:val="0015692A"/>
    <w:rsid w:val="001617BB"/>
    <w:rsid w:val="00165EB6"/>
    <w:rsid w:val="00167A34"/>
    <w:rsid w:val="00174378"/>
    <w:rsid w:val="00175057"/>
    <w:rsid w:val="00176E5D"/>
    <w:rsid w:val="001813E1"/>
    <w:rsid w:val="00194CC6"/>
    <w:rsid w:val="001A7870"/>
    <w:rsid w:val="001B3A00"/>
    <w:rsid w:val="001B7932"/>
    <w:rsid w:val="001C1B41"/>
    <w:rsid w:val="001C65EA"/>
    <w:rsid w:val="001D3954"/>
    <w:rsid w:val="001D65EF"/>
    <w:rsid w:val="001E2632"/>
    <w:rsid w:val="001E42F7"/>
    <w:rsid w:val="001E49E7"/>
    <w:rsid w:val="001F7201"/>
    <w:rsid w:val="001F755E"/>
    <w:rsid w:val="00210593"/>
    <w:rsid w:val="00216A1D"/>
    <w:rsid w:val="0022072D"/>
    <w:rsid w:val="00222F75"/>
    <w:rsid w:val="00223A29"/>
    <w:rsid w:val="002250A3"/>
    <w:rsid w:val="00235217"/>
    <w:rsid w:val="0023774E"/>
    <w:rsid w:val="00237C14"/>
    <w:rsid w:val="00246D1F"/>
    <w:rsid w:val="00247403"/>
    <w:rsid w:val="00247542"/>
    <w:rsid w:val="00251109"/>
    <w:rsid w:val="0025568F"/>
    <w:rsid w:val="00266B61"/>
    <w:rsid w:val="0026712A"/>
    <w:rsid w:val="002704DB"/>
    <w:rsid w:val="002725D9"/>
    <w:rsid w:val="00292FAD"/>
    <w:rsid w:val="002A0AAE"/>
    <w:rsid w:val="002A5820"/>
    <w:rsid w:val="002B0B90"/>
    <w:rsid w:val="002B2BAB"/>
    <w:rsid w:val="002C3A5E"/>
    <w:rsid w:val="002C3AE5"/>
    <w:rsid w:val="002C3B2B"/>
    <w:rsid w:val="002D1AB4"/>
    <w:rsid w:val="002D2B26"/>
    <w:rsid w:val="002D7EA2"/>
    <w:rsid w:val="002E187C"/>
    <w:rsid w:val="002E4781"/>
    <w:rsid w:val="002E7AE8"/>
    <w:rsid w:val="002F3179"/>
    <w:rsid w:val="002F3BFD"/>
    <w:rsid w:val="002F6E47"/>
    <w:rsid w:val="00302733"/>
    <w:rsid w:val="00314078"/>
    <w:rsid w:val="0031535D"/>
    <w:rsid w:val="00320752"/>
    <w:rsid w:val="003239B8"/>
    <w:rsid w:val="00330F68"/>
    <w:rsid w:val="003312DF"/>
    <w:rsid w:val="0033169F"/>
    <w:rsid w:val="003330F2"/>
    <w:rsid w:val="0033347C"/>
    <w:rsid w:val="00336D02"/>
    <w:rsid w:val="00344977"/>
    <w:rsid w:val="00346C95"/>
    <w:rsid w:val="00356185"/>
    <w:rsid w:val="00360380"/>
    <w:rsid w:val="00366053"/>
    <w:rsid w:val="0037519E"/>
    <w:rsid w:val="00375317"/>
    <w:rsid w:val="00377E2B"/>
    <w:rsid w:val="003808BD"/>
    <w:rsid w:val="003812C4"/>
    <w:rsid w:val="0038223E"/>
    <w:rsid w:val="003851E5"/>
    <w:rsid w:val="00386902"/>
    <w:rsid w:val="00386CF0"/>
    <w:rsid w:val="003A2774"/>
    <w:rsid w:val="003A3E87"/>
    <w:rsid w:val="003B4E83"/>
    <w:rsid w:val="003B5776"/>
    <w:rsid w:val="003B70FB"/>
    <w:rsid w:val="003C364B"/>
    <w:rsid w:val="003C4D17"/>
    <w:rsid w:val="003C676B"/>
    <w:rsid w:val="003D1941"/>
    <w:rsid w:val="003D3BC2"/>
    <w:rsid w:val="003D63A8"/>
    <w:rsid w:val="003E04BE"/>
    <w:rsid w:val="003E6CA1"/>
    <w:rsid w:val="003F515B"/>
    <w:rsid w:val="003F584A"/>
    <w:rsid w:val="004065A8"/>
    <w:rsid w:val="00411591"/>
    <w:rsid w:val="004165C2"/>
    <w:rsid w:val="004217A5"/>
    <w:rsid w:val="004273CC"/>
    <w:rsid w:val="00441ECB"/>
    <w:rsid w:val="004448FD"/>
    <w:rsid w:val="00445193"/>
    <w:rsid w:val="004514EE"/>
    <w:rsid w:val="0045175F"/>
    <w:rsid w:val="00454E8C"/>
    <w:rsid w:val="00461A71"/>
    <w:rsid w:val="00462C1B"/>
    <w:rsid w:val="00467B7E"/>
    <w:rsid w:val="00473BB4"/>
    <w:rsid w:val="00477592"/>
    <w:rsid w:val="0048136A"/>
    <w:rsid w:val="00484027"/>
    <w:rsid w:val="0048440B"/>
    <w:rsid w:val="00486F1C"/>
    <w:rsid w:val="0049419D"/>
    <w:rsid w:val="00494CCE"/>
    <w:rsid w:val="004A11FB"/>
    <w:rsid w:val="004A4B9C"/>
    <w:rsid w:val="004A6A54"/>
    <w:rsid w:val="004A7056"/>
    <w:rsid w:val="004B048C"/>
    <w:rsid w:val="004B052B"/>
    <w:rsid w:val="004B2127"/>
    <w:rsid w:val="004C0E8D"/>
    <w:rsid w:val="004C1EDB"/>
    <w:rsid w:val="004C20D2"/>
    <w:rsid w:val="004C2312"/>
    <w:rsid w:val="004C4B62"/>
    <w:rsid w:val="004C4DA6"/>
    <w:rsid w:val="004C54C9"/>
    <w:rsid w:val="004D4ABA"/>
    <w:rsid w:val="004D6025"/>
    <w:rsid w:val="004D70F9"/>
    <w:rsid w:val="004E2649"/>
    <w:rsid w:val="004E3248"/>
    <w:rsid w:val="004F1980"/>
    <w:rsid w:val="004F516B"/>
    <w:rsid w:val="004F626F"/>
    <w:rsid w:val="00501399"/>
    <w:rsid w:val="00503066"/>
    <w:rsid w:val="0050633D"/>
    <w:rsid w:val="00507BC4"/>
    <w:rsid w:val="00511602"/>
    <w:rsid w:val="005128E4"/>
    <w:rsid w:val="005133DB"/>
    <w:rsid w:val="0051372E"/>
    <w:rsid w:val="00513FDF"/>
    <w:rsid w:val="00514504"/>
    <w:rsid w:val="00514BBA"/>
    <w:rsid w:val="00525560"/>
    <w:rsid w:val="00530A97"/>
    <w:rsid w:val="00533A62"/>
    <w:rsid w:val="0053487B"/>
    <w:rsid w:val="00544C49"/>
    <w:rsid w:val="00550353"/>
    <w:rsid w:val="005516A1"/>
    <w:rsid w:val="0055189F"/>
    <w:rsid w:val="005559EF"/>
    <w:rsid w:val="00561205"/>
    <w:rsid w:val="00563557"/>
    <w:rsid w:val="00566B26"/>
    <w:rsid w:val="0057402A"/>
    <w:rsid w:val="00575C7B"/>
    <w:rsid w:val="005771D0"/>
    <w:rsid w:val="00585A16"/>
    <w:rsid w:val="0059191A"/>
    <w:rsid w:val="005921FF"/>
    <w:rsid w:val="005A24ED"/>
    <w:rsid w:val="005A6D0E"/>
    <w:rsid w:val="005B1F7D"/>
    <w:rsid w:val="005B458D"/>
    <w:rsid w:val="005B52B0"/>
    <w:rsid w:val="005B6806"/>
    <w:rsid w:val="005C0974"/>
    <w:rsid w:val="005C4225"/>
    <w:rsid w:val="005C5F50"/>
    <w:rsid w:val="005D0747"/>
    <w:rsid w:val="005D5BB9"/>
    <w:rsid w:val="005D6FF2"/>
    <w:rsid w:val="005E1769"/>
    <w:rsid w:val="005E7F2E"/>
    <w:rsid w:val="005F0DAD"/>
    <w:rsid w:val="005F0F33"/>
    <w:rsid w:val="00600DEB"/>
    <w:rsid w:val="00601040"/>
    <w:rsid w:val="00614C17"/>
    <w:rsid w:val="00627C9F"/>
    <w:rsid w:val="006311E9"/>
    <w:rsid w:val="00632354"/>
    <w:rsid w:val="00635421"/>
    <w:rsid w:val="00636BE2"/>
    <w:rsid w:val="006400A3"/>
    <w:rsid w:val="0064121A"/>
    <w:rsid w:val="00642810"/>
    <w:rsid w:val="006428C3"/>
    <w:rsid w:val="00644D7B"/>
    <w:rsid w:val="00652333"/>
    <w:rsid w:val="00653281"/>
    <w:rsid w:val="00656506"/>
    <w:rsid w:val="00675B2C"/>
    <w:rsid w:val="0068009E"/>
    <w:rsid w:val="00683B8E"/>
    <w:rsid w:val="006856C8"/>
    <w:rsid w:val="00686269"/>
    <w:rsid w:val="00687A51"/>
    <w:rsid w:val="00691772"/>
    <w:rsid w:val="00692219"/>
    <w:rsid w:val="00693A4D"/>
    <w:rsid w:val="0069536F"/>
    <w:rsid w:val="00696E84"/>
    <w:rsid w:val="006A17D2"/>
    <w:rsid w:val="006A53B4"/>
    <w:rsid w:val="006A73E6"/>
    <w:rsid w:val="006B2D5C"/>
    <w:rsid w:val="006B2F11"/>
    <w:rsid w:val="006C2D45"/>
    <w:rsid w:val="006C3525"/>
    <w:rsid w:val="006C4EB1"/>
    <w:rsid w:val="006C6FCF"/>
    <w:rsid w:val="006D2CF2"/>
    <w:rsid w:val="006D46DB"/>
    <w:rsid w:val="006D4A83"/>
    <w:rsid w:val="006D4BC2"/>
    <w:rsid w:val="006E0166"/>
    <w:rsid w:val="006E14F8"/>
    <w:rsid w:val="006E2FFB"/>
    <w:rsid w:val="006E3931"/>
    <w:rsid w:val="006E557C"/>
    <w:rsid w:val="006E7B34"/>
    <w:rsid w:val="006F2CD3"/>
    <w:rsid w:val="0070697F"/>
    <w:rsid w:val="00711AC0"/>
    <w:rsid w:val="00713516"/>
    <w:rsid w:val="0072199C"/>
    <w:rsid w:val="00721AA7"/>
    <w:rsid w:val="00722C9F"/>
    <w:rsid w:val="007253B8"/>
    <w:rsid w:val="00725ED7"/>
    <w:rsid w:val="0073741F"/>
    <w:rsid w:val="00750723"/>
    <w:rsid w:val="00750DE0"/>
    <w:rsid w:val="00763850"/>
    <w:rsid w:val="0076643F"/>
    <w:rsid w:val="00777F63"/>
    <w:rsid w:val="0078377F"/>
    <w:rsid w:val="00785D5C"/>
    <w:rsid w:val="007A27FD"/>
    <w:rsid w:val="007A2CE0"/>
    <w:rsid w:val="007A5817"/>
    <w:rsid w:val="007A6729"/>
    <w:rsid w:val="007B05C4"/>
    <w:rsid w:val="007B543E"/>
    <w:rsid w:val="007B60E9"/>
    <w:rsid w:val="007B6CC3"/>
    <w:rsid w:val="007B767B"/>
    <w:rsid w:val="007B76D3"/>
    <w:rsid w:val="007B7D07"/>
    <w:rsid w:val="007C3334"/>
    <w:rsid w:val="007C4159"/>
    <w:rsid w:val="007D18E4"/>
    <w:rsid w:val="007D2B98"/>
    <w:rsid w:val="007D328D"/>
    <w:rsid w:val="007D7946"/>
    <w:rsid w:val="007E21BC"/>
    <w:rsid w:val="007E42AB"/>
    <w:rsid w:val="007E75F4"/>
    <w:rsid w:val="007E7C82"/>
    <w:rsid w:val="007F2AA1"/>
    <w:rsid w:val="007F588D"/>
    <w:rsid w:val="007F58A4"/>
    <w:rsid w:val="007F72F1"/>
    <w:rsid w:val="00803423"/>
    <w:rsid w:val="00803C12"/>
    <w:rsid w:val="00803F1C"/>
    <w:rsid w:val="0080600E"/>
    <w:rsid w:val="00807EA2"/>
    <w:rsid w:val="00811520"/>
    <w:rsid w:val="00812C82"/>
    <w:rsid w:val="00814688"/>
    <w:rsid w:val="00817612"/>
    <w:rsid w:val="008338A4"/>
    <w:rsid w:val="00834D49"/>
    <w:rsid w:val="00835105"/>
    <w:rsid w:val="00837C45"/>
    <w:rsid w:val="00840AE8"/>
    <w:rsid w:val="00844730"/>
    <w:rsid w:val="008457C2"/>
    <w:rsid w:val="00857A82"/>
    <w:rsid w:val="00861DE4"/>
    <w:rsid w:val="00866A35"/>
    <w:rsid w:val="0086785F"/>
    <w:rsid w:val="00873836"/>
    <w:rsid w:val="00874720"/>
    <w:rsid w:val="00877CC5"/>
    <w:rsid w:val="00885737"/>
    <w:rsid w:val="00885993"/>
    <w:rsid w:val="00886712"/>
    <w:rsid w:val="00890650"/>
    <w:rsid w:val="008915D3"/>
    <w:rsid w:val="00895C51"/>
    <w:rsid w:val="00897E12"/>
    <w:rsid w:val="008A1AB1"/>
    <w:rsid w:val="008A7D0D"/>
    <w:rsid w:val="008A7E0F"/>
    <w:rsid w:val="008B12F5"/>
    <w:rsid w:val="008B46CA"/>
    <w:rsid w:val="008B75ED"/>
    <w:rsid w:val="008C119E"/>
    <w:rsid w:val="008C2E5A"/>
    <w:rsid w:val="008C5E2D"/>
    <w:rsid w:val="008D114A"/>
    <w:rsid w:val="008D5BF9"/>
    <w:rsid w:val="008D768D"/>
    <w:rsid w:val="008E3759"/>
    <w:rsid w:val="008E3BFE"/>
    <w:rsid w:val="008E4ADB"/>
    <w:rsid w:val="008E4F1C"/>
    <w:rsid w:val="008E580E"/>
    <w:rsid w:val="008E69D5"/>
    <w:rsid w:val="008F1912"/>
    <w:rsid w:val="0090270B"/>
    <w:rsid w:val="00903910"/>
    <w:rsid w:val="00904013"/>
    <w:rsid w:val="009041DC"/>
    <w:rsid w:val="00904913"/>
    <w:rsid w:val="00904C8E"/>
    <w:rsid w:val="00904DA3"/>
    <w:rsid w:val="009125DA"/>
    <w:rsid w:val="009148D8"/>
    <w:rsid w:val="00917B5A"/>
    <w:rsid w:val="00920A58"/>
    <w:rsid w:val="00920A8C"/>
    <w:rsid w:val="009222E5"/>
    <w:rsid w:val="00934A2C"/>
    <w:rsid w:val="0094529B"/>
    <w:rsid w:val="00965DB6"/>
    <w:rsid w:val="0096697B"/>
    <w:rsid w:val="0096706E"/>
    <w:rsid w:val="009678C1"/>
    <w:rsid w:val="00974491"/>
    <w:rsid w:val="00974B36"/>
    <w:rsid w:val="00975C4E"/>
    <w:rsid w:val="00980F2C"/>
    <w:rsid w:val="00981FBA"/>
    <w:rsid w:val="00986760"/>
    <w:rsid w:val="00990498"/>
    <w:rsid w:val="00997BC5"/>
    <w:rsid w:val="009A4F41"/>
    <w:rsid w:val="009A6883"/>
    <w:rsid w:val="009A6972"/>
    <w:rsid w:val="009A7A58"/>
    <w:rsid w:val="009B12E1"/>
    <w:rsid w:val="009B381B"/>
    <w:rsid w:val="009C6CB7"/>
    <w:rsid w:val="009D1753"/>
    <w:rsid w:val="009D7611"/>
    <w:rsid w:val="009E0B61"/>
    <w:rsid w:val="009E41D6"/>
    <w:rsid w:val="009E4EC3"/>
    <w:rsid w:val="009E53DE"/>
    <w:rsid w:val="009E5A77"/>
    <w:rsid w:val="009E5B34"/>
    <w:rsid w:val="009E5BFC"/>
    <w:rsid w:val="00A0430D"/>
    <w:rsid w:val="00A11212"/>
    <w:rsid w:val="00A11E44"/>
    <w:rsid w:val="00A16C90"/>
    <w:rsid w:val="00A24009"/>
    <w:rsid w:val="00A244EB"/>
    <w:rsid w:val="00A30100"/>
    <w:rsid w:val="00A322E4"/>
    <w:rsid w:val="00A328B3"/>
    <w:rsid w:val="00A3454F"/>
    <w:rsid w:val="00A50FCF"/>
    <w:rsid w:val="00A528D1"/>
    <w:rsid w:val="00A55249"/>
    <w:rsid w:val="00A553B1"/>
    <w:rsid w:val="00A603CD"/>
    <w:rsid w:val="00A610CD"/>
    <w:rsid w:val="00A64E7D"/>
    <w:rsid w:val="00A71294"/>
    <w:rsid w:val="00A758AA"/>
    <w:rsid w:val="00A75E36"/>
    <w:rsid w:val="00A850E6"/>
    <w:rsid w:val="00A861CD"/>
    <w:rsid w:val="00A93C5B"/>
    <w:rsid w:val="00AA09A2"/>
    <w:rsid w:val="00AA71FE"/>
    <w:rsid w:val="00AA7996"/>
    <w:rsid w:val="00AB2DCE"/>
    <w:rsid w:val="00AC19CB"/>
    <w:rsid w:val="00AC75CA"/>
    <w:rsid w:val="00AE0953"/>
    <w:rsid w:val="00AE5488"/>
    <w:rsid w:val="00AE6F91"/>
    <w:rsid w:val="00AF5571"/>
    <w:rsid w:val="00AF5738"/>
    <w:rsid w:val="00AF6BF7"/>
    <w:rsid w:val="00AF752C"/>
    <w:rsid w:val="00B07341"/>
    <w:rsid w:val="00B12A05"/>
    <w:rsid w:val="00B168CA"/>
    <w:rsid w:val="00B17BDD"/>
    <w:rsid w:val="00B2016D"/>
    <w:rsid w:val="00B209A8"/>
    <w:rsid w:val="00B22BAC"/>
    <w:rsid w:val="00B23183"/>
    <w:rsid w:val="00B261A9"/>
    <w:rsid w:val="00B30049"/>
    <w:rsid w:val="00B30539"/>
    <w:rsid w:val="00B314DB"/>
    <w:rsid w:val="00B318C1"/>
    <w:rsid w:val="00B361F2"/>
    <w:rsid w:val="00B3718B"/>
    <w:rsid w:val="00B3745F"/>
    <w:rsid w:val="00B43081"/>
    <w:rsid w:val="00B43505"/>
    <w:rsid w:val="00B45E23"/>
    <w:rsid w:val="00B46185"/>
    <w:rsid w:val="00B4632A"/>
    <w:rsid w:val="00B52C2E"/>
    <w:rsid w:val="00B530F1"/>
    <w:rsid w:val="00B53C36"/>
    <w:rsid w:val="00B72CC1"/>
    <w:rsid w:val="00B737C4"/>
    <w:rsid w:val="00B7549F"/>
    <w:rsid w:val="00B832CD"/>
    <w:rsid w:val="00B94016"/>
    <w:rsid w:val="00BA276C"/>
    <w:rsid w:val="00BA286D"/>
    <w:rsid w:val="00BB306F"/>
    <w:rsid w:val="00BB49AE"/>
    <w:rsid w:val="00BB4DEE"/>
    <w:rsid w:val="00BB50FF"/>
    <w:rsid w:val="00BB613C"/>
    <w:rsid w:val="00BB79D4"/>
    <w:rsid w:val="00BD4B89"/>
    <w:rsid w:val="00BD5922"/>
    <w:rsid w:val="00BD75AE"/>
    <w:rsid w:val="00BE646F"/>
    <w:rsid w:val="00BE75F5"/>
    <w:rsid w:val="00BE793F"/>
    <w:rsid w:val="00BF02CB"/>
    <w:rsid w:val="00BF6FD8"/>
    <w:rsid w:val="00C01815"/>
    <w:rsid w:val="00C03680"/>
    <w:rsid w:val="00C054DF"/>
    <w:rsid w:val="00C14BD4"/>
    <w:rsid w:val="00C21762"/>
    <w:rsid w:val="00C21FEF"/>
    <w:rsid w:val="00C237D9"/>
    <w:rsid w:val="00C23BA4"/>
    <w:rsid w:val="00C24543"/>
    <w:rsid w:val="00C256A2"/>
    <w:rsid w:val="00C25ADB"/>
    <w:rsid w:val="00C2623F"/>
    <w:rsid w:val="00C318F4"/>
    <w:rsid w:val="00C35AD6"/>
    <w:rsid w:val="00C35B5F"/>
    <w:rsid w:val="00C470F1"/>
    <w:rsid w:val="00C51515"/>
    <w:rsid w:val="00C5407F"/>
    <w:rsid w:val="00C5660B"/>
    <w:rsid w:val="00C57398"/>
    <w:rsid w:val="00C6279E"/>
    <w:rsid w:val="00C64D9E"/>
    <w:rsid w:val="00C65A7C"/>
    <w:rsid w:val="00C66B72"/>
    <w:rsid w:val="00C67C1E"/>
    <w:rsid w:val="00C70198"/>
    <w:rsid w:val="00C72A01"/>
    <w:rsid w:val="00C74717"/>
    <w:rsid w:val="00C87AC4"/>
    <w:rsid w:val="00C92C03"/>
    <w:rsid w:val="00C9491D"/>
    <w:rsid w:val="00C9567A"/>
    <w:rsid w:val="00CA0D76"/>
    <w:rsid w:val="00CA499E"/>
    <w:rsid w:val="00CA4D19"/>
    <w:rsid w:val="00CA6F30"/>
    <w:rsid w:val="00CB212D"/>
    <w:rsid w:val="00CB2660"/>
    <w:rsid w:val="00CC388E"/>
    <w:rsid w:val="00CC5E90"/>
    <w:rsid w:val="00CD046C"/>
    <w:rsid w:val="00CD29BB"/>
    <w:rsid w:val="00CD7AF9"/>
    <w:rsid w:val="00CE076C"/>
    <w:rsid w:val="00CE5199"/>
    <w:rsid w:val="00CE66D5"/>
    <w:rsid w:val="00CF637A"/>
    <w:rsid w:val="00D03ABC"/>
    <w:rsid w:val="00D059DE"/>
    <w:rsid w:val="00D05ABD"/>
    <w:rsid w:val="00D06F66"/>
    <w:rsid w:val="00D13FCE"/>
    <w:rsid w:val="00D14F49"/>
    <w:rsid w:val="00D16A77"/>
    <w:rsid w:val="00D2102D"/>
    <w:rsid w:val="00D276C6"/>
    <w:rsid w:val="00D306D1"/>
    <w:rsid w:val="00D30800"/>
    <w:rsid w:val="00D34786"/>
    <w:rsid w:val="00D349A9"/>
    <w:rsid w:val="00D34BDB"/>
    <w:rsid w:val="00D37BFC"/>
    <w:rsid w:val="00D47A8E"/>
    <w:rsid w:val="00D52D14"/>
    <w:rsid w:val="00D555CE"/>
    <w:rsid w:val="00D61D36"/>
    <w:rsid w:val="00D712D3"/>
    <w:rsid w:val="00D71422"/>
    <w:rsid w:val="00D72DC6"/>
    <w:rsid w:val="00D73BA4"/>
    <w:rsid w:val="00D7558D"/>
    <w:rsid w:val="00D81D92"/>
    <w:rsid w:val="00D836D5"/>
    <w:rsid w:val="00D848AC"/>
    <w:rsid w:val="00D876F9"/>
    <w:rsid w:val="00DA23D4"/>
    <w:rsid w:val="00DA7B5F"/>
    <w:rsid w:val="00DB2F9B"/>
    <w:rsid w:val="00DC11E7"/>
    <w:rsid w:val="00DC1650"/>
    <w:rsid w:val="00DC24E3"/>
    <w:rsid w:val="00DC275E"/>
    <w:rsid w:val="00DC5DC6"/>
    <w:rsid w:val="00DC7023"/>
    <w:rsid w:val="00DC769A"/>
    <w:rsid w:val="00DD13BF"/>
    <w:rsid w:val="00DD3D86"/>
    <w:rsid w:val="00DD4AD2"/>
    <w:rsid w:val="00DE0342"/>
    <w:rsid w:val="00DE52FF"/>
    <w:rsid w:val="00DF1EC4"/>
    <w:rsid w:val="00DF6EFB"/>
    <w:rsid w:val="00E0340B"/>
    <w:rsid w:val="00E04A90"/>
    <w:rsid w:val="00E0551F"/>
    <w:rsid w:val="00E17F9D"/>
    <w:rsid w:val="00E219C7"/>
    <w:rsid w:val="00E37204"/>
    <w:rsid w:val="00E4118C"/>
    <w:rsid w:val="00E421E3"/>
    <w:rsid w:val="00E43157"/>
    <w:rsid w:val="00E461CE"/>
    <w:rsid w:val="00E573E4"/>
    <w:rsid w:val="00E614FE"/>
    <w:rsid w:val="00E67981"/>
    <w:rsid w:val="00E67AE5"/>
    <w:rsid w:val="00E71C69"/>
    <w:rsid w:val="00E720CA"/>
    <w:rsid w:val="00E84EB5"/>
    <w:rsid w:val="00E85662"/>
    <w:rsid w:val="00E85A3A"/>
    <w:rsid w:val="00E8789F"/>
    <w:rsid w:val="00E87F21"/>
    <w:rsid w:val="00E92899"/>
    <w:rsid w:val="00E97B71"/>
    <w:rsid w:val="00EA3B48"/>
    <w:rsid w:val="00EA3D34"/>
    <w:rsid w:val="00EA7F7F"/>
    <w:rsid w:val="00EB2FE4"/>
    <w:rsid w:val="00EB454D"/>
    <w:rsid w:val="00EB507E"/>
    <w:rsid w:val="00EC5307"/>
    <w:rsid w:val="00EC747F"/>
    <w:rsid w:val="00ED3636"/>
    <w:rsid w:val="00ED549D"/>
    <w:rsid w:val="00ED560B"/>
    <w:rsid w:val="00ED76BE"/>
    <w:rsid w:val="00EE00E9"/>
    <w:rsid w:val="00EE247F"/>
    <w:rsid w:val="00EE57EB"/>
    <w:rsid w:val="00EF1AAA"/>
    <w:rsid w:val="00EF1E3A"/>
    <w:rsid w:val="00EF4225"/>
    <w:rsid w:val="00EF4A29"/>
    <w:rsid w:val="00EF619B"/>
    <w:rsid w:val="00EF6510"/>
    <w:rsid w:val="00F00B55"/>
    <w:rsid w:val="00F02AD1"/>
    <w:rsid w:val="00F115A5"/>
    <w:rsid w:val="00F14B36"/>
    <w:rsid w:val="00F253CC"/>
    <w:rsid w:val="00F3260F"/>
    <w:rsid w:val="00F37106"/>
    <w:rsid w:val="00F41F0C"/>
    <w:rsid w:val="00F44E25"/>
    <w:rsid w:val="00F51856"/>
    <w:rsid w:val="00F519CF"/>
    <w:rsid w:val="00F52F40"/>
    <w:rsid w:val="00F5479D"/>
    <w:rsid w:val="00F56BA5"/>
    <w:rsid w:val="00F60E22"/>
    <w:rsid w:val="00F63A2C"/>
    <w:rsid w:val="00F65FC7"/>
    <w:rsid w:val="00F66E5C"/>
    <w:rsid w:val="00F700AC"/>
    <w:rsid w:val="00F7295F"/>
    <w:rsid w:val="00F7315E"/>
    <w:rsid w:val="00F76A1D"/>
    <w:rsid w:val="00F81395"/>
    <w:rsid w:val="00F81BB8"/>
    <w:rsid w:val="00F8437D"/>
    <w:rsid w:val="00F87638"/>
    <w:rsid w:val="00F90C64"/>
    <w:rsid w:val="00F917D1"/>
    <w:rsid w:val="00F940C0"/>
    <w:rsid w:val="00F94965"/>
    <w:rsid w:val="00F9653B"/>
    <w:rsid w:val="00FA0C29"/>
    <w:rsid w:val="00FA12E5"/>
    <w:rsid w:val="00FA2D1B"/>
    <w:rsid w:val="00FA61A4"/>
    <w:rsid w:val="00FB35E7"/>
    <w:rsid w:val="00FB62CF"/>
    <w:rsid w:val="00FC0324"/>
    <w:rsid w:val="00FC03F3"/>
    <w:rsid w:val="00FC509B"/>
    <w:rsid w:val="00FD3C3B"/>
    <w:rsid w:val="00FE07DD"/>
    <w:rsid w:val="00FE323D"/>
    <w:rsid w:val="00FE6B45"/>
    <w:rsid w:val="00FF55F3"/>
    <w:rsid w:val="00FF5851"/>
    <w:rsid w:val="00FF7B79"/>
    <w:rsid w:val="48B1E319"/>
    <w:rsid w:val="60BFD02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numbering" w:customStyle="1" w:styleId="List2100">
    <w:name w:val="List 2100"/>
    <w:basedOn w:val="Estiloimportado19"/>
    <w:rsid w:val="00686269"/>
  </w:style>
  <w:style w:type="numbering" w:customStyle="1" w:styleId="List3100">
    <w:name w:val="List 3100"/>
    <w:basedOn w:val="Estiloimportado27"/>
    <w:rsid w:val="00686269"/>
  </w:style>
  <w:style w:type="numbering" w:customStyle="1" w:styleId="List4100">
    <w:name w:val="List 4100"/>
    <w:basedOn w:val="Estiloimportado37"/>
    <w:rsid w:val="00686269"/>
  </w:style>
  <w:style w:type="numbering" w:customStyle="1" w:styleId="List5100">
    <w:name w:val="List 5100"/>
    <w:basedOn w:val="Estiloimportado46"/>
    <w:rsid w:val="0068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1D3"/>
    <w:rsid w:val="0002647A"/>
    <w:rsid w:val="00051B18"/>
    <w:rsid w:val="001574AF"/>
    <w:rsid w:val="001C2FE6"/>
    <w:rsid w:val="002000B4"/>
    <w:rsid w:val="00200821"/>
    <w:rsid w:val="00251339"/>
    <w:rsid w:val="0025245B"/>
    <w:rsid w:val="002C1EAF"/>
    <w:rsid w:val="002C52A7"/>
    <w:rsid w:val="002E45B9"/>
    <w:rsid w:val="00310904"/>
    <w:rsid w:val="00394049"/>
    <w:rsid w:val="004B5BBB"/>
    <w:rsid w:val="004F2DF8"/>
    <w:rsid w:val="00555DD5"/>
    <w:rsid w:val="006F24A1"/>
    <w:rsid w:val="0081121B"/>
    <w:rsid w:val="009A261B"/>
    <w:rsid w:val="009C33C1"/>
    <w:rsid w:val="009E5C9A"/>
    <w:rsid w:val="009F0134"/>
    <w:rsid w:val="009F1AE2"/>
    <w:rsid w:val="00AA2E17"/>
    <w:rsid w:val="00AC15A4"/>
    <w:rsid w:val="00B0336C"/>
    <w:rsid w:val="00B17E31"/>
    <w:rsid w:val="00BE2C6D"/>
    <w:rsid w:val="00C35B5F"/>
    <w:rsid w:val="00D241E9"/>
    <w:rsid w:val="00D25363"/>
    <w:rsid w:val="00D54B5E"/>
    <w:rsid w:val="00D7750D"/>
    <w:rsid w:val="00F00D2F"/>
    <w:rsid w:val="00F128DF"/>
    <w:rsid w:val="00F4582E"/>
    <w:rsid w:val="00F9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7E9BB-CD80-4287-8AB9-88D9724B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23/22</dc:title>
  <dc:creator/>
  <cp:lastModifiedBy/>
  <cp:revision>1</cp:revision>
  <dcterms:created xsi:type="dcterms:W3CDTF">2022-04-13T17:13:00Z</dcterms:created>
  <dcterms:modified xsi:type="dcterms:W3CDTF">2022-04-13T17:13:00Z</dcterms:modified>
</cp:coreProperties>
</file>