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BE253"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F115A5" w:rsidRDefault="00F115A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E0418" w14:textId="45F08C38"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CF5E04">
                              <w:rPr>
                                <w:rFonts w:ascii="Cambria" w:hAnsi="Cambria" w:cs="Arial"/>
                                <w:b/>
                                <w:bCs/>
                                <w:color w:val="0D0D0D"/>
                                <w:sz w:val="36"/>
                                <w:szCs w:val="22"/>
                                <w:lang w:val="es-ES_tradnl"/>
                              </w:rPr>
                              <w:t>191</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6B2F11">
                              <w:rPr>
                                <w:rFonts w:ascii="Cambria" w:hAnsi="Cambria" w:cs="Arial"/>
                                <w:b/>
                                <w:bCs/>
                                <w:color w:val="0D0D0D"/>
                                <w:sz w:val="36"/>
                                <w:szCs w:val="22"/>
                                <w:lang w:val="es-ES_tradnl"/>
                              </w:rPr>
                              <w:t>2</w:t>
                            </w:r>
                          </w:p>
                          <w:p w14:paraId="1E400F8C" w14:textId="78686D31"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sidR="00CE7283">
                              <w:rPr>
                                <w:rFonts w:ascii="Cambria" w:hAnsi="Cambria" w:cs="Arial"/>
                                <w:b/>
                                <w:color w:val="0D0D0D"/>
                                <w:sz w:val="36"/>
                                <w:szCs w:val="22"/>
                                <w:lang w:val="es-ES_tradnl"/>
                              </w:rPr>
                              <w:t>1</w:t>
                            </w:r>
                            <w:r w:rsidR="00C7006E">
                              <w:rPr>
                                <w:rFonts w:ascii="Cambria" w:hAnsi="Cambria" w:cs="Arial"/>
                                <w:b/>
                                <w:color w:val="0D0D0D"/>
                                <w:sz w:val="36"/>
                                <w:szCs w:val="22"/>
                                <w:lang w:val="es-ES_tradnl"/>
                              </w:rPr>
                              <w:t>303</w:t>
                            </w:r>
                            <w:r w:rsidR="00CE7283">
                              <w:rPr>
                                <w:rFonts w:ascii="Cambria" w:hAnsi="Cambria" w:cs="Arial"/>
                                <w:b/>
                                <w:color w:val="0D0D0D"/>
                                <w:sz w:val="36"/>
                                <w:szCs w:val="22"/>
                                <w:lang w:val="es-ES_tradnl"/>
                              </w:rPr>
                              <w:t>-</w:t>
                            </w:r>
                            <w:r w:rsidR="00C7006E">
                              <w:rPr>
                                <w:rFonts w:ascii="Cambria" w:hAnsi="Cambria" w:cs="Arial"/>
                                <w:b/>
                                <w:color w:val="0D0D0D"/>
                                <w:sz w:val="36"/>
                                <w:szCs w:val="22"/>
                                <w:lang w:val="es-ES_tradnl"/>
                              </w:rPr>
                              <w:t>09</w:t>
                            </w:r>
                            <w:r w:rsidRPr="00333146">
                              <w:rPr>
                                <w:rFonts w:ascii="Cambria" w:hAnsi="Cambria" w:cs="Arial"/>
                                <w:b/>
                                <w:color w:val="0D0D0D"/>
                                <w:sz w:val="36"/>
                                <w:szCs w:val="22"/>
                                <w:lang w:val="es-ES_tradnl"/>
                              </w:rPr>
                              <w:t xml:space="preserve"> </w:t>
                            </w:r>
                          </w:p>
                          <w:p w14:paraId="1AA12708"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7E05A716" w14:textId="79557996" w:rsidR="00071600" w:rsidRPr="00C92C03" w:rsidRDefault="00C7006E"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EX EMPLEADOS </w:t>
                            </w:r>
                            <w:r>
                              <w:rPr>
                                <w:rFonts w:ascii="Cambria" w:hAnsi="Cambria" w:cs="Arial"/>
                                <w:color w:val="0D0D0D"/>
                                <w:szCs w:val="22"/>
                                <w:lang w:val="es-PA"/>
                              </w:rPr>
                              <w:t>DEL BANCO HIPOTECARIO NACIONAL</w:t>
                            </w:r>
                            <w:r w:rsidR="00CE7283">
                              <w:rPr>
                                <w:rFonts w:ascii="Cambria" w:hAnsi="Cambria" w:cs="Arial"/>
                                <w:color w:val="0D0D0D"/>
                                <w:szCs w:val="22"/>
                                <w:lang w:val="es-ES_tradnl"/>
                              </w:rPr>
                              <w:t xml:space="preserve"> </w:t>
                            </w:r>
                          </w:p>
                          <w:bookmarkEnd w:id="0"/>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78E0418" w14:textId="45F08C38"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3146">
                        <w:rPr>
                          <w:rFonts w:ascii="Cambria" w:hAnsi="Cambria" w:cs="Arial"/>
                          <w:b/>
                          <w:bCs/>
                          <w:color w:val="0D0D0D"/>
                          <w:sz w:val="36"/>
                          <w:szCs w:val="22"/>
                          <w:lang w:val="es-ES_tradnl"/>
                        </w:rPr>
                        <w:t xml:space="preserve">INFORME </w:t>
                      </w:r>
                      <w:r w:rsidRPr="00333146">
                        <w:rPr>
                          <w:rFonts w:ascii="Cambria" w:hAnsi="Cambria" w:cs="Arial"/>
                          <w:b/>
                          <w:bCs/>
                          <w:color w:val="0D0D0D"/>
                          <w:sz w:val="36"/>
                          <w:szCs w:val="40"/>
                          <w:lang w:val="es-ES_tradnl"/>
                        </w:rPr>
                        <w:t>No.</w:t>
                      </w:r>
                      <w:r w:rsidRPr="00333146">
                        <w:rPr>
                          <w:rFonts w:ascii="Cambria" w:hAnsi="Cambria" w:cs="Arial"/>
                          <w:b/>
                          <w:bCs/>
                          <w:color w:val="0D0D0D"/>
                          <w:sz w:val="36"/>
                          <w:szCs w:val="22"/>
                          <w:lang w:val="es-ES_tradnl"/>
                        </w:rPr>
                        <w:t xml:space="preserve"> </w:t>
                      </w:r>
                      <w:r w:rsidR="00CF5E04">
                        <w:rPr>
                          <w:rFonts w:ascii="Cambria" w:hAnsi="Cambria" w:cs="Arial"/>
                          <w:b/>
                          <w:bCs/>
                          <w:color w:val="0D0D0D"/>
                          <w:sz w:val="36"/>
                          <w:szCs w:val="22"/>
                          <w:lang w:val="es-ES_tradnl"/>
                        </w:rPr>
                        <w:t>191</w:t>
                      </w:r>
                      <w:r w:rsidRPr="00333146">
                        <w:rPr>
                          <w:rFonts w:ascii="Cambria" w:hAnsi="Cambria" w:cs="Arial"/>
                          <w:b/>
                          <w:bCs/>
                          <w:color w:val="0D0D0D"/>
                          <w:sz w:val="36"/>
                          <w:szCs w:val="22"/>
                          <w:lang w:val="es-ES_tradnl"/>
                        </w:rPr>
                        <w:t>/</w:t>
                      </w:r>
                      <w:r>
                        <w:rPr>
                          <w:rFonts w:ascii="Cambria" w:hAnsi="Cambria" w:cs="Arial"/>
                          <w:b/>
                          <w:bCs/>
                          <w:color w:val="0D0D0D"/>
                          <w:sz w:val="36"/>
                          <w:szCs w:val="22"/>
                          <w:lang w:val="es-ES_tradnl"/>
                        </w:rPr>
                        <w:t>2</w:t>
                      </w:r>
                      <w:r w:rsidR="006B2F11">
                        <w:rPr>
                          <w:rFonts w:ascii="Cambria" w:hAnsi="Cambria" w:cs="Arial"/>
                          <w:b/>
                          <w:bCs/>
                          <w:color w:val="0D0D0D"/>
                          <w:sz w:val="36"/>
                          <w:szCs w:val="22"/>
                          <w:lang w:val="es-ES_tradnl"/>
                        </w:rPr>
                        <w:t>2</w:t>
                      </w:r>
                    </w:p>
                    <w:p w14:paraId="1E400F8C" w14:textId="78686D31"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3146">
                        <w:rPr>
                          <w:rFonts w:ascii="Cambria" w:hAnsi="Cambria" w:cs="Arial"/>
                          <w:b/>
                          <w:color w:val="0D0D0D"/>
                          <w:sz w:val="36"/>
                          <w:szCs w:val="22"/>
                          <w:lang w:val="es-ES_tradnl"/>
                        </w:rPr>
                        <w:t xml:space="preserve">PETICIÓN </w:t>
                      </w:r>
                      <w:r w:rsidR="00CE7283">
                        <w:rPr>
                          <w:rFonts w:ascii="Cambria" w:hAnsi="Cambria" w:cs="Arial"/>
                          <w:b/>
                          <w:color w:val="0D0D0D"/>
                          <w:sz w:val="36"/>
                          <w:szCs w:val="22"/>
                          <w:lang w:val="es-ES_tradnl"/>
                        </w:rPr>
                        <w:t>1</w:t>
                      </w:r>
                      <w:r w:rsidR="00C7006E">
                        <w:rPr>
                          <w:rFonts w:ascii="Cambria" w:hAnsi="Cambria" w:cs="Arial"/>
                          <w:b/>
                          <w:color w:val="0D0D0D"/>
                          <w:sz w:val="36"/>
                          <w:szCs w:val="22"/>
                          <w:lang w:val="es-ES_tradnl"/>
                        </w:rPr>
                        <w:t>303</w:t>
                      </w:r>
                      <w:r w:rsidR="00CE7283">
                        <w:rPr>
                          <w:rFonts w:ascii="Cambria" w:hAnsi="Cambria" w:cs="Arial"/>
                          <w:b/>
                          <w:color w:val="0D0D0D"/>
                          <w:sz w:val="36"/>
                          <w:szCs w:val="22"/>
                          <w:lang w:val="es-ES_tradnl"/>
                        </w:rPr>
                        <w:t>-</w:t>
                      </w:r>
                      <w:r w:rsidR="00C7006E">
                        <w:rPr>
                          <w:rFonts w:ascii="Cambria" w:hAnsi="Cambria" w:cs="Arial"/>
                          <w:b/>
                          <w:color w:val="0D0D0D"/>
                          <w:sz w:val="36"/>
                          <w:szCs w:val="22"/>
                          <w:lang w:val="es-ES_tradnl"/>
                        </w:rPr>
                        <w:t>09</w:t>
                      </w:r>
                      <w:r w:rsidRPr="00333146">
                        <w:rPr>
                          <w:rFonts w:ascii="Cambria" w:hAnsi="Cambria" w:cs="Arial"/>
                          <w:b/>
                          <w:color w:val="0D0D0D"/>
                          <w:sz w:val="36"/>
                          <w:szCs w:val="22"/>
                          <w:lang w:val="es-ES_tradnl"/>
                        </w:rPr>
                        <w:t xml:space="preserve"> </w:t>
                      </w:r>
                    </w:p>
                    <w:p w14:paraId="1AA12708"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3146">
                        <w:rPr>
                          <w:rFonts w:ascii="Cambria" w:hAnsi="Cambria" w:cs="Arial"/>
                          <w:color w:val="0D0D0D"/>
                          <w:szCs w:val="22"/>
                          <w:lang w:val="es-ES_tradnl"/>
                        </w:rPr>
                        <w:t xml:space="preserve">INFORME DE </w:t>
                      </w:r>
                      <w:r w:rsidRPr="00815DCF">
                        <w:rPr>
                          <w:rFonts w:ascii="Cambria" w:hAnsi="Cambria" w:cs="Arial"/>
                          <w:color w:val="0D0D0D"/>
                          <w:szCs w:val="22"/>
                          <w:lang w:val="es-ES_tradnl"/>
                        </w:rPr>
                        <w:t>ADMISIBILIDAD</w:t>
                      </w:r>
                    </w:p>
                    <w:p w14:paraId="33632816"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7E05A716" w14:textId="79557996" w:rsidR="00071600" w:rsidRPr="00C92C03" w:rsidRDefault="00C7006E"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 xml:space="preserve">EX EMPLEADOS </w:t>
                      </w:r>
                      <w:r>
                        <w:rPr>
                          <w:rFonts w:ascii="Cambria" w:hAnsi="Cambria" w:cs="Arial"/>
                          <w:color w:val="0D0D0D"/>
                          <w:szCs w:val="22"/>
                          <w:lang w:val="es-PA"/>
                        </w:rPr>
                        <w:t>DEL BANCO HIPOTECARIO NACIONAL</w:t>
                      </w:r>
                      <w:r w:rsidR="00CE7283">
                        <w:rPr>
                          <w:rFonts w:ascii="Cambria" w:hAnsi="Cambria" w:cs="Arial"/>
                          <w:color w:val="0D0D0D"/>
                          <w:szCs w:val="22"/>
                          <w:lang w:val="es-ES_tradnl"/>
                        </w:rPr>
                        <w:t xml:space="preserve"> </w:t>
                      </w:r>
                    </w:p>
                    <w:bookmarkEnd w:id="1"/>
                    <w:p w14:paraId="39E7E1B1" w14:textId="77777777"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3146">
                        <w:rPr>
                          <w:rFonts w:ascii="Cambria" w:hAnsi="Cambria" w:cs="Arial"/>
                          <w:color w:val="0D0D0D"/>
                          <w:szCs w:val="22"/>
                          <w:lang w:val="es-ES_tradnl"/>
                        </w:rPr>
                        <w:t>ARGENTINA</w:t>
                      </w:r>
                    </w:p>
                    <w:p w14:paraId="6D9AEAC1" w14:textId="77777777" w:rsidR="00F115A5" w:rsidRPr="00AE5488" w:rsidRDefault="00F115A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0E4D6DD8" w:rsidR="00F115A5" w:rsidRPr="004E2649" w:rsidRDefault="00F115A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2B5807EB" w:rsidR="00F115A5" w:rsidRPr="004E2649" w:rsidRDefault="00F115A5"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F5E04">
                              <w:rPr>
                                <w:rFonts w:asciiTheme="minorHAnsi" w:hAnsiTheme="minorHAnsi"/>
                                <w:color w:val="FFFFFF" w:themeColor="background1"/>
                                <w:sz w:val="22"/>
                                <w:lang w:val="pt-BR"/>
                              </w:rPr>
                              <w:t>194</w:t>
                            </w:r>
                          </w:p>
                          <w:p w14:paraId="0BBD91A2" w14:textId="6ED8CF49" w:rsidR="00F115A5" w:rsidRPr="00375CA6" w:rsidRDefault="00CF5E04" w:rsidP="000673D0">
                            <w:pPr>
                              <w:spacing w:line="276" w:lineRule="auto"/>
                              <w:jc w:val="right"/>
                              <w:rPr>
                                <w:rFonts w:asciiTheme="minorHAnsi" w:hAnsiTheme="minorHAnsi"/>
                                <w:color w:val="FFFFFF" w:themeColor="background1"/>
                                <w:sz w:val="22"/>
                                <w:lang w:val="pt-BR"/>
                              </w:rPr>
                            </w:pPr>
                            <w:r w:rsidRPr="00375CA6">
                              <w:rPr>
                                <w:rFonts w:asciiTheme="minorHAnsi" w:hAnsiTheme="minorHAnsi"/>
                                <w:color w:val="FFFFFF" w:themeColor="background1"/>
                                <w:sz w:val="22"/>
                                <w:lang w:val="pt-BR"/>
                              </w:rPr>
                              <w:t>3 agosto</w:t>
                            </w:r>
                            <w:r w:rsidR="00F115A5" w:rsidRPr="00375CA6">
                              <w:rPr>
                                <w:rFonts w:asciiTheme="minorHAnsi" w:hAnsiTheme="minorHAnsi"/>
                                <w:color w:val="FFFFFF" w:themeColor="background1"/>
                                <w:sz w:val="22"/>
                                <w:lang w:val="pt-BR"/>
                              </w:rPr>
                              <w:t xml:space="preserve"> 202</w:t>
                            </w:r>
                            <w:r w:rsidR="00CE7283" w:rsidRPr="00375CA6">
                              <w:rPr>
                                <w:rFonts w:asciiTheme="minorHAnsi" w:hAnsiTheme="minorHAnsi"/>
                                <w:color w:val="FFFFFF" w:themeColor="background1"/>
                                <w:sz w:val="22"/>
                                <w:lang w:val="pt-BR"/>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0E4D6DD8" w:rsidR="00F115A5" w:rsidRPr="004E2649" w:rsidRDefault="00F115A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2B5807EB" w:rsidR="00F115A5" w:rsidRPr="004E2649" w:rsidRDefault="00F115A5"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F5E04">
                        <w:rPr>
                          <w:rFonts w:asciiTheme="minorHAnsi" w:hAnsiTheme="minorHAnsi"/>
                          <w:color w:val="FFFFFF" w:themeColor="background1"/>
                          <w:sz w:val="22"/>
                          <w:lang w:val="pt-BR"/>
                        </w:rPr>
                        <w:t>194</w:t>
                      </w:r>
                    </w:p>
                    <w:p w14:paraId="0BBD91A2" w14:textId="6ED8CF49" w:rsidR="00F115A5" w:rsidRPr="00375CA6" w:rsidRDefault="00CF5E04" w:rsidP="000673D0">
                      <w:pPr>
                        <w:spacing w:line="276" w:lineRule="auto"/>
                        <w:jc w:val="right"/>
                        <w:rPr>
                          <w:rFonts w:asciiTheme="minorHAnsi" w:hAnsiTheme="minorHAnsi"/>
                          <w:color w:val="FFFFFF" w:themeColor="background1"/>
                          <w:sz w:val="22"/>
                          <w:lang w:val="pt-BR"/>
                        </w:rPr>
                      </w:pPr>
                      <w:r w:rsidRPr="00375CA6">
                        <w:rPr>
                          <w:rFonts w:asciiTheme="minorHAnsi" w:hAnsiTheme="minorHAnsi"/>
                          <w:color w:val="FFFFFF" w:themeColor="background1"/>
                          <w:sz w:val="22"/>
                          <w:lang w:val="pt-BR"/>
                        </w:rPr>
                        <w:t>3 agosto</w:t>
                      </w:r>
                      <w:r w:rsidR="00F115A5" w:rsidRPr="00375CA6">
                        <w:rPr>
                          <w:rFonts w:asciiTheme="minorHAnsi" w:hAnsiTheme="minorHAnsi"/>
                          <w:color w:val="FFFFFF" w:themeColor="background1"/>
                          <w:sz w:val="22"/>
                          <w:lang w:val="pt-BR"/>
                        </w:rPr>
                        <w:t xml:space="preserve"> 202</w:t>
                      </w:r>
                      <w:r w:rsidR="00CE7283" w:rsidRPr="00375CA6">
                        <w:rPr>
                          <w:rFonts w:asciiTheme="minorHAnsi" w:hAnsiTheme="minorHAnsi"/>
                          <w:color w:val="FFFFFF" w:themeColor="background1"/>
                          <w:sz w:val="22"/>
                          <w:lang w:val="pt-BR"/>
                        </w:rPr>
                        <w:t>2</w:t>
                      </w:r>
                    </w:p>
                    <w:p w14:paraId="0288BA97" w14:textId="77777777" w:rsidR="00F115A5" w:rsidRPr="00C25ADB" w:rsidRDefault="00F115A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31587526"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157F3">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1157F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E7283">
                              <w:rPr>
                                <w:rFonts w:asciiTheme="majorHAnsi" w:hAnsiTheme="majorHAnsi"/>
                                <w:color w:val="0D0D0D" w:themeColor="text1" w:themeTint="F2"/>
                                <w:sz w:val="18"/>
                                <w:szCs w:val="22"/>
                                <w:lang w:val="es-ES"/>
                              </w:rPr>
                              <w:t>2</w:t>
                            </w:r>
                            <w:r w:rsidR="001157F3">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31587526" w:rsidR="00F115A5" w:rsidRPr="00890650" w:rsidRDefault="00F115A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157F3">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1157F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E7283">
                        <w:rPr>
                          <w:rFonts w:asciiTheme="majorHAnsi" w:hAnsiTheme="majorHAnsi"/>
                          <w:color w:val="0D0D0D" w:themeColor="text1" w:themeTint="F2"/>
                          <w:sz w:val="18"/>
                          <w:szCs w:val="22"/>
                          <w:lang w:val="es-ES"/>
                        </w:rPr>
                        <w:t>2</w:t>
                      </w:r>
                      <w:r w:rsidR="001157F3">
                        <w:rPr>
                          <w:rFonts w:asciiTheme="majorHAnsi" w:hAnsiTheme="majorHAnsi"/>
                          <w:color w:val="0D0D0D" w:themeColor="text1" w:themeTint="F2"/>
                          <w:sz w:val="18"/>
                          <w:szCs w:val="22"/>
                          <w:lang w:val="es-ES"/>
                        </w:rPr>
                        <w:t>.</w:t>
                      </w:r>
                    </w:p>
                    <w:p w14:paraId="4F6ABB5B" w14:textId="77777777" w:rsidR="00F115A5" w:rsidRPr="007A5817" w:rsidRDefault="00F115A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F115A5" w:rsidRPr="00167A34" w:rsidRDefault="00F115A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FCBDA" w14:textId="5CC07941"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1157F3" w:rsidRPr="001157F3">
                              <w:rPr>
                                <w:rFonts w:ascii="Cambria" w:hAnsi="Cambria"/>
                                <w:color w:val="595959"/>
                                <w:sz w:val="18"/>
                                <w:szCs w:val="18"/>
                                <w:lang w:val="pt-BR"/>
                              </w:rPr>
                              <w:t>191</w:t>
                            </w:r>
                            <w:r w:rsidRPr="001157F3">
                              <w:rPr>
                                <w:rFonts w:ascii="Cambria" w:hAnsi="Cambria"/>
                                <w:color w:val="595959"/>
                                <w:sz w:val="18"/>
                                <w:szCs w:val="18"/>
                                <w:lang w:val="pt-BR"/>
                              </w:rPr>
                              <w:t>/2</w:t>
                            </w:r>
                            <w:r w:rsidR="00C7006E" w:rsidRPr="001157F3">
                              <w:rPr>
                                <w:rFonts w:ascii="Cambria" w:hAnsi="Cambria"/>
                                <w:color w:val="595959"/>
                                <w:sz w:val="18"/>
                                <w:szCs w:val="18"/>
                                <w:lang w:val="pt-BR"/>
                              </w:rPr>
                              <w:t>2</w:t>
                            </w:r>
                            <w:r w:rsidRPr="001157F3">
                              <w:rPr>
                                <w:rFonts w:ascii="Cambria" w:hAnsi="Cambria"/>
                                <w:color w:val="595959"/>
                                <w:sz w:val="18"/>
                                <w:szCs w:val="18"/>
                                <w:lang w:val="pt-BR"/>
                              </w:rPr>
                              <w:t xml:space="preserve">. </w:t>
                            </w:r>
                            <w:r>
                              <w:rPr>
                                <w:rFonts w:ascii="Cambria" w:hAnsi="Cambria"/>
                                <w:color w:val="595959"/>
                                <w:sz w:val="18"/>
                                <w:szCs w:val="18"/>
                                <w:lang w:val="es-ES_tradnl"/>
                              </w:rPr>
                              <w:t>Petición</w:t>
                            </w:r>
                            <w:r w:rsidR="00C92C03">
                              <w:rPr>
                                <w:rFonts w:ascii="Cambria" w:hAnsi="Cambria"/>
                                <w:color w:val="595959"/>
                                <w:sz w:val="18"/>
                                <w:szCs w:val="18"/>
                                <w:lang w:val="es-ES"/>
                              </w:rPr>
                              <w:t xml:space="preserve"> </w:t>
                            </w:r>
                            <w:r w:rsidR="00C72339">
                              <w:rPr>
                                <w:rFonts w:ascii="Cambria" w:hAnsi="Cambria"/>
                                <w:color w:val="595959"/>
                                <w:sz w:val="18"/>
                                <w:szCs w:val="18"/>
                                <w:lang w:val="es-ES"/>
                              </w:rPr>
                              <w:t>1</w:t>
                            </w:r>
                            <w:r w:rsidR="00C7006E">
                              <w:rPr>
                                <w:rFonts w:ascii="Cambria" w:hAnsi="Cambria"/>
                                <w:color w:val="595959"/>
                                <w:sz w:val="18"/>
                                <w:szCs w:val="18"/>
                                <w:lang w:val="es-ES"/>
                              </w:rPr>
                              <w:t>303-09</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sidR="00C7006E">
                              <w:rPr>
                                <w:rFonts w:ascii="Cambria" w:hAnsi="Cambria" w:cs="Arial"/>
                                <w:color w:val="595959"/>
                                <w:sz w:val="18"/>
                                <w:szCs w:val="18"/>
                                <w:lang w:val="es-ES_tradnl"/>
                              </w:rPr>
                              <w:t>Ex Empleados del Banco Hipotecario Nacional</w:t>
                            </w:r>
                            <w:r w:rsidRPr="00333146">
                              <w:rPr>
                                <w:rFonts w:ascii="Cambria" w:hAnsi="Cambria"/>
                                <w:color w:val="595959"/>
                                <w:sz w:val="18"/>
                                <w:szCs w:val="18"/>
                                <w:lang w:val="es-ES_tradnl"/>
                              </w:rPr>
                              <w:t xml:space="preserve">. Argentina. </w:t>
                            </w:r>
                            <w:r w:rsidR="001157F3">
                              <w:rPr>
                                <w:rFonts w:ascii="Cambria" w:hAnsi="Cambria"/>
                                <w:color w:val="595959"/>
                                <w:sz w:val="18"/>
                                <w:szCs w:val="18"/>
                                <w:lang w:val="es-ES"/>
                              </w:rPr>
                              <w:t>3 de agosto de 2022</w:t>
                            </w:r>
                            <w:r w:rsidRPr="00333146">
                              <w:rPr>
                                <w:rFonts w:ascii="Cambria" w:hAnsi="Cambria"/>
                                <w:color w:val="595959"/>
                                <w:sz w:val="18"/>
                                <w:szCs w:val="18"/>
                                <w:lang w:val="es-ES"/>
                              </w:rPr>
                              <w:t>.</w:t>
                            </w:r>
                          </w:p>
                          <w:p w14:paraId="0CF2B52A" w14:textId="2E0234C9" w:rsidR="00F115A5" w:rsidRPr="00C7006E" w:rsidRDefault="00F115A5" w:rsidP="000673D0">
                            <w:pPr>
                              <w:spacing w:line="276" w:lineRule="auto"/>
                              <w:rPr>
                                <w:rFonts w:asciiTheme="majorHAnsi" w:hAnsiTheme="majorHAnsi"/>
                                <w:color w:val="595959" w:themeColor="text1" w:themeTint="A6"/>
                                <w:sz w:val="18"/>
                                <w:szCs w:val="18"/>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5AFCBDA" w14:textId="5CC07941" w:rsidR="00071600" w:rsidRPr="00333146" w:rsidRDefault="00071600" w:rsidP="000716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333146">
                        <w:rPr>
                          <w:rFonts w:ascii="Cambria" w:hAnsi="Cambria"/>
                          <w:b/>
                          <w:color w:val="595959"/>
                          <w:sz w:val="18"/>
                          <w:szCs w:val="18"/>
                          <w:lang w:val="pt-BR"/>
                        </w:rPr>
                        <w:t>Citar como:</w:t>
                      </w:r>
                      <w:r w:rsidRPr="00333146">
                        <w:rPr>
                          <w:rFonts w:ascii="Cambria" w:hAnsi="Cambria"/>
                          <w:color w:val="595959"/>
                          <w:sz w:val="18"/>
                          <w:szCs w:val="18"/>
                          <w:lang w:val="pt-BR"/>
                        </w:rPr>
                        <w:t xml:space="preserve"> CIDH, Informe No. </w:t>
                      </w:r>
                      <w:r w:rsidR="001157F3" w:rsidRPr="001157F3">
                        <w:rPr>
                          <w:rFonts w:ascii="Cambria" w:hAnsi="Cambria"/>
                          <w:color w:val="595959"/>
                          <w:sz w:val="18"/>
                          <w:szCs w:val="18"/>
                          <w:lang w:val="pt-BR"/>
                        </w:rPr>
                        <w:t>191</w:t>
                      </w:r>
                      <w:r w:rsidRPr="001157F3">
                        <w:rPr>
                          <w:rFonts w:ascii="Cambria" w:hAnsi="Cambria"/>
                          <w:color w:val="595959"/>
                          <w:sz w:val="18"/>
                          <w:szCs w:val="18"/>
                          <w:lang w:val="pt-BR"/>
                        </w:rPr>
                        <w:t>/2</w:t>
                      </w:r>
                      <w:r w:rsidR="00C7006E" w:rsidRPr="001157F3">
                        <w:rPr>
                          <w:rFonts w:ascii="Cambria" w:hAnsi="Cambria"/>
                          <w:color w:val="595959"/>
                          <w:sz w:val="18"/>
                          <w:szCs w:val="18"/>
                          <w:lang w:val="pt-BR"/>
                        </w:rPr>
                        <w:t>2</w:t>
                      </w:r>
                      <w:r w:rsidRPr="001157F3">
                        <w:rPr>
                          <w:rFonts w:ascii="Cambria" w:hAnsi="Cambria"/>
                          <w:color w:val="595959"/>
                          <w:sz w:val="18"/>
                          <w:szCs w:val="18"/>
                          <w:lang w:val="pt-BR"/>
                        </w:rPr>
                        <w:t xml:space="preserve">. </w:t>
                      </w:r>
                      <w:r>
                        <w:rPr>
                          <w:rFonts w:ascii="Cambria" w:hAnsi="Cambria"/>
                          <w:color w:val="595959"/>
                          <w:sz w:val="18"/>
                          <w:szCs w:val="18"/>
                          <w:lang w:val="es-ES_tradnl"/>
                        </w:rPr>
                        <w:t>Petición</w:t>
                      </w:r>
                      <w:r w:rsidR="00C92C03">
                        <w:rPr>
                          <w:rFonts w:ascii="Cambria" w:hAnsi="Cambria"/>
                          <w:color w:val="595959"/>
                          <w:sz w:val="18"/>
                          <w:szCs w:val="18"/>
                          <w:lang w:val="es-ES"/>
                        </w:rPr>
                        <w:t xml:space="preserve"> </w:t>
                      </w:r>
                      <w:r w:rsidR="00C72339">
                        <w:rPr>
                          <w:rFonts w:ascii="Cambria" w:hAnsi="Cambria"/>
                          <w:color w:val="595959"/>
                          <w:sz w:val="18"/>
                          <w:szCs w:val="18"/>
                          <w:lang w:val="es-ES"/>
                        </w:rPr>
                        <w:t>1</w:t>
                      </w:r>
                      <w:r w:rsidR="00C7006E">
                        <w:rPr>
                          <w:rFonts w:ascii="Cambria" w:hAnsi="Cambria"/>
                          <w:color w:val="595959"/>
                          <w:sz w:val="18"/>
                          <w:szCs w:val="18"/>
                          <w:lang w:val="es-ES"/>
                        </w:rPr>
                        <w:t>303-09</w:t>
                      </w:r>
                      <w:r w:rsidRPr="00333146">
                        <w:rPr>
                          <w:rFonts w:ascii="Cambria" w:hAnsi="Cambria"/>
                          <w:color w:val="595959"/>
                          <w:sz w:val="18"/>
                          <w:szCs w:val="18"/>
                          <w:lang w:val="es-ES"/>
                        </w:rPr>
                        <w:t xml:space="preserve">. </w:t>
                      </w:r>
                      <w:r>
                        <w:rPr>
                          <w:rFonts w:ascii="Cambria" w:hAnsi="Cambria"/>
                          <w:color w:val="595959"/>
                          <w:sz w:val="18"/>
                          <w:szCs w:val="18"/>
                          <w:lang w:val="es-ES_tradnl"/>
                        </w:rPr>
                        <w:t>A</w:t>
                      </w:r>
                      <w:r w:rsidRPr="00EF6966">
                        <w:rPr>
                          <w:rFonts w:ascii="Cambria" w:hAnsi="Cambria"/>
                          <w:color w:val="595959"/>
                          <w:sz w:val="18"/>
                          <w:szCs w:val="18"/>
                          <w:lang w:val="es-ES_tradnl"/>
                        </w:rPr>
                        <w:t>dmisibilidad</w:t>
                      </w:r>
                      <w:r w:rsidRPr="00333146">
                        <w:rPr>
                          <w:rFonts w:ascii="Cambria" w:hAnsi="Cambria"/>
                          <w:color w:val="595959"/>
                          <w:sz w:val="18"/>
                          <w:szCs w:val="18"/>
                          <w:lang w:val="es-ES_tradnl"/>
                        </w:rPr>
                        <w:t xml:space="preserve">. </w:t>
                      </w:r>
                      <w:r w:rsidR="00C7006E">
                        <w:rPr>
                          <w:rFonts w:ascii="Cambria" w:hAnsi="Cambria" w:cs="Arial"/>
                          <w:color w:val="595959"/>
                          <w:sz w:val="18"/>
                          <w:szCs w:val="18"/>
                          <w:lang w:val="es-ES_tradnl"/>
                        </w:rPr>
                        <w:t>Ex Empleados del Banco Hipotecario Nacional</w:t>
                      </w:r>
                      <w:r w:rsidRPr="00333146">
                        <w:rPr>
                          <w:rFonts w:ascii="Cambria" w:hAnsi="Cambria"/>
                          <w:color w:val="595959"/>
                          <w:sz w:val="18"/>
                          <w:szCs w:val="18"/>
                          <w:lang w:val="es-ES_tradnl"/>
                        </w:rPr>
                        <w:t xml:space="preserve">. Argentina. </w:t>
                      </w:r>
                      <w:r w:rsidR="001157F3">
                        <w:rPr>
                          <w:rFonts w:ascii="Cambria" w:hAnsi="Cambria"/>
                          <w:color w:val="595959"/>
                          <w:sz w:val="18"/>
                          <w:szCs w:val="18"/>
                          <w:lang w:val="es-ES"/>
                        </w:rPr>
                        <w:t>3 de agosto de 2022</w:t>
                      </w:r>
                      <w:r w:rsidRPr="00333146">
                        <w:rPr>
                          <w:rFonts w:ascii="Cambria" w:hAnsi="Cambria"/>
                          <w:color w:val="595959"/>
                          <w:sz w:val="18"/>
                          <w:szCs w:val="18"/>
                          <w:lang w:val="es-ES"/>
                        </w:rPr>
                        <w:t>.</w:t>
                      </w:r>
                    </w:p>
                    <w:p w14:paraId="0CF2B52A" w14:textId="2E0234C9" w:rsidR="00F115A5" w:rsidRPr="00C7006E" w:rsidRDefault="00F115A5" w:rsidP="000673D0">
                      <w:pPr>
                        <w:spacing w:line="276" w:lineRule="auto"/>
                        <w:rPr>
                          <w:rFonts w:asciiTheme="majorHAnsi" w:hAnsiTheme="majorHAnsi"/>
                          <w:color w:val="595959" w:themeColor="text1" w:themeTint="A6"/>
                          <w:sz w:val="18"/>
                          <w:szCs w:val="18"/>
                          <w:lang w:val="es-ES_tradnl"/>
                        </w:rPr>
                      </w:pP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F8C71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27ADA1B0" w:rsidR="00F115A5" w:rsidRPr="00D72DC6" w:rsidRDefault="00840881" w:rsidP="000673D0">
                            <w:pPr>
                              <w:rPr>
                                <w:color w:val="FFFFFF" w:themeColor="background1"/>
                                <w14:textFill>
                                  <w14:noFill/>
                                </w14:textFill>
                              </w:rPr>
                            </w:pPr>
                            <w:r>
                              <w:rPr>
                                <w:noProof/>
                                <w:color w:val="FFFFFF" w:themeColor="background1"/>
                              </w:rPr>
                              <w:drawing>
                                <wp:inline distT="0" distB="0" distL="0" distR="0" wp14:anchorId="4B20B7C0" wp14:editId="4136204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561CB564" w14:textId="27ADA1B0" w:rsidR="00F115A5" w:rsidRPr="00D72DC6" w:rsidRDefault="00840881" w:rsidP="000673D0">
                      <w:pPr>
                        <w:rPr>
                          <w:color w:val="FFFFFF" w:themeColor="background1"/>
                          <w14:textFill>
                            <w14:noFill/>
                          </w14:textFill>
                        </w:rPr>
                      </w:pPr>
                      <w:r>
                        <w:rPr>
                          <w:noProof/>
                          <w:color w:val="FFFFFF" w:themeColor="background1"/>
                        </w:rPr>
                        <w:drawing>
                          <wp:inline distT="0" distB="0" distL="0" distR="0" wp14:anchorId="4B20B7C0" wp14:editId="4136204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B589E4B" w14:textId="77777777" w:rsidR="00F115A5" w:rsidRPr="004B7EB6" w:rsidRDefault="00F115A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80146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r>
      <w:r w:rsidRPr="00801460">
        <w:rPr>
          <w:rFonts w:asciiTheme="majorHAnsi" w:hAnsiTheme="majorHAnsi"/>
          <w:b/>
          <w:bCs/>
          <w:sz w:val="20"/>
          <w:szCs w:val="20"/>
          <w:lang w:val="es-ES"/>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801460" w14:paraId="325744E4" w14:textId="77777777" w:rsidTr="00F50CCE">
        <w:tc>
          <w:tcPr>
            <w:tcW w:w="3600" w:type="dxa"/>
            <w:tcBorders>
              <w:top w:val="single" w:sz="4" w:space="0" w:color="auto"/>
              <w:bottom w:val="single" w:sz="6" w:space="0" w:color="auto"/>
            </w:tcBorders>
            <w:shd w:val="clear" w:color="auto" w:fill="386294"/>
            <w:vAlign w:val="center"/>
          </w:tcPr>
          <w:p w14:paraId="26710EBE" w14:textId="77777777" w:rsidR="000673D0" w:rsidRPr="00801460" w:rsidRDefault="000673D0" w:rsidP="00B46185">
            <w:pPr>
              <w:jc w:val="center"/>
              <w:rPr>
                <w:rFonts w:asciiTheme="majorHAnsi" w:hAnsiTheme="majorHAnsi"/>
                <w:b/>
                <w:bCs/>
                <w:color w:val="FFFFFF" w:themeColor="background1"/>
                <w:sz w:val="20"/>
                <w:szCs w:val="20"/>
              </w:rPr>
            </w:pPr>
            <w:r w:rsidRPr="00801460">
              <w:rPr>
                <w:rFonts w:asciiTheme="majorHAnsi" w:hAnsiTheme="majorHAnsi"/>
                <w:b/>
                <w:bCs/>
                <w:color w:val="FFFFFF" w:themeColor="background1"/>
                <w:sz w:val="20"/>
                <w:szCs w:val="20"/>
              </w:rPr>
              <w:t>Parte peticionaria:</w:t>
            </w:r>
          </w:p>
        </w:tc>
        <w:tc>
          <w:tcPr>
            <w:tcW w:w="5647" w:type="dxa"/>
            <w:vAlign w:val="center"/>
          </w:tcPr>
          <w:p w14:paraId="5A4F615E" w14:textId="2D286BC3" w:rsidR="000673D0" w:rsidRPr="00801460" w:rsidRDefault="00C7006E" w:rsidP="00B46185">
            <w:pPr>
              <w:jc w:val="both"/>
              <w:rPr>
                <w:rFonts w:asciiTheme="majorHAnsi" w:hAnsiTheme="majorHAnsi"/>
                <w:bCs/>
                <w:sz w:val="20"/>
                <w:szCs w:val="20"/>
                <w:lang w:val="es-PA"/>
              </w:rPr>
            </w:pPr>
            <w:r w:rsidRPr="00801460">
              <w:rPr>
                <w:rFonts w:asciiTheme="majorHAnsi" w:hAnsiTheme="majorHAnsi"/>
                <w:bCs/>
                <w:sz w:val="20"/>
                <w:szCs w:val="20"/>
                <w:lang w:val="es-PA"/>
              </w:rPr>
              <w:t xml:space="preserve">Diego Jorge Lavado y </w:t>
            </w:r>
            <w:r w:rsidR="007115B7" w:rsidRPr="00801460">
              <w:rPr>
                <w:rFonts w:asciiTheme="majorHAnsi" w:hAnsiTheme="majorHAnsi"/>
                <w:bCs/>
                <w:sz w:val="20"/>
                <w:szCs w:val="20"/>
                <w:lang w:val="es-PA"/>
              </w:rPr>
              <w:t>Cintia Marcela Bayardi</w:t>
            </w:r>
          </w:p>
        </w:tc>
      </w:tr>
      <w:tr w:rsidR="000673D0" w:rsidRPr="00375CA6" w14:paraId="79A5B539" w14:textId="77777777" w:rsidTr="00F50CCE">
        <w:tc>
          <w:tcPr>
            <w:tcW w:w="3600" w:type="dxa"/>
            <w:tcBorders>
              <w:top w:val="single" w:sz="6" w:space="0" w:color="auto"/>
              <w:bottom w:val="single" w:sz="6" w:space="0" w:color="auto"/>
            </w:tcBorders>
            <w:shd w:val="clear" w:color="auto" w:fill="386294"/>
            <w:vAlign w:val="center"/>
          </w:tcPr>
          <w:p w14:paraId="58FAAE53" w14:textId="77777777" w:rsidR="000673D0" w:rsidRPr="00801460" w:rsidRDefault="00E8336F"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801460">
                  <w:rPr>
                    <w:rFonts w:asciiTheme="majorHAnsi" w:hAnsiTheme="majorHAnsi"/>
                    <w:b/>
                    <w:bCs/>
                    <w:color w:val="FFFFFF" w:themeColor="background1"/>
                    <w:sz w:val="20"/>
                    <w:szCs w:val="20"/>
                  </w:rPr>
                  <w:t>Presunta víctima</w:t>
                </w:r>
              </w:sdtContent>
            </w:sdt>
            <w:r w:rsidR="000673D0" w:rsidRPr="00801460">
              <w:rPr>
                <w:rFonts w:asciiTheme="majorHAnsi" w:hAnsiTheme="majorHAnsi"/>
                <w:b/>
                <w:bCs/>
                <w:color w:val="FFFFFF" w:themeColor="background1"/>
                <w:sz w:val="20"/>
                <w:szCs w:val="20"/>
              </w:rPr>
              <w:t>:</w:t>
            </w:r>
          </w:p>
        </w:tc>
        <w:tc>
          <w:tcPr>
            <w:tcW w:w="5647" w:type="dxa"/>
            <w:vAlign w:val="center"/>
          </w:tcPr>
          <w:p w14:paraId="23FE9BA4" w14:textId="2A04B41F" w:rsidR="000673D0" w:rsidRPr="00801460" w:rsidRDefault="00D952F3" w:rsidP="00B46185">
            <w:pPr>
              <w:jc w:val="both"/>
              <w:rPr>
                <w:rFonts w:asciiTheme="majorHAnsi" w:hAnsiTheme="majorHAnsi"/>
                <w:bCs/>
                <w:sz w:val="20"/>
                <w:szCs w:val="20"/>
                <w:lang w:val="es-ES"/>
              </w:rPr>
            </w:pPr>
            <w:r w:rsidRPr="00801460">
              <w:rPr>
                <w:rFonts w:asciiTheme="majorHAnsi" w:hAnsiTheme="majorHAnsi"/>
                <w:bCs/>
                <w:sz w:val="20"/>
                <w:szCs w:val="20"/>
                <w:lang w:val="es-ES"/>
              </w:rPr>
              <w:t>Luis Adelaida Cerioni de Bergamascui y Nicolás Quiroga</w:t>
            </w:r>
            <w:r w:rsidR="003B3325" w:rsidRPr="00801460">
              <w:rPr>
                <w:rFonts w:asciiTheme="majorHAnsi" w:hAnsiTheme="majorHAnsi"/>
                <w:bCs/>
                <w:sz w:val="20"/>
                <w:szCs w:val="20"/>
                <w:lang w:val="es-ES"/>
              </w:rPr>
              <w:t>,</w:t>
            </w:r>
            <w:r w:rsidRPr="00801460">
              <w:rPr>
                <w:rFonts w:asciiTheme="majorHAnsi" w:hAnsiTheme="majorHAnsi"/>
                <w:bCs/>
                <w:sz w:val="20"/>
                <w:szCs w:val="20"/>
                <w:lang w:val="es-ES"/>
              </w:rPr>
              <w:t xml:space="preserve"> </w:t>
            </w:r>
            <w:r w:rsidR="00174AFF" w:rsidRPr="00801460">
              <w:rPr>
                <w:rFonts w:asciiTheme="majorHAnsi" w:hAnsiTheme="majorHAnsi"/>
                <w:bCs/>
                <w:sz w:val="20"/>
                <w:szCs w:val="20"/>
                <w:lang w:val="es-ES"/>
              </w:rPr>
              <w:t>en los términos de la Sección VI</w:t>
            </w:r>
            <w:r w:rsidR="003B3325" w:rsidRPr="00801460">
              <w:rPr>
                <w:rFonts w:asciiTheme="majorHAnsi" w:hAnsiTheme="majorHAnsi"/>
                <w:bCs/>
                <w:sz w:val="20"/>
                <w:szCs w:val="20"/>
                <w:lang w:val="es-ES"/>
              </w:rPr>
              <w:t xml:space="preserve"> del presente informe</w:t>
            </w:r>
          </w:p>
        </w:tc>
      </w:tr>
      <w:tr w:rsidR="000673D0" w:rsidRPr="00801460" w14:paraId="45362DF7" w14:textId="77777777" w:rsidTr="00F50CCE">
        <w:tc>
          <w:tcPr>
            <w:tcW w:w="3600" w:type="dxa"/>
            <w:tcBorders>
              <w:top w:val="single" w:sz="6" w:space="0" w:color="auto"/>
              <w:bottom w:val="single" w:sz="6" w:space="0" w:color="auto"/>
            </w:tcBorders>
            <w:shd w:val="clear" w:color="auto" w:fill="386294"/>
            <w:vAlign w:val="center"/>
          </w:tcPr>
          <w:p w14:paraId="652632F5" w14:textId="77777777" w:rsidR="000673D0" w:rsidRPr="00801460" w:rsidRDefault="000673D0" w:rsidP="00B46185">
            <w:pPr>
              <w:jc w:val="center"/>
              <w:rPr>
                <w:rFonts w:asciiTheme="majorHAnsi" w:hAnsiTheme="majorHAnsi"/>
                <w:b/>
                <w:bCs/>
                <w:color w:val="FFFFFF" w:themeColor="background1"/>
                <w:sz w:val="20"/>
                <w:szCs w:val="20"/>
              </w:rPr>
            </w:pPr>
            <w:r w:rsidRPr="00801460">
              <w:rPr>
                <w:rFonts w:asciiTheme="majorHAnsi" w:hAnsiTheme="majorHAnsi"/>
                <w:b/>
                <w:bCs/>
                <w:color w:val="FFFFFF" w:themeColor="background1"/>
                <w:sz w:val="20"/>
                <w:szCs w:val="20"/>
              </w:rPr>
              <w:t>Estado denunciado:</w:t>
            </w:r>
          </w:p>
        </w:tc>
        <w:tc>
          <w:tcPr>
            <w:tcW w:w="5647" w:type="dxa"/>
            <w:vAlign w:val="center"/>
          </w:tcPr>
          <w:p w14:paraId="057DC689" w14:textId="77777777" w:rsidR="000673D0" w:rsidRPr="00801460" w:rsidRDefault="000673D0" w:rsidP="00B46185">
            <w:pPr>
              <w:jc w:val="both"/>
              <w:rPr>
                <w:rFonts w:asciiTheme="majorHAnsi" w:hAnsiTheme="majorHAnsi"/>
                <w:bCs/>
                <w:sz w:val="20"/>
                <w:szCs w:val="20"/>
              </w:rPr>
            </w:pPr>
            <w:r w:rsidRPr="00801460">
              <w:rPr>
                <w:rFonts w:asciiTheme="majorHAnsi" w:hAnsiTheme="majorHAnsi"/>
                <w:bCs/>
                <w:sz w:val="20"/>
                <w:szCs w:val="20"/>
              </w:rPr>
              <w:t>Argentina</w:t>
            </w:r>
          </w:p>
        </w:tc>
      </w:tr>
      <w:tr w:rsidR="000673D0" w:rsidRPr="00375CA6" w14:paraId="4329FE9B" w14:textId="77777777" w:rsidTr="00F50CCE">
        <w:tc>
          <w:tcPr>
            <w:tcW w:w="3600" w:type="dxa"/>
            <w:tcBorders>
              <w:top w:val="single" w:sz="6" w:space="0" w:color="auto"/>
              <w:bottom w:val="single" w:sz="6" w:space="0" w:color="auto"/>
            </w:tcBorders>
            <w:shd w:val="clear" w:color="auto" w:fill="386294"/>
            <w:vAlign w:val="center"/>
          </w:tcPr>
          <w:p w14:paraId="4A8E3F69" w14:textId="77777777" w:rsidR="000673D0" w:rsidRPr="00801460" w:rsidRDefault="000673D0" w:rsidP="00B46185">
            <w:pPr>
              <w:jc w:val="center"/>
              <w:rPr>
                <w:rFonts w:asciiTheme="majorHAnsi" w:hAnsiTheme="majorHAnsi"/>
                <w:b/>
                <w:bCs/>
                <w:color w:val="FFFFFF" w:themeColor="background1"/>
                <w:sz w:val="20"/>
                <w:szCs w:val="20"/>
              </w:rPr>
            </w:pPr>
            <w:r w:rsidRPr="00801460">
              <w:rPr>
                <w:rFonts w:asciiTheme="majorHAnsi" w:hAnsiTheme="majorHAnsi"/>
                <w:b/>
                <w:bCs/>
                <w:color w:val="FFFFFF" w:themeColor="background1"/>
                <w:sz w:val="20"/>
                <w:szCs w:val="20"/>
              </w:rPr>
              <w:t>Derechos invocados:</w:t>
            </w:r>
          </w:p>
        </w:tc>
        <w:tc>
          <w:tcPr>
            <w:tcW w:w="5647" w:type="dxa"/>
            <w:vAlign w:val="center"/>
          </w:tcPr>
          <w:p w14:paraId="4E238173" w14:textId="4B8D919C" w:rsidR="000673D0" w:rsidRPr="00801460" w:rsidRDefault="00A9295D" w:rsidP="00BB79D4">
            <w:pPr>
              <w:jc w:val="both"/>
              <w:rPr>
                <w:rFonts w:asciiTheme="majorHAnsi" w:hAnsiTheme="majorHAnsi"/>
                <w:bCs/>
                <w:sz w:val="20"/>
                <w:szCs w:val="20"/>
                <w:lang w:val="es-PA"/>
              </w:rPr>
            </w:pPr>
            <w:r w:rsidRPr="00801460">
              <w:rPr>
                <w:rFonts w:asciiTheme="majorHAnsi" w:hAnsiTheme="majorHAnsi"/>
                <w:bCs/>
                <w:sz w:val="20"/>
                <w:szCs w:val="20"/>
                <w:lang w:val="es-PA"/>
              </w:rPr>
              <w:t>Artícul</w:t>
            </w:r>
            <w:r w:rsidR="00D952F3" w:rsidRPr="00801460">
              <w:rPr>
                <w:rFonts w:asciiTheme="majorHAnsi" w:hAnsiTheme="majorHAnsi"/>
                <w:bCs/>
                <w:sz w:val="20"/>
                <w:szCs w:val="20"/>
                <w:lang w:val="es-PA"/>
              </w:rPr>
              <w:t>os 4</w:t>
            </w:r>
            <w:r w:rsidRPr="00801460">
              <w:rPr>
                <w:rFonts w:asciiTheme="majorHAnsi" w:hAnsiTheme="majorHAnsi"/>
                <w:bCs/>
                <w:sz w:val="20"/>
                <w:szCs w:val="20"/>
                <w:lang w:val="es-PA"/>
              </w:rPr>
              <w:t xml:space="preserve"> (</w:t>
            </w:r>
            <w:r w:rsidR="00D952F3" w:rsidRPr="00801460">
              <w:rPr>
                <w:rFonts w:asciiTheme="majorHAnsi" w:hAnsiTheme="majorHAnsi"/>
                <w:bCs/>
                <w:sz w:val="20"/>
                <w:szCs w:val="20"/>
                <w:lang w:val="es-PA"/>
              </w:rPr>
              <w:t>vida), 21 (propiedad privada), 25 (protección judicial) y 26 (derechos económicos, sociales y culturales)</w:t>
            </w:r>
            <w:r w:rsidRPr="00801460">
              <w:rPr>
                <w:rFonts w:asciiTheme="majorHAnsi" w:hAnsiTheme="majorHAnsi"/>
                <w:bCs/>
                <w:sz w:val="20"/>
                <w:szCs w:val="20"/>
                <w:lang w:val="es-PA"/>
              </w:rPr>
              <w:t xml:space="preserve"> de la Convención Americana</w:t>
            </w:r>
            <w:r w:rsidR="000673D0" w:rsidRPr="00801460">
              <w:rPr>
                <w:rFonts w:asciiTheme="majorHAnsi" w:hAnsiTheme="majorHAnsi"/>
                <w:bCs/>
                <w:sz w:val="20"/>
                <w:szCs w:val="20"/>
                <w:lang w:val="es-PA"/>
              </w:rPr>
              <w:t xml:space="preserve"> sobre Derechos Humano</w:t>
            </w:r>
            <w:r w:rsidR="00F940C0" w:rsidRPr="00801460">
              <w:rPr>
                <w:rFonts w:asciiTheme="majorHAnsi" w:hAnsiTheme="majorHAnsi"/>
                <w:bCs/>
                <w:sz w:val="20"/>
                <w:szCs w:val="20"/>
                <w:lang w:val="es-PA"/>
              </w:rPr>
              <w:t>s</w:t>
            </w:r>
            <w:r w:rsidR="000673D0" w:rsidRPr="00801460">
              <w:rPr>
                <w:rStyle w:val="FootnoteReference"/>
                <w:rFonts w:asciiTheme="majorHAnsi" w:hAnsiTheme="majorHAnsi"/>
                <w:bCs/>
                <w:sz w:val="20"/>
                <w:szCs w:val="20"/>
                <w:lang w:val="es-PA"/>
              </w:rPr>
              <w:footnoteReference w:id="2"/>
            </w:r>
            <w:r w:rsidR="00F940C0" w:rsidRPr="00801460">
              <w:rPr>
                <w:rFonts w:asciiTheme="majorHAnsi" w:hAnsiTheme="majorHAnsi"/>
                <w:bCs/>
                <w:sz w:val="20"/>
                <w:szCs w:val="20"/>
                <w:lang w:val="es-PA"/>
              </w:rPr>
              <w:t xml:space="preserve"> </w:t>
            </w:r>
            <w:r w:rsidR="000D1C57" w:rsidRPr="00801460">
              <w:rPr>
                <w:rFonts w:asciiTheme="majorHAnsi" w:hAnsiTheme="majorHAnsi"/>
                <w:bCs/>
                <w:sz w:val="20"/>
                <w:szCs w:val="20"/>
                <w:lang w:val="es-PA"/>
              </w:rPr>
              <w:t xml:space="preserve">en relación con sus artículos 1.1 (obligación de respetar los derechos) y </w:t>
            </w:r>
            <w:r w:rsidR="003B3325" w:rsidRPr="00801460">
              <w:rPr>
                <w:rFonts w:asciiTheme="majorHAnsi" w:hAnsiTheme="majorHAnsi"/>
                <w:bCs/>
                <w:sz w:val="20"/>
                <w:szCs w:val="20"/>
                <w:lang w:val="es-PA"/>
              </w:rPr>
              <w:t>(</w:t>
            </w:r>
            <w:r w:rsidR="000D1C57" w:rsidRPr="00801460">
              <w:rPr>
                <w:rFonts w:asciiTheme="majorHAnsi" w:hAnsiTheme="majorHAnsi"/>
                <w:bCs/>
                <w:sz w:val="20"/>
                <w:szCs w:val="20"/>
                <w:lang w:val="es-PA"/>
              </w:rPr>
              <w:t>2 deber de adoptar disposiciones de derecho interno)</w:t>
            </w:r>
          </w:p>
        </w:tc>
      </w:tr>
    </w:tbl>
    <w:p w14:paraId="3D195461" w14:textId="77777777" w:rsidR="000673D0" w:rsidRPr="00801460" w:rsidRDefault="000673D0" w:rsidP="000673D0">
      <w:pPr>
        <w:spacing w:before="240" w:after="240"/>
        <w:ind w:firstLine="720"/>
        <w:jc w:val="both"/>
        <w:rPr>
          <w:rFonts w:asciiTheme="majorHAnsi" w:hAnsiTheme="majorHAnsi"/>
          <w:b/>
          <w:bCs/>
          <w:sz w:val="20"/>
          <w:szCs w:val="20"/>
          <w:lang w:val="es-ES"/>
        </w:rPr>
      </w:pPr>
      <w:r w:rsidRPr="00801460">
        <w:rPr>
          <w:rFonts w:asciiTheme="majorHAnsi" w:hAnsiTheme="majorHAnsi"/>
          <w:b/>
          <w:bCs/>
          <w:sz w:val="20"/>
          <w:szCs w:val="20"/>
          <w:lang w:val="es-ES"/>
        </w:rPr>
        <w:t>II.</w:t>
      </w:r>
      <w:r w:rsidRPr="00801460">
        <w:rPr>
          <w:rFonts w:asciiTheme="majorHAnsi" w:hAnsiTheme="majorHAnsi"/>
          <w:b/>
          <w:bCs/>
          <w:sz w:val="20"/>
          <w:szCs w:val="20"/>
          <w:lang w:val="es-ES"/>
        </w:rPr>
        <w:tab/>
        <w:t>TRÁMITE ANTE LA CIDH</w:t>
      </w:r>
      <w:r w:rsidRPr="00801460">
        <w:rPr>
          <w:rStyle w:val="FootnoteReference"/>
          <w:rFonts w:asciiTheme="majorHAnsi" w:hAnsiTheme="majorHAnsi"/>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801460" w14:paraId="6D778EBA" w14:textId="77777777" w:rsidTr="00F50CCE">
        <w:tc>
          <w:tcPr>
            <w:tcW w:w="3600" w:type="dxa"/>
            <w:tcBorders>
              <w:top w:val="single" w:sz="6" w:space="0" w:color="auto"/>
              <w:bottom w:val="single" w:sz="6" w:space="0" w:color="auto"/>
            </w:tcBorders>
            <w:shd w:val="clear" w:color="auto" w:fill="386294"/>
            <w:vAlign w:val="center"/>
          </w:tcPr>
          <w:p w14:paraId="0FC6DF70" w14:textId="77777777" w:rsidR="000673D0" w:rsidRPr="00801460" w:rsidRDefault="000673D0" w:rsidP="00B46185">
            <w:pPr>
              <w:jc w:val="center"/>
              <w:rPr>
                <w:rFonts w:asciiTheme="majorHAnsi" w:hAnsiTheme="majorHAnsi"/>
                <w:b/>
                <w:bCs/>
                <w:color w:val="FFFFFF" w:themeColor="background1"/>
                <w:sz w:val="20"/>
                <w:szCs w:val="20"/>
                <w:lang w:val="es-ES"/>
              </w:rPr>
            </w:pPr>
            <w:r w:rsidRPr="00801460">
              <w:rPr>
                <w:rFonts w:asciiTheme="majorHAnsi" w:hAnsiTheme="majorHAnsi"/>
                <w:b/>
                <w:bCs/>
                <w:color w:val="FFFFFF" w:themeColor="background1"/>
                <w:sz w:val="20"/>
                <w:szCs w:val="20"/>
                <w:lang w:val="es-ES"/>
              </w:rPr>
              <w:t>Presentación de la petición:</w:t>
            </w:r>
          </w:p>
        </w:tc>
        <w:tc>
          <w:tcPr>
            <w:tcW w:w="5647" w:type="dxa"/>
            <w:vAlign w:val="center"/>
          </w:tcPr>
          <w:p w14:paraId="5B768921" w14:textId="47302809" w:rsidR="000673D0" w:rsidRPr="00801460" w:rsidRDefault="00D952F3" w:rsidP="006C3525">
            <w:pPr>
              <w:jc w:val="both"/>
              <w:rPr>
                <w:rFonts w:asciiTheme="majorHAnsi" w:hAnsiTheme="majorHAnsi"/>
                <w:bCs/>
                <w:sz w:val="20"/>
                <w:szCs w:val="20"/>
                <w:lang w:val="es-ES"/>
              </w:rPr>
            </w:pPr>
            <w:r w:rsidRPr="00801460">
              <w:rPr>
                <w:rFonts w:asciiTheme="majorHAnsi" w:hAnsiTheme="majorHAnsi"/>
                <w:bCs/>
                <w:sz w:val="20"/>
                <w:szCs w:val="20"/>
                <w:lang w:val="es-ES"/>
              </w:rPr>
              <w:t>20 de octubre de 2009</w:t>
            </w:r>
          </w:p>
        </w:tc>
      </w:tr>
      <w:tr w:rsidR="000673D0" w:rsidRPr="00801460" w14:paraId="5511A9CE" w14:textId="77777777" w:rsidTr="00F50CCE">
        <w:tc>
          <w:tcPr>
            <w:tcW w:w="3600" w:type="dxa"/>
            <w:tcBorders>
              <w:top w:val="single" w:sz="6" w:space="0" w:color="auto"/>
              <w:bottom w:val="single" w:sz="6" w:space="0" w:color="auto"/>
            </w:tcBorders>
            <w:shd w:val="clear" w:color="auto" w:fill="386294"/>
            <w:vAlign w:val="center"/>
          </w:tcPr>
          <w:p w14:paraId="1EAB6A50" w14:textId="77777777" w:rsidR="000673D0" w:rsidRPr="00801460" w:rsidRDefault="000673D0" w:rsidP="00B46185">
            <w:pPr>
              <w:jc w:val="center"/>
              <w:rPr>
                <w:rFonts w:asciiTheme="majorHAnsi" w:hAnsiTheme="majorHAnsi"/>
                <w:b/>
                <w:bCs/>
                <w:color w:val="FFFFFF" w:themeColor="background1"/>
                <w:sz w:val="20"/>
                <w:szCs w:val="20"/>
                <w:lang w:val="es-ES"/>
              </w:rPr>
            </w:pPr>
            <w:r w:rsidRPr="00801460">
              <w:rPr>
                <w:rFonts w:asciiTheme="majorHAnsi" w:hAnsiTheme="majorHAnsi"/>
                <w:b/>
                <w:color w:val="FFFFFF" w:themeColor="background1"/>
                <w:sz w:val="20"/>
                <w:szCs w:val="20"/>
                <w:lang w:val="es-ES"/>
              </w:rPr>
              <w:t>Notificación de la petición al Estado:</w:t>
            </w:r>
          </w:p>
        </w:tc>
        <w:tc>
          <w:tcPr>
            <w:tcW w:w="5647" w:type="dxa"/>
            <w:vAlign w:val="center"/>
          </w:tcPr>
          <w:p w14:paraId="311A328A" w14:textId="0FA60D0A" w:rsidR="000673D0" w:rsidRPr="00801460" w:rsidRDefault="00477016" w:rsidP="006C3525">
            <w:pPr>
              <w:jc w:val="both"/>
              <w:rPr>
                <w:rFonts w:asciiTheme="majorHAnsi" w:hAnsiTheme="majorHAnsi"/>
                <w:bCs/>
                <w:sz w:val="20"/>
                <w:szCs w:val="20"/>
                <w:lang w:val="es-ES"/>
              </w:rPr>
            </w:pPr>
            <w:r w:rsidRPr="00801460">
              <w:rPr>
                <w:rFonts w:asciiTheme="majorHAnsi" w:hAnsiTheme="majorHAnsi"/>
                <w:bCs/>
                <w:sz w:val="20"/>
                <w:szCs w:val="20"/>
                <w:lang w:val="es-ES"/>
              </w:rPr>
              <w:t>28 de mayo de 2014</w:t>
            </w:r>
          </w:p>
        </w:tc>
      </w:tr>
      <w:tr w:rsidR="000673D0" w:rsidRPr="00801460" w14:paraId="474D175D" w14:textId="77777777" w:rsidTr="00F50CCE">
        <w:tc>
          <w:tcPr>
            <w:tcW w:w="3600" w:type="dxa"/>
            <w:tcBorders>
              <w:top w:val="single" w:sz="6" w:space="0" w:color="auto"/>
              <w:bottom w:val="single" w:sz="6" w:space="0" w:color="auto"/>
            </w:tcBorders>
            <w:shd w:val="clear" w:color="auto" w:fill="386294"/>
            <w:vAlign w:val="center"/>
          </w:tcPr>
          <w:p w14:paraId="21AC1D3A" w14:textId="77777777" w:rsidR="000673D0" w:rsidRPr="00801460" w:rsidRDefault="000673D0" w:rsidP="00B46185">
            <w:pPr>
              <w:jc w:val="center"/>
              <w:rPr>
                <w:rFonts w:asciiTheme="majorHAnsi" w:hAnsiTheme="majorHAnsi"/>
                <w:b/>
                <w:bCs/>
                <w:color w:val="FFFFFF" w:themeColor="background1"/>
                <w:sz w:val="20"/>
                <w:szCs w:val="20"/>
                <w:lang w:val="es-ES"/>
              </w:rPr>
            </w:pPr>
            <w:r w:rsidRPr="00801460">
              <w:rPr>
                <w:rFonts w:asciiTheme="majorHAnsi" w:hAnsiTheme="majorHAnsi"/>
                <w:b/>
                <w:color w:val="FFFFFF" w:themeColor="background1"/>
                <w:sz w:val="20"/>
                <w:szCs w:val="20"/>
                <w:lang w:val="es-ES"/>
              </w:rPr>
              <w:t>Primera respuesta del Estado:</w:t>
            </w:r>
          </w:p>
        </w:tc>
        <w:tc>
          <w:tcPr>
            <w:tcW w:w="5647" w:type="dxa"/>
            <w:vAlign w:val="center"/>
          </w:tcPr>
          <w:p w14:paraId="62EA084B" w14:textId="706CA10E" w:rsidR="000673D0" w:rsidRPr="00801460" w:rsidRDefault="00D127B1" w:rsidP="006C3525">
            <w:pPr>
              <w:jc w:val="both"/>
              <w:rPr>
                <w:rFonts w:asciiTheme="majorHAnsi" w:hAnsiTheme="majorHAnsi"/>
                <w:bCs/>
                <w:sz w:val="20"/>
                <w:szCs w:val="20"/>
                <w:lang w:val="es-ES"/>
              </w:rPr>
            </w:pPr>
            <w:r w:rsidRPr="00801460">
              <w:rPr>
                <w:rFonts w:asciiTheme="majorHAnsi" w:hAnsiTheme="majorHAnsi"/>
                <w:bCs/>
                <w:sz w:val="20"/>
                <w:szCs w:val="20"/>
                <w:lang w:val="es-ES"/>
              </w:rPr>
              <w:t>30 de abril de 2015</w:t>
            </w:r>
          </w:p>
        </w:tc>
      </w:tr>
      <w:tr w:rsidR="00C96ED5" w:rsidRPr="00801460" w14:paraId="443185FF" w14:textId="77777777" w:rsidTr="00F50CCE">
        <w:tc>
          <w:tcPr>
            <w:tcW w:w="3600" w:type="dxa"/>
            <w:tcBorders>
              <w:top w:val="single" w:sz="6" w:space="0" w:color="auto"/>
              <w:bottom w:val="single" w:sz="6" w:space="0" w:color="auto"/>
            </w:tcBorders>
            <w:shd w:val="clear" w:color="auto" w:fill="386294"/>
            <w:vAlign w:val="center"/>
          </w:tcPr>
          <w:p w14:paraId="6F166166" w14:textId="067A1A3D" w:rsidR="00C96ED5" w:rsidRPr="00801460" w:rsidRDefault="00C96ED5" w:rsidP="00B46185">
            <w:pPr>
              <w:jc w:val="center"/>
              <w:rPr>
                <w:rFonts w:asciiTheme="majorHAnsi" w:hAnsiTheme="majorHAnsi"/>
                <w:b/>
                <w:color w:val="FFFFFF" w:themeColor="background1"/>
                <w:sz w:val="20"/>
                <w:szCs w:val="20"/>
                <w:lang w:val="es-ES"/>
              </w:rPr>
            </w:pPr>
            <w:r w:rsidRPr="00801460">
              <w:rPr>
                <w:rFonts w:asciiTheme="majorHAnsi" w:hAnsiTheme="majorHAnsi"/>
                <w:b/>
                <w:color w:val="FFFFFF" w:themeColor="background1"/>
                <w:sz w:val="20"/>
                <w:szCs w:val="20"/>
                <w:lang w:val="es-ES"/>
              </w:rPr>
              <w:t>Observaciones adicionales de la parte peticionaria:</w:t>
            </w:r>
          </w:p>
        </w:tc>
        <w:tc>
          <w:tcPr>
            <w:tcW w:w="5647" w:type="dxa"/>
            <w:vAlign w:val="center"/>
          </w:tcPr>
          <w:p w14:paraId="48A384FC" w14:textId="5C5757E6" w:rsidR="00C96ED5" w:rsidRPr="00801460" w:rsidRDefault="00C96ED5" w:rsidP="006C3525">
            <w:pPr>
              <w:jc w:val="both"/>
              <w:rPr>
                <w:rFonts w:asciiTheme="majorHAnsi" w:hAnsiTheme="majorHAnsi"/>
                <w:bCs/>
                <w:sz w:val="20"/>
                <w:szCs w:val="20"/>
                <w:lang w:val="es-ES"/>
              </w:rPr>
            </w:pPr>
            <w:r w:rsidRPr="00801460">
              <w:rPr>
                <w:rFonts w:asciiTheme="majorHAnsi" w:hAnsiTheme="majorHAnsi"/>
                <w:bCs/>
                <w:sz w:val="20"/>
                <w:szCs w:val="20"/>
                <w:lang w:val="es-ES"/>
              </w:rPr>
              <w:t>22 de julio de 2021</w:t>
            </w:r>
          </w:p>
        </w:tc>
      </w:tr>
      <w:tr w:rsidR="008C119E" w:rsidRPr="00801460" w14:paraId="15AC3B97" w14:textId="77777777" w:rsidTr="00F50CCE">
        <w:tc>
          <w:tcPr>
            <w:tcW w:w="3600" w:type="dxa"/>
            <w:tcBorders>
              <w:top w:val="single" w:sz="6" w:space="0" w:color="auto"/>
              <w:bottom w:val="single" w:sz="6" w:space="0" w:color="auto"/>
            </w:tcBorders>
            <w:shd w:val="clear" w:color="auto" w:fill="386294"/>
            <w:vAlign w:val="center"/>
          </w:tcPr>
          <w:p w14:paraId="0427D482" w14:textId="105BF85F" w:rsidR="008C119E" w:rsidRPr="00801460" w:rsidRDefault="008C119E" w:rsidP="00B46185">
            <w:pPr>
              <w:jc w:val="center"/>
              <w:rPr>
                <w:rFonts w:asciiTheme="majorHAnsi" w:hAnsiTheme="majorHAnsi"/>
                <w:b/>
                <w:bCs/>
                <w:color w:val="FFFFFF" w:themeColor="background1"/>
                <w:sz w:val="20"/>
                <w:szCs w:val="20"/>
                <w:lang w:val="es-ES"/>
              </w:rPr>
            </w:pPr>
            <w:r w:rsidRPr="00801460">
              <w:rPr>
                <w:rFonts w:asciiTheme="majorHAnsi" w:hAnsiTheme="majorHAnsi"/>
                <w:b/>
                <w:bCs/>
                <w:color w:val="FFFFFF" w:themeColor="background1"/>
                <w:sz w:val="20"/>
                <w:szCs w:val="20"/>
                <w:lang w:val="es-ES"/>
              </w:rPr>
              <w:t>Observaciones adicionales del Estado:</w:t>
            </w:r>
          </w:p>
        </w:tc>
        <w:tc>
          <w:tcPr>
            <w:tcW w:w="5647" w:type="dxa"/>
            <w:vAlign w:val="center"/>
          </w:tcPr>
          <w:p w14:paraId="07104178" w14:textId="5FE47E48" w:rsidR="008C119E" w:rsidRPr="00801460" w:rsidRDefault="00174AFF" w:rsidP="006C3525">
            <w:pPr>
              <w:jc w:val="both"/>
              <w:rPr>
                <w:rFonts w:asciiTheme="majorHAnsi" w:hAnsiTheme="majorHAnsi"/>
                <w:bCs/>
                <w:sz w:val="20"/>
                <w:szCs w:val="20"/>
                <w:lang w:val="es-ES"/>
              </w:rPr>
            </w:pPr>
            <w:r w:rsidRPr="00801460">
              <w:rPr>
                <w:rFonts w:asciiTheme="majorHAnsi" w:hAnsiTheme="majorHAnsi"/>
                <w:bCs/>
                <w:sz w:val="20"/>
                <w:szCs w:val="20"/>
                <w:lang w:val="es-ES"/>
              </w:rPr>
              <w:t>7 de diciembre de 2020</w:t>
            </w:r>
          </w:p>
        </w:tc>
      </w:tr>
      <w:tr w:rsidR="00174AFF" w:rsidRPr="00801460" w14:paraId="04BD9032" w14:textId="77777777" w:rsidTr="00F50CCE">
        <w:tc>
          <w:tcPr>
            <w:tcW w:w="3600" w:type="dxa"/>
            <w:tcBorders>
              <w:top w:val="single" w:sz="6" w:space="0" w:color="auto"/>
              <w:bottom w:val="single" w:sz="6" w:space="0" w:color="auto"/>
            </w:tcBorders>
            <w:shd w:val="clear" w:color="auto" w:fill="386294"/>
            <w:vAlign w:val="center"/>
          </w:tcPr>
          <w:p w14:paraId="18CE5D42" w14:textId="22E90D5D" w:rsidR="00174AFF" w:rsidRPr="00801460" w:rsidRDefault="00174AFF" w:rsidP="00B46185">
            <w:pPr>
              <w:jc w:val="center"/>
              <w:rPr>
                <w:rFonts w:asciiTheme="majorHAnsi" w:hAnsiTheme="majorHAnsi"/>
                <w:b/>
                <w:bCs/>
                <w:color w:val="FFFFFF" w:themeColor="background1"/>
                <w:sz w:val="20"/>
                <w:szCs w:val="20"/>
                <w:lang w:val="es-ES"/>
              </w:rPr>
            </w:pPr>
            <w:r w:rsidRPr="00801460">
              <w:rPr>
                <w:rFonts w:asciiTheme="majorHAnsi" w:hAnsiTheme="majorHAnsi"/>
                <w:b/>
                <w:bCs/>
                <w:color w:val="FFFFFF" w:themeColor="background1"/>
                <w:sz w:val="20"/>
                <w:szCs w:val="20"/>
                <w:lang w:val="es-ES"/>
              </w:rPr>
              <w:t>Advertencia de posible archivo:</w:t>
            </w:r>
          </w:p>
        </w:tc>
        <w:tc>
          <w:tcPr>
            <w:tcW w:w="5647" w:type="dxa"/>
            <w:vAlign w:val="center"/>
          </w:tcPr>
          <w:p w14:paraId="3FDC628D" w14:textId="5DC09446" w:rsidR="00174AFF" w:rsidRPr="00801460" w:rsidRDefault="00174AFF" w:rsidP="006C3525">
            <w:pPr>
              <w:jc w:val="both"/>
              <w:rPr>
                <w:rFonts w:asciiTheme="majorHAnsi" w:hAnsiTheme="majorHAnsi"/>
                <w:bCs/>
                <w:sz w:val="20"/>
                <w:szCs w:val="20"/>
                <w:lang w:val="es-ES"/>
              </w:rPr>
            </w:pPr>
            <w:r w:rsidRPr="00801460">
              <w:rPr>
                <w:rFonts w:asciiTheme="majorHAnsi" w:hAnsiTheme="majorHAnsi"/>
                <w:bCs/>
                <w:sz w:val="20"/>
                <w:szCs w:val="20"/>
                <w:lang w:val="es-ES"/>
              </w:rPr>
              <w:t>12 de mayo de 2021</w:t>
            </w:r>
          </w:p>
        </w:tc>
      </w:tr>
      <w:tr w:rsidR="00174AFF" w:rsidRPr="00801460" w14:paraId="7A99F3CF" w14:textId="77777777" w:rsidTr="00F50CCE">
        <w:tc>
          <w:tcPr>
            <w:tcW w:w="3600" w:type="dxa"/>
            <w:tcBorders>
              <w:top w:val="single" w:sz="6" w:space="0" w:color="auto"/>
              <w:bottom w:val="single" w:sz="6" w:space="0" w:color="auto"/>
            </w:tcBorders>
            <w:shd w:val="clear" w:color="auto" w:fill="386294"/>
            <w:vAlign w:val="center"/>
          </w:tcPr>
          <w:p w14:paraId="29E82A86" w14:textId="57EA3455" w:rsidR="00174AFF" w:rsidRPr="00801460" w:rsidRDefault="00174AFF" w:rsidP="00B46185">
            <w:pPr>
              <w:jc w:val="center"/>
              <w:rPr>
                <w:rFonts w:asciiTheme="majorHAnsi" w:hAnsiTheme="majorHAnsi"/>
                <w:b/>
                <w:bCs/>
                <w:color w:val="FFFFFF" w:themeColor="background1"/>
                <w:sz w:val="20"/>
                <w:szCs w:val="20"/>
                <w:lang w:val="es-ES"/>
              </w:rPr>
            </w:pPr>
            <w:r w:rsidRPr="00801460">
              <w:rPr>
                <w:rFonts w:asciiTheme="majorHAnsi" w:hAnsiTheme="majorHAnsi"/>
                <w:b/>
                <w:bCs/>
                <w:color w:val="FFFFFF" w:themeColor="background1"/>
                <w:sz w:val="20"/>
                <w:szCs w:val="20"/>
                <w:lang w:val="es-ES"/>
              </w:rPr>
              <w:t>Respuesta de la parte peticionaria ante la advertencia de posible archivo:</w:t>
            </w:r>
          </w:p>
        </w:tc>
        <w:tc>
          <w:tcPr>
            <w:tcW w:w="5647" w:type="dxa"/>
            <w:vAlign w:val="center"/>
          </w:tcPr>
          <w:p w14:paraId="4AB41BC3" w14:textId="4248A1C1" w:rsidR="00174AFF" w:rsidRPr="00801460" w:rsidRDefault="00174AFF" w:rsidP="006C3525">
            <w:pPr>
              <w:jc w:val="both"/>
              <w:rPr>
                <w:rFonts w:asciiTheme="majorHAnsi" w:hAnsiTheme="majorHAnsi"/>
                <w:bCs/>
                <w:sz w:val="20"/>
                <w:szCs w:val="20"/>
                <w:lang w:val="es-ES"/>
              </w:rPr>
            </w:pPr>
            <w:r w:rsidRPr="00801460">
              <w:rPr>
                <w:rFonts w:asciiTheme="majorHAnsi" w:hAnsiTheme="majorHAnsi"/>
                <w:bCs/>
                <w:sz w:val="20"/>
                <w:szCs w:val="20"/>
                <w:lang w:val="es-ES"/>
              </w:rPr>
              <w:t>22 de julio de 2021</w:t>
            </w:r>
          </w:p>
        </w:tc>
      </w:tr>
    </w:tbl>
    <w:p w14:paraId="738616C2" w14:textId="77777777" w:rsidR="000673D0" w:rsidRPr="00801460" w:rsidRDefault="000673D0" w:rsidP="000673D0">
      <w:pPr>
        <w:spacing w:before="240" w:after="240"/>
        <w:ind w:firstLine="720"/>
        <w:jc w:val="both"/>
        <w:rPr>
          <w:rFonts w:asciiTheme="majorHAnsi" w:hAnsiTheme="majorHAnsi"/>
          <w:b/>
          <w:bCs/>
          <w:sz w:val="20"/>
          <w:szCs w:val="20"/>
          <w:lang w:val="es-ES"/>
        </w:rPr>
      </w:pPr>
      <w:r w:rsidRPr="00801460">
        <w:rPr>
          <w:rFonts w:asciiTheme="majorHAnsi" w:hAnsiTheme="majorHAnsi"/>
          <w:b/>
          <w:bCs/>
          <w:sz w:val="20"/>
          <w:szCs w:val="20"/>
          <w:lang w:val="es-ES"/>
        </w:rPr>
        <w:t xml:space="preserve">III. </w:t>
      </w:r>
      <w:r w:rsidRPr="00801460">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801460"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801460" w:rsidRDefault="000673D0" w:rsidP="00B46185">
            <w:pPr>
              <w:jc w:val="center"/>
              <w:rPr>
                <w:rFonts w:asciiTheme="majorHAnsi" w:hAnsiTheme="majorHAnsi"/>
                <w:b/>
                <w:bCs/>
                <w:i/>
                <w:color w:val="FFFFFF" w:themeColor="background1"/>
                <w:sz w:val="20"/>
                <w:szCs w:val="20"/>
              </w:rPr>
            </w:pPr>
            <w:r w:rsidRPr="00801460">
              <w:rPr>
                <w:rFonts w:asciiTheme="majorHAnsi" w:hAnsiTheme="majorHAnsi"/>
                <w:b/>
                <w:bCs/>
                <w:color w:val="FFFFFF" w:themeColor="background1"/>
                <w:sz w:val="20"/>
                <w:szCs w:val="20"/>
              </w:rPr>
              <w:t>Competencia</w:t>
            </w:r>
            <w:r w:rsidRPr="00801460">
              <w:rPr>
                <w:rFonts w:asciiTheme="majorHAnsi" w:hAnsiTheme="majorHAnsi"/>
                <w:b/>
                <w:bCs/>
                <w:i/>
                <w:color w:val="FFFFFF" w:themeColor="background1"/>
                <w:sz w:val="20"/>
                <w:szCs w:val="20"/>
              </w:rPr>
              <w:t xml:space="preserve"> Ratione personae:</w:t>
            </w:r>
          </w:p>
        </w:tc>
        <w:tc>
          <w:tcPr>
            <w:tcW w:w="5760" w:type="dxa"/>
            <w:vAlign w:val="center"/>
          </w:tcPr>
          <w:p w14:paraId="55AEE8CD" w14:textId="77777777" w:rsidR="000673D0" w:rsidRPr="00801460" w:rsidRDefault="000673D0" w:rsidP="00B46185">
            <w:pPr>
              <w:rPr>
                <w:rFonts w:asciiTheme="majorHAnsi" w:hAnsiTheme="majorHAnsi"/>
                <w:bCs/>
                <w:sz w:val="20"/>
                <w:szCs w:val="20"/>
              </w:rPr>
            </w:pPr>
            <w:r w:rsidRPr="00801460">
              <w:rPr>
                <w:rFonts w:asciiTheme="majorHAnsi" w:hAnsiTheme="majorHAnsi"/>
                <w:bCs/>
                <w:sz w:val="20"/>
                <w:szCs w:val="20"/>
              </w:rPr>
              <w:t>Sí</w:t>
            </w:r>
          </w:p>
        </w:tc>
      </w:tr>
      <w:tr w:rsidR="000673D0" w:rsidRPr="00801460"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801460" w:rsidRDefault="000673D0" w:rsidP="00B46185">
            <w:pPr>
              <w:jc w:val="center"/>
              <w:rPr>
                <w:rFonts w:asciiTheme="majorHAnsi" w:hAnsiTheme="majorHAnsi"/>
                <w:b/>
                <w:bCs/>
                <w:color w:val="FFFFFF" w:themeColor="background1"/>
                <w:sz w:val="20"/>
                <w:szCs w:val="20"/>
              </w:rPr>
            </w:pPr>
            <w:r w:rsidRPr="00801460">
              <w:rPr>
                <w:rFonts w:asciiTheme="majorHAnsi" w:hAnsiTheme="majorHAnsi"/>
                <w:b/>
                <w:bCs/>
                <w:color w:val="FFFFFF" w:themeColor="background1"/>
                <w:sz w:val="20"/>
                <w:szCs w:val="20"/>
              </w:rPr>
              <w:t>Competencia</w:t>
            </w:r>
            <w:r w:rsidRPr="00801460">
              <w:rPr>
                <w:rFonts w:asciiTheme="majorHAnsi" w:hAnsiTheme="majorHAnsi"/>
                <w:b/>
                <w:bCs/>
                <w:i/>
                <w:color w:val="FFFFFF" w:themeColor="background1"/>
                <w:sz w:val="20"/>
                <w:szCs w:val="20"/>
              </w:rPr>
              <w:t xml:space="preserve"> Ratione loci</w:t>
            </w:r>
            <w:r w:rsidRPr="00801460">
              <w:rPr>
                <w:rFonts w:asciiTheme="majorHAnsi" w:hAnsiTheme="majorHAnsi"/>
                <w:b/>
                <w:bCs/>
                <w:color w:val="FFFFFF" w:themeColor="background1"/>
                <w:sz w:val="20"/>
                <w:szCs w:val="20"/>
              </w:rPr>
              <w:t>:</w:t>
            </w:r>
          </w:p>
        </w:tc>
        <w:tc>
          <w:tcPr>
            <w:tcW w:w="5760" w:type="dxa"/>
            <w:vAlign w:val="center"/>
          </w:tcPr>
          <w:p w14:paraId="77DDBD87" w14:textId="77777777" w:rsidR="000673D0" w:rsidRPr="00801460" w:rsidRDefault="000673D0" w:rsidP="00B46185">
            <w:pPr>
              <w:rPr>
                <w:rFonts w:asciiTheme="majorHAnsi" w:hAnsiTheme="majorHAnsi"/>
                <w:bCs/>
                <w:sz w:val="20"/>
                <w:szCs w:val="20"/>
              </w:rPr>
            </w:pPr>
            <w:r w:rsidRPr="00801460">
              <w:rPr>
                <w:rFonts w:asciiTheme="majorHAnsi" w:hAnsiTheme="majorHAnsi"/>
                <w:bCs/>
                <w:sz w:val="20"/>
                <w:szCs w:val="20"/>
              </w:rPr>
              <w:t>Sí</w:t>
            </w:r>
          </w:p>
        </w:tc>
      </w:tr>
      <w:tr w:rsidR="000673D0" w:rsidRPr="00801460"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801460" w:rsidRDefault="000673D0" w:rsidP="00B46185">
            <w:pPr>
              <w:jc w:val="center"/>
              <w:rPr>
                <w:rFonts w:asciiTheme="majorHAnsi" w:hAnsiTheme="majorHAnsi"/>
                <w:b/>
                <w:bCs/>
                <w:color w:val="FFFFFF" w:themeColor="background1"/>
                <w:sz w:val="20"/>
                <w:szCs w:val="20"/>
              </w:rPr>
            </w:pPr>
            <w:r w:rsidRPr="00801460">
              <w:rPr>
                <w:rFonts w:asciiTheme="majorHAnsi" w:hAnsiTheme="majorHAnsi"/>
                <w:b/>
                <w:bCs/>
                <w:color w:val="FFFFFF" w:themeColor="background1"/>
                <w:sz w:val="20"/>
                <w:szCs w:val="20"/>
              </w:rPr>
              <w:t>Competencia</w:t>
            </w:r>
            <w:r w:rsidRPr="00801460">
              <w:rPr>
                <w:rFonts w:asciiTheme="majorHAnsi" w:hAnsiTheme="majorHAnsi"/>
                <w:b/>
                <w:bCs/>
                <w:i/>
                <w:color w:val="FFFFFF" w:themeColor="background1"/>
                <w:sz w:val="20"/>
                <w:szCs w:val="20"/>
              </w:rPr>
              <w:t xml:space="preserve"> Ratione temporis</w:t>
            </w:r>
            <w:r w:rsidRPr="00801460">
              <w:rPr>
                <w:rFonts w:asciiTheme="majorHAnsi" w:hAnsiTheme="majorHAnsi"/>
                <w:b/>
                <w:bCs/>
                <w:color w:val="FFFFFF" w:themeColor="background1"/>
                <w:sz w:val="20"/>
                <w:szCs w:val="20"/>
              </w:rPr>
              <w:t>:</w:t>
            </w:r>
          </w:p>
        </w:tc>
        <w:tc>
          <w:tcPr>
            <w:tcW w:w="5760" w:type="dxa"/>
            <w:vAlign w:val="center"/>
          </w:tcPr>
          <w:p w14:paraId="76910945" w14:textId="01DD63C3" w:rsidR="000673D0" w:rsidRPr="00801460" w:rsidRDefault="000673D0" w:rsidP="009C6CB7">
            <w:pPr>
              <w:rPr>
                <w:rFonts w:asciiTheme="majorHAnsi" w:hAnsiTheme="majorHAnsi"/>
                <w:bCs/>
                <w:sz w:val="20"/>
                <w:szCs w:val="20"/>
                <w:lang w:val="es-PA"/>
              </w:rPr>
            </w:pPr>
            <w:r w:rsidRPr="00801460">
              <w:rPr>
                <w:rFonts w:asciiTheme="majorHAnsi" w:hAnsiTheme="majorHAnsi"/>
                <w:bCs/>
                <w:sz w:val="20"/>
                <w:szCs w:val="20"/>
                <w:lang w:val="es-PA"/>
              </w:rPr>
              <w:t>Sí</w:t>
            </w:r>
          </w:p>
        </w:tc>
      </w:tr>
      <w:tr w:rsidR="000673D0" w:rsidRPr="00375CA6"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801460" w:rsidRDefault="000673D0" w:rsidP="00B46185">
            <w:pPr>
              <w:jc w:val="center"/>
              <w:rPr>
                <w:rFonts w:asciiTheme="majorHAnsi" w:hAnsiTheme="majorHAnsi"/>
                <w:b/>
                <w:bCs/>
                <w:color w:val="FFFFFF" w:themeColor="background1"/>
                <w:sz w:val="20"/>
                <w:szCs w:val="20"/>
              </w:rPr>
            </w:pPr>
            <w:r w:rsidRPr="00801460">
              <w:rPr>
                <w:rFonts w:asciiTheme="majorHAnsi" w:hAnsiTheme="majorHAnsi"/>
                <w:b/>
                <w:bCs/>
                <w:color w:val="FFFFFF" w:themeColor="background1"/>
                <w:sz w:val="20"/>
                <w:szCs w:val="20"/>
              </w:rPr>
              <w:t>Competencia</w:t>
            </w:r>
            <w:r w:rsidRPr="00801460">
              <w:rPr>
                <w:rFonts w:asciiTheme="majorHAnsi" w:hAnsiTheme="majorHAnsi"/>
                <w:b/>
                <w:bCs/>
                <w:i/>
                <w:color w:val="FFFFFF" w:themeColor="background1"/>
                <w:sz w:val="20"/>
                <w:szCs w:val="20"/>
              </w:rPr>
              <w:t xml:space="preserve"> Ratione materiae</w:t>
            </w:r>
            <w:r w:rsidRPr="00801460">
              <w:rPr>
                <w:rFonts w:asciiTheme="majorHAnsi" w:hAnsiTheme="majorHAnsi"/>
                <w:b/>
                <w:bCs/>
                <w:color w:val="FFFFFF" w:themeColor="background1"/>
                <w:sz w:val="20"/>
                <w:szCs w:val="20"/>
              </w:rPr>
              <w:t>:</w:t>
            </w:r>
          </w:p>
        </w:tc>
        <w:tc>
          <w:tcPr>
            <w:tcW w:w="5760" w:type="dxa"/>
            <w:vAlign w:val="center"/>
          </w:tcPr>
          <w:p w14:paraId="6AB0A733" w14:textId="77777777" w:rsidR="000673D0" w:rsidRPr="00801460" w:rsidRDefault="000673D0" w:rsidP="00B46185">
            <w:pPr>
              <w:jc w:val="both"/>
              <w:rPr>
                <w:rFonts w:asciiTheme="majorHAnsi" w:hAnsiTheme="majorHAnsi"/>
                <w:bCs/>
                <w:sz w:val="20"/>
                <w:szCs w:val="20"/>
                <w:lang w:val="es-ES"/>
              </w:rPr>
            </w:pPr>
            <w:r w:rsidRPr="00801460">
              <w:rPr>
                <w:rFonts w:asciiTheme="majorHAnsi" w:hAnsiTheme="majorHAnsi"/>
                <w:bCs/>
                <w:sz w:val="20"/>
                <w:szCs w:val="20"/>
                <w:lang w:val="es-ES"/>
              </w:rPr>
              <w:t>Sí, Convención Americana (depósito del instrumento de ratificación realizado el 5 de septiembre de 1984)</w:t>
            </w:r>
          </w:p>
        </w:tc>
      </w:tr>
    </w:tbl>
    <w:p w14:paraId="46F3B92A" w14:textId="04B84A75" w:rsidR="000673D0" w:rsidRPr="00801460" w:rsidRDefault="000673D0" w:rsidP="000673D0">
      <w:pPr>
        <w:spacing w:before="240" w:after="240"/>
        <w:ind w:firstLine="720"/>
        <w:jc w:val="both"/>
        <w:rPr>
          <w:rFonts w:asciiTheme="majorHAnsi" w:hAnsiTheme="majorHAnsi"/>
          <w:b/>
          <w:bCs/>
          <w:sz w:val="20"/>
          <w:szCs w:val="20"/>
          <w:lang w:val="es-ES"/>
        </w:rPr>
      </w:pPr>
      <w:r w:rsidRPr="00801460">
        <w:rPr>
          <w:rFonts w:asciiTheme="majorHAnsi" w:hAnsiTheme="majorHAnsi"/>
          <w:b/>
          <w:bCs/>
          <w:sz w:val="20"/>
          <w:szCs w:val="20"/>
          <w:lang w:val="es-ES"/>
        </w:rPr>
        <w:t xml:space="preserve">IV. </w:t>
      </w:r>
      <w:r w:rsidRPr="00801460">
        <w:rPr>
          <w:rFonts w:asciiTheme="majorHAnsi" w:hAnsiTheme="majorHAnsi"/>
          <w:b/>
          <w:bCs/>
          <w:sz w:val="20"/>
          <w:szCs w:val="20"/>
          <w:lang w:val="es-ES"/>
        </w:rPr>
        <w:tab/>
        <w:t>DUPLICACIÓN</w:t>
      </w:r>
      <w:r w:rsidRPr="00801460">
        <w:rPr>
          <w:rFonts w:asciiTheme="majorHAnsi" w:hAnsiTheme="majorHAnsi"/>
          <w:b/>
          <w:bCs/>
          <w:color w:val="FFFFFF" w:themeColor="background1"/>
          <w:sz w:val="20"/>
          <w:szCs w:val="20"/>
          <w:lang w:val="es-ES"/>
        </w:rPr>
        <w:t xml:space="preserve"> </w:t>
      </w:r>
      <w:r w:rsidRPr="00801460">
        <w:rPr>
          <w:rFonts w:asciiTheme="majorHAnsi" w:hAnsiTheme="majorHAnsi"/>
          <w:b/>
          <w:bCs/>
          <w:sz w:val="20"/>
          <w:szCs w:val="20"/>
          <w:lang w:val="es-ES"/>
        </w:rPr>
        <w:t>DE PROCEDIMIENTOS Y COSA JUZGADA</w:t>
      </w:r>
      <w:r w:rsidR="005C0974" w:rsidRPr="00801460">
        <w:rPr>
          <w:rFonts w:asciiTheme="majorHAnsi" w:hAnsiTheme="majorHAnsi"/>
          <w:b/>
          <w:bCs/>
          <w:i/>
          <w:sz w:val="20"/>
          <w:szCs w:val="20"/>
          <w:lang w:val="es-ES"/>
        </w:rPr>
        <w:t xml:space="preserve"> </w:t>
      </w:r>
      <w:r w:rsidRPr="00801460">
        <w:rPr>
          <w:rFonts w:asciiTheme="majorHAnsi" w:hAnsiTheme="majorHAnsi"/>
          <w:b/>
          <w:bCs/>
          <w:sz w:val="20"/>
          <w:szCs w:val="20"/>
          <w:lang w:val="es-ES"/>
        </w:rPr>
        <w:t xml:space="preserve">INTERNACIONAL, CARACTERIZACIÓN, </w:t>
      </w:r>
      <w:r w:rsidRPr="0080146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375CA6"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801460" w:rsidRDefault="000673D0" w:rsidP="00B46185">
            <w:pPr>
              <w:jc w:val="center"/>
              <w:rPr>
                <w:rFonts w:asciiTheme="majorHAnsi" w:hAnsiTheme="majorHAnsi"/>
                <w:b/>
                <w:bCs/>
                <w:color w:val="FFFFFF" w:themeColor="background1"/>
                <w:sz w:val="20"/>
                <w:szCs w:val="20"/>
                <w:lang w:val="es-ES"/>
              </w:rPr>
            </w:pPr>
            <w:r w:rsidRPr="00801460">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2801941" w14:textId="110F8A5F" w:rsidR="000673D0" w:rsidRPr="00801460" w:rsidRDefault="00BB0D91" w:rsidP="00B46185">
            <w:pPr>
              <w:jc w:val="both"/>
              <w:rPr>
                <w:rFonts w:asciiTheme="majorHAnsi" w:hAnsiTheme="majorHAnsi"/>
                <w:bCs/>
                <w:sz w:val="20"/>
                <w:szCs w:val="20"/>
                <w:lang w:val="es-ES"/>
              </w:rPr>
            </w:pPr>
            <w:r w:rsidRPr="00801460">
              <w:rPr>
                <w:rFonts w:asciiTheme="majorHAnsi" w:hAnsiTheme="majorHAnsi"/>
                <w:bCs/>
                <w:sz w:val="20"/>
                <w:szCs w:val="20"/>
                <w:lang w:val="es-ES"/>
              </w:rPr>
              <w:t>Parcialmente en los términos de la Sección VI</w:t>
            </w:r>
          </w:p>
        </w:tc>
      </w:tr>
      <w:tr w:rsidR="000673D0" w:rsidRPr="00375CA6"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801460" w:rsidRDefault="000673D0" w:rsidP="00B46185">
            <w:pPr>
              <w:jc w:val="center"/>
              <w:rPr>
                <w:rFonts w:asciiTheme="majorHAnsi" w:hAnsiTheme="majorHAnsi"/>
                <w:b/>
                <w:bCs/>
                <w:i/>
                <w:color w:val="FFFFFF" w:themeColor="background1"/>
                <w:sz w:val="20"/>
                <w:szCs w:val="20"/>
              </w:rPr>
            </w:pPr>
            <w:r w:rsidRPr="00801460">
              <w:rPr>
                <w:rFonts w:asciiTheme="majorHAnsi" w:hAnsiTheme="majorHAnsi"/>
                <w:b/>
                <w:bCs/>
                <w:color w:val="FFFFFF" w:themeColor="background1"/>
                <w:sz w:val="20"/>
                <w:szCs w:val="20"/>
              </w:rPr>
              <w:t>Derechos declarados admisibles</w:t>
            </w:r>
            <w:r w:rsidRPr="00801460">
              <w:rPr>
                <w:rFonts w:asciiTheme="majorHAnsi" w:hAnsiTheme="majorHAnsi"/>
                <w:b/>
                <w:bCs/>
                <w:i/>
                <w:color w:val="FFFFFF" w:themeColor="background1"/>
                <w:sz w:val="20"/>
                <w:szCs w:val="20"/>
              </w:rPr>
              <w:t>:</w:t>
            </w:r>
          </w:p>
        </w:tc>
        <w:tc>
          <w:tcPr>
            <w:tcW w:w="5760" w:type="dxa"/>
            <w:vAlign w:val="center"/>
          </w:tcPr>
          <w:p w14:paraId="5EB169C6" w14:textId="77D63BDF" w:rsidR="000673D0" w:rsidRPr="00801460" w:rsidRDefault="00C72339" w:rsidP="009C6CB7">
            <w:pPr>
              <w:jc w:val="both"/>
              <w:rPr>
                <w:rFonts w:asciiTheme="majorHAnsi" w:hAnsiTheme="majorHAnsi"/>
                <w:bCs/>
                <w:sz w:val="20"/>
                <w:szCs w:val="20"/>
                <w:lang w:val="es-PA" w:eastAsia="es-ES"/>
              </w:rPr>
            </w:pPr>
            <w:r w:rsidRPr="00801460">
              <w:rPr>
                <w:rFonts w:asciiTheme="majorHAnsi" w:hAnsiTheme="majorHAnsi"/>
                <w:bCs/>
                <w:sz w:val="20"/>
                <w:szCs w:val="20"/>
                <w:lang w:val="es-ES" w:eastAsia="es-ES"/>
              </w:rPr>
              <w:t xml:space="preserve">Artículos </w:t>
            </w:r>
            <w:r w:rsidR="000D1C57" w:rsidRPr="00801460">
              <w:rPr>
                <w:rFonts w:asciiTheme="majorHAnsi" w:hAnsiTheme="majorHAnsi"/>
                <w:bCs/>
                <w:sz w:val="20"/>
                <w:szCs w:val="20"/>
                <w:lang w:val="es-ES" w:eastAsia="es-ES"/>
              </w:rPr>
              <w:t xml:space="preserve">8 </w:t>
            </w:r>
            <w:r w:rsidRPr="00801460">
              <w:rPr>
                <w:rFonts w:asciiTheme="majorHAnsi" w:hAnsiTheme="majorHAnsi"/>
                <w:bCs/>
                <w:sz w:val="20"/>
                <w:szCs w:val="20"/>
                <w:lang w:val="es-ES" w:eastAsia="es-ES"/>
              </w:rPr>
              <w:t>(garantías judiciales)</w:t>
            </w:r>
            <w:r w:rsidR="000D1C57" w:rsidRPr="00801460">
              <w:rPr>
                <w:rFonts w:asciiTheme="majorHAnsi" w:hAnsiTheme="majorHAnsi"/>
                <w:bCs/>
                <w:sz w:val="20"/>
                <w:szCs w:val="20"/>
                <w:lang w:val="es-ES" w:eastAsia="es-ES"/>
              </w:rPr>
              <w:t>, 21 (propiedad privada),</w:t>
            </w:r>
            <w:r w:rsidRPr="00801460">
              <w:rPr>
                <w:rFonts w:asciiTheme="majorHAnsi" w:hAnsiTheme="majorHAnsi"/>
                <w:bCs/>
                <w:sz w:val="20"/>
                <w:szCs w:val="20"/>
                <w:lang w:val="es-ES" w:eastAsia="es-ES"/>
              </w:rPr>
              <w:t xml:space="preserve"> 25 (protección judicial)</w:t>
            </w:r>
            <w:r w:rsidR="000D1C57" w:rsidRPr="00801460">
              <w:rPr>
                <w:rFonts w:asciiTheme="majorHAnsi" w:hAnsiTheme="majorHAnsi"/>
                <w:bCs/>
                <w:sz w:val="20"/>
                <w:szCs w:val="20"/>
                <w:lang w:val="es-ES" w:eastAsia="es-ES"/>
              </w:rPr>
              <w:t xml:space="preserve"> y 26 (derechos económicos, sociales y culturales)</w:t>
            </w:r>
            <w:r w:rsidRPr="00801460">
              <w:rPr>
                <w:rFonts w:asciiTheme="majorHAnsi" w:hAnsiTheme="majorHAnsi"/>
                <w:bCs/>
                <w:sz w:val="20"/>
                <w:szCs w:val="20"/>
                <w:lang w:val="es-ES" w:eastAsia="es-ES"/>
              </w:rPr>
              <w:t xml:space="preserve"> de la Convención Americana en relación con sus artículos 1.1. (obligación de respetar los derechos) y 2 (debe de adoptar disposiciones de derecho interno. </w:t>
            </w:r>
            <w:r w:rsidR="00874720" w:rsidRPr="00801460">
              <w:rPr>
                <w:rFonts w:asciiTheme="majorHAnsi" w:hAnsiTheme="majorHAnsi"/>
                <w:bCs/>
                <w:sz w:val="20"/>
                <w:szCs w:val="20"/>
                <w:lang w:val="es-PA" w:eastAsia="es-ES"/>
              </w:rPr>
              <w:t xml:space="preserve"> </w:t>
            </w:r>
          </w:p>
        </w:tc>
      </w:tr>
      <w:tr w:rsidR="000673D0" w:rsidRPr="00801460"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801460" w:rsidRDefault="000673D0" w:rsidP="00B46185">
            <w:pPr>
              <w:jc w:val="center"/>
              <w:rPr>
                <w:rFonts w:asciiTheme="majorHAnsi" w:hAnsiTheme="majorHAnsi"/>
                <w:b/>
                <w:bCs/>
                <w:color w:val="FFFFFF" w:themeColor="background1"/>
                <w:sz w:val="20"/>
                <w:szCs w:val="20"/>
                <w:lang w:val="es-ES"/>
              </w:rPr>
            </w:pPr>
            <w:r w:rsidRPr="00801460">
              <w:rPr>
                <w:rFonts w:asciiTheme="majorHAnsi" w:hAnsiTheme="majorHAnsi"/>
                <w:b/>
                <w:bCs/>
                <w:color w:val="FFFFFF" w:themeColor="background1"/>
                <w:sz w:val="20"/>
                <w:szCs w:val="20"/>
                <w:lang w:val="es-ES"/>
              </w:rPr>
              <w:t>Agotamiento de recursos internos o procedencia de una excepción:</w:t>
            </w:r>
          </w:p>
        </w:tc>
        <w:tc>
          <w:tcPr>
            <w:tcW w:w="5760" w:type="dxa"/>
            <w:vAlign w:val="center"/>
          </w:tcPr>
          <w:p w14:paraId="7B5A6AFC" w14:textId="71444B17" w:rsidR="000673D0" w:rsidRPr="00801460" w:rsidRDefault="000673D0" w:rsidP="00D06F66">
            <w:pPr>
              <w:rPr>
                <w:rFonts w:asciiTheme="majorHAnsi" w:hAnsiTheme="majorHAnsi"/>
                <w:bCs/>
                <w:sz w:val="20"/>
                <w:szCs w:val="20"/>
                <w:lang w:val="es-ES"/>
              </w:rPr>
            </w:pPr>
            <w:r w:rsidRPr="00801460">
              <w:rPr>
                <w:rFonts w:asciiTheme="majorHAnsi" w:hAnsiTheme="majorHAnsi"/>
                <w:bCs/>
                <w:sz w:val="20"/>
                <w:szCs w:val="20"/>
                <w:lang w:val="es-ES"/>
              </w:rPr>
              <w:t xml:space="preserve">Sí, </w:t>
            </w:r>
            <w:r w:rsidR="00BB0D91" w:rsidRPr="00801460">
              <w:rPr>
                <w:rFonts w:asciiTheme="majorHAnsi" w:hAnsiTheme="majorHAnsi"/>
                <w:bCs/>
                <w:sz w:val="20"/>
                <w:szCs w:val="20"/>
                <w:lang w:val="es-ES"/>
              </w:rPr>
              <w:t>28 de abril de 2009</w:t>
            </w:r>
          </w:p>
        </w:tc>
      </w:tr>
      <w:tr w:rsidR="000673D0" w:rsidRPr="00801460"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801460" w:rsidRDefault="000673D0" w:rsidP="00B46185">
            <w:pPr>
              <w:jc w:val="center"/>
              <w:rPr>
                <w:rFonts w:asciiTheme="majorHAnsi" w:hAnsiTheme="majorHAnsi"/>
                <w:b/>
                <w:bCs/>
                <w:color w:val="FFFFFF" w:themeColor="background1"/>
                <w:sz w:val="20"/>
                <w:szCs w:val="20"/>
              </w:rPr>
            </w:pPr>
            <w:r w:rsidRPr="00801460">
              <w:rPr>
                <w:rFonts w:asciiTheme="majorHAnsi" w:hAnsiTheme="majorHAnsi"/>
                <w:b/>
                <w:bCs/>
                <w:color w:val="FFFFFF" w:themeColor="background1"/>
                <w:sz w:val="20"/>
                <w:szCs w:val="20"/>
                <w:lang w:val="es-PA"/>
              </w:rPr>
              <w:t>Presentación dentro de plaz</w:t>
            </w:r>
            <w:r w:rsidRPr="00801460">
              <w:rPr>
                <w:rFonts w:asciiTheme="majorHAnsi" w:hAnsiTheme="majorHAnsi"/>
                <w:b/>
                <w:bCs/>
                <w:color w:val="FFFFFF" w:themeColor="background1"/>
                <w:sz w:val="20"/>
                <w:szCs w:val="20"/>
              </w:rPr>
              <w:t>o:</w:t>
            </w:r>
          </w:p>
        </w:tc>
        <w:tc>
          <w:tcPr>
            <w:tcW w:w="5760" w:type="dxa"/>
            <w:vAlign w:val="center"/>
          </w:tcPr>
          <w:p w14:paraId="6D2FF784" w14:textId="75EFBE43" w:rsidR="000673D0" w:rsidRPr="00801460" w:rsidRDefault="00D06F66" w:rsidP="00D06F66">
            <w:pPr>
              <w:rPr>
                <w:rFonts w:asciiTheme="majorHAnsi" w:hAnsiTheme="majorHAnsi"/>
                <w:bCs/>
                <w:sz w:val="20"/>
                <w:szCs w:val="20"/>
                <w:lang w:val="es-PA"/>
              </w:rPr>
            </w:pPr>
            <w:r w:rsidRPr="00801460">
              <w:rPr>
                <w:rFonts w:asciiTheme="majorHAnsi" w:hAnsiTheme="majorHAnsi"/>
                <w:bCs/>
                <w:sz w:val="20"/>
                <w:szCs w:val="20"/>
                <w:lang w:val="es-PA"/>
              </w:rPr>
              <w:t>Sí</w:t>
            </w:r>
          </w:p>
        </w:tc>
      </w:tr>
    </w:tbl>
    <w:p w14:paraId="45289755" w14:textId="77777777" w:rsidR="00840AE8" w:rsidRDefault="00840AE8" w:rsidP="004217A5">
      <w:pPr>
        <w:ind w:firstLine="720"/>
        <w:jc w:val="both"/>
        <w:rPr>
          <w:rFonts w:asciiTheme="majorHAnsi" w:hAnsiTheme="majorHAnsi"/>
          <w:b/>
          <w:sz w:val="20"/>
          <w:szCs w:val="20"/>
          <w:lang w:val="es-UY"/>
        </w:rPr>
      </w:pPr>
    </w:p>
    <w:p w14:paraId="6E064340" w14:textId="77777777" w:rsidR="00801460" w:rsidRDefault="00801460" w:rsidP="004217A5">
      <w:pPr>
        <w:ind w:firstLine="720"/>
        <w:jc w:val="both"/>
        <w:rPr>
          <w:rFonts w:asciiTheme="majorHAnsi" w:hAnsiTheme="majorHAnsi"/>
          <w:b/>
          <w:sz w:val="20"/>
          <w:szCs w:val="20"/>
          <w:lang w:val="es-UY"/>
        </w:rPr>
      </w:pPr>
    </w:p>
    <w:p w14:paraId="4C52678F" w14:textId="77777777" w:rsidR="00801460" w:rsidRDefault="00801460" w:rsidP="004217A5">
      <w:pPr>
        <w:ind w:firstLine="720"/>
        <w:jc w:val="both"/>
        <w:rPr>
          <w:rFonts w:asciiTheme="majorHAnsi" w:hAnsiTheme="majorHAnsi"/>
          <w:b/>
          <w:sz w:val="20"/>
          <w:szCs w:val="20"/>
          <w:lang w:val="es-UY"/>
        </w:rPr>
      </w:pPr>
    </w:p>
    <w:p w14:paraId="2A429CDF" w14:textId="77777777" w:rsidR="00801460" w:rsidRDefault="00801460" w:rsidP="004217A5">
      <w:pPr>
        <w:ind w:firstLine="720"/>
        <w:jc w:val="both"/>
        <w:rPr>
          <w:rFonts w:asciiTheme="majorHAnsi" w:hAnsiTheme="majorHAnsi"/>
          <w:b/>
          <w:sz w:val="20"/>
          <w:szCs w:val="20"/>
          <w:lang w:val="es-UY"/>
        </w:rPr>
      </w:pPr>
    </w:p>
    <w:p w14:paraId="18E6423B" w14:textId="105BBBDC" w:rsidR="003239B8" w:rsidRPr="006910D9" w:rsidRDefault="00223A29" w:rsidP="004217A5">
      <w:pPr>
        <w:ind w:firstLine="720"/>
        <w:jc w:val="both"/>
        <w:rPr>
          <w:rFonts w:asciiTheme="majorHAnsi" w:hAnsiTheme="majorHAnsi"/>
          <w:b/>
          <w:sz w:val="20"/>
          <w:szCs w:val="20"/>
          <w:lang w:val="es-ES_tradnl"/>
        </w:rPr>
      </w:pPr>
      <w:r w:rsidRPr="006910D9">
        <w:rPr>
          <w:rFonts w:asciiTheme="majorHAnsi" w:hAnsiTheme="majorHAnsi"/>
          <w:b/>
          <w:sz w:val="20"/>
          <w:szCs w:val="20"/>
          <w:lang w:val="es-ES_tradnl"/>
        </w:rPr>
        <w:lastRenderedPageBreak/>
        <w:t xml:space="preserve">V. </w:t>
      </w:r>
      <w:r w:rsidRPr="006910D9">
        <w:rPr>
          <w:rFonts w:asciiTheme="majorHAnsi" w:hAnsiTheme="majorHAnsi"/>
          <w:b/>
          <w:sz w:val="20"/>
          <w:szCs w:val="20"/>
          <w:lang w:val="es-ES_tradnl"/>
        </w:rPr>
        <w:tab/>
      </w:r>
      <w:r w:rsidR="001838D3" w:rsidRPr="006910D9">
        <w:rPr>
          <w:rFonts w:asciiTheme="majorHAnsi" w:hAnsiTheme="majorHAnsi"/>
          <w:b/>
          <w:sz w:val="20"/>
          <w:szCs w:val="20"/>
          <w:lang w:val="es-ES_tradnl"/>
        </w:rPr>
        <w:t>POSICIÓN DE LAS PARTES</w:t>
      </w:r>
      <w:r w:rsidR="003239B8" w:rsidRPr="006910D9">
        <w:rPr>
          <w:rFonts w:asciiTheme="majorHAnsi" w:hAnsiTheme="majorHAnsi"/>
          <w:b/>
          <w:sz w:val="20"/>
          <w:szCs w:val="20"/>
          <w:lang w:val="es-ES_tradnl"/>
        </w:rPr>
        <w:t xml:space="preserve"> </w:t>
      </w:r>
    </w:p>
    <w:p w14:paraId="2E1705C0" w14:textId="77777777" w:rsidR="00840AE8" w:rsidRPr="006910D9"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2CE21C2" w14:textId="423CBB63" w:rsidR="00465FFA" w:rsidRPr="006910D9" w:rsidRDefault="00725B0E"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bCs/>
          <w:color w:val="000000"/>
          <w:sz w:val="20"/>
          <w:szCs w:val="20"/>
          <w:u w:color="000000"/>
          <w:lang w:val="es-ES_tradnl" w:eastAsia="es-ES"/>
        </w:rPr>
      </w:pPr>
      <w:r w:rsidRPr="006910D9">
        <w:rPr>
          <w:rFonts w:asciiTheme="majorHAnsi" w:hAnsiTheme="majorHAnsi"/>
          <w:bCs/>
          <w:sz w:val="20"/>
          <w:szCs w:val="20"/>
          <w:lang w:val="es-ES_tradnl"/>
        </w:rPr>
        <w:t xml:space="preserve"> </w:t>
      </w:r>
      <w:r w:rsidR="00465FFA" w:rsidRPr="006910D9">
        <w:rPr>
          <w:rFonts w:asciiTheme="majorHAnsi" w:hAnsiTheme="majorHAnsi"/>
          <w:sz w:val="20"/>
          <w:szCs w:val="20"/>
          <w:lang w:val="es-ES_tradnl"/>
        </w:rPr>
        <w:t xml:space="preserve">La petición denuncia que las presuntas víctimas sufrieron una reducción </w:t>
      </w:r>
      <w:r w:rsidR="002E24E5" w:rsidRPr="006910D9">
        <w:rPr>
          <w:rFonts w:asciiTheme="majorHAnsi" w:hAnsiTheme="majorHAnsi"/>
          <w:sz w:val="20"/>
          <w:szCs w:val="20"/>
          <w:lang w:val="es-ES_tradnl"/>
        </w:rPr>
        <w:t>irrazonable</w:t>
      </w:r>
      <w:r w:rsidR="00465FFA" w:rsidRPr="006910D9">
        <w:rPr>
          <w:rFonts w:asciiTheme="majorHAnsi" w:hAnsiTheme="majorHAnsi"/>
          <w:sz w:val="20"/>
          <w:szCs w:val="20"/>
          <w:lang w:val="es-ES_tradnl"/>
        </w:rPr>
        <w:t xml:space="preserve"> y desproporcionada de un beneficio previsional </w:t>
      </w:r>
      <w:r w:rsidR="001D54B7" w:rsidRPr="006910D9">
        <w:rPr>
          <w:rFonts w:asciiTheme="majorHAnsi" w:hAnsiTheme="majorHAnsi"/>
          <w:sz w:val="20"/>
          <w:szCs w:val="20"/>
          <w:lang w:val="es-ES_tradnl"/>
        </w:rPr>
        <w:t>del cual se habían hecho acreedoras</w:t>
      </w:r>
      <w:r w:rsidR="00465FFA" w:rsidRPr="006910D9">
        <w:rPr>
          <w:rFonts w:asciiTheme="majorHAnsi" w:hAnsiTheme="majorHAnsi"/>
          <w:sz w:val="20"/>
          <w:szCs w:val="20"/>
          <w:lang w:val="es-ES_tradnl"/>
        </w:rPr>
        <w:t xml:space="preserve"> por razón de sus aportes, y que tenía naturaleza de derecho adquirido.</w:t>
      </w:r>
      <w:r w:rsidR="00BF727A" w:rsidRPr="006910D9">
        <w:rPr>
          <w:rFonts w:asciiTheme="majorHAnsi" w:hAnsiTheme="majorHAnsi"/>
          <w:sz w:val="20"/>
          <w:szCs w:val="20"/>
          <w:lang w:val="es-ES_tradnl"/>
        </w:rPr>
        <w:t xml:space="preserve"> </w:t>
      </w:r>
    </w:p>
    <w:p w14:paraId="0D436EA2" w14:textId="77777777" w:rsidR="00465FFA" w:rsidRPr="006910D9" w:rsidRDefault="00465FFA" w:rsidP="00465FF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Cambria"/>
          <w:b/>
          <w:bCs/>
          <w:color w:val="000000"/>
          <w:sz w:val="20"/>
          <w:szCs w:val="20"/>
          <w:u w:color="000000"/>
          <w:lang w:val="es-ES_tradnl" w:eastAsia="es-ES"/>
        </w:rPr>
      </w:pPr>
    </w:p>
    <w:p w14:paraId="7D661379" w14:textId="5DAB9179" w:rsidR="00F20330" w:rsidRPr="006910D9" w:rsidRDefault="001A2721"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Según relata la petición, </w:t>
      </w:r>
      <w:r w:rsidR="00FD1E19" w:rsidRPr="006910D9">
        <w:rPr>
          <w:rFonts w:asciiTheme="majorHAnsi" w:hAnsiTheme="majorHAnsi"/>
          <w:sz w:val="20"/>
          <w:szCs w:val="20"/>
          <w:lang w:val="es-ES_tradnl"/>
        </w:rPr>
        <w:t xml:space="preserve">las presuntas víctimas laboraron para </w:t>
      </w:r>
      <w:r w:rsidR="00386152" w:rsidRPr="006910D9">
        <w:rPr>
          <w:rFonts w:asciiTheme="majorHAnsi" w:hAnsiTheme="majorHAnsi"/>
          <w:sz w:val="20"/>
          <w:szCs w:val="20"/>
          <w:lang w:val="es-ES_tradnl"/>
        </w:rPr>
        <w:t>el Banco Hipotecario Nacional</w:t>
      </w:r>
      <w:r w:rsidR="00C04908" w:rsidRPr="006910D9">
        <w:rPr>
          <w:rFonts w:asciiTheme="majorHAnsi" w:hAnsiTheme="majorHAnsi"/>
          <w:sz w:val="20"/>
          <w:szCs w:val="20"/>
          <w:lang w:val="es-ES_tradnl"/>
        </w:rPr>
        <w:t xml:space="preserve"> (en adelante “el Banco”). En 1987</w:t>
      </w:r>
      <w:r w:rsidR="00A762A5" w:rsidRPr="006910D9">
        <w:rPr>
          <w:rFonts w:asciiTheme="majorHAnsi" w:hAnsiTheme="majorHAnsi"/>
          <w:sz w:val="20"/>
          <w:szCs w:val="20"/>
          <w:lang w:val="es-ES_tradnl"/>
        </w:rPr>
        <w:t xml:space="preserve"> el Banco</w:t>
      </w:r>
      <w:r w:rsidR="00C04908" w:rsidRPr="006910D9">
        <w:rPr>
          <w:rFonts w:asciiTheme="majorHAnsi" w:hAnsiTheme="majorHAnsi"/>
          <w:sz w:val="20"/>
          <w:szCs w:val="20"/>
          <w:lang w:val="es-ES_tradnl"/>
        </w:rPr>
        <w:t xml:space="preserve"> dictó un régimen intitulado “Complemento Móvil de Jubilaciones” según el cual </w:t>
      </w:r>
      <w:r w:rsidR="006D79E2" w:rsidRPr="006910D9">
        <w:rPr>
          <w:rFonts w:asciiTheme="majorHAnsi" w:hAnsiTheme="majorHAnsi"/>
          <w:sz w:val="20"/>
          <w:szCs w:val="20"/>
          <w:lang w:val="es-ES_tradnl"/>
        </w:rPr>
        <w:t xml:space="preserve">los empleados </w:t>
      </w:r>
      <w:r w:rsidR="00C04908" w:rsidRPr="006910D9">
        <w:rPr>
          <w:rFonts w:asciiTheme="majorHAnsi" w:hAnsiTheme="majorHAnsi"/>
          <w:sz w:val="20"/>
          <w:szCs w:val="20"/>
          <w:lang w:val="es-ES_tradnl"/>
        </w:rPr>
        <w:t xml:space="preserve">del Banco que se retiraran para acogerse a la jubilación ordinaria </w:t>
      </w:r>
      <w:r w:rsidR="00A762A5" w:rsidRPr="006910D9">
        <w:rPr>
          <w:rFonts w:asciiTheme="majorHAnsi" w:hAnsiTheme="majorHAnsi"/>
          <w:sz w:val="20"/>
          <w:szCs w:val="20"/>
          <w:lang w:val="es-ES_tradnl"/>
        </w:rPr>
        <w:t xml:space="preserve">recibirían el pago mensual de la diferencia (hasta llegar al 82%) entre el haber jubilatorio que les otorgaba la caja Previsional y el monto del sueldo actualizado correspondiente a la categoría que la persona hubiera revistado durante los últimos </w:t>
      </w:r>
      <w:r w:rsidR="00DF020D" w:rsidRPr="006910D9">
        <w:rPr>
          <w:rFonts w:asciiTheme="majorHAnsi" w:hAnsiTheme="majorHAnsi"/>
          <w:sz w:val="20"/>
          <w:szCs w:val="20"/>
          <w:lang w:val="es-ES_tradnl"/>
        </w:rPr>
        <w:t>seis</w:t>
      </w:r>
      <w:r w:rsidR="00A762A5" w:rsidRPr="006910D9">
        <w:rPr>
          <w:rFonts w:asciiTheme="majorHAnsi" w:hAnsiTheme="majorHAnsi"/>
          <w:sz w:val="20"/>
          <w:szCs w:val="20"/>
          <w:lang w:val="es-ES_tradnl"/>
        </w:rPr>
        <w:t xml:space="preserve"> meses de su vida activa en el Banco.</w:t>
      </w:r>
      <w:r w:rsidR="00F23C40" w:rsidRPr="006910D9">
        <w:rPr>
          <w:rFonts w:asciiTheme="majorHAnsi" w:hAnsiTheme="majorHAnsi"/>
          <w:sz w:val="20"/>
          <w:szCs w:val="20"/>
          <w:lang w:val="es-ES_tradnl"/>
        </w:rPr>
        <w:t xml:space="preserve"> Las presuntas víctimas adquirieron derecho al </w:t>
      </w:r>
      <w:r w:rsidR="003C3C48" w:rsidRPr="006910D9">
        <w:rPr>
          <w:rFonts w:asciiTheme="majorHAnsi" w:hAnsiTheme="majorHAnsi"/>
          <w:sz w:val="20"/>
          <w:szCs w:val="20"/>
          <w:lang w:val="es-ES_tradnl"/>
        </w:rPr>
        <w:t>referido complemento</w:t>
      </w:r>
      <w:r w:rsidR="00F23C40" w:rsidRPr="006910D9">
        <w:rPr>
          <w:rFonts w:asciiTheme="majorHAnsi" w:hAnsiTheme="majorHAnsi"/>
          <w:sz w:val="20"/>
          <w:szCs w:val="20"/>
          <w:lang w:val="es-ES_tradnl"/>
        </w:rPr>
        <w:t xml:space="preserve"> por razón de </w:t>
      </w:r>
      <w:r w:rsidR="003C3C48" w:rsidRPr="006910D9">
        <w:rPr>
          <w:rFonts w:asciiTheme="majorHAnsi" w:hAnsiTheme="majorHAnsi"/>
          <w:sz w:val="20"/>
          <w:szCs w:val="20"/>
          <w:lang w:val="es-ES_tradnl"/>
        </w:rPr>
        <w:t xml:space="preserve">aportes </w:t>
      </w:r>
      <w:r w:rsidR="000812BB" w:rsidRPr="006910D9">
        <w:rPr>
          <w:rFonts w:asciiTheme="majorHAnsi" w:hAnsiTheme="majorHAnsi"/>
          <w:sz w:val="20"/>
          <w:szCs w:val="20"/>
          <w:lang w:val="es-ES_tradnl"/>
        </w:rPr>
        <w:t>que el Banco les retenía de sus remuneraciones mensuales mientras trabajaban para él.</w:t>
      </w:r>
    </w:p>
    <w:p w14:paraId="414C1242" w14:textId="77777777" w:rsidR="003C3C48" w:rsidRPr="006910D9" w:rsidRDefault="003C3C48" w:rsidP="003C3C48">
      <w:pPr>
        <w:pStyle w:val="ListParagraph"/>
        <w:rPr>
          <w:rFonts w:asciiTheme="majorHAnsi" w:hAnsiTheme="majorHAnsi"/>
          <w:sz w:val="20"/>
          <w:szCs w:val="20"/>
          <w:lang w:val="es-ES_tradnl"/>
        </w:rPr>
      </w:pPr>
    </w:p>
    <w:p w14:paraId="4BAB576B" w14:textId="69A28F4B" w:rsidR="00A30DF6" w:rsidRPr="006910D9" w:rsidRDefault="000812BB"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Conforme continúa el relato, el 23 de mayo de 1990 cuando las presuntas víctimas ya se encontraban jubiladas, </w:t>
      </w:r>
      <w:r w:rsidR="00445A0D" w:rsidRPr="006910D9">
        <w:rPr>
          <w:rFonts w:asciiTheme="majorHAnsi" w:hAnsiTheme="majorHAnsi"/>
          <w:sz w:val="20"/>
          <w:szCs w:val="20"/>
          <w:lang w:val="es-ES_tradnl"/>
        </w:rPr>
        <w:t>el Banco fue intervenido procediendo la parte interventora a dictar</w:t>
      </w:r>
      <w:r w:rsidR="00BC33CD" w:rsidRPr="006910D9">
        <w:rPr>
          <w:rFonts w:asciiTheme="majorHAnsi" w:hAnsiTheme="majorHAnsi"/>
          <w:sz w:val="20"/>
          <w:szCs w:val="20"/>
          <w:lang w:val="es-ES_tradnl"/>
        </w:rPr>
        <w:t xml:space="preserve"> sin consulta previa</w:t>
      </w:r>
      <w:r w:rsidR="00445A0D" w:rsidRPr="006910D9">
        <w:rPr>
          <w:rFonts w:asciiTheme="majorHAnsi" w:hAnsiTheme="majorHAnsi"/>
          <w:sz w:val="20"/>
          <w:szCs w:val="20"/>
          <w:lang w:val="es-ES_tradnl"/>
        </w:rPr>
        <w:t xml:space="preserve"> una resolución mediante la que se redujo el monto del beneficio complementario que habían adquirido del 82% original a solo un 30%</w:t>
      </w:r>
      <w:r w:rsidR="00BC33CD" w:rsidRPr="006910D9">
        <w:rPr>
          <w:rFonts w:asciiTheme="majorHAnsi" w:hAnsiTheme="majorHAnsi"/>
          <w:sz w:val="20"/>
          <w:szCs w:val="20"/>
          <w:lang w:val="es-ES_tradnl"/>
        </w:rPr>
        <w:t xml:space="preserve">. </w:t>
      </w:r>
      <w:r w:rsidR="002A4312" w:rsidRPr="006910D9">
        <w:rPr>
          <w:rFonts w:asciiTheme="majorHAnsi" w:hAnsiTheme="majorHAnsi"/>
          <w:sz w:val="20"/>
          <w:szCs w:val="20"/>
          <w:lang w:val="es-ES_tradnl"/>
        </w:rPr>
        <w:t>La parte peticionaria considera que la referida resolución violó el artículo 21 de la Convención Americana en perjuicio de las presuntas víctimas al restringirles</w:t>
      </w:r>
      <w:r w:rsidR="009F16CE" w:rsidRPr="006910D9">
        <w:rPr>
          <w:rFonts w:asciiTheme="majorHAnsi" w:hAnsiTheme="majorHAnsi"/>
          <w:sz w:val="20"/>
          <w:szCs w:val="20"/>
          <w:lang w:val="es-ES_tradnl"/>
        </w:rPr>
        <w:t xml:space="preserve"> desproporcionadamente</w:t>
      </w:r>
      <w:r w:rsidR="002A4312" w:rsidRPr="006910D9">
        <w:rPr>
          <w:rFonts w:asciiTheme="majorHAnsi" w:hAnsiTheme="majorHAnsi"/>
          <w:sz w:val="20"/>
          <w:szCs w:val="20"/>
          <w:lang w:val="es-ES_tradnl"/>
        </w:rPr>
        <w:t xml:space="preserve"> un derecho que ya tenía el carácter de adquirido conforme a la jurisprudencia doméstic</w:t>
      </w:r>
      <w:r w:rsidR="00D23167" w:rsidRPr="006910D9">
        <w:rPr>
          <w:rFonts w:asciiTheme="majorHAnsi" w:hAnsiTheme="majorHAnsi"/>
          <w:sz w:val="20"/>
          <w:szCs w:val="20"/>
          <w:lang w:val="es-ES_tradnl"/>
        </w:rPr>
        <w:t xml:space="preserve">a. </w:t>
      </w:r>
      <w:r w:rsidR="009F16CE" w:rsidRPr="006910D9">
        <w:rPr>
          <w:rFonts w:asciiTheme="majorHAnsi" w:hAnsiTheme="majorHAnsi"/>
          <w:sz w:val="20"/>
          <w:szCs w:val="20"/>
          <w:lang w:val="es-ES_tradnl"/>
        </w:rPr>
        <w:t xml:space="preserve">De igual forma, la parte peticionaria </w:t>
      </w:r>
      <w:r w:rsidR="00374380" w:rsidRPr="006910D9">
        <w:rPr>
          <w:rFonts w:asciiTheme="majorHAnsi" w:hAnsiTheme="majorHAnsi"/>
          <w:sz w:val="20"/>
          <w:szCs w:val="20"/>
          <w:lang w:val="es-ES_tradnl"/>
        </w:rPr>
        <w:t>argumenta</w:t>
      </w:r>
      <w:r w:rsidR="009F16CE" w:rsidRPr="006910D9">
        <w:rPr>
          <w:rFonts w:asciiTheme="majorHAnsi" w:hAnsiTheme="majorHAnsi"/>
          <w:sz w:val="20"/>
          <w:szCs w:val="20"/>
          <w:lang w:val="es-ES_tradnl"/>
        </w:rPr>
        <w:t xml:space="preserve"> que la reducción violó el artículo 26 de la Convención American</w:t>
      </w:r>
      <w:r w:rsidR="004F13A2" w:rsidRPr="006910D9">
        <w:rPr>
          <w:rFonts w:asciiTheme="majorHAnsi" w:hAnsiTheme="majorHAnsi"/>
          <w:sz w:val="20"/>
          <w:szCs w:val="20"/>
          <w:lang w:val="es-ES_tradnl"/>
        </w:rPr>
        <w:t>a</w:t>
      </w:r>
      <w:r w:rsidR="009F16CE" w:rsidRPr="006910D9">
        <w:rPr>
          <w:rFonts w:asciiTheme="majorHAnsi" w:hAnsiTheme="majorHAnsi"/>
          <w:sz w:val="20"/>
          <w:szCs w:val="20"/>
          <w:lang w:val="es-ES_tradnl"/>
        </w:rPr>
        <w:t xml:space="preserve"> por constituir una notable regresión del nivel de protección de un derecho </w:t>
      </w:r>
      <w:r w:rsidR="00374380" w:rsidRPr="006910D9">
        <w:rPr>
          <w:rFonts w:asciiTheme="majorHAnsi" w:hAnsiTheme="majorHAnsi"/>
          <w:sz w:val="20"/>
          <w:szCs w:val="20"/>
          <w:lang w:val="es-ES_tradnl"/>
        </w:rPr>
        <w:t xml:space="preserve">derivado de normas económicas, sociales y sobre educación y cultura. La petición también alega que la reducción violó el artículo 4 de la Convención Americana al deteriorar el nivel de vida de las presuntas víctimas y su acceso a bienes básicos. </w:t>
      </w:r>
    </w:p>
    <w:p w14:paraId="4957696F" w14:textId="77777777" w:rsidR="001F1E05" w:rsidRPr="006910D9" w:rsidRDefault="001F1E05" w:rsidP="001F1E05">
      <w:pPr>
        <w:pStyle w:val="ListParagraph"/>
        <w:rPr>
          <w:rFonts w:asciiTheme="majorHAnsi" w:hAnsiTheme="majorHAnsi"/>
          <w:sz w:val="20"/>
          <w:szCs w:val="20"/>
          <w:lang w:val="es-ES_tradnl"/>
        </w:rPr>
      </w:pPr>
    </w:p>
    <w:p w14:paraId="278C3845" w14:textId="3BEEA645" w:rsidR="001F1E05" w:rsidRPr="006910D9" w:rsidRDefault="001F1E05"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La parte peticionara manifiesta que </w:t>
      </w:r>
      <w:r w:rsidR="000033D1" w:rsidRPr="006910D9">
        <w:rPr>
          <w:rFonts w:asciiTheme="majorHAnsi" w:hAnsiTheme="majorHAnsi"/>
          <w:sz w:val="20"/>
          <w:szCs w:val="20"/>
          <w:lang w:val="es-ES_tradnl"/>
        </w:rPr>
        <w:t>los actos del Estado que cercenaron los derechos</w:t>
      </w:r>
      <w:r w:rsidRPr="006910D9">
        <w:rPr>
          <w:rFonts w:asciiTheme="majorHAnsi" w:hAnsiTheme="majorHAnsi"/>
          <w:sz w:val="20"/>
          <w:szCs w:val="20"/>
          <w:lang w:val="es-ES_tradnl"/>
        </w:rPr>
        <w:t xml:space="preserve"> de las presuntas </w:t>
      </w:r>
      <w:r w:rsidR="006910D9" w:rsidRPr="006910D9">
        <w:rPr>
          <w:rFonts w:asciiTheme="majorHAnsi" w:hAnsiTheme="majorHAnsi"/>
          <w:sz w:val="20"/>
          <w:szCs w:val="20"/>
          <w:lang w:val="es-ES_tradnl"/>
        </w:rPr>
        <w:t>víctimas</w:t>
      </w:r>
      <w:r w:rsidRPr="006910D9">
        <w:rPr>
          <w:rFonts w:asciiTheme="majorHAnsi" w:hAnsiTheme="majorHAnsi"/>
          <w:sz w:val="20"/>
          <w:szCs w:val="20"/>
          <w:lang w:val="es-ES_tradnl"/>
        </w:rPr>
        <w:t xml:space="preserve"> no se pueden justificar </w:t>
      </w:r>
      <w:r w:rsidR="000033D1" w:rsidRPr="006910D9">
        <w:rPr>
          <w:rFonts w:asciiTheme="majorHAnsi" w:hAnsiTheme="majorHAnsi"/>
          <w:sz w:val="20"/>
          <w:szCs w:val="20"/>
          <w:lang w:val="es-ES_tradnl"/>
        </w:rPr>
        <w:t>invocando una situación económica de emergencia</w:t>
      </w:r>
      <w:r w:rsidR="00C83701" w:rsidRPr="006910D9">
        <w:rPr>
          <w:rFonts w:asciiTheme="majorHAnsi" w:hAnsiTheme="majorHAnsi"/>
          <w:sz w:val="20"/>
          <w:szCs w:val="20"/>
          <w:lang w:val="es-ES_tradnl"/>
        </w:rPr>
        <w:t>, p</w:t>
      </w:r>
      <w:r w:rsidR="00430F23" w:rsidRPr="006910D9">
        <w:rPr>
          <w:rFonts w:asciiTheme="majorHAnsi" w:hAnsiTheme="majorHAnsi"/>
          <w:sz w:val="20"/>
          <w:szCs w:val="20"/>
          <w:lang w:val="es-ES_tradnl"/>
        </w:rPr>
        <w:t>uesto que</w:t>
      </w:r>
      <w:r w:rsidR="000033D1" w:rsidRPr="006910D9">
        <w:rPr>
          <w:rFonts w:asciiTheme="majorHAnsi" w:hAnsiTheme="majorHAnsi"/>
          <w:sz w:val="20"/>
          <w:szCs w:val="20"/>
          <w:lang w:val="es-ES_tradnl"/>
        </w:rPr>
        <w:t xml:space="preserve"> el Estado no cumplió con los requisitos establecidos en el artículo 27 de la Convención Americana para la declaratoria de un estado de excepción ni estableció un límite temporal para los actos.</w:t>
      </w:r>
      <w:r w:rsidR="00430F23" w:rsidRPr="006910D9">
        <w:rPr>
          <w:rFonts w:asciiTheme="majorHAnsi" w:hAnsiTheme="majorHAnsi"/>
          <w:sz w:val="20"/>
          <w:szCs w:val="20"/>
          <w:lang w:val="es-ES_tradnl"/>
        </w:rPr>
        <w:t xml:space="preserve"> A esto, la parte peticionaria agrega que el artículo 54 de la ley de Emergencia Administrativa expresamente excluía de la aplicación de ésta a “[</w:t>
      </w:r>
      <w:r w:rsidR="00430F23" w:rsidRPr="006910D9">
        <w:rPr>
          <w:rFonts w:asciiTheme="majorHAnsi" w:hAnsiTheme="majorHAnsi"/>
          <w:i/>
          <w:iCs/>
          <w:sz w:val="20"/>
          <w:szCs w:val="20"/>
          <w:lang w:val="es-ES_tradnl"/>
        </w:rPr>
        <w:t xml:space="preserve">l]as jubilaciones y pensiones, las </w:t>
      </w:r>
      <w:r w:rsidR="0090336D" w:rsidRPr="006910D9">
        <w:rPr>
          <w:rFonts w:asciiTheme="majorHAnsi" w:hAnsiTheme="majorHAnsi"/>
          <w:i/>
          <w:iCs/>
          <w:sz w:val="20"/>
          <w:szCs w:val="20"/>
          <w:lang w:val="es-ES_tradnl"/>
        </w:rPr>
        <w:t xml:space="preserve">que </w:t>
      </w:r>
      <w:r w:rsidR="00430F23" w:rsidRPr="006910D9">
        <w:rPr>
          <w:rFonts w:asciiTheme="majorHAnsi" w:hAnsiTheme="majorHAnsi"/>
          <w:i/>
          <w:iCs/>
          <w:sz w:val="20"/>
          <w:szCs w:val="20"/>
          <w:lang w:val="es-ES_tradnl"/>
        </w:rPr>
        <w:t>se regirán por su régimen específico</w:t>
      </w:r>
      <w:r w:rsidR="00430F23" w:rsidRPr="006910D9">
        <w:rPr>
          <w:rFonts w:asciiTheme="majorHAnsi" w:hAnsiTheme="majorHAnsi"/>
          <w:sz w:val="20"/>
          <w:szCs w:val="20"/>
          <w:lang w:val="es-ES_tradnl"/>
        </w:rPr>
        <w:t xml:space="preserve">”. </w:t>
      </w:r>
    </w:p>
    <w:p w14:paraId="7DD72E7B" w14:textId="77777777" w:rsidR="00F23C40" w:rsidRPr="006910D9" w:rsidRDefault="00F23C40" w:rsidP="00EB4F91">
      <w:pPr>
        <w:rPr>
          <w:rFonts w:asciiTheme="majorHAnsi" w:hAnsiTheme="majorHAnsi"/>
          <w:sz w:val="20"/>
          <w:szCs w:val="20"/>
          <w:lang w:val="es-ES_tradnl"/>
        </w:rPr>
      </w:pPr>
    </w:p>
    <w:p w14:paraId="4339073B" w14:textId="7F3D7FFF" w:rsidR="00F23C40" w:rsidRPr="006910D9" w:rsidRDefault="00BC33CD"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La petición indica que</w:t>
      </w:r>
      <w:r w:rsidR="004774F2" w:rsidRPr="006910D9">
        <w:rPr>
          <w:rFonts w:asciiTheme="majorHAnsi" w:hAnsiTheme="majorHAnsi"/>
          <w:sz w:val="20"/>
          <w:szCs w:val="20"/>
          <w:lang w:val="es-ES_tradnl"/>
        </w:rPr>
        <w:t xml:space="preserve"> las presuntas víctima</w:t>
      </w:r>
      <w:r w:rsidR="003376AE" w:rsidRPr="006910D9">
        <w:rPr>
          <w:rFonts w:asciiTheme="majorHAnsi" w:hAnsiTheme="majorHAnsi"/>
          <w:sz w:val="20"/>
          <w:szCs w:val="20"/>
          <w:lang w:val="es-ES_tradnl"/>
        </w:rPr>
        <w:t>s</w:t>
      </w:r>
      <w:r w:rsidR="004774F2" w:rsidRPr="006910D9">
        <w:rPr>
          <w:rFonts w:asciiTheme="majorHAnsi" w:hAnsiTheme="majorHAnsi"/>
          <w:sz w:val="20"/>
          <w:szCs w:val="20"/>
          <w:lang w:val="es-ES_tradnl"/>
        </w:rPr>
        <w:t xml:space="preserve"> interpusieron</w:t>
      </w:r>
      <w:r w:rsidR="003376AE" w:rsidRPr="006910D9">
        <w:rPr>
          <w:rFonts w:asciiTheme="majorHAnsi" w:hAnsiTheme="majorHAnsi"/>
          <w:sz w:val="20"/>
          <w:szCs w:val="20"/>
          <w:lang w:val="es-ES_tradnl"/>
        </w:rPr>
        <w:t xml:space="preserve"> sin éxito</w:t>
      </w:r>
      <w:r w:rsidR="004774F2" w:rsidRPr="006910D9">
        <w:rPr>
          <w:rFonts w:asciiTheme="majorHAnsi" w:hAnsiTheme="majorHAnsi"/>
          <w:sz w:val="20"/>
          <w:szCs w:val="20"/>
          <w:lang w:val="es-ES_tradnl"/>
        </w:rPr>
        <w:t xml:space="preserve"> reclamos administrativos contra la resolución que </w:t>
      </w:r>
      <w:r w:rsidR="003376AE" w:rsidRPr="006910D9">
        <w:rPr>
          <w:rFonts w:asciiTheme="majorHAnsi" w:hAnsiTheme="majorHAnsi"/>
          <w:sz w:val="20"/>
          <w:szCs w:val="20"/>
          <w:lang w:val="es-ES_tradnl"/>
        </w:rPr>
        <w:t>redujo sus derechos. Tras ello, interpusieron demandas judiciales conllevando a que el 30 de octubre</w:t>
      </w:r>
      <w:r w:rsidRPr="006910D9">
        <w:rPr>
          <w:rFonts w:asciiTheme="majorHAnsi" w:hAnsiTheme="majorHAnsi"/>
          <w:sz w:val="20"/>
          <w:szCs w:val="20"/>
          <w:lang w:val="es-ES_tradnl"/>
        </w:rPr>
        <w:t xml:space="preserve"> </w:t>
      </w:r>
      <w:r w:rsidR="003376AE" w:rsidRPr="006910D9">
        <w:rPr>
          <w:rFonts w:asciiTheme="majorHAnsi" w:hAnsiTheme="majorHAnsi"/>
          <w:sz w:val="20"/>
          <w:szCs w:val="20"/>
          <w:lang w:val="es-ES_tradnl"/>
        </w:rPr>
        <w:t>de</w:t>
      </w:r>
      <w:r w:rsidRPr="006910D9">
        <w:rPr>
          <w:rFonts w:asciiTheme="majorHAnsi" w:hAnsiTheme="majorHAnsi"/>
          <w:sz w:val="20"/>
          <w:szCs w:val="20"/>
          <w:lang w:val="es-ES_tradnl"/>
        </w:rPr>
        <w:t xml:space="preserve"> 2003 el Segundo Juzgado Federal </w:t>
      </w:r>
      <w:r w:rsidR="00E22003" w:rsidRPr="006910D9">
        <w:rPr>
          <w:rFonts w:asciiTheme="majorHAnsi" w:hAnsiTheme="majorHAnsi"/>
          <w:sz w:val="20"/>
          <w:szCs w:val="20"/>
          <w:lang w:val="es-ES_tradnl"/>
        </w:rPr>
        <w:t>dictara</w:t>
      </w:r>
      <w:r w:rsidRPr="006910D9">
        <w:rPr>
          <w:rFonts w:asciiTheme="majorHAnsi" w:hAnsiTheme="majorHAnsi"/>
          <w:sz w:val="20"/>
          <w:szCs w:val="20"/>
          <w:lang w:val="es-ES_tradnl"/>
        </w:rPr>
        <w:t xml:space="preserve"> sentencia favorable a las presuntas víctimas declarando nula la resolución que había reducido su beneficio y ordenando al Banco que </w:t>
      </w:r>
      <w:r w:rsidR="006910D9" w:rsidRPr="006910D9">
        <w:rPr>
          <w:rFonts w:asciiTheme="majorHAnsi" w:hAnsiTheme="majorHAnsi"/>
          <w:sz w:val="20"/>
          <w:szCs w:val="20"/>
          <w:lang w:val="es-ES_tradnl"/>
        </w:rPr>
        <w:t>les</w:t>
      </w:r>
      <w:r w:rsidRPr="006910D9">
        <w:rPr>
          <w:rFonts w:asciiTheme="majorHAnsi" w:hAnsiTheme="majorHAnsi"/>
          <w:sz w:val="20"/>
          <w:szCs w:val="20"/>
          <w:lang w:val="es-ES_tradnl"/>
        </w:rPr>
        <w:t xml:space="preserve"> pagara a </w:t>
      </w:r>
      <w:r w:rsidR="00EC3B95" w:rsidRPr="006910D9">
        <w:rPr>
          <w:rFonts w:asciiTheme="majorHAnsi" w:hAnsiTheme="majorHAnsi"/>
          <w:sz w:val="20"/>
          <w:szCs w:val="20"/>
          <w:lang w:val="es-ES_tradnl"/>
        </w:rPr>
        <w:t xml:space="preserve">estas </w:t>
      </w:r>
      <w:r w:rsidRPr="006910D9">
        <w:rPr>
          <w:rFonts w:asciiTheme="majorHAnsi" w:hAnsiTheme="majorHAnsi"/>
          <w:sz w:val="20"/>
          <w:szCs w:val="20"/>
          <w:lang w:val="es-ES_tradnl"/>
        </w:rPr>
        <w:t>las diferencias resultantes e</w:t>
      </w:r>
      <w:r w:rsidR="00EC3B95" w:rsidRPr="006910D9">
        <w:rPr>
          <w:rFonts w:asciiTheme="majorHAnsi" w:hAnsiTheme="majorHAnsi"/>
          <w:sz w:val="20"/>
          <w:szCs w:val="20"/>
          <w:lang w:val="es-ES_tradnl"/>
        </w:rPr>
        <w:t xml:space="preserve">ntre lo que percibieron y lo que habrían percibido de no ser por la resolución anulada. Esta decisión fue apelada por el Banco, </w:t>
      </w:r>
      <w:r w:rsidR="00CA6E18" w:rsidRPr="006910D9">
        <w:rPr>
          <w:rFonts w:asciiTheme="majorHAnsi" w:hAnsiTheme="majorHAnsi"/>
          <w:sz w:val="20"/>
          <w:szCs w:val="20"/>
          <w:lang w:val="es-ES_tradnl"/>
        </w:rPr>
        <w:t>resultando en que la Cámara Federal de Apelaciones de Mendoza dispusiera su revocación. Contra dicha decisión de la Cámara, las presuntas víctimas</w:t>
      </w:r>
      <w:r w:rsidR="00EC3B95" w:rsidRPr="006910D9">
        <w:rPr>
          <w:rFonts w:asciiTheme="majorHAnsi" w:hAnsiTheme="majorHAnsi"/>
          <w:sz w:val="20"/>
          <w:szCs w:val="20"/>
          <w:lang w:val="es-ES_tradnl"/>
        </w:rPr>
        <w:t xml:space="preserve"> </w:t>
      </w:r>
      <w:r w:rsidR="00CA6E18" w:rsidRPr="006910D9">
        <w:rPr>
          <w:rFonts w:asciiTheme="majorHAnsi" w:hAnsiTheme="majorHAnsi"/>
          <w:sz w:val="20"/>
          <w:szCs w:val="20"/>
          <w:lang w:val="es-ES_tradnl"/>
        </w:rPr>
        <w:t>interpusieron un recurso extraordinario federal que resultó denegado por la misma Cámara. Luego, las presuntas víctimas interpusieron ante la Corte Suprema de Justicia de la Nación un recurso de queja por denegación del extraordinario</w:t>
      </w:r>
      <w:r w:rsidR="00BB46AE" w:rsidRPr="006910D9">
        <w:rPr>
          <w:rFonts w:asciiTheme="majorHAnsi" w:hAnsiTheme="majorHAnsi"/>
          <w:sz w:val="20"/>
          <w:szCs w:val="20"/>
          <w:lang w:val="es-ES_tradnl"/>
        </w:rPr>
        <w:t xml:space="preserve">, el cual fue </w:t>
      </w:r>
      <w:r w:rsidR="00FE3C0A" w:rsidRPr="006910D9">
        <w:rPr>
          <w:rFonts w:asciiTheme="majorHAnsi" w:hAnsiTheme="majorHAnsi"/>
          <w:sz w:val="20"/>
          <w:szCs w:val="20"/>
          <w:lang w:val="es-ES_tradnl"/>
        </w:rPr>
        <w:t>rechaz</w:t>
      </w:r>
      <w:r w:rsidR="00DE6678" w:rsidRPr="006910D9">
        <w:rPr>
          <w:rFonts w:asciiTheme="majorHAnsi" w:hAnsiTheme="majorHAnsi"/>
          <w:sz w:val="20"/>
          <w:szCs w:val="20"/>
          <w:lang w:val="es-ES_tradnl"/>
        </w:rPr>
        <w:t>ado</w:t>
      </w:r>
      <w:r w:rsidR="00FE3C0A" w:rsidRPr="006910D9">
        <w:rPr>
          <w:rFonts w:asciiTheme="majorHAnsi" w:hAnsiTheme="majorHAnsi"/>
          <w:sz w:val="20"/>
          <w:szCs w:val="20"/>
          <w:lang w:val="es-ES_tradnl"/>
        </w:rPr>
        <w:t xml:space="preserve"> el 7 de abril de 2009.</w:t>
      </w:r>
    </w:p>
    <w:p w14:paraId="7FB56D62" w14:textId="77777777" w:rsidR="003376AE" w:rsidRPr="006910D9" w:rsidRDefault="003376AE" w:rsidP="003376A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7745AD9" w14:textId="6EC463D6" w:rsidR="003376AE" w:rsidRPr="006910D9" w:rsidRDefault="003376AE"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La parte peticionaria </w:t>
      </w:r>
      <w:r w:rsidR="00C42079" w:rsidRPr="006910D9">
        <w:rPr>
          <w:rFonts w:asciiTheme="majorHAnsi" w:hAnsiTheme="majorHAnsi"/>
          <w:sz w:val="20"/>
          <w:szCs w:val="20"/>
          <w:lang w:val="es-ES_tradnl"/>
        </w:rPr>
        <w:t>considera que las autoridades judiciales domésticas violaron el artículo 25 de la Convención Americana al convalidar las notables violaciones a los derechos de las presuntas víctimas. En este sentido</w:t>
      </w:r>
      <w:r w:rsidR="00031EE3" w:rsidRPr="006910D9">
        <w:rPr>
          <w:rFonts w:asciiTheme="majorHAnsi" w:hAnsiTheme="majorHAnsi"/>
          <w:sz w:val="20"/>
          <w:szCs w:val="20"/>
          <w:lang w:val="es-ES_tradnl"/>
        </w:rPr>
        <w:t>,</w:t>
      </w:r>
      <w:r w:rsidR="00C42079" w:rsidRPr="006910D9">
        <w:rPr>
          <w:rFonts w:asciiTheme="majorHAnsi" w:hAnsiTheme="majorHAnsi"/>
          <w:sz w:val="20"/>
          <w:szCs w:val="20"/>
          <w:lang w:val="es-ES_tradnl"/>
        </w:rPr>
        <w:t xml:space="preserve"> </w:t>
      </w:r>
      <w:r w:rsidRPr="006910D9">
        <w:rPr>
          <w:rFonts w:asciiTheme="majorHAnsi" w:hAnsiTheme="majorHAnsi"/>
          <w:sz w:val="20"/>
          <w:szCs w:val="20"/>
          <w:lang w:val="es-ES_tradnl"/>
        </w:rPr>
        <w:t xml:space="preserve">reclama </w:t>
      </w:r>
      <w:r w:rsidR="00375CA6" w:rsidRPr="006910D9">
        <w:rPr>
          <w:rFonts w:asciiTheme="majorHAnsi" w:hAnsiTheme="majorHAnsi"/>
          <w:sz w:val="20"/>
          <w:szCs w:val="20"/>
          <w:lang w:val="es-ES_tradnl"/>
        </w:rPr>
        <w:t>que,</w:t>
      </w:r>
      <w:r w:rsidRPr="006910D9">
        <w:rPr>
          <w:rFonts w:asciiTheme="majorHAnsi" w:hAnsiTheme="majorHAnsi"/>
          <w:sz w:val="20"/>
          <w:szCs w:val="20"/>
          <w:lang w:val="es-ES_tradnl"/>
        </w:rPr>
        <w:t xml:space="preserve"> si bien la sentencia de primera instancia acogió las pretensiones de las presuntas víctimas mediante decisión fundada, la decisión final que rechazó su recurso de queja </w:t>
      </w:r>
      <w:r w:rsidR="00C42079" w:rsidRPr="006910D9">
        <w:rPr>
          <w:rFonts w:asciiTheme="majorHAnsi" w:hAnsiTheme="majorHAnsi"/>
          <w:sz w:val="20"/>
          <w:szCs w:val="20"/>
          <w:lang w:val="es-ES_tradnl"/>
        </w:rPr>
        <w:t>careció de toda fundamentación. Por ello, la parte peticionaria estima que la decisión de rechazar el recurso de queja fue arbitraria e irrazonable. La petición aporta copia de la decisión pertinente en la que se observa que el recurso</w:t>
      </w:r>
      <w:r w:rsidR="00DE6678" w:rsidRPr="006910D9">
        <w:rPr>
          <w:rFonts w:asciiTheme="majorHAnsi" w:hAnsiTheme="majorHAnsi"/>
          <w:sz w:val="20"/>
          <w:szCs w:val="20"/>
          <w:lang w:val="es-ES_tradnl"/>
        </w:rPr>
        <w:t xml:space="preserve"> de queja</w:t>
      </w:r>
      <w:r w:rsidR="00C42079" w:rsidRPr="006910D9">
        <w:rPr>
          <w:rFonts w:asciiTheme="majorHAnsi" w:hAnsiTheme="majorHAnsi"/>
          <w:sz w:val="20"/>
          <w:szCs w:val="20"/>
          <w:lang w:val="es-ES_tradnl"/>
        </w:rPr>
        <w:t xml:space="preserve"> fue declarado inadmisible</w:t>
      </w:r>
      <w:r w:rsidR="00DE6678" w:rsidRPr="006910D9">
        <w:rPr>
          <w:rFonts w:asciiTheme="majorHAnsi" w:hAnsiTheme="majorHAnsi"/>
          <w:sz w:val="20"/>
          <w:szCs w:val="20"/>
          <w:lang w:val="es-ES_tradnl"/>
        </w:rPr>
        <w:t xml:space="preserve"> conforme el</w:t>
      </w:r>
      <w:r w:rsidR="00C42079" w:rsidRPr="006910D9">
        <w:rPr>
          <w:rFonts w:asciiTheme="majorHAnsi" w:hAnsiTheme="majorHAnsi"/>
          <w:sz w:val="20"/>
          <w:szCs w:val="20"/>
          <w:lang w:val="es-ES_tradnl"/>
        </w:rPr>
        <w:t xml:space="preserve"> artículo 280 del Código Procesal</w:t>
      </w:r>
      <w:r w:rsidR="00DE6678" w:rsidRPr="006910D9">
        <w:rPr>
          <w:rFonts w:asciiTheme="majorHAnsi" w:hAnsiTheme="majorHAnsi"/>
          <w:sz w:val="20"/>
          <w:szCs w:val="20"/>
          <w:lang w:val="es-ES_tradnl"/>
        </w:rPr>
        <w:t xml:space="preserve"> Civil y Comercial de la Nación</w:t>
      </w:r>
      <w:r w:rsidR="00DE6678" w:rsidRPr="006910D9">
        <w:rPr>
          <w:rStyle w:val="FootnoteReference"/>
          <w:rFonts w:asciiTheme="majorHAnsi" w:hAnsiTheme="majorHAnsi"/>
          <w:sz w:val="20"/>
          <w:szCs w:val="20"/>
          <w:lang w:val="es-ES_tradnl"/>
        </w:rPr>
        <w:footnoteReference w:id="4"/>
      </w:r>
      <w:r w:rsidR="00DE6678" w:rsidRPr="006910D9">
        <w:rPr>
          <w:rFonts w:asciiTheme="majorHAnsi" w:hAnsiTheme="majorHAnsi"/>
          <w:sz w:val="20"/>
          <w:szCs w:val="20"/>
          <w:lang w:val="es-ES_tradnl"/>
        </w:rPr>
        <w:t>.</w:t>
      </w:r>
    </w:p>
    <w:p w14:paraId="12012EF0" w14:textId="77777777" w:rsidR="00EB4F91" w:rsidRPr="006910D9" w:rsidRDefault="00EB4F91" w:rsidP="00EB4F91">
      <w:pPr>
        <w:pStyle w:val="ListParagraph"/>
        <w:rPr>
          <w:rFonts w:asciiTheme="majorHAnsi" w:hAnsiTheme="majorHAnsi"/>
          <w:sz w:val="20"/>
          <w:szCs w:val="20"/>
          <w:lang w:val="es-ES_tradnl"/>
        </w:rPr>
      </w:pPr>
    </w:p>
    <w:p w14:paraId="5CFDDC81" w14:textId="5B481DA1" w:rsidR="00EB4F91" w:rsidRPr="006910D9" w:rsidRDefault="00EB4F91"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lastRenderedPageBreak/>
        <w:t>La parte peticionaria manifiesta que la decisión que rechazó el recurso de queja por recurso extraordinario denegado fue notificada a las presuntas víctimas el 28 de abril de 2009</w:t>
      </w:r>
      <w:r w:rsidR="00031EE3" w:rsidRPr="006910D9">
        <w:rPr>
          <w:rFonts w:asciiTheme="majorHAnsi" w:hAnsiTheme="majorHAnsi"/>
          <w:sz w:val="20"/>
          <w:szCs w:val="20"/>
          <w:lang w:val="es-ES_tradnl"/>
        </w:rPr>
        <w:t>,</w:t>
      </w:r>
      <w:r w:rsidRPr="006910D9">
        <w:rPr>
          <w:rFonts w:asciiTheme="majorHAnsi" w:hAnsiTheme="majorHAnsi"/>
          <w:sz w:val="20"/>
          <w:szCs w:val="20"/>
          <w:lang w:val="es-ES_tradnl"/>
        </w:rPr>
        <w:t xml:space="preserve"> y que con esa decisión quedó definitivamente agotada la jurisdicción doméstica. </w:t>
      </w:r>
    </w:p>
    <w:p w14:paraId="6504D59B" w14:textId="77777777" w:rsidR="00EB4F91" w:rsidRPr="006910D9" w:rsidRDefault="00EB4F91" w:rsidP="00EB4F91">
      <w:pPr>
        <w:pStyle w:val="ListParagraph"/>
        <w:rPr>
          <w:rFonts w:asciiTheme="majorHAnsi" w:hAnsiTheme="majorHAnsi"/>
          <w:sz w:val="20"/>
          <w:szCs w:val="20"/>
          <w:lang w:val="es-ES_tradnl"/>
        </w:rPr>
      </w:pPr>
    </w:p>
    <w:p w14:paraId="2C0F60E4" w14:textId="0D903497" w:rsidR="00EB4F91" w:rsidRPr="006910D9" w:rsidRDefault="00EB4F91"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El Estado, por su parte, </w:t>
      </w:r>
      <w:r w:rsidR="00E745D7" w:rsidRPr="006910D9">
        <w:rPr>
          <w:rFonts w:asciiTheme="majorHAnsi" w:hAnsiTheme="majorHAnsi"/>
          <w:sz w:val="20"/>
          <w:szCs w:val="20"/>
          <w:lang w:val="es-ES_tradnl"/>
        </w:rPr>
        <w:t>considera que la petición debe ser inadmitida porque no expone hechos que caractericen violaciones a la Convención Americana</w:t>
      </w:r>
      <w:r w:rsidR="00516068" w:rsidRPr="006910D9">
        <w:rPr>
          <w:rFonts w:asciiTheme="majorHAnsi" w:hAnsiTheme="majorHAnsi"/>
          <w:sz w:val="20"/>
          <w:szCs w:val="20"/>
          <w:lang w:val="es-ES_tradnl"/>
        </w:rPr>
        <w:t>;</w:t>
      </w:r>
      <w:r w:rsidR="00426FFD" w:rsidRPr="006910D9">
        <w:rPr>
          <w:rFonts w:asciiTheme="majorHAnsi" w:hAnsiTheme="majorHAnsi"/>
          <w:sz w:val="20"/>
          <w:szCs w:val="20"/>
          <w:lang w:val="es-ES_tradnl"/>
        </w:rPr>
        <w:t xml:space="preserve"> </w:t>
      </w:r>
      <w:r w:rsidR="00E745D7" w:rsidRPr="006910D9">
        <w:rPr>
          <w:rFonts w:asciiTheme="majorHAnsi" w:hAnsiTheme="majorHAnsi"/>
          <w:sz w:val="20"/>
          <w:szCs w:val="20"/>
          <w:lang w:val="es-ES_tradnl"/>
        </w:rPr>
        <w:t xml:space="preserve">porque los órganos del Sistema Interamericano carecen de atribuciones para revisar cuestiones inherentes a la política económica </w:t>
      </w:r>
      <w:r w:rsidR="00E56EA8" w:rsidRPr="006910D9">
        <w:rPr>
          <w:rFonts w:asciiTheme="majorHAnsi" w:hAnsiTheme="majorHAnsi"/>
          <w:sz w:val="20"/>
          <w:szCs w:val="20"/>
          <w:lang w:val="es-ES_tradnl"/>
        </w:rPr>
        <w:t>del Gobierno argentino conforme a la reserva realizada por Argentina al ratificar la Convención Americana</w:t>
      </w:r>
      <w:r w:rsidR="00516068" w:rsidRPr="006910D9">
        <w:rPr>
          <w:rFonts w:asciiTheme="majorHAnsi" w:hAnsiTheme="majorHAnsi"/>
          <w:sz w:val="20"/>
          <w:szCs w:val="20"/>
          <w:lang w:val="es-ES_tradnl"/>
        </w:rPr>
        <w:t>;</w:t>
      </w:r>
      <w:r w:rsidR="00426FFD" w:rsidRPr="006910D9">
        <w:rPr>
          <w:rFonts w:asciiTheme="majorHAnsi" w:hAnsiTheme="majorHAnsi"/>
          <w:sz w:val="20"/>
          <w:szCs w:val="20"/>
          <w:lang w:val="es-ES_tradnl"/>
        </w:rPr>
        <w:t xml:space="preserve"> y porque a</w:t>
      </w:r>
      <w:r w:rsidR="00516068" w:rsidRPr="006910D9">
        <w:rPr>
          <w:rFonts w:asciiTheme="majorHAnsi" w:hAnsiTheme="majorHAnsi"/>
          <w:sz w:val="20"/>
          <w:szCs w:val="20"/>
          <w:lang w:val="es-ES_tradnl"/>
        </w:rPr>
        <w:t>l</w:t>
      </w:r>
      <w:r w:rsidR="00426FFD" w:rsidRPr="006910D9">
        <w:rPr>
          <w:rFonts w:asciiTheme="majorHAnsi" w:hAnsiTheme="majorHAnsi"/>
          <w:sz w:val="20"/>
          <w:szCs w:val="20"/>
          <w:lang w:val="es-ES_tradnl"/>
        </w:rPr>
        <w:t>gunos de los planteamientos realizados en la petición no fueron presentados a nivel doméstico</w:t>
      </w:r>
      <w:r w:rsidR="00E56EA8" w:rsidRPr="006910D9">
        <w:rPr>
          <w:rFonts w:asciiTheme="majorHAnsi" w:hAnsiTheme="majorHAnsi"/>
          <w:sz w:val="20"/>
          <w:szCs w:val="20"/>
          <w:lang w:val="es-ES_tradnl"/>
        </w:rPr>
        <w:t>. El Estado adicionalmente solicita que la petición sea acumulada a otra y reclama que la petición le fue trasladada extemporáneamente.</w:t>
      </w:r>
    </w:p>
    <w:p w14:paraId="06554D0B" w14:textId="77777777" w:rsidR="00E56EA8" w:rsidRPr="006910D9" w:rsidRDefault="00E56EA8" w:rsidP="00E56EA8">
      <w:pPr>
        <w:pStyle w:val="ListParagraph"/>
        <w:rPr>
          <w:rFonts w:asciiTheme="majorHAnsi" w:hAnsiTheme="majorHAnsi"/>
          <w:sz w:val="20"/>
          <w:szCs w:val="20"/>
          <w:lang w:val="es-ES_tradnl"/>
        </w:rPr>
      </w:pPr>
    </w:p>
    <w:p w14:paraId="06932DD4" w14:textId="7A572F80" w:rsidR="000B571B" w:rsidRPr="006910D9" w:rsidRDefault="00E56EA8"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El Estado</w:t>
      </w:r>
      <w:r w:rsidR="00C96ED5" w:rsidRPr="006910D9">
        <w:rPr>
          <w:rFonts w:asciiTheme="majorHAnsi" w:hAnsiTheme="majorHAnsi"/>
          <w:sz w:val="20"/>
          <w:szCs w:val="20"/>
          <w:lang w:val="es-ES_tradnl"/>
        </w:rPr>
        <w:t xml:space="preserve"> explica que </w:t>
      </w:r>
      <w:r w:rsidR="00143212" w:rsidRPr="006910D9">
        <w:rPr>
          <w:rFonts w:asciiTheme="majorHAnsi" w:hAnsiTheme="majorHAnsi"/>
          <w:sz w:val="20"/>
          <w:szCs w:val="20"/>
          <w:lang w:val="es-ES_tradnl"/>
        </w:rPr>
        <w:t>en 1989 estalló una crisis económica en Argentina. En el contexto de esa crisis se dictó una Ley de Reforma del Estado la que, entre otras cosas, declaró en estado de emergencia a las entidades financieras oficiales y autorizó al Poder Ejecutivo Nacional a intervenirlas.</w:t>
      </w:r>
      <w:r w:rsidR="000B6B06" w:rsidRPr="006910D9">
        <w:rPr>
          <w:rFonts w:asciiTheme="majorHAnsi" w:hAnsiTheme="majorHAnsi"/>
          <w:sz w:val="20"/>
          <w:szCs w:val="20"/>
          <w:lang w:val="es-ES_tradnl"/>
        </w:rPr>
        <w:t xml:space="preserve"> </w:t>
      </w:r>
      <w:r w:rsidR="00C9152C" w:rsidRPr="006910D9">
        <w:rPr>
          <w:rFonts w:asciiTheme="majorHAnsi" w:hAnsiTheme="majorHAnsi"/>
          <w:sz w:val="20"/>
          <w:szCs w:val="20"/>
          <w:lang w:val="es-ES_tradnl"/>
        </w:rPr>
        <w:t>En consecuencia,</w:t>
      </w:r>
      <w:r w:rsidR="000B6B06" w:rsidRPr="006910D9">
        <w:rPr>
          <w:rFonts w:asciiTheme="majorHAnsi" w:hAnsiTheme="majorHAnsi"/>
          <w:sz w:val="20"/>
          <w:szCs w:val="20"/>
          <w:lang w:val="es-ES_tradnl"/>
        </w:rPr>
        <w:t xml:space="preserve"> se designó a un interventor para el Banco quien en ejercicio de sus atribuciones adoptó decisiones que conllevaron a la reducción que causó los reclamos de las presuntas víctimas</w:t>
      </w:r>
      <w:r w:rsidR="00EE01AC" w:rsidRPr="006910D9">
        <w:rPr>
          <w:rFonts w:asciiTheme="majorHAnsi" w:hAnsiTheme="majorHAnsi"/>
          <w:sz w:val="20"/>
          <w:szCs w:val="20"/>
          <w:lang w:val="es-ES_tradnl"/>
        </w:rPr>
        <w:t xml:space="preserve">. </w:t>
      </w:r>
    </w:p>
    <w:p w14:paraId="5751DB4E" w14:textId="77777777" w:rsidR="000B571B" w:rsidRPr="006910D9" w:rsidRDefault="000B571B" w:rsidP="000B571B">
      <w:pPr>
        <w:pStyle w:val="ListParagraph"/>
        <w:rPr>
          <w:rFonts w:asciiTheme="majorHAnsi" w:hAnsiTheme="majorHAnsi"/>
          <w:sz w:val="20"/>
          <w:szCs w:val="20"/>
          <w:lang w:val="es-ES_tradnl"/>
        </w:rPr>
      </w:pPr>
    </w:p>
    <w:p w14:paraId="4F212E9A" w14:textId="77777777" w:rsidR="00955BDB" w:rsidRPr="006910D9" w:rsidRDefault="000B571B"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En el entendimiento del Estado, l</w:t>
      </w:r>
      <w:r w:rsidR="00C9152C" w:rsidRPr="006910D9">
        <w:rPr>
          <w:rFonts w:asciiTheme="majorHAnsi" w:hAnsiTheme="majorHAnsi"/>
          <w:sz w:val="20"/>
          <w:szCs w:val="20"/>
          <w:lang w:val="es-ES_tradnl"/>
        </w:rPr>
        <w:t>a</w:t>
      </w:r>
      <w:r w:rsidR="00EE01AC" w:rsidRPr="006910D9">
        <w:rPr>
          <w:rFonts w:asciiTheme="majorHAnsi" w:hAnsiTheme="majorHAnsi"/>
          <w:sz w:val="20"/>
          <w:szCs w:val="20"/>
          <w:lang w:val="es-ES_tradnl"/>
        </w:rPr>
        <w:t xml:space="preserve"> </w:t>
      </w:r>
      <w:r w:rsidR="000A5104" w:rsidRPr="006910D9">
        <w:rPr>
          <w:rFonts w:asciiTheme="majorHAnsi" w:hAnsiTheme="majorHAnsi"/>
          <w:sz w:val="20"/>
          <w:szCs w:val="20"/>
          <w:lang w:val="es-ES_tradnl"/>
        </w:rPr>
        <w:t xml:space="preserve">petición se refiere a </w:t>
      </w:r>
      <w:r w:rsidR="00EE01AC" w:rsidRPr="006910D9">
        <w:rPr>
          <w:rFonts w:asciiTheme="majorHAnsi" w:hAnsiTheme="majorHAnsi"/>
          <w:sz w:val="20"/>
          <w:szCs w:val="20"/>
          <w:lang w:val="es-ES_tradnl"/>
        </w:rPr>
        <w:t>las consecuencias de la aplicación una ley adoptada a raíz de una situación económica general</w:t>
      </w:r>
      <w:r w:rsidRPr="006910D9">
        <w:rPr>
          <w:rFonts w:asciiTheme="majorHAnsi" w:hAnsiTheme="majorHAnsi"/>
          <w:sz w:val="20"/>
          <w:szCs w:val="20"/>
          <w:lang w:val="es-ES_tradnl"/>
        </w:rPr>
        <w:t xml:space="preserve">. Por ello, la materia de la petición se vería alcanzada por la reserva realizada por Argentina al artículo 21 de la Convención Americana, la cual establece que: </w:t>
      </w:r>
    </w:p>
    <w:p w14:paraId="47059BC4" w14:textId="77777777" w:rsidR="00955BDB" w:rsidRPr="006910D9" w:rsidRDefault="00955BDB" w:rsidP="00955BDB">
      <w:pPr>
        <w:pStyle w:val="ListParagraph"/>
        <w:rPr>
          <w:rFonts w:asciiTheme="majorHAnsi" w:hAnsiTheme="majorHAnsi"/>
          <w:sz w:val="20"/>
          <w:szCs w:val="20"/>
          <w:lang w:val="es-ES_tradnl"/>
        </w:rPr>
      </w:pPr>
    </w:p>
    <w:p w14:paraId="302F925E" w14:textId="5BC097A8" w:rsidR="000B571B" w:rsidRPr="006910D9" w:rsidRDefault="00955BDB" w:rsidP="00955B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6910D9">
        <w:rPr>
          <w:rFonts w:asciiTheme="majorHAnsi" w:hAnsiTheme="majorHAnsi"/>
          <w:sz w:val="20"/>
          <w:szCs w:val="20"/>
          <w:lang w:val="es-ES_tradnl"/>
        </w:rPr>
        <w:t>[N]</w:t>
      </w:r>
      <w:r w:rsidR="000B571B" w:rsidRPr="006910D9">
        <w:rPr>
          <w:rFonts w:asciiTheme="majorHAnsi" w:hAnsiTheme="majorHAnsi"/>
          <w:sz w:val="20"/>
          <w:szCs w:val="20"/>
          <w:lang w:val="es-ES_tradnl"/>
        </w:rPr>
        <w:t xml:space="preserve">o quedarán sujetas a revisión </w:t>
      </w:r>
      <w:r w:rsidRPr="006910D9">
        <w:rPr>
          <w:rFonts w:asciiTheme="majorHAnsi" w:hAnsiTheme="majorHAnsi"/>
          <w:sz w:val="20"/>
          <w:szCs w:val="20"/>
          <w:lang w:val="es-ES_tradnl"/>
        </w:rPr>
        <w:t>de un Tribunal Internacional cuestiones inherentes a la política económica del Gobierno. Tampoco considerará revisable lo que los Tribunales nacionales determinen como causas de ‘utilidad pública’ e ‘interés social’, ni lo que éstos entiendan por ‘indemnización justa’.</w:t>
      </w:r>
    </w:p>
    <w:p w14:paraId="2C0EE070" w14:textId="77777777" w:rsidR="000B571B" w:rsidRPr="006910D9" w:rsidRDefault="000B571B" w:rsidP="000B571B">
      <w:pPr>
        <w:pStyle w:val="ListParagraph"/>
        <w:rPr>
          <w:rFonts w:asciiTheme="majorHAnsi" w:hAnsiTheme="majorHAnsi"/>
          <w:sz w:val="20"/>
          <w:szCs w:val="20"/>
          <w:lang w:val="es-ES_tradnl"/>
        </w:rPr>
      </w:pPr>
    </w:p>
    <w:p w14:paraId="0BE3A104" w14:textId="1EBAEF14" w:rsidR="00C9152C" w:rsidRPr="006910D9" w:rsidRDefault="000A5104"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 </w:t>
      </w:r>
      <w:r w:rsidR="00955BDB" w:rsidRPr="006910D9">
        <w:rPr>
          <w:rFonts w:asciiTheme="majorHAnsi" w:hAnsiTheme="majorHAnsi"/>
          <w:sz w:val="20"/>
          <w:szCs w:val="20"/>
          <w:lang w:val="es-ES_tradnl"/>
        </w:rPr>
        <w:t>El Estado resalta de, independientemente del acierto que pudieran tener las medidas cuestionadas en el determinado contexto económico, estas se refieran a un</w:t>
      </w:r>
      <w:r w:rsidR="00760DA9" w:rsidRPr="006910D9">
        <w:rPr>
          <w:rFonts w:asciiTheme="majorHAnsi" w:hAnsiTheme="majorHAnsi"/>
          <w:sz w:val="20"/>
          <w:szCs w:val="20"/>
          <w:lang w:val="es-ES_tradnl"/>
        </w:rPr>
        <w:t>a</w:t>
      </w:r>
      <w:r w:rsidR="00955BDB" w:rsidRPr="006910D9">
        <w:rPr>
          <w:rFonts w:asciiTheme="majorHAnsi" w:hAnsiTheme="majorHAnsi"/>
          <w:sz w:val="20"/>
          <w:szCs w:val="20"/>
          <w:lang w:val="es-ES_tradnl"/>
        </w:rPr>
        <w:t xml:space="preserve"> decisión de eminente política estatal</w:t>
      </w:r>
      <w:r w:rsidR="00760DA9" w:rsidRPr="006910D9">
        <w:rPr>
          <w:rFonts w:asciiTheme="majorHAnsi" w:hAnsiTheme="majorHAnsi"/>
          <w:sz w:val="20"/>
          <w:szCs w:val="20"/>
          <w:lang w:val="es-ES_tradnl"/>
        </w:rPr>
        <w:t xml:space="preserve">. Por ello, estas </w:t>
      </w:r>
      <w:r w:rsidR="00955BDB" w:rsidRPr="006910D9">
        <w:rPr>
          <w:rFonts w:asciiTheme="majorHAnsi" w:hAnsiTheme="majorHAnsi"/>
          <w:sz w:val="20"/>
          <w:szCs w:val="20"/>
          <w:lang w:val="es-ES_tradnl"/>
        </w:rPr>
        <w:t>quedarían excluida</w:t>
      </w:r>
      <w:r w:rsidR="00760DA9" w:rsidRPr="006910D9">
        <w:rPr>
          <w:rFonts w:asciiTheme="majorHAnsi" w:hAnsiTheme="majorHAnsi"/>
          <w:sz w:val="20"/>
          <w:szCs w:val="20"/>
          <w:lang w:val="es-ES_tradnl"/>
        </w:rPr>
        <w:t>s</w:t>
      </w:r>
      <w:r w:rsidR="00955BDB" w:rsidRPr="006910D9">
        <w:rPr>
          <w:rFonts w:asciiTheme="majorHAnsi" w:hAnsiTheme="majorHAnsi"/>
          <w:sz w:val="20"/>
          <w:szCs w:val="20"/>
          <w:lang w:val="es-ES_tradnl"/>
        </w:rPr>
        <w:t xml:space="preserve"> de cualquier análisis por parte de los </w:t>
      </w:r>
      <w:r w:rsidR="00760DA9" w:rsidRPr="006910D9">
        <w:rPr>
          <w:rFonts w:asciiTheme="majorHAnsi" w:hAnsiTheme="majorHAnsi"/>
          <w:sz w:val="20"/>
          <w:szCs w:val="20"/>
          <w:lang w:val="es-ES_tradnl"/>
        </w:rPr>
        <w:t xml:space="preserve">órganos del Sistema Interamericano conforme a la referida reserva y la interpretación </w:t>
      </w:r>
      <w:r w:rsidR="00C40CE6" w:rsidRPr="006910D9">
        <w:rPr>
          <w:rFonts w:asciiTheme="majorHAnsi" w:hAnsiTheme="majorHAnsi"/>
          <w:sz w:val="20"/>
          <w:szCs w:val="20"/>
          <w:lang w:val="es-ES_tradnl"/>
        </w:rPr>
        <w:t>que la</w:t>
      </w:r>
      <w:r w:rsidR="00760DA9" w:rsidRPr="006910D9">
        <w:rPr>
          <w:rFonts w:asciiTheme="majorHAnsi" w:hAnsiTheme="majorHAnsi"/>
          <w:sz w:val="20"/>
          <w:szCs w:val="20"/>
          <w:lang w:val="es-ES_tradnl"/>
        </w:rPr>
        <w:t xml:space="preserve"> Comisión realizó</w:t>
      </w:r>
      <w:r w:rsidR="00C40CE6" w:rsidRPr="006910D9">
        <w:rPr>
          <w:rFonts w:asciiTheme="majorHAnsi" w:hAnsiTheme="majorHAnsi"/>
          <w:sz w:val="20"/>
          <w:szCs w:val="20"/>
          <w:lang w:val="es-ES_tradnl"/>
        </w:rPr>
        <w:t xml:space="preserve"> de ésta</w:t>
      </w:r>
      <w:r w:rsidR="00760DA9" w:rsidRPr="006910D9">
        <w:rPr>
          <w:rFonts w:asciiTheme="majorHAnsi" w:hAnsiTheme="majorHAnsi"/>
          <w:sz w:val="20"/>
          <w:szCs w:val="20"/>
          <w:lang w:val="es-ES_tradnl"/>
        </w:rPr>
        <w:t xml:space="preserve"> en </w:t>
      </w:r>
      <w:r w:rsidR="007F1E12" w:rsidRPr="006910D9">
        <w:rPr>
          <w:rFonts w:asciiTheme="majorHAnsi" w:hAnsiTheme="majorHAnsi"/>
          <w:sz w:val="20"/>
          <w:szCs w:val="20"/>
          <w:lang w:val="es-ES_tradnl"/>
        </w:rPr>
        <w:t>su informe de inadmisibilidad 40/06</w:t>
      </w:r>
      <w:r w:rsidR="007F1E12" w:rsidRPr="006910D9">
        <w:rPr>
          <w:rStyle w:val="FootnoteReference"/>
          <w:rFonts w:asciiTheme="majorHAnsi" w:hAnsiTheme="majorHAnsi"/>
          <w:sz w:val="20"/>
          <w:szCs w:val="20"/>
          <w:lang w:val="es-ES_tradnl"/>
        </w:rPr>
        <w:footnoteReference w:id="5"/>
      </w:r>
      <w:r w:rsidR="007F1E12" w:rsidRPr="006910D9">
        <w:rPr>
          <w:rFonts w:asciiTheme="majorHAnsi" w:hAnsiTheme="majorHAnsi"/>
          <w:sz w:val="20"/>
          <w:szCs w:val="20"/>
          <w:lang w:val="es-ES_tradnl"/>
        </w:rPr>
        <w:t>.</w:t>
      </w:r>
      <w:r w:rsidR="00760DA9" w:rsidRPr="006910D9">
        <w:rPr>
          <w:rFonts w:asciiTheme="majorHAnsi" w:hAnsiTheme="majorHAnsi"/>
          <w:sz w:val="20"/>
          <w:szCs w:val="20"/>
          <w:lang w:val="es-ES_tradnl"/>
        </w:rPr>
        <w:t xml:space="preserve"> </w:t>
      </w:r>
    </w:p>
    <w:p w14:paraId="0A605FFF" w14:textId="77777777" w:rsidR="00C40CE6" w:rsidRPr="006910D9" w:rsidRDefault="00C40CE6" w:rsidP="00C40CE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BBFAFC5" w14:textId="4B458898" w:rsidR="00C0515D" w:rsidRPr="006910D9" w:rsidRDefault="000E409D"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Argumenta </w:t>
      </w:r>
      <w:r w:rsidR="0026460E" w:rsidRPr="006910D9">
        <w:rPr>
          <w:rFonts w:asciiTheme="majorHAnsi" w:hAnsiTheme="majorHAnsi"/>
          <w:sz w:val="20"/>
          <w:szCs w:val="20"/>
          <w:lang w:val="es-ES_tradnl"/>
        </w:rPr>
        <w:t>también el Estado que con independencia de la reserva formulada por Argentina los hechos expuestos en la petición no caracterizan violaciones al artículo 21 de la Convención Americana. Así, destaca que el derecho a la propiedad privad</w:t>
      </w:r>
      <w:r w:rsidR="00BC7441" w:rsidRPr="006910D9">
        <w:rPr>
          <w:rFonts w:asciiTheme="majorHAnsi" w:hAnsiTheme="majorHAnsi"/>
          <w:sz w:val="20"/>
          <w:szCs w:val="20"/>
          <w:lang w:val="es-ES_tradnl"/>
        </w:rPr>
        <w:t>a</w:t>
      </w:r>
      <w:r w:rsidR="0026460E" w:rsidRPr="006910D9">
        <w:rPr>
          <w:rFonts w:asciiTheme="majorHAnsi" w:hAnsiTheme="majorHAnsi"/>
          <w:sz w:val="20"/>
          <w:szCs w:val="20"/>
          <w:lang w:val="es-ES_tradnl"/>
        </w:rPr>
        <w:t xml:space="preserve"> no es absoluto y puede ser legítimamente objeto de restricciones y limitaciones según lo dispuesto en el artículo 32.2 de la Convención Americana y en el artículo 21 de ese instrumento</w:t>
      </w:r>
      <w:r w:rsidR="00C0515D" w:rsidRPr="006910D9">
        <w:rPr>
          <w:rFonts w:asciiTheme="majorHAnsi" w:hAnsiTheme="majorHAnsi"/>
          <w:sz w:val="20"/>
          <w:szCs w:val="20"/>
          <w:lang w:val="es-ES_tradnl"/>
        </w:rPr>
        <w:t xml:space="preserve">. En este sentido, el Estado argumenta que los derechos de las presuntas víctimas fueron legítimamente limitados para la protección del bien común de los aportantes y beneficiarios del sistema previsional en juego. </w:t>
      </w:r>
    </w:p>
    <w:p w14:paraId="43C6F6FA" w14:textId="77777777" w:rsidR="00C0515D" w:rsidRPr="006910D9" w:rsidRDefault="00C0515D" w:rsidP="00C0515D">
      <w:pPr>
        <w:pStyle w:val="ListParagraph"/>
        <w:rPr>
          <w:rFonts w:asciiTheme="majorHAnsi" w:hAnsiTheme="majorHAnsi"/>
          <w:sz w:val="20"/>
          <w:szCs w:val="20"/>
          <w:lang w:val="es-ES_tradnl"/>
        </w:rPr>
      </w:pPr>
    </w:p>
    <w:p w14:paraId="5DEC1585" w14:textId="7562DEB9" w:rsidR="00C40CE6" w:rsidRPr="006910D9" w:rsidRDefault="00FF7694"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Argentina alega además</w:t>
      </w:r>
      <w:r w:rsidR="006122B1" w:rsidRPr="006910D9">
        <w:rPr>
          <w:rFonts w:asciiTheme="majorHAnsi" w:hAnsiTheme="majorHAnsi"/>
          <w:sz w:val="20"/>
          <w:szCs w:val="20"/>
          <w:lang w:val="es-ES_tradnl"/>
        </w:rPr>
        <w:t xml:space="preserve"> que los tribunales domésticos ya se pronunciaron sobre los argumentos planteados en la petición con relación al artículo 21 de la Convención Americana</w:t>
      </w:r>
      <w:r w:rsidR="000E409D" w:rsidRPr="006910D9">
        <w:rPr>
          <w:rFonts w:asciiTheme="majorHAnsi" w:hAnsiTheme="majorHAnsi"/>
          <w:sz w:val="20"/>
          <w:szCs w:val="20"/>
          <w:lang w:val="es-ES_tradnl"/>
        </w:rPr>
        <w:t xml:space="preserve">, y </w:t>
      </w:r>
      <w:r w:rsidR="006122B1" w:rsidRPr="006910D9">
        <w:rPr>
          <w:rFonts w:asciiTheme="majorHAnsi" w:hAnsiTheme="majorHAnsi"/>
          <w:sz w:val="20"/>
          <w:szCs w:val="20"/>
          <w:lang w:val="es-ES_tradnl"/>
        </w:rPr>
        <w:t xml:space="preserve">que </w:t>
      </w:r>
      <w:r w:rsidR="00126CEC" w:rsidRPr="006910D9">
        <w:rPr>
          <w:rFonts w:asciiTheme="majorHAnsi" w:hAnsiTheme="majorHAnsi"/>
          <w:sz w:val="20"/>
          <w:szCs w:val="20"/>
          <w:lang w:val="es-ES_tradnl"/>
        </w:rPr>
        <w:t xml:space="preserve">la </w:t>
      </w:r>
      <w:r w:rsidR="006122B1" w:rsidRPr="006910D9">
        <w:rPr>
          <w:rFonts w:asciiTheme="majorHAnsi" w:hAnsiTheme="majorHAnsi"/>
          <w:sz w:val="20"/>
          <w:szCs w:val="20"/>
          <w:lang w:val="es-ES_tradnl"/>
        </w:rPr>
        <w:t xml:space="preserve">parte peticionaria </w:t>
      </w:r>
      <w:r w:rsidR="00126CEC" w:rsidRPr="006910D9">
        <w:rPr>
          <w:rFonts w:asciiTheme="majorHAnsi" w:hAnsiTheme="majorHAnsi"/>
          <w:sz w:val="20"/>
          <w:szCs w:val="20"/>
          <w:lang w:val="es-ES_tradnl"/>
        </w:rPr>
        <w:t>pretende</w:t>
      </w:r>
      <w:r w:rsidR="006122B1" w:rsidRPr="006910D9">
        <w:rPr>
          <w:rFonts w:asciiTheme="majorHAnsi" w:hAnsiTheme="majorHAnsi"/>
          <w:sz w:val="20"/>
          <w:szCs w:val="20"/>
          <w:lang w:val="es-ES_tradnl"/>
        </w:rPr>
        <w:t xml:space="preserve"> que la Comisión actúe como una instancia adicional para la revisión de las </w:t>
      </w:r>
      <w:r w:rsidR="00126CEC" w:rsidRPr="006910D9">
        <w:rPr>
          <w:rFonts w:asciiTheme="majorHAnsi" w:hAnsiTheme="majorHAnsi"/>
          <w:sz w:val="20"/>
          <w:szCs w:val="20"/>
          <w:lang w:val="es-ES_tradnl"/>
        </w:rPr>
        <w:t xml:space="preserve">decisiones de los tribunales domésticos </w:t>
      </w:r>
      <w:r w:rsidR="000E409D" w:rsidRPr="006910D9">
        <w:rPr>
          <w:rFonts w:asciiTheme="majorHAnsi" w:hAnsiTheme="majorHAnsi"/>
          <w:sz w:val="20"/>
          <w:szCs w:val="20"/>
          <w:lang w:val="es-ES_tradnl"/>
        </w:rPr>
        <w:t xml:space="preserve">sin invocar más razones que </w:t>
      </w:r>
      <w:r w:rsidR="00126CEC" w:rsidRPr="006910D9">
        <w:rPr>
          <w:rFonts w:asciiTheme="majorHAnsi" w:hAnsiTheme="majorHAnsi"/>
          <w:sz w:val="20"/>
          <w:szCs w:val="20"/>
          <w:lang w:val="es-ES_tradnl"/>
        </w:rPr>
        <w:t xml:space="preserve">su disconformidad con estas. Por lo tanto, el Estado </w:t>
      </w:r>
      <w:r w:rsidR="000E409D" w:rsidRPr="006910D9">
        <w:rPr>
          <w:rFonts w:asciiTheme="majorHAnsi" w:hAnsiTheme="majorHAnsi"/>
          <w:sz w:val="20"/>
          <w:szCs w:val="20"/>
          <w:lang w:val="es-ES_tradnl"/>
        </w:rPr>
        <w:t xml:space="preserve">estima que la petición resulta inadmisible conforme a la doctrina de la “cuarta instancia” y el principio de subsidiaridad que rige al Sistema Interamericano. </w:t>
      </w:r>
      <w:r w:rsidRPr="006910D9">
        <w:rPr>
          <w:rFonts w:asciiTheme="majorHAnsi" w:hAnsiTheme="majorHAnsi"/>
          <w:sz w:val="20"/>
          <w:szCs w:val="20"/>
          <w:lang w:val="es-ES_tradnl"/>
        </w:rPr>
        <w:t>Aduce</w:t>
      </w:r>
      <w:r w:rsidR="00057F1A" w:rsidRPr="006910D9">
        <w:rPr>
          <w:rFonts w:asciiTheme="majorHAnsi" w:hAnsiTheme="majorHAnsi"/>
          <w:sz w:val="20"/>
          <w:szCs w:val="20"/>
          <w:lang w:val="es-ES_tradnl"/>
        </w:rPr>
        <w:t xml:space="preserve"> que la petición no expone una violación al artículo 25 de la Convención Americana</w:t>
      </w:r>
      <w:r w:rsidR="00157C22" w:rsidRPr="006910D9">
        <w:rPr>
          <w:rFonts w:asciiTheme="majorHAnsi" w:hAnsiTheme="majorHAnsi"/>
          <w:sz w:val="20"/>
          <w:szCs w:val="20"/>
          <w:lang w:val="es-ES_tradnl"/>
        </w:rPr>
        <w:t>,</w:t>
      </w:r>
      <w:r w:rsidR="00057F1A" w:rsidRPr="006910D9">
        <w:rPr>
          <w:rFonts w:asciiTheme="majorHAnsi" w:hAnsiTheme="majorHAnsi"/>
          <w:sz w:val="20"/>
          <w:szCs w:val="20"/>
          <w:lang w:val="es-ES_tradnl"/>
        </w:rPr>
        <w:t xml:space="preserve"> pues </w:t>
      </w:r>
      <w:r w:rsidR="00165B43" w:rsidRPr="006910D9">
        <w:rPr>
          <w:rFonts w:asciiTheme="majorHAnsi" w:hAnsiTheme="majorHAnsi"/>
          <w:sz w:val="20"/>
          <w:szCs w:val="20"/>
          <w:lang w:val="es-ES_tradnl"/>
        </w:rPr>
        <w:t xml:space="preserve">de ella surge que las presuntas víctimas tuvieron acceso a los recursos de la jurisdicción interna, teniendo la oportunidad de aportar pruebas y obtener respuestas a todos sus planteos por parte de tribunales imparciales y en absoluto respeto a las reglas del debido proceso. </w:t>
      </w:r>
    </w:p>
    <w:p w14:paraId="7EFBDCA9" w14:textId="77777777" w:rsidR="000E409D" w:rsidRPr="006910D9" w:rsidRDefault="000E409D" w:rsidP="000E409D">
      <w:pPr>
        <w:pStyle w:val="ListParagraph"/>
        <w:rPr>
          <w:rFonts w:asciiTheme="majorHAnsi" w:hAnsiTheme="majorHAnsi"/>
          <w:sz w:val="20"/>
          <w:szCs w:val="20"/>
          <w:lang w:val="es-ES_tradnl"/>
        </w:rPr>
      </w:pPr>
    </w:p>
    <w:p w14:paraId="0D728F9B" w14:textId="733B1397" w:rsidR="000E409D" w:rsidRPr="006910D9" w:rsidRDefault="000C778D"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Según resalta el Estado, la Cámara Federal que conoció la causa de las presuntas víctimas en segunda instancia determinó que el régimen pertinente no</w:t>
      </w:r>
      <w:r w:rsidR="00157C22" w:rsidRPr="006910D9">
        <w:rPr>
          <w:rFonts w:asciiTheme="majorHAnsi" w:hAnsiTheme="majorHAnsi"/>
          <w:sz w:val="20"/>
          <w:szCs w:val="20"/>
          <w:lang w:val="es-ES_tradnl"/>
        </w:rPr>
        <w:t xml:space="preserve"> les</w:t>
      </w:r>
      <w:r w:rsidRPr="006910D9">
        <w:rPr>
          <w:rFonts w:asciiTheme="majorHAnsi" w:hAnsiTheme="majorHAnsi"/>
          <w:sz w:val="20"/>
          <w:szCs w:val="20"/>
          <w:lang w:val="es-ES_tradnl"/>
        </w:rPr>
        <w:t xml:space="preserve"> había otorgado un derecho absoluto y rígido a </w:t>
      </w:r>
      <w:r w:rsidRPr="006910D9">
        <w:rPr>
          <w:rFonts w:asciiTheme="majorHAnsi" w:hAnsiTheme="majorHAnsi"/>
          <w:sz w:val="20"/>
          <w:szCs w:val="20"/>
          <w:lang w:val="es-ES_tradnl"/>
        </w:rPr>
        <w:lastRenderedPageBreak/>
        <w:t xml:space="preserve">una suma pre calculada en concepto de complemento, pues las resoluciones que lo regían preveían expresamente la posibilidad de que se rebajara el aporte mensual cuando existiera un desajuste y se afectara la ecuación aporte egreso. </w:t>
      </w:r>
      <w:r w:rsidR="00915136" w:rsidRPr="006910D9">
        <w:rPr>
          <w:rFonts w:asciiTheme="majorHAnsi" w:hAnsiTheme="majorHAnsi"/>
          <w:sz w:val="20"/>
          <w:szCs w:val="20"/>
          <w:lang w:val="es-ES_tradnl"/>
        </w:rPr>
        <w:t xml:space="preserve">La misma Cámara también expresó que: </w:t>
      </w:r>
    </w:p>
    <w:p w14:paraId="41E26B7F" w14:textId="77777777" w:rsidR="00915136" w:rsidRPr="006910D9" w:rsidRDefault="00915136" w:rsidP="00915136">
      <w:pPr>
        <w:pStyle w:val="ListParagraph"/>
        <w:rPr>
          <w:rFonts w:asciiTheme="majorHAnsi" w:hAnsiTheme="majorHAnsi"/>
          <w:sz w:val="20"/>
          <w:szCs w:val="20"/>
          <w:lang w:val="es-ES_tradnl"/>
        </w:rPr>
      </w:pPr>
    </w:p>
    <w:p w14:paraId="71E6E4BF" w14:textId="4296D3A4" w:rsidR="00915136" w:rsidRPr="006910D9" w:rsidRDefault="004557AC" w:rsidP="00BF727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6910D9">
        <w:rPr>
          <w:rFonts w:asciiTheme="majorHAnsi" w:hAnsiTheme="majorHAnsi"/>
          <w:sz w:val="20"/>
          <w:szCs w:val="20"/>
          <w:lang w:val="es-ES_tradnl"/>
        </w:rPr>
        <w:t>[S]i bien es cierto que</w:t>
      </w:r>
      <w:r w:rsidR="00E715FA" w:rsidRPr="006910D9">
        <w:rPr>
          <w:rFonts w:asciiTheme="majorHAnsi" w:hAnsiTheme="majorHAnsi"/>
          <w:sz w:val="20"/>
          <w:szCs w:val="20"/>
          <w:lang w:val="es-ES_tradnl"/>
        </w:rPr>
        <w:t xml:space="preserve"> [</w:t>
      </w:r>
      <w:r w:rsidRPr="006910D9">
        <w:rPr>
          <w:rFonts w:asciiTheme="majorHAnsi" w:hAnsiTheme="majorHAnsi"/>
          <w:sz w:val="20"/>
          <w:szCs w:val="20"/>
          <w:lang w:val="es-ES_tradnl"/>
        </w:rPr>
        <w:t>…</w:t>
      </w:r>
      <w:r w:rsidR="00E715FA" w:rsidRPr="006910D9">
        <w:rPr>
          <w:rFonts w:asciiTheme="majorHAnsi" w:hAnsiTheme="majorHAnsi"/>
          <w:sz w:val="20"/>
          <w:szCs w:val="20"/>
          <w:lang w:val="es-ES_tradnl"/>
        </w:rPr>
        <w:t>]</w:t>
      </w:r>
      <w:r w:rsidRPr="006910D9">
        <w:rPr>
          <w:rFonts w:asciiTheme="majorHAnsi" w:hAnsiTheme="majorHAnsi"/>
          <w:sz w:val="20"/>
          <w:szCs w:val="20"/>
          <w:lang w:val="es-ES_tradnl"/>
        </w:rPr>
        <w:t xml:space="preserve"> son altos los porcentajes de reducción en el beneficio del Fondo Móvil Complementario respecto de los actores</w:t>
      </w:r>
      <w:r w:rsidR="00157C22" w:rsidRPr="006910D9">
        <w:rPr>
          <w:rFonts w:asciiTheme="majorHAnsi" w:hAnsiTheme="majorHAnsi"/>
          <w:sz w:val="20"/>
          <w:szCs w:val="20"/>
          <w:lang w:val="es-ES_tradnl"/>
        </w:rPr>
        <w:t xml:space="preserve"> [</w:t>
      </w:r>
      <w:r w:rsidRPr="006910D9">
        <w:rPr>
          <w:rFonts w:asciiTheme="majorHAnsi" w:hAnsiTheme="majorHAnsi"/>
          <w:sz w:val="20"/>
          <w:szCs w:val="20"/>
          <w:lang w:val="es-ES_tradnl"/>
        </w:rPr>
        <w:t>…</w:t>
      </w:r>
      <w:r w:rsidR="00157C22" w:rsidRPr="006910D9">
        <w:rPr>
          <w:rFonts w:asciiTheme="majorHAnsi" w:hAnsiTheme="majorHAnsi"/>
          <w:sz w:val="20"/>
          <w:szCs w:val="20"/>
          <w:lang w:val="es-ES_tradnl"/>
        </w:rPr>
        <w:t>]</w:t>
      </w:r>
      <w:r w:rsidRPr="006910D9">
        <w:rPr>
          <w:rFonts w:asciiTheme="majorHAnsi" w:hAnsiTheme="majorHAnsi"/>
          <w:sz w:val="20"/>
          <w:szCs w:val="20"/>
          <w:lang w:val="es-ES_tradnl"/>
        </w:rPr>
        <w:t>, no considero que ello implique una confiscación del haber jubilatorio –como se pretende</w:t>
      </w:r>
      <w:r w:rsidR="00E715FA" w:rsidRPr="006910D9">
        <w:rPr>
          <w:rFonts w:asciiTheme="majorHAnsi" w:hAnsiTheme="majorHAnsi"/>
          <w:sz w:val="20"/>
          <w:szCs w:val="20"/>
          <w:lang w:val="es-ES_tradnl"/>
        </w:rPr>
        <w:t>–</w:t>
      </w:r>
      <w:r w:rsidRPr="006910D9">
        <w:rPr>
          <w:rFonts w:asciiTheme="majorHAnsi" w:hAnsiTheme="majorHAnsi"/>
          <w:sz w:val="20"/>
          <w:szCs w:val="20"/>
          <w:lang w:val="es-ES_tradnl"/>
        </w:rPr>
        <w:t xml:space="preserve"> por cuanto el perito no se refiere al aporte total de la jubilación </w:t>
      </w:r>
      <w:r w:rsidR="003963BB" w:rsidRPr="006910D9">
        <w:rPr>
          <w:rFonts w:asciiTheme="majorHAnsi" w:hAnsiTheme="majorHAnsi"/>
          <w:sz w:val="20"/>
          <w:szCs w:val="20"/>
          <w:lang w:val="es-ES_tradnl"/>
        </w:rPr>
        <w:t>–</w:t>
      </w:r>
      <w:r w:rsidRPr="006910D9">
        <w:rPr>
          <w:rFonts w:asciiTheme="majorHAnsi" w:hAnsiTheme="majorHAnsi"/>
          <w:sz w:val="20"/>
          <w:szCs w:val="20"/>
          <w:lang w:val="es-ES_tradnl"/>
        </w:rPr>
        <w:t>incluyendo lo percibido por aquéllos del sistema jubilatorio ordinario regulado por la ley 24.441</w:t>
      </w:r>
      <w:r w:rsidR="003963BB" w:rsidRPr="006910D9">
        <w:rPr>
          <w:rFonts w:asciiTheme="majorHAnsi" w:hAnsiTheme="majorHAnsi"/>
          <w:sz w:val="20"/>
          <w:szCs w:val="20"/>
          <w:lang w:val="es-ES_tradnl"/>
        </w:rPr>
        <w:t>–</w:t>
      </w:r>
      <w:r w:rsidRPr="006910D9">
        <w:rPr>
          <w:rFonts w:asciiTheme="majorHAnsi" w:hAnsiTheme="majorHAnsi"/>
          <w:sz w:val="20"/>
          <w:szCs w:val="20"/>
          <w:lang w:val="es-ES_tradnl"/>
        </w:rPr>
        <w:t>, sino exclusivamente al beneficio del Fondo Móvil Complementario, el cual, como su nombre lo indica, es un ‘complemento’ creado y administrado por el B.H.N. que como administrador del mismo está facultado para aumentarlo y disminuirlo de acuerdo a la disponibilidad de recursos para ello  en el marco de las contingencias económico-financieras que pudieran afectarlo</w:t>
      </w:r>
      <w:r w:rsidR="00BF727A" w:rsidRPr="006910D9">
        <w:rPr>
          <w:rFonts w:asciiTheme="majorHAnsi" w:hAnsiTheme="majorHAnsi"/>
          <w:sz w:val="20"/>
          <w:szCs w:val="20"/>
          <w:lang w:val="es-ES_tradnl"/>
        </w:rPr>
        <w:t xml:space="preserve"> [</w:t>
      </w:r>
      <w:r w:rsidRPr="006910D9">
        <w:rPr>
          <w:rFonts w:asciiTheme="majorHAnsi" w:hAnsiTheme="majorHAnsi"/>
          <w:sz w:val="20"/>
          <w:szCs w:val="20"/>
          <w:lang w:val="es-ES_tradnl"/>
        </w:rPr>
        <w:t>…</w:t>
      </w:r>
      <w:r w:rsidR="00BF727A" w:rsidRPr="006910D9">
        <w:rPr>
          <w:rFonts w:asciiTheme="majorHAnsi" w:hAnsiTheme="majorHAnsi"/>
          <w:sz w:val="20"/>
          <w:szCs w:val="20"/>
          <w:lang w:val="es-ES_tradnl"/>
        </w:rPr>
        <w:t>]</w:t>
      </w:r>
    </w:p>
    <w:p w14:paraId="7927832F" w14:textId="77777777" w:rsidR="00915136" w:rsidRPr="006910D9" w:rsidRDefault="00915136" w:rsidP="00915136">
      <w:pPr>
        <w:pStyle w:val="ListParagraph"/>
        <w:rPr>
          <w:rFonts w:asciiTheme="majorHAnsi" w:hAnsiTheme="majorHAnsi"/>
          <w:sz w:val="20"/>
          <w:szCs w:val="20"/>
          <w:lang w:val="es-ES_tradnl"/>
        </w:rPr>
      </w:pPr>
    </w:p>
    <w:p w14:paraId="37EC23D5" w14:textId="6BD2B6AB" w:rsidR="00915136" w:rsidRPr="006910D9" w:rsidRDefault="004557AC"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De igual forma, el Estado destaca que la referida Cámara </w:t>
      </w:r>
      <w:r w:rsidR="0013058E" w:rsidRPr="006910D9">
        <w:rPr>
          <w:rFonts w:asciiTheme="majorHAnsi" w:hAnsiTheme="majorHAnsi"/>
          <w:sz w:val="20"/>
          <w:szCs w:val="20"/>
          <w:lang w:val="es-ES_tradnl"/>
        </w:rPr>
        <w:t>también emitió una decisión debidamente fundada al denegar el recurso extraordinario federal presentado por las presuntas víctimas, y que igualmente lo hizo la Corte Suprema de Justicia de la Nación al denegar una medida cautelar solicitada por las presuntas víctimas. Respecto a la decisión de la Corte Suprema de Justicia de la Nación que desestimó el recurso de queja por recurso extraordinario federal denegado, el Estado explica que la pretensión de la</w:t>
      </w:r>
      <w:r w:rsidR="00057F1A" w:rsidRPr="006910D9">
        <w:rPr>
          <w:rFonts w:asciiTheme="majorHAnsi" w:hAnsiTheme="majorHAnsi"/>
          <w:sz w:val="20"/>
          <w:szCs w:val="20"/>
          <w:lang w:val="es-ES_tradnl"/>
        </w:rPr>
        <w:t>s</w:t>
      </w:r>
      <w:r w:rsidR="0013058E" w:rsidRPr="006910D9">
        <w:rPr>
          <w:rFonts w:asciiTheme="majorHAnsi" w:hAnsiTheme="majorHAnsi"/>
          <w:sz w:val="20"/>
          <w:szCs w:val="20"/>
          <w:lang w:val="es-ES_tradnl"/>
        </w:rPr>
        <w:t xml:space="preserve"> presuntas víctimas fue desestimada por falta de agravio federal y/o trascendencia suficiente y habiendo sido tomadas en cuenta por la Corte las observaciones previamente hechas al caso por </w:t>
      </w:r>
      <w:r w:rsidR="00057F1A" w:rsidRPr="006910D9">
        <w:rPr>
          <w:rFonts w:asciiTheme="majorHAnsi" w:hAnsiTheme="majorHAnsi"/>
          <w:sz w:val="20"/>
          <w:szCs w:val="20"/>
          <w:lang w:val="es-ES_tradnl"/>
        </w:rPr>
        <w:t xml:space="preserve">parte de la Procuraduría General de la Nación. </w:t>
      </w:r>
    </w:p>
    <w:p w14:paraId="34F5F9D6" w14:textId="77777777" w:rsidR="00057F1A" w:rsidRPr="006910D9" w:rsidRDefault="00057F1A" w:rsidP="00AF700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127D468" w14:textId="18BB5741" w:rsidR="00057F1A" w:rsidRPr="006910D9" w:rsidRDefault="00165B43"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En cuanto a las </w:t>
      </w:r>
      <w:r w:rsidR="00B62188" w:rsidRPr="006910D9">
        <w:rPr>
          <w:rFonts w:asciiTheme="majorHAnsi" w:hAnsiTheme="majorHAnsi"/>
          <w:sz w:val="20"/>
          <w:szCs w:val="20"/>
          <w:lang w:val="es-ES_tradnl"/>
        </w:rPr>
        <w:t>denuncias de la parte peticionaria sobre supuestas violaciones a los artículos 4 y 26 de la Convención Americana, el Estado estima que estas carecen de fundamentación autónoma</w:t>
      </w:r>
      <w:r w:rsidR="006C3991" w:rsidRPr="006910D9">
        <w:rPr>
          <w:rFonts w:asciiTheme="majorHAnsi" w:hAnsiTheme="majorHAnsi"/>
          <w:sz w:val="20"/>
          <w:szCs w:val="20"/>
          <w:lang w:val="es-ES_tradnl"/>
        </w:rPr>
        <w:t>,</w:t>
      </w:r>
      <w:r w:rsidR="00B62188" w:rsidRPr="006910D9">
        <w:rPr>
          <w:rFonts w:asciiTheme="majorHAnsi" w:hAnsiTheme="majorHAnsi"/>
          <w:sz w:val="20"/>
          <w:szCs w:val="20"/>
          <w:lang w:val="es-ES_tradnl"/>
        </w:rPr>
        <w:t xml:space="preserve"> pues se refieren a consecuencias de la supuesta violación al derecho a la propiedad privada. En este sentido, el Estado señala que</w:t>
      </w:r>
      <w:r w:rsidR="002B02DD" w:rsidRPr="006910D9">
        <w:rPr>
          <w:rFonts w:asciiTheme="majorHAnsi" w:hAnsiTheme="majorHAnsi"/>
          <w:sz w:val="20"/>
          <w:szCs w:val="20"/>
          <w:lang w:val="es-ES_tradnl"/>
        </w:rPr>
        <w:t xml:space="preserve"> durante los procedimientos que se desarrollaron en la jurisdicción intern</w:t>
      </w:r>
      <w:r w:rsidR="006C3991" w:rsidRPr="006910D9">
        <w:rPr>
          <w:rFonts w:asciiTheme="majorHAnsi" w:hAnsiTheme="majorHAnsi"/>
          <w:sz w:val="20"/>
          <w:szCs w:val="20"/>
          <w:lang w:val="es-ES_tradnl"/>
        </w:rPr>
        <w:t>a</w:t>
      </w:r>
      <w:r w:rsidR="002B02DD" w:rsidRPr="006910D9">
        <w:rPr>
          <w:rFonts w:asciiTheme="majorHAnsi" w:hAnsiTheme="majorHAnsi"/>
          <w:sz w:val="20"/>
          <w:szCs w:val="20"/>
          <w:lang w:val="es-ES_tradnl"/>
        </w:rPr>
        <w:t>s</w:t>
      </w:r>
      <w:r w:rsidR="00B62188" w:rsidRPr="006910D9">
        <w:rPr>
          <w:rFonts w:asciiTheme="majorHAnsi" w:hAnsiTheme="majorHAnsi"/>
          <w:sz w:val="20"/>
          <w:szCs w:val="20"/>
          <w:lang w:val="es-ES_tradnl"/>
        </w:rPr>
        <w:t xml:space="preserve"> los peticionarios no realizaron </w:t>
      </w:r>
      <w:r w:rsidR="006C3991" w:rsidRPr="006910D9">
        <w:rPr>
          <w:rFonts w:asciiTheme="majorHAnsi" w:hAnsiTheme="majorHAnsi"/>
          <w:sz w:val="20"/>
          <w:szCs w:val="20"/>
          <w:lang w:val="es-ES_tradnl"/>
        </w:rPr>
        <w:t>planteamientos</w:t>
      </w:r>
      <w:r w:rsidR="00B62188" w:rsidRPr="006910D9">
        <w:rPr>
          <w:rFonts w:asciiTheme="majorHAnsi" w:hAnsiTheme="majorHAnsi"/>
          <w:sz w:val="20"/>
          <w:szCs w:val="20"/>
          <w:lang w:val="es-ES_tradnl"/>
        </w:rPr>
        <w:t xml:space="preserve"> ni fundamentaciones autónomas </w:t>
      </w:r>
      <w:r w:rsidR="002B02DD" w:rsidRPr="006910D9">
        <w:rPr>
          <w:rFonts w:asciiTheme="majorHAnsi" w:hAnsiTheme="majorHAnsi"/>
          <w:sz w:val="20"/>
          <w:szCs w:val="20"/>
          <w:lang w:val="es-ES_tradnl"/>
        </w:rPr>
        <w:t xml:space="preserve">con respecto a los derechos amparados por esos artículos. Por lo tanto, el Estado </w:t>
      </w:r>
      <w:r w:rsidR="006C3991" w:rsidRPr="006910D9">
        <w:rPr>
          <w:rFonts w:asciiTheme="majorHAnsi" w:hAnsiTheme="majorHAnsi"/>
          <w:sz w:val="20"/>
          <w:szCs w:val="20"/>
          <w:lang w:val="es-ES_tradnl"/>
        </w:rPr>
        <w:t>aduce</w:t>
      </w:r>
      <w:r w:rsidR="002B02DD" w:rsidRPr="006910D9">
        <w:rPr>
          <w:rFonts w:asciiTheme="majorHAnsi" w:hAnsiTheme="majorHAnsi"/>
          <w:sz w:val="20"/>
          <w:szCs w:val="20"/>
          <w:lang w:val="es-ES_tradnl"/>
        </w:rPr>
        <w:t xml:space="preserve"> que la Comisión violaría el principio subsidiaridad si conociera </w:t>
      </w:r>
      <w:r w:rsidR="006C3991" w:rsidRPr="006910D9">
        <w:rPr>
          <w:rFonts w:asciiTheme="majorHAnsi" w:hAnsiTheme="majorHAnsi"/>
          <w:sz w:val="20"/>
          <w:szCs w:val="20"/>
          <w:lang w:val="es-ES_tradnl"/>
        </w:rPr>
        <w:t>estos reclamos ya</w:t>
      </w:r>
      <w:r w:rsidR="002B02DD" w:rsidRPr="006910D9">
        <w:rPr>
          <w:rFonts w:asciiTheme="majorHAnsi" w:hAnsiTheme="majorHAnsi"/>
          <w:sz w:val="20"/>
          <w:szCs w:val="20"/>
          <w:lang w:val="es-ES_tradnl"/>
        </w:rPr>
        <w:t xml:space="preserve"> que no fueron conocid</w:t>
      </w:r>
      <w:r w:rsidR="006C3991" w:rsidRPr="006910D9">
        <w:rPr>
          <w:rFonts w:asciiTheme="majorHAnsi" w:hAnsiTheme="majorHAnsi"/>
          <w:sz w:val="20"/>
          <w:szCs w:val="20"/>
          <w:lang w:val="es-ES_tradnl"/>
        </w:rPr>
        <w:t>o</w:t>
      </w:r>
      <w:r w:rsidR="002B02DD" w:rsidRPr="006910D9">
        <w:rPr>
          <w:rFonts w:asciiTheme="majorHAnsi" w:hAnsiTheme="majorHAnsi"/>
          <w:sz w:val="20"/>
          <w:szCs w:val="20"/>
          <w:lang w:val="es-ES_tradnl"/>
        </w:rPr>
        <w:t>s en sede doméstica</w:t>
      </w:r>
      <w:r w:rsidR="006C3991" w:rsidRPr="006910D9">
        <w:rPr>
          <w:rFonts w:asciiTheme="majorHAnsi" w:hAnsiTheme="majorHAnsi"/>
          <w:sz w:val="20"/>
          <w:szCs w:val="20"/>
          <w:lang w:val="es-ES_tradnl"/>
        </w:rPr>
        <w:t>,</w:t>
      </w:r>
      <w:r w:rsidR="002B02DD" w:rsidRPr="006910D9">
        <w:rPr>
          <w:rFonts w:asciiTheme="majorHAnsi" w:hAnsiTheme="majorHAnsi"/>
          <w:sz w:val="20"/>
          <w:szCs w:val="20"/>
          <w:lang w:val="es-ES_tradnl"/>
        </w:rPr>
        <w:t xml:space="preserve"> </w:t>
      </w:r>
      <w:r w:rsidR="006C3991" w:rsidRPr="006910D9">
        <w:rPr>
          <w:rFonts w:asciiTheme="majorHAnsi" w:hAnsiTheme="majorHAnsi"/>
          <w:sz w:val="20"/>
          <w:szCs w:val="20"/>
          <w:lang w:val="es-ES_tradnl"/>
        </w:rPr>
        <w:t xml:space="preserve">por lo cual </w:t>
      </w:r>
      <w:r w:rsidR="002B02DD" w:rsidRPr="006910D9">
        <w:rPr>
          <w:rFonts w:asciiTheme="majorHAnsi" w:hAnsiTheme="majorHAnsi"/>
          <w:sz w:val="20"/>
          <w:szCs w:val="20"/>
          <w:lang w:val="es-ES_tradnl"/>
        </w:rPr>
        <w:t xml:space="preserve">el Estado no ha tenido la oportunidad de </w:t>
      </w:r>
      <w:r w:rsidR="006C3991" w:rsidRPr="006910D9">
        <w:rPr>
          <w:rFonts w:asciiTheme="majorHAnsi" w:hAnsiTheme="majorHAnsi"/>
          <w:sz w:val="20"/>
          <w:szCs w:val="20"/>
          <w:lang w:val="es-ES_tradnl"/>
        </w:rPr>
        <w:t>atenderlos</w:t>
      </w:r>
      <w:r w:rsidR="002B02DD" w:rsidRPr="006910D9">
        <w:rPr>
          <w:rFonts w:asciiTheme="majorHAnsi" w:hAnsiTheme="majorHAnsi"/>
          <w:sz w:val="20"/>
          <w:szCs w:val="20"/>
          <w:lang w:val="es-ES_tradnl"/>
        </w:rPr>
        <w:t xml:space="preserve"> </w:t>
      </w:r>
      <w:r w:rsidR="006C3991" w:rsidRPr="006910D9">
        <w:rPr>
          <w:rFonts w:asciiTheme="majorHAnsi" w:hAnsiTheme="majorHAnsi"/>
          <w:sz w:val="20"/>
          <w:szCs w:val="20"/>
          <w:lang w:val="es-ES_tradnl"/>
        </w:rPr>
        <w:t>en</w:t>
      </w:r>
      <w:r w:rsidR="002B02DD" w:rsidRPr="006910D9">
        <w:rPr>
          <w:rFonts w:asciiTheme="majorHAnsi" w:hAnsiTheme="majorHAnsi"/>
          <w:sz w:val="20"/>
          <w:szCs w:val="20"/>
          <w:lang w:val="es-ES_tradnl"/>
        </w:rPr>
        <w:t xml:space="preserve"> su propio sistema de protección jurídica. </w:t>
      </w:r>
    </w:p>
    <w:p w14:paraId="06A53C4A" w14:textId="77777777" w:rsidR="002B02DD" w:rsidRPr="006910D9" w:rsidRDefault="002B02DD" w:rsidP="002B02D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E792246" w14:textId="2AE67F8B" w:rsidR="00DE6678" w:rsidRPr="006910D9" w:rsidRDefault="002B02DD" w:rsidP="00760D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El Estado también </w:t>
      </w:r>
      <w:r w:rsidR="00A30DF6" w:rsidRPr="006910D9">
        <w:rPr>
          <w:rFonts w:asciiTheme="majorHAnsi" w:hAnsiTheme="majorHAnsi"/>
          <w:sz w:val="20"/>
          <w:szCs w:val="20"/>
          <w:lang w:val="es-ES_tradnl"/>
        </w:rPr>
        <w:t>solicita</w:t>
      </w:r>
      <w:r w:rsidR="007D05AA" w:rsidRPr="006910D9">
        <w:rPr>
          <w:rFonts w:asciiTheme="majorHAnsi" w:hAnsiTheme="majorHAnsi"/>
          <w:sz w:val="20"/>
          <w:szCs w:val="20"/>
          <w:lang w:val="es-ES_tradnl"/>
        </w:rPr>
        <w:t xml:space="preserve"> que la petición sea acumulada a la petición 1274-09 por versar ambas sobre los mismos hechos, víctimas y supuestas violaciones de derecho</w:t>
      </w:r>
      <w:r w:rsidR="00A30DF6" w:rsidRPr="006910D9">
        <w:rPr>
          <w:rFonts w:asciiTheme="majorHAnsi" w:hAnsiTheme="majorHAnsi"/>
          <w:sz w:val="20"/>
          <w:szCs w:val="20"/>
          <w:lang w:val="es-ES_tradnl"/>
        </w:rPr>
        <w:t>. Adicionalmente, el Estado reclama que la petición le fue traslada más de cuatro años luego de su interposición, lo que considera extemporáneo.</w:t>
      </w:r>
    </w:p>
    <w:p w14:paraId="056B3893" w14:textId="77777777" w:rsidR="00F20330" w:rsidRPr="006910D9" w:rsidRDefault="00F20330" w:rsidP="00F2033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F4D4171" w14:textId="14EE38FE" w:rsidR="003239B8" w:rsidRPr="006910D9" w:rsidRDefault="003239B8" w:rsidP="00DE030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6910D9">
        <w:rPr>
          <w:rFonts w:asciiTheme="majorHAnsi" w:eastAsia="Cambria" w:hAnsiTheme="majorHAnsi" w:cs="Cambria"/>
          <w:b/>
          <w:bCs/>
          <w:color w:val="000000"/>
          <w:sz w:val="20"/>
          <w:szCs w:val="20"/>
          <w:u w:color="000000"/>
          <w:lang w:val="es-ES_tradnl" w:eastAsia="es-ES"/>
        </w:rPr>
        <w:t>VI.</w:t>
      </w:r>
      <w:r w:rsidRPr="006910D9">
        <w:rPr>
          <w:rFonts w:asciiTheme="majorHAnsi" w:eastAsia="Cambria" w:hAnsiTheme="majorHAnsi" w:cs="Cambria"/>
          <w:b/>
          <w:bCs/>
          <w:color w:val="000000"/>
          <w:sz w:val="20"/>
          <w:szCs w:val="20"/>
          <w:u w:color="000000"/>
          <w:lang w:val="es-ES_tradnl" w:eastAsia="es-ES"/>
        </w:rPr>
        <w:tab/>
      </w:r>
      <w:r w:rsidR="004A6A54" w:rsidRPr="006910D9">
        <w:rPr>
          <w:rFonts w:asciiTheme="majorHAnsi" w:hAnsiTheme="majorHAnsi"/>
          <w:b/>
          <w:bCs/>
          <w:sz w:val="20"/>
          <w:szCs w:val="20"/>
          <w:lang w:val="es-ES_tradnl"/>
        </w:rPr>
        <w:t xml:space="preserve">ANÁLISIS DE </w:t>
      </w:r>
      <w:r w:rsidR="00C21FEF" w:rsidRPr="006910D9">
        <w:rPr>
          <w:rFonts w:asciiTheme="majorHAnsi" w:hAnsiTheme="majorHAnsi"/>
          <w:b/>
          <w:sz w:val="20"/>
          <w:szCs w:val="20"/>
          <w:lang w:val="es-ES_tradnl"/>
        </w:rPr>
        <w:t>AGOTAMIENTO DE LOS RECURSOS INTERNOS</w:t>
      </w:r>
      <w:r w:rsidR="00E94E53" w:rsidRPr="006910D9">
        <w:rPr>
          <w:rFonts w:asciiTheme="majorHAnsi" w:hAnsiTheme="majorHAnsi"/>
          <w:b/>
          <w:sz w:val="20"/>
          <w:szCs w:val="20"/>
          <w:lang w:val="es-ES_tradnl"/>
        </w:rPr>
        <w:t xml:space="preserve">, </w:t>
      </w:r>
      <w:r w:rsidR="00C21FEF" w:rsidRPr="006910D9">
        <w:rPr>
          <w:rFonts w:asciiTheme="majorHAnsi" w:hAnsiTheme="majorHAnsi"/>
          <w:b/>
          <w:sz w:val="20"/>
          <w:szCs w:val="20"/>
          <w:lang w:val="es-ES_tradnl"/>
        </w:rPr>
        <w:t>PLAZO DE PRESENTACIÓN</w:t>
      </w:r>
      <w:r w:rsidR="00C21FEF" w:rsidRPr="006910D9">
        <w:rPr>
          <w:rFonts w:asciiTheme="majorHAnsi" w:eastAsia="Cambria" w:hAnsiTheme="majorHAnsi" w:cs="Cambria"/>
          <w:b/>
          <w:bCs/>
          <w:color w:val="000000"/>
          <w:sz w:val="20"/>
          <w:szCs w:val="20"/>
          <w:u w:color="000000"/>
          <w:lang w:val="es-ES_tradnl" w:eastAsia="es-ES"/>
        </w:rPr>
        <w:t xml:space="preserve"> </w:t>
      </w:r>
      <w:r w:rsidR="00E94E53" w:rsidRPr="006910D9">
        <w:rPr>
          <w:rFonts w:asciiTheme="majorHAnsi" w:eastAsia="Cambria" w:hAnsiTheme="majorHAnsi" w:cs="Cambria"/>
          <w:b/>
          <w:bCs/>
          <w:color w:val="000000"/>
          <w:sz w:val="20"/>
          <w:szCs w:val="20"/>
          <w:u w:color="000000"/>
          <w:lang w:val="es-ES_tradnl" w:eastAsia="es-ES"/>
        </w:rPr>
        <w:t>Y DUPLICIDAD DE PROCEDIMIENTOS</w:t>
      </w:r>
    </w:p>
    <w:p w14:paraId="4A544841" w14:textId="77777777" w:rsidR="00840AE8" w:rsidRPr="006910D9"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49B3C5A9" w14:textId="5D5C6A56" w:rsidR="00C470F1" w:rsidRPr="006910D9" w:rsidRDefault="00614C17"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6910D9">
        <w:rPr>
          <w:rFonts w:asciiTheme="majorHAnsi" w:hAnsiTheme="majorHAnsi"/>
          <w:sz w:val="20"/>
          <w:szCs w:val="20"/>
          <w:lang w:val="es-ES_tradnl"/>
        </w:rPr>
        <w:t xml:space="preserve">La </w:t>
      </w:r>
      <w:r w:rsidR="0076239A" w:rsidRPr="006910D9">
        <w:rPr>
          <w:rFonts w:asciiTheme="majorHAnsi" w:hAnsiTheme="majorHAnsi"/>
          <w:sz w:val="20"/>
          <w:szCs w:val="20"/>
          <w:lang w:val="es-ES_tradnl"/>
        </w:rPr>
        <w:t>parte peticionaria considera que l</w:t>
      </w:r>
      <w:r w:rsidR="00E94E53" w:rsidRPr="006910D9">
        <w:rPr>
          <w:rFonts w:asciiTheme="majorHAnsi" w:hAnsiTheme="majorHAnsi"/>
          <w:sz w:val="20"/>
          <w:szCs w:val="20"/>
          <w:lang w:val="es-ES_tradnl"/>
        </w:rPr>
        <w:t xml:space="preserve">os recursos internos </w:t>
      </w:r>
      <w:r w:rsidR="0076239A" w:rsidRPr="006910D9">
        <w:rPr>
          <w:rFonts w:asciiTheme="majorHAnsi" w:hAnsiTheme="majorHAnsi"/>
          <w:sz w:val="20"/>
          <w:szCs w:val="20"/>
          <w:lang w:val="es-ES_tradnl"/>
        </w:rPr>
        <w:t xml:space="preserve">quedaron agotados con el rechazo del recurso de queja interpuesto contra la denegación del recurso extraordinario federal presentado </w:t>
      </w:r>
      <w:r w:rsidR="00E94E53" w:rsidRPr="006910D9">
        <w:rPr>
          <w:rFonts w:asciiTheme="majorHAnsi" w:hAnsiTheme="majorHAnsi"/>
          <w:sz w:val="20"/>
          <w:szCs w:val="20"/>
          <w:lang w:val="es-ES_tradnl"/>
        </w:rPr>
        <w:t>por las presuntas víctimas</w:t>
      </w:r>
      <w:r w:rsidR="0076239A" w:rsidRPr="006910D9">
        <w:rPr>
          <w:rFonts w:asciiTheme="majorHAnsi" w:hAnsiTheme="majorHAnsi"/>
          <w:sz w:val="20"/>
          <w:szCs w:val="20"/>
          <w:lang w:val="es-ES_tradnl"/>
        </w:rPr>
        <w:t xml:space="preserve">. A su vez, el Estado </w:t>
      </w:r>
      <w:r w:rsidR="00E94E53" w:rsidRPr="006910D9">
        <w:rPr>
          <w:rFonts w:asciiTheme="majorHAnsi" w:hAnsiTheme="majorHAnsi"/>
          <w:sz w:val="20"/>
          <w:szCs w:val="20"/>
          <w:lang w:val="es-ES_tradnl"/>
        </w:rPr>
        <w:t>ha señalado que las presuntas víctimas no plantearon a nivel doméstico</w:t>
      </w:r>
      <w:r w:rsidR="00426FFD" w:rsidRPr="006910D9">
        <w:rPr>
          <w:rFonts w:asciiTheme="majorHAnsi" w:hAnsiTheme="majorHAnsi"/>
          <w:sz w:val="20"/>
          <w:szCs w:val="20"/>
          <w:lang w:val="es-ES_tradnl"/>
        </w:rPr>
        <w:t xml:space="preserve"> </w:t>
      </w:r>
      <w:r w:rsidR="00E94E53" w:rsidRPr="006910D9">
        <w:rPr>
          <w:rFonts w:asciiTheme="majorHAnsi" w:hAnsiTheme="majorHAnsi"/>
          <w:sz w:val="20"/>
          <w:szCs w:val="20"/>
          <w:lang w:val="es-ES_tradnl"/>
        </w:rPr>
        <w:t xml:space="preserve">sus alegatos relacionados con supuestas violaciones a los derechos protegidos por los artículos 4 y 26 de la Convención Americana. </w:t>
      </w:r>
      <w:r w:rsidR="0076239A" w:rsidRPr="006910D9">
        <w:rPr>
          <w:rFonts w:asciiTheme="majorHAnsi" w:hAnsiTheme="majorHAnsi"/>
          <w:sz w:val="20"/>
          <w:szCs w:val="20"/>
          <w:lang w:val="es-ES_tradnl"/>
        </w:rPr>
        <w:t xml:space="preserve"> </w:t>
      </w:r>
    </w:p>
    <w:p w14:paraId="7C6FC7AA" w14:textId="77777777" w:rsidR="0076239A" w:rsidRPr="006910D9" w:rsidRDefault="0076239A" w:rsidP="0076239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2A7761D6" w14:textId="55285F94" w:rsidR="0076239A" w:rsidRPr="006910D9" w:rsidRDefault="005407EF"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6910D9">
        <w:rPr>
          <w:rFonts w:asciiTheme="majorHAnsi" w:hAnsiTheme="majorHAnsi"/>
          <w:bCs/>
          <w:sz w:val="20"/>
          <w:szCs w:val="20"/>
          <w:lang w:val="es-ES_tradnl"/>
        </w:rPr>
        <w:t>Para determinar la vía procesal adecuada que debía ser agotada a nivel doméstico para dar cumplimiento al requisito de agotamiento de los recursos internos la Comisión debe identificar preliminarmente el objeto de la petición presentada a su conocimiento</w:t>
      </w:r>
      <w:r w:rsidRPr="006910D9">
        <w:rPr>
          <w:rStyle w:val="FootnoteReference"/>
          <w:rFonts w:asciiTheme="majorHAnsi" w:hAnsiTheme="majorHAnsi" w:cs="Calibri"/>
          <w:sz w:val="20"/>
          <w:szCs w:val="20"/>
          <w:lang w:val="es-ES_tradnl"/>
        </w:rPr>
        <w:footnoteReference w:id="6"/>
      </w:r>
      <w:r w:rsidRPr="006910D9">
        <w:rPr>
          <w:rFonts w:asciiTheme="majorHAnsi" w:hAnsiTheme="majorHAnsi" w:cs="Calibri"/>
          <w:sz w:val="20"/>
          <w:szCs w:val="20"/>
          <w:lang w:val="es-ES_tradnl"/>
        </w:rPr>
        <w:t>.</w:t>
      </w:r>
      <w:r w:rsidRPr="006910D9">
        <w:rPr>
          <w:rFonts w:asciiTheme="majorHAnsi" w:hAnsiTheme="majorHAnsi"/>
          <w:bCs/>
          <w:sz w:val="20"/>
          <w:szCs w:val="20"/>
          <w:lang w:val="es-ES_tradnl"/>
        </w:rPr>
        <w:t xml:space="preserve"> La Comisión entiende que el objeto de la presente petición es </w:t>
      </w:r>
      <w:r w:rsidR="00A5716A" w:rsidRPr="006910D9">
        <w:rPr>
          <w:rFonts w:asciiTheme="majorHAnsi" w:hAnsiTheme="majorHAnsi"/>
          <w:bCs/>
          <w:sz w:val="20"/>
          <w:szCs w:val="20"/>
          <w:lang w:val="es-ES_tradnl"/>
        </w:rPr>
        <w:t xml:space="preserve">denunciar supuestas violaciones a los derechos de las presuntas víctimas por razón de </w:t>
      </w:r>
      <w:r w:rsidR="005C1B62" w:rsidRPr="006910D9">
        <w:rPr>
          <w:rFonts w:asciiTheme="majorHAnsi" w:hAnsiTheme="majorHAnsi"/>
          <w:bCs/>
          <w:sz w:val="20"/>
          <w:szCs w:val="20"/>
          <w:lang w:val="es-ES_tradnl"/>
        </w:rPr>
        <w:t>que se les redujo a estas un beneficio previsional al que tenían derecho.</w:t>
      </w:r>
    </w:p>
    <w:p w14:paraId="5D0C4A5C" w14:textId="77777777" w:rsidR="005407EF" w:rsidRPr="006910D9" w:rsidRDefault="005407EF" w:rsidP="005C1B62">
      <w:pPr>
        <w:rPr>
          <w:rFonts w:asciiTheme="majorHAnsi" w:hAnsiTheme="majorHAnsi"/>
          <w:b/>
          <w:sz w:val="20"/>
          <w:szCs w:val="20"/>
          <w:lang w:val="es-ES_tradnl"/>
        </w:rPr>
      </w:pPr>
    </w:p>
    <w:p w14:paraId="4650C532" w14:textId="02F5E41B" w:rsidR="00840AE8" w:rsidRPr="006910D9" w:rsidRDefault="009F7599"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6910D9">
        <w:rPr>
          <w:rFonts w:asciiTheme="majorHAnsi" w:hAnsiTheme="majorHAnsi"/>
          <w:bCs/>
          <w:sz w:val="20"/>
          <w:szCs w:val="20"/>
          <w:lang w:val="es-ES_tradnl"/>
        </w:rPr>
        <w:lastRenderedPageBreak/>
        <w:t>Así, s</w:t>
      </w:r>
      <w:r w:rsidR="005407EF" w:rsidRPr="006910D9">
        <w:rPr>
          <w:rFonts w:asciiTheme="majorHAnsi" w:hAnsiTheme="majorHAnsi"/>
          <w:bCs/>
          <w:sz w:val="20"/>
          <w:szCs w:val="20"/>
          <w:lang w:val="es-ES_tradnl"/>
        </w:rPr>
        <w:t>urge del expediente</w:t>
      </w:r>
      <w:r w:rsidR="005C1B62" w:rsidRPr="006910D9">
        <w:rPr>
          <w:rFonts w:asciiTheme="majorHAnsi" w:hAnsiTheme="majorHAnsi"/>
          <w:bCs/>
          <w:sz w:val="20"/>
          <w:szCs w:val="20"/>
          <w:lang w:val="es-ES_tradnl"/>
        </w:rPr>
        <w:t xml:space="preserve"> que las presuntas víctimas impugnaron la medida de reducción mediante demanda judicial obteniendo una sentencia favorable de primera instancia el 30 de octubre de 2003. La sentencia de primera instancia fue apelada por la institución demandada y resultó revocada por la Cámara Federal de Apelaciones de Mendoza. Contra esa revocatoria las presuntas víctimas interpusieron un recurso extraordinario federal que fue denegado por esa misma cámara. Luego, las presuntas </w:t>
      </w:r>
      <w:r w:rsidR="005C0B94" w:rsidRPr="006910D9">
        <w:rPr>
          <w:rFonts w:asciiTheme="majorHAnsi" w:hAnsiTheme="majorHAnsi"/>
          <w:sz w:val="20"/>
          <w:szCs w:val="20"/>
          <w:lang w:val="es-ES_tradnl"/>
        </w:rPr>
        <w:t>las presuntas víctimas interpusieron ante la Corte Suprema de Justicia de la Nación un recurso de queja por recurso extraordinario federal denegado, el cual fue rechazado el 7 de abril de 2009 en decisión que fue notificada a las presuntas víctimas el 28 de abril de 2009.</w:t>
      </w:r>
    </w:p>
    <w:p w14:paraId="29A69244" w14:textId="77777777" w:rsidR="005C0B94" w:rsidRPr="006910D9" w:rsidRDefault="005C0B94" w:rsidP="005C0B94">
      <w:pPr>
        <w:pStyle w:val="ListParagraph"/>
        <w:rPr>
          <w:rFonts w:asciiTheme="majorHAnsi" w:hAnsiTheme="majorHAnsi"/>
          <w:b/>
          <w:bCs/>
          <w:sz w:val="20"/>
          <w:szCs w:val="20"/>
          <w:lang w:val="es-ES_tradnl"/>
        </w:rPr>
      </w:pPr>
    </w:p>
    <w:p w14:paraId="1AAE3EA9" w14:textId="50776B39" w:rsidR="005C0B94" w:rsidRPr="006910D9" w:rsidRDefault="005C0B94"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6910D9">
        <w:rPr>
          <w:rFonts w:asciiTheme="majorHAnsi" w:hAnsiTheme="majorHAnsi"/>
          <w:sz w:val="20"/>
          <w:szCs w:val="20"/>
          <w:lang w:val="es-ES_tradnl"/>
        </w:rPr>
        <w:t xml:space="preserve">El Estado no ha indicado ni surge del expediente que los recursos interpuestos por las presuntas víctimas no fueran los adecuados ni que existieran otros recursos no agotados que pudieran haber sido idóneos para </w:t>
      </w:r>
      <w:r w:rsidR="000D6C2E" w:rsidRPr="006910D9">
        <w:rPr>
          <w:rFonts w:asciiTheme="majorHAnsi" w:hAnsiTheme="majorHAnsi"/>
          <w:sz w:val="20"/>
          <w:szCs w:val="20"/>
          <w:lang w:val="es-ES_tradnl"/>
        </w:rPr>
        <w:t>impugnar la reducción que da objeto a la petición</w:t>
      </w:r>
      <w:r w:rsidRPr="006910D9">
        <w:rPr>
          <w:rFonts w:asciiTheme="majorHAnsi" w:hAnsiTheme="majorHAnsi"/>
          <w:sz w:val="20"/>
          <w:szCs w:val="20"/>
          <w:lang w:val="es-ES_tradnl"/>
        </w:rPr>
        <w:t xml:space="preserve">. Por lo tanto, la Comisión estima que </w:t>
      </w:r>
      <w:r w:rsidR="000D6C2E" w:rsidRPr="006910D9">
        <w:rPr>
          <w:rFonts w:asciiTheme="majorHAnsi" w:hAnsiTheme="majorHAnsi"/>
          <w:sz w:val="20"/>
          <w:szCs w:val="20"/>
          <w:lang w:val="es-ES_tradnl"/>
        </w:rPr>
        <w:t>la petición cumple con el requisito del artículo 46.1(a) de la Convención Americana. Dado que la decisión definitiva de la jurisdicción doméstica fue notificada a las presuntas víctimas el 28 de abril de 2009</w:t>
      </w:r>
      <w:r w:rsidR="00454776" w:rsidRPr="006910D9">
        <w:rPr>
          <w:rFonts w:asciiTheme="majorHAnsi" w:hAnsiTheme="majorHAnsi"/>
          <w:sz w:val="20"/>
          <w:szCs w:val="20"/>
          <w:lang w:val="es-ES_tradnl"/>
        </w:rPr>
        <w:t>,</w:t>
      </w:r>
      <w:r w:rsidR="000D6C2E" w:rsidRPr="006910D9">
        <w:rPr>
          <w:rFonts w:asciiTheme="majorHAnsi" w:hAnsiTheme="majorHAnsi"/>
          <w:sz w:val="20"/>
          <w:szCs w:val="20"/>
          <w:lang w:val="es-ES_tradnl"/>
        </w:rPr>
        <w:t xml:space="preserve"> y la petición fue presentada el 20 de octubre de 2009, la Comisión concluye </w:t>
      </w:r>
      <w:r w:rsidR="00742496" w:rsidRPr="006910D9">
        <w:rPr>
          <w:rFonts w:asciiTheme="majorHAnsi" w:hAnsiTheme="majorHAnsi"/>
          <w:sz w:val="20"/>
          <w:szCs w:val="20"/>
          <w:lang w:val="es-ES_tradnl"/>
        </w:rPr>
        <w:t xml:space="preserve">que la presente petición también cumple con el requisito del artículo 46.1(b) de la Convención Americana. </w:t>
      </w:r>
    </w:p>
    <w:p w14:paraId="5BC9B8F5" w14:textId="77777777" w:rsidR="00742496" w:rsidRPr="006910D9" w:rsidRDefault="00742496" w:rsidP="00742496">
      <w:pPr>
        <w:pStyle w:val="ListParagraph"/>
        <w:rPr>
          <w:rFonts w:asciiTheme="majorHAnsi" w:hAnsiTheme="majorHAnsi"/>
          <w:b/>
          <w:bCs/>
          <w:sz w:val="20"/>
          <w:szCs w:val="20"/>
          <w:lang w:val="es-ES_tradnl"/>
        </w:rPr>
      </w:pPr>
    </w:p>
    <w:p w14:paraId="575A3E4E" w14:textId="77777777" w:rsidR="00742496" w:rsidRPr="006910D9" w:rsidRDefault="00742496" w:rsidP="00742496">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ES_tradnl"/>
        </w:rPr>
      </w:pPr>
    </w:p>
    <w:p w14:paraId="3C152BAD" w14:textId="6D3CAA5E" w:rsidR="00742496" w:rsidRPr="006910D9" w:rsidRDefault="00742496"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En cuanto al alegato de que las presuntas víctimas no presentaron planteamientos autónomos en el ámbito interno respecto a los derechos reconocidos en los artículos 4 y 26 de la Convención Americana, la CIDH recuerda que </w:t>
      </w:r>
      <w:r w:rsidRPr="006910D9">
        <w:rPr>
          <w:rFonts w:asciiTheme="majorHAnsi" w:hAnsiTheme="majorHAnsi" w:cs="Calibri"/>
          <w:sz w:val="20"/>
          <w:szCs w:val="20"/>
          <w:lang w:val="es-ES_tradnl"/>
        </w:rPr>
        <w:t>el requisito del previo agotamiento de los recursos internos tiene como objeto permitir que las autoridades nacionales conozcan sobre la supuesta violación de un derecho protegido y eventualmente solucionar la situación antes de que sea conocida por una instancia internacional</w:t>
      </w:r>
      <w:r w:rsidRPr="006910D9">
        <w:rPr>
          <w:rStyle w:val="FootnoteReference"/>
          <w:rFonts w:asciiTheme="majorHAnsi" w:hAnsiTheme="majorHAnsi" w:cs="Calibri"/>
          <w:sz w:val="20"/>
          <w:szCs w:val="20"/>
          <w:lang w:val="es-ES_tradnl"/>
        </w:rPr>
        <w:footnoteReference w:id="7"/>
      </w:r>
      <w:r w:rsidRPr="006910D9">
        <w:rPr>
          <w:rFonts w:asciiTheme="majorHAnsi" w:hAnsiTheme="majorHAnsi" w:cs="Calibri"/>
          <w:sz w:val="20"/>
          <w:szCs w:val="20"/>
          <w:lang w:val="es-ES_tradnl"/>
        </w:rPr>
        <w:t>. Igualmente, cabe señalar que e</w:t>
      </w:r>
      <w:r w:rsidRPr="006910D9">
        <w:rPr>
          <w:rFonts w:asciiTheme="majorHAnsi" w:hAnsiTheme="majorHAnsi"/>
          <w:sz w:val="20"/>
          <w:szCs w:val="20"/>
          <w:lang w:val="es-ES_tradnl"/>
        </w:rPr>
        <w:t>l Estado no argumenta que las autoridades judiciales que fueron puestas en conocimiento de la situación denunciada como violatoria no hubieran sido las competentes para conocer de las presuntas violaciones de tales derechos y eventualmente repararlas</w:t>
      </w:r>
      <w:r w:rsidRPr="006910D9">
        <w:rPr>
          <w:rStyle w:val="FootnoteReference"/>
          <w:rFonts w:asciiTheme="majorHAnsi" w:hAnsiTheme="majorHAnsi"/>
          <w:sz w:val="20"/>
          <w:szCs w:val="20"/>
          <w:lang w:val="es-ES_tradnl"/>
        </w:rPr>
        <w:footnoteReference w:id="8"/>
      </w:r>
      <w:r w:rsidRPr="006910D9">
        <w:rPr>
          <w:rFonts w:asciiTheme="majorHAnsi" w:hAnsiTheme="majorHAnsi"/>
          <w:sz w:val="20"/>
          <w:szCs w:val="20"/>
          <w:lang w:val="es-ES_tradnl"/>
        </w:rPr>
        <w:t>. Por estas razones, la CIDH estima que el requisito de agotamiento de los recursos internos se encuentra cumplido con respecto al reclamo sobre una posible violación de los artículos 4 y 26 de la Convención Americana.</w:t>
      </w:r>
    </w:p>
    <w:p w14:paraId="4B60CFCF" w14:textId="77777777" w:rsidR="00742496" w:rsidRPr="006910D9" w:rsidRDefault="00742496" w:rsidP="0074249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1351094" w14:textId="2C7917DD" w:rsidR="00742496" w:rsidRPr="006910D9" w:rsidRDefault="00742496"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6910D9">
        <w:rPr>
          <w:rFonts w:asciiTheme="majorHAnsi" w:hAnsiTheme="majorHAnsi"/>
          <w:sz w:val="20"/>
          <w:szCs w:val="20"/>
          <w:lang w:val="es-ES_tradnl"/>
        </w:rPr>
        <w:t>La Comisión toma nota que el Estado ha solicitado que la presente petición sea acumulada a la petición 1274-09. Sin embargo, estima que esa solicitud no puede ser considerada en esta etapa toda vez que la petición 1274-09 se encuentra en una etapa procesal distinta tras haber sido admitida por la Comisión</w:t>
      </w:r>
      <w:r w:rsidRPr="006910D9">
        <w:rPr>
          <w:rStyle w:val="FootnoteReference"/>
          <w:rFonts w:asciiTheme="majorHAnsi" w:hAnsiTheme="majorHAnsi"/>
          <w:sz w:val="20"/>
          <w:szCs w:val="20"/>
          <w:lang w:val="es-ES_tradnl"/>
        </w:rPr>
        <w:footnoteReference w:id="9"/>
      </w:r>
      <w:r w:rsidRPr="006910D9">
        <w:rPr>
          <w:rFonts w:asciiTheme="majorHAnsi" w:hAnsiTheme="majorHAnsi"/>
          <w:sz w:val="20"/>
          <w:szCs w:val="20"/>
          <w:lang w:val="es-ES_tradnl"/>
        </w:rPr>
        <w:t>. No obstante, la Comisión entiende que con excepción</w:t>
      </w:r>
      <w:r w:rsidR="00AF7002" w:rsidRPr="006910D9">
        <w:rPr>
          <w:rFonts w:asciiTheme="majorHAnsi" w:hAnsiTheme="majorHAnsi"/>
          <w:sz w:val="20"/>
          <w:szCs w:val="20"/>
          <w:lang w:val="es-ES_tradnl"/>
        </w:rPr>
        <w:t xml:space="preserve"> de dos</w:t>
      </w:r>
      <w:r w:rsidRPr="006910D9">
        <w:rPr>
          <w:rFonts w:asciiTheme="majorHAnsi" w:hAnsiTheme="majorHAnsi"/>
          <w:sz w:val="20"/>
          <w:szCs w:val="20"/>
          <w:lang w:val="es-ES_tradnl"/>
        </w:rPr>
        <w:t xml:space="preserve"> </w:t>
      </w:r>
      <w:r w:rsidR="00AF7002" w:rsidRPr="006910D9">
        <w:rPr>
          <w:rFonts w:asciiTheme="majorHAnsi" w:hAnsiTheme="majorHAnsi"/>
          <w:sz w:val="20"/>
          <w:szCs w:val="20"/>
          <w:lang w:val="es-ES_tradnl"/>
        </w:rPr>
        <w:t>(</w:t>
      </w:r>
      <w:r w:rsidR="00AF7002" w:rsidRPr="006910D9">
        <w:rPr>
          <w:rFonts w:asciiTheme="majorHAnsi" w:hAnsiTheme="majorHAnsi"/>
          <w:bCs/>
          <w:sz w:val="20"/>
          <w:szCs w:val="20"/>
          <w:lang w:val="es-ES_tradnl"/>
        </w:rPr>
        <w:t>Luis Adelaida Cerioni de Bergamascui y Nicolás Quiroga) los nombres de las presuntas víctimas listadas en la presente parecen corresponder a los nombres listados en la petición 1274-09 ya admitida. Los nombres listados en una y otra petición no coinciden con total exactitud</w:t>
      </w:r>
      <w:r w:rsidR="00F06F0B" w:rsidRPr="006910D9">
        <w:rPr>
          <w:rFonts w:asciiTheme="majorHAnsi" w:hAnsiTheme="majorHAnsi"/>
          <w:bCs/>
          <w:sz w:val="20"/>
          <w:szCs w:val="20"/>
          <w:lang w:val="es-ES_tradnl"/>
        </w:rPr>
        <w:t>,</w:t>
      </w:r>
      <w:r w:rsidR="00AF7002" w:rsidRPr="006910D9">
        <w:rPr>
          <w:rFonts w:asciiTheme="majorHAnsi" w:hAnsiTheme="majorHAnsi"/>
          <w:bCs/>
          <w:sz w:val="20"/>
          <w:szCs w:val="20"/>
          <w:lang w:val="es-ES_tradnl"/>
        </w:rPr>
        <w:t xml:space="preserve"> pero la Comisión considera que</w:t>
      </w:r>
      <w:r w:rsidR="00751FB6" w:rsidRPr="006910D9">
        <w:rPr>
          <w:rFonts w:asciiTheme="majorHAnsi" w:hAnsiTheme="majorHAnsi"/>
          <w:bCs/>
          <w:sz w:val="20"/>
          <w:szCs w:val="20"/>
          <w:lang w:val="es-ES_tradnl"/>
        </w:rPr>
        <w:t>,</w:t>
      </w:r>
      <w:r w:rsidR="00AF7002" w:rsidRPr="006910D9">
        <w:rPr>
          <w:rFonts w:asciiTheme="majorHAnsi" w:hAnsiTheme="majorHAnsi"/>
          <w:bCs/>
          <w:sz w:val="20"/>
          <w:szCs w:val="20"/>
          <w:lang w:val="es-ES_tradnl"/>
        </w:rPr>
        <w:t xml:space="preserve"> dado que ambas peticiones se refieren a </w:t>
      </w:r>
      <w:r w:rsidR="00751FB6" w:rsidRPr="006910D9">
        <w:rPr>
          <w:rFonts w:asciiTheme="majorHAnsi" w:hAnsiTheme="majorHAnsi"/>
          <w:bCs/>
          <w:sz w:val="20"/>
          <w:szCs w:val="20"/>
          <w:lang w:val="es-ES_tradnl"/>
        </w:rPr>
        <w:t xml:space="preserve">los mismos hechos, corresponde conforme al artículo 47(d) de la Convención Americana inadmitir la presente petición con respecto a aquellas personas </w:t>
      </w:r>
      <w:r w:rsidR="00B10A88" w:rsidRPr="006910D9">
        <w:rPr>
          <w:rFonts w:asciiTheme="majorHAnsi" w:hAnsiTheme="majorHAnsi"/>
          <w:bCs/>
          <w:sz w:val="20"/>
          <w:szCs w:val="20"/>
          <w:lang w:val="es-ES_tradnl"/>
        </w:rPr>
        <w:t>que se encuentren</w:t>
      </w:r>
      <w:r w:rsidR="00751FB6" w:rsidRPr="006910D9">
        <w:rPr>
          <w:rFonts w:asciiTheme="majorHAnsi" w:hAnsiTheme="majorHAnsi"/>
          <w:bCs/>
          <w:sz w:val="20"/>
          <w:szCs w:val="20"/>
          <w:lang w:val="es-ES_tradnl"/>
        </w:rPr>
        <w:t xml:space="preserve"> incluid</w:t>
      </w:r>
      <w:r w:rsidR="00B10A88" w:rsidRPr="006910D9">
        <w:rPr>
          <w:rFonts w:asciiTheme="majorHAnsi" w:hAnsiTheme="majorHAnsi"/>
          <w:bCs/>
          <w:sz w:val="20"/>
          <w:szCs w:val="20"/>
          <w:lang w:val="es-ES_tradnl"/>
        </w:rPr>
        <w:t>a</w:t>
      </w:r>
      <w:r w:rsidR="00751FB6" w:rsidRPr="006910D9">
        <w:rPr>
          <w:rFonts w:asciiTheme="majorHAnsi" w:hAnsiTheme="majorHAnsi"/>
          <w:bCs/>
          <w:sz w:val="20"/>
          <w:szCs w:val="20"/>
          <w:lang w:val="es-ES_tradnl"/>
        </w:rPr>
        <w:t>s en la lista de presuntas víctimas anexa al informe 410/21 mediante el que la Comisión admitió la petición 1274-09.</w:t>
      </w:r>
      <w:r w:rsidR="00F06F0B" w:rsidRPr="006910D9">
        <w:rPr>
          <w:rFonts w:asciiTheme="majorHAnsi" w:hAnsiTheme="majorHAnsi"/>
          <w:bCs/>
          <w:sz w:val="20"/>
          <w:szCs w:val="20"/>
          <w:lang w:val="es-ES_tradnl"/>
        </w:rPr>
        <w:t xml:space="preserve"> Es decir, el presente informe sólo considera como presuntas víctimas a aquellas que no están ya incluidas en el Informe 410/20 de la P-1274-09.</w:t>
      </w:r>
    </w:p>
    <w:p w14:paraId="616057DC" w14:textId="77777777" w:rsidR="00D35888" w:rsidRPr="006910D9" w:rsidRDefault="00D35888" w:rsidP="00F06F0B">
      <w:pPr>
        <w:rPr>
          <w:rFonts w:asciiTheme="majorHAnsi" w:hAnsiTheme="majorHAnsi"/>
          <w:b/>
          <w:bCs/>
          <w:sz w:val="20"/>
          <w:szCs w:val="20"/>
          <w:lang w:val="es-ES_tradnl"/>
        </w:rPr>
      </w:pPr>
    </w:p>
    <w:p w14:paraId="2AF3ADD4" w14:textId="5D5659B8" w:rsidR="00D35888" w:rsidRPr="006910D9" w:rsidRDefault="00D35888"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6910D9">
        <w:rPr>
          <w:rFonts w:asciiTheme="majorHAnsi" w:hAnsiTheme="majorHAnsi"/>
          <w:sz w:val="20"/>
          <w:szCs w:val="20"/>
          <w:lang w:val="es-ES_tradnl"/>
        </w:rPr>
        <w:t xml:space="preserve">La Comisión también toma nota </w:t>
      </w:r>
      <w:r w:rsidRPr="006910D9">
        <w:rPr>
          <w:rFonts w:asciiTheme="majorHAnsi" w:hAnsiTheme="majorHAnsi" w:cs="Calibri"/>
          <w:sz w:val="20"/>
          <w:szCs w:val="20"/>
          <w:lang w:val="es-ES_tradnl"/>
        </w:rPr>
        <w:t>del reclamo del Estado sobre lo que</w:t>
      </w:r>
      <w:r w:rsidR="00F06F0B" w:rsidRPr="006910D9">
        <w:rPr>
          <w:rFonts w:asciiTheme="majorHAnsi" w:hAnsiTheme="majorHAnsi" w:cs="Calibri"/>
          <w:sz w:val="20"/>
          <w:szCs w:val="20"/>
          <w:lang w:val="es-ES_tradnl"/>
        </w:rPr>
        <w:t xml:space="preserve"> considera o da en llamar</w:t>
      </w:r>
      <w:r w:rsidRPr="006910D9">
        <w:rPr>
          <w:rFonts w:asciiTheme="majorHAnsi" w:hAnsiTheme="majorHAnsi" w:cs="Calibri"/>
          <w:sz w:val="20"/>
          <w:szCs w:val="20"/>
          <w:lang w:val="es-ES_tradnl"/>
        </w:rPr>
        <w:t xml:space="preserve"> como </w:t>
      </w:r>
      <w:r w:rsidR="00F06F0B" w:rsidRPr="006910D9">
        <w:rPr>
          <w:rFonts w:asciiTheme="majorHAnsi" w:hAnsiTheme="majorHAnsi" w:cs="Calibri"/>
          <w:sz w:val="20"/>
          <w:szCs w:val="20"/>
          <w:lang w:val="es-ES_tradnl"/>
        </w:rPr>
        <w:t>“</w:t>
      </w:r>
      <w:r w:rsidRPr="006910D9">
        <w:rPr>
          <w:rFonts w:asciiTheme="majorHAnsi" w:hAnsiTheme="majorHAnsi" w:cs="Calibri"/>
          <w:sz w:val="20"/>
          <w:szCs w:val="20"/>
          <w:lang w:val="es-ES_tradnl"/>
        </w:rPr>
        <w:t>extemporaneidad en el traslado de la petición</w:t>
      </w:r>
      <w:r w:rsidR="00F06F0B" w:rsidRPr="006910D9">
        <w:rPr>
          <w:rFonts w:asciiTheme="majorHAnsi" w:hAnsiTheme="majorHAnsi" w:cs="Calibri"/>
          <w:sz w:val="20"/>
          <w:szCs w:val="20"/>
          <w:lang w:val="es-ES_tradnl"/>
        </w:rPr>
        <w:t>”</w:t>
      </w:r>
      <w:r w:rsidRPr="006910D9">
        <w:rPr>
          <w:rFonts w:asciiTheme="majorHAnsi" w:hAnsiTheme="majorHAnsi" w:cs="Calibri"/>
          <w:sz w:val="20"/>
          <w:szCs w:val="20"/>
          <w:lang w:val="es-ES_tradnl"/>
        </w:rPr>
        <w:t xml:space="preserve">. Al respecto, </w:t>
      </w:r>
      <w:r w:rsidR="00F06F0B" w:rsidRPr="006910D9">
        <w:rPr>
          <w:rFonts w:asciiTheme="majorHAnsi" w:hAnsiTheme="majorHAnsi" w:cs="Calibri"/>
          <w:sz w:val="20"/>
          <w:szCs w:val="20"/>
          <w:lang w:val="es-ES_tradnl"/>
        </w:rPr>
        <w:t>la CIDH reitera, como l</w:t>
      </w:r>
      <w:r w:rsidR="00E9227D" w:rsidRPr="006910D9">
        <w:rPr>
          <w:rFonts w:asciiTheme="majorHAnsi" w:hAnsiTheme="majorHAnsi" w:cs="Calibri"/>
          <w:sz w:val="20"/>
          <w:szCs w:val="20"/>
          <w:lang w:val="es-ES_tradnl"/>
        </w:rPr>
        <w:t>e</w:t>
      </w:r>
      <w:r w:rsidR="00F06F0B" w:rsidRPr="006910D9">
        <w:rPr>
          <w:rFonts w:asciiTheme="majorHAnsi" w:hAnsiTheme="majorHAnsi" w:cs="Calibri"/>
          <w:sz w:val="20"/>
          <w:szCs w:val="20"/>
          <w:lang w:val="es-ES_tradnl"/>
        </w:rPr>
        <w:t xml:space="preserve"> ha hecho </w:t>
      </w:r>
      <w:r w:rsidR="00E9227D" w:rsidRPr="006910D9">
        <w:rPr>
          <w:rFonts w:asciiTheme="majorHAnsi" w:hAnsiTheme="majorHAnsi" w:cs="Calibri"/>
          <w:sz w:val="20"/>
          <w:szCs w:val="20"/>
          <w:lang w:val="es-ES_tradnl"/>
        </w:rPr>
        <w:t xml:space="preserve">saber </w:t>
      </w:r>
      <w:r w:rsidR="00F06F0B" w:rsidRPr="006910D9">
        <w:rPr>
          <w:rFonts w:asciiTheme="majorHAnsi" w:hAnsiTheme="majorHAnsi" w:cs="Calibri"/>
          <w:sz w:val="20"/>
          <w:szCs w:val="20"/>
          <w:lang w:val="es-ES_tradnl"/>
        </w:rPr>
        <w:t>consistentemente</w:t>
      </w:r>
      <w:r w:rsidR="00E9227D" w:rsidRPr="006910D9">
        <w:rPr>
          <w:rFonts w:asciiTheme="majorHAnsi" w:hAnsiTheme="majorHAnsi" w:cs="Calibri"/>
          <w:sz w:val="20"/>
          <w:szCs w:val="20"/>
          <w:lang w:val="es-ES_tradnl"/>
        </w:rPr>
        <w:t xml:space="preserve"> al Estado argentino a este respecto</w:t>
      </w:r>
      <w:r w:rsidR="00F06F0B" w:rsidRPr="006910D9">
        <w:rPr>
          <w:rFonts w:asciiTheme="majorHAnsi" w:hAnsiTheme="majorHAnsi" w:cs="Calibri"/>
          <w:sz w:val="20"/>
          <w:szCs w:val="20"/>
          <w:lang w:val="es-ES_tradnl"/>
        </w:rPr>
        <w:t xml:space="preserve">, que </w:t>
      </w:r>
      <w:r w:rsidRPr="006910D9">
        <w:rPr>
          <w:rFonts w:asciiTheme="majorHAnsi" w:hAnsiTheme="majorHAnsi" w:cs="Calibri"/>
          <w:sz w:val="20"/>
          <w:szCs w:val="20"/>
          <w:lang w:val="es-ES_tradnl"/>
        </w:rPr>
        <w:t>ni la Convención Americana ni su Reglamento establecen un plazo para el traslado de una petición al Estado a partir de su recepción; y que los plazos establecidos en dichos instrumentos para otras etapas del trámite no son aplicables por analogía.</w:t>
      </w:r>
    </w:p>
    <w:p w14:paraId="7D298481" w14:textId="77777777" w:rsidR="00D35888" w:rsidRPr="006910D9" w:rsidRDefault="00D35888" w:rsidP="00D3588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4FFBE378" w14:textId="228AEA71" w:rsidR="003239B8" w:rsidRPr="006910D9"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r w:rsidRPr="006910D9">
        <w:rPr>
          <w:rFonts w:asciiTheme="majorHAnsi" w:hAnsiTheme="majorHAnsi"/>
          <w:b/>
          <w:bCs/>
          <w:sz w:val="20"/>
          <w:szCs w:val="20"/>
          <w:lang w:val="es-ES_tradnl"/>
        </w:rPr>
        <w:lastRenderedPageBreak/>
        <w:t>VII.</w:t>
      </w:r>
      <w:r w:rsidRPr="006910D9">
        <w:rPr>
          <w:rFonts w:asciiTheme="majorHAnsi" w:hAnsiTheme="majorHAnsi"/>
          <w:b/>
          <w:bCs/>
          <w:sz w:val="20"/>
          <w:szCs w:val="20"/>
          <w:lang w:val="es-ES_tradnl"/>
        </w:rPr>
        <w:tab/>
      </w:r>
      <w:r w:rsidR="004A6A54" w:rsidRPr="006910D9">
        <w:rPr>
          <w:rFonts w:asciiTheme="majorHAnsi" w:hAnsiTheme="majorHAnsi"/>
          <w:b/>
          <w:bCs/>
          <w:sz w:val="20"/>
          <w:szCs w:val="20"/>
          <w:lang w:val="es-ES_tradnl"/>
        </w:rPr>
        <w:t xml:space="preserve">ANÁLISIS DE </w:t>
      </w:r>
      <w:r w:rsidR="00C21FEF" w:rsidRPr="006910D9">
        <w:rPr>
          <w:rFonts w:asciiTheme="majorHAnsi" w:hAnsiTheme="majorHAnsi"/>
          <w:b/>
          <w:bCs/>
          <w:sz w:val="20"/>
          <w:szCs w:val="20"/>
          <w:lang w:val="es-ES_tradnl"/>
        </w:rPr>
        <w:t>CARACTERIZACIÓN DE LOS HECHOS ALEGADOS</w:t>
      </w:r>
    </w:p>
    <w:p w14:paraId="4842BE33" w14:textId="77777777" w:rsidR="00840AE8" w:rsidRPr="006910D9" w:rsidRDefault="00840AE8" w:rsidP="00840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10"/>
        <w:jc w:val="both"/>
        <w:rPr>
          <w:rFonts w:asciiTheme="majorHAnsi" w:hAnsiTheme="majorHAnsi"/>
          <w:sz w:val="20"/>
          <w:szCs w:val="20"/>
          <w:lang w:val="es-ES_tradnl"/>
        </w:rPr>
      </w:pPr>
    </w:p>
    <w:p w14:paraId="31E8188F" w14:textId="3EE1F8AA" w:rsidR="00D35888" w:rsidRPr="006910D9" w:rsidRDefault="001B49DD" w:rsidP="009437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ind w:left="90"/>
        <w:jc w:val="both"/>
        <w:rPr>
          <w:rFonts w:asciiTheme="majorHAnsi" w:hAnsiTheme="majorHAnsi"/>
          <w:sz w:val="20"/>
          <w:szCs w:val="20"/>
          <w:lang w:val="es-ES_tradnl"/>
        </w:rPr>
      </w:pPr>
      <w:r w:rsidRPr="006910D9">
        <w:rPr>
          <w:rFonts w:asciiTheme="majorHAnsi" w:hAnsiTheme="majorHAnsi"/>
          <w:sz w:val="20"/>
          <w:szCs w:val="20"/>
          <w:lang w:val="es-ES_tradnl"/>
        </w:rPr>
        <w:t>Preliminarmente y dado que el Estado ha presentado argumentos relacionados con la fórmula de la “cuarta instancia”</w:t>
      </w:r>
      <w:r w:rsidR="00D61D36" w:rsidRPr="006910D9">
        <w:rPr>
          <w:rFonts w:asciiTheme="majorHAnsi" w:hAnsiTheme="majorHAnsi"/>
          <w:sz w:val="20"/>
          <w:szCs w:val="20"/>
          <w:lang w:val="es-ES_tradnl"/>
        </w:rPr>
        <w:t>,</w:t>
      </w:r>
      <w:r w:rsidR="00336D02" w:rsidRPr="006910D9">
        <w:rPr>
          <w:rFonts w:asciiTheme="majorHAnsi" w:hAnsiTheme="majorHAnsi"/>
          <w:sz w:val="20"/>
          <w:szCs w:val="20"/>
          <w:lang w:val="es-ES_tradnl"/>
        </w:rPr>
        <w:t xml:space="preserve"> </w:t>
      </w:r>
      <w:r w:rsidR="00D61D36" w:rsidRPr="006910D9">
        <w:rPr>
          <w:rFonts w:asciiTheme="majorHAnsi" w:hAnsiTheme="majorHAnsi"/>
          <w:sz w:val="20"/>
          <w:szCs w:val="20"/>
          <w:lang w:val="es-ES_tradnl"/>
        </w:rPr>
        <w:t>l</w:t>
      </w:r>
      <w:r w:rsidR="00336D02" w:rsidRPr="006910D9">
        <w:rPr>
          <w:rFonts w:asciiTheme="majorHAnsi" w:hAnsiTheme="majorHAnsi"/>
          <w:sz w:val="20"/>
          <w:szCs w:val="20"/>
          <w:lang w:val="es-ES_tradnl"/>
        </w:rPr>
        <w:t>a C</w:t>
      </w:r>
      <w:r w:rsidRPr="006910D9">
        <w:rPr>
          <w:rFonts w:asciiTheme="majorHAnsi" w:hAnsiTheme="majorHAnsi"/>
          <w:sz w:val="20"/>
          <w:szCs w:val="20"/>
          <w:lang w:val="es-ES_tradnl"/>
        </w:rPr>
        <w:t>omisión</w:t>
      </w:r>
      <w:r w:rsidR="00336D02" w:rsidRPr="006910D9">
        <w:rPr>
          <w:rFonts w:asciiTheme="majorHAnsi" w:hAnsiTheme="majorHAnsi"/>
          <w:sz w:val="20"/>
          <w:szCs w:val="20"/>
          <w:lang w:val="es-ES_tradnl"/>
        </w:rPr>
        <w:t xml:space="preserve"> reitera que </w:t>
      </w:r>
      <w:r w:rsidR="00CA0D76" w:rsidRPr="006910D9">
        <w:rPr>
          <w:rFonts w:asciiTheme="majorHAnsi" w:hAnsiTheme="majorHAnsi"/>
          <w:sz w:val="20"/>
          <w:szCs w:val="20"/>
          <w:lang w:val="es-ES_tradnl"/>
        </w:rPr>
        <w:t>--a</w:t>
      </w:r>
      <w:r w:rsidR="00336D02" w:rsidRPr="006910D9">
        <w:rPr>
          <w:rFonts w:asciiTheme="majorHAnsi" w:hAnsiTheme="majorHAnsi"/>
          <w:sz w:val="20"/>
          <w:szCs w:val="20"/>
          <w:lang w:val="es-ES_tradnl"/>
        </w:rPr>
        <w:t xml:space="preserve"> efectos de la admisibilidad</w:t>
      </w:r>
      <w:r w:rsidR="00CA0D76" w:rsidRPr="006910D9">
        <w:rPr>
          <w:rFonts w:asciiTheme="majorHAnsi" w:hAnsiTheme="majorHAnsi"/>
          <w:sz w:val="20"/>
          <w:szCs w:val="20"/>
          <w:lang w:val="es-ES_tradnl"/>
        </w:rPr>
        <w:t>--</w:t>
      </w:r>
      <w:r w:rsidR="00336D02" w:rsidRPr="006910D9">
        <w:rPr>
          <w:rFonts w:asciiTheme="majorHAnsi" w:hAnsiTheme="majorHAnsi"/>
          <w:sz w:val="20"/>
          <w:szCs w:val="20"/>
          <w:lang w:val="es-ES_tradnl"/>
        </w:rPr>
        <w:t xml:space="preserve"> debe decidir si los hechos alegados pueden caracterizar una violación de derechos, según lo estipulado en el artículo 47(b) de la Convención Americana</w:t>
      </w:r>
      <w:r w:rsidR="00CA0D76" w:rsidRPr="006910D9">
        <w:rPr>
          <w:rFonts w:asciiTheme="majorHAnsi" w:hAnsiTheme="majorHAnsi"/>
          <w:sz w:val="20"/>
          <w:szCs w:val="20"/>
          <w:lang w:val="es-ES_tradnl"/>
        </w:rPr>
        <w:t>;</w:t>
      </w:r>
      <w:r w:rsidR="00336D02" w:rsidRPr="006910D9">
        <w:rPr>
          <w:rFonts w:asciiTheme="majorHAnsi" w:hAnsiTheme="majorHAnsi"/>
          <w:sz w:val="20"/>
          <w:szCs w:val="20"/>
          <w:lang w:val="es-ES_tradnl"/>
        </w:rPr>
        <w:t xml:space="preserve"> o si la petición es manifiestamente infundada o es evidente su total improcedencia conforme al inciso (c) de dicho artículo. El criterio de evaluación de </w:t>
      </w:r>
      <w:r w:rsidR="00CA0D76" w:rsidRPr="006910D9">
        <w:rPr>
          <w:rFonts w:asciiTheme="majorHAnsi" w:hAnsiTheme="majorHAnsi"/>
          <w:sz w:val="20"/>
          <w:szCs w:val="20"/>
          <w:lang w:val="es-ES_tradnl"/>
        </w:rPr>
        <w:t>dichos</w:t>
      </w:r>
      <w:r w:rsidR="00336D02" w:rsidRPr="006910D9">
        <w:rPr>
          <w:rFonts w:asciiTheme="majorHAnsi" w:hAnsiTheme="majorHAnsi"/>
          <w:sz w:val="20"/>
          <w:szCs w:val="20"/>
          <w:lang w:val="es-ES_tradnl"/>
        </w:rPr>
        <w:t xml:space="preserve"> requisitos difiere del que se utiliza para pronunciarse sobre el fondo de una petición. Asimismo, dentro del marco de su mandato </w:t>
      </w:r>
      <w:r w:rsidR="009E5A77" w:rsidRPr="006910D9">
        <w:rPr>
          <w:rFonts w:asciiTheme="majorHAnsi" w:hAnsiTheme="majorHAnsi"/>
          <w:sz w:val="20"/>
          <w:szCs w:val="20"/>
          <w:lang w:val="es-ES_tradnl"/>
        </w:rPr>
        <w:t xml:space="preserve">la Comisión Interamericana </w:t>
      </w:r>
      <w:r w:rsidR="00336D02" w:rsidRPr="006910D9">
        <w:rPr>
          <w:rFonts w:asciiTheme="majorHAnsi" w:hAnsiTheme="majorHAnsi"/>
          <w:sz w:val="20"/>
          <w:szCs w:val="20"/>
          <w:lang w:val="es-ES_tradnl"/>
        </w:rPr>
        <w:t>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00336D02" w:rsidRPr="006910D9">
        <w:rPr>
          <w:rStyle w:val="FootnoteReference"/>
          <w:rFonts w:asciiTheme="majorHAnsi" w:hAnsiTheme="majorHAnsi" w:cs="Calibri"/>
          <w:sz w:val="20"/>
          <w:szCs w:val="20"/>
          <w:lang w:val="es-ES_tradnl"/>
        </w:rPr>
        <w:footnoteReference w:id="10"/>
      </w:r>
      <w:r w:rsidR="00336D02" w:rsidRPr="006910D9">
        <w:rPr>
          <w:rFonts w:asciiTheme="majorHAnsi" w:hAnsiTheme="majorHAnsi"/>
          <w:sz w:val="20"/>
          <w:szCs w:val="20"/>
          <w:lang w:val="es-ES_tradnl"/>
        </w:rPr>
        <w:t>.</w:t>
      </w:r>
    </w:p>
    <w:p w14:paraId="7E0D6899" w14:textId="77777777" w:rsidR="00D35888" w:rsidRPr="006910D9" w:rsidRDefault="00D35888" w:rsidP="00D3588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810"/>
        </w:tabs>
        <w:suppressAutoHyphens/>
        <w:ind w:left="810"/>
        <w:jc w:val="both"/>
        <w:rPr>
          <w:rFonts w:asciiTheme="majorHAnsi" w:hAnsiTheme="majorHAnsi"/>
          <w:sz w:val="20"/>
          <w:szCs w:val="20"/>
          <w:lang w:val="es-ES_tradnl"/>
        </w:rPr>
      </w:pPr>
    </w:p>
    <w:p w14:paraId="7AFFB57A" w14:textId="5DD69381" w:rsidR="00D35888" w:rsidRPr="006910D9" w:rsidRDefault="00D35888" w:rsidP="009437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ind w:left="90"/>
        <w:jc w:val="both"/>
        <w:rPr>
          <w:rFonts w:asciiTheme="majorHAnsi" w:hAnsiTheme="majorHAnsi"/>
          <w:sz w:val="20"/>
          <w:szCs w:val="20"/>
          <w:lang w:val="es-ES_tradnl"/>
        </w:rPr>
      </w:pPr>
      <w:r w:rsidRPr="006910D9">
        <w:rPr>
          <w:rFonts w:asciiTheme="majorHAnsi" w:hAnsiTheme="majorHAnsi"/>
          <w:sz w:val="20"/>
          <w:szCs w:val="20"/>
          <w:lang w:val="es-ES_tradnl"/>
        </w:rPr>
        <w:t>La presente petición alega que las presuntas víctimas sufrieron una reducción desproporcionada de un beneficio provisional que ya habían adquirido y</w:t>
      </w:r>
      <w:r w:rsidR="00031112" w:rsidRPr="006910D9">
        <w:rPr>
          <w:rFonts w:asciiTheme="majorHAnsi" w:hAnsiTheme="majorHAnsi"/>
          <w:sz w:val="20"/>
          <w:szCs w:val="20"/>
          <w:lang w:val="es-ES_tradnl"/>
        </w:rPr>
        <w:t xml:space="preserve"> que</w:t>
      </w:r>
      <w:r w:rsidRPr="006910D9">
        <w:rPr>
          <w:rFonts w:asciiTheme="majorHAnsi" w:hAnsiTheme="majorHAnsi"/>
          <w:sz w:val="20"/>
          <w:szCs w:val="20"/>
          <w:lang w:val="es-ES_tradnl"/>
        </w:rPr>
        <w:t xml:space="preserve"> </w:t>
      </w:r>
      <w:r w:rsidR="0062722A" w:rsidRPr="006910D9">
        <w:rPr>
          <w:rFonts w:asciiTheme="majorHAnsi" w:hAnsiTheme="majorHAnsi"/>
          <w:sz w:val="20"/>
          <w:szCs w:val="20"/>
          <w:lang w:val="es-ES_tradnl"/>
        </w:rPr>
        <w:t xml:space="preserve">no recibieron una protección judicial efectiva ante ello. </w:t>
      </w:r>
    </w:p>
    <w:p w14:paraId="78CB403D" w14:textId="77777777" w:rsidR="0062722A" w:rsidRPr="006910D9" w:rsidRDefault="0062722A" w:rsidP="0062722A">
      <w:pPr>
        <w:pStyle w:val="ListParagraph"/>
        <w:rPr>
          <w:rFonts w:asciiTheme="majorHAnsi" w:hAnsiTheme="majorHAnsi"/>
          <w:sz w:val="20"/>
          <w:szCs w:val="20"/>
          <w:lang w:val="es-ES_tradnl"/>
        </w:rPr>
      </w:pPr>
    </w:p>
    <w:p w14:paraId="39CA4666" w14:textId="33B8F6A1" w:rsidR="0062722A" w:rsidRPr="006910D9" w:rsidRDefault="0062722A"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ind w:left="90"/>
        <w:jc w:val="both"/>
        <w:rPr>
          <w:rFonts w:asciiTheme="majorHAnsi" w:hAnsiTheme="majorHAnsi"/>
          <w:sz w:val="20"/>
          <w:szCs w:val="20"/>
          <w:lang w:val="es-ES_tradnl"/>
        </w:rPr>
      </w:pPr>
      <w:r w:rsidRPr="006910D9">
        <w:rPr>
          <w:rFonts w:asciiTheme="majorHAnsi" w:hAnsiTheme="majorHAnsi"/>
          <w:sz w:val="20"/>
          <w:szCs w:val="20"/>
          <w:lang w:val="es-ES_tradnl"/>
        </w:rPr>
        <w:t>El artículo 21 de la Convención Americana reconoce a toda persona el derecho al uso y goce de sus bienes, que puede ser subordinado al interés social; y determina que “</w:t>
      </w:r>
      <w:r w:rsidRPr="006910D9">
        <w:rPr>
          <w:rFonts w:asciiTheme="majorHAnsi" w:hAnsiTheme="majorHAnsi"/>
          <w:i/>
          <w:iCs/>
          <w:sz w:val="20"/>
          <w:szCs w:val="20"/>
          <w:lang w:val="es-ES_tradnl"/>
        </w:rPr>
        <w:t>ninguna persona puede ser privada de sus bienes, excepto mediante el pago de indemnización justa, por razones de utilidad pública o de interés social y en los casos y según las formas establecidas por la ley</w:t>
      </w:r>
      <w:r w:rsidRPr="006910D9">
        <w:rPr>
          <w:rFonts w:asciiTheme="majorHAnsi" w:hAnsiTheme="majorHAnsi"/>
          <w:sz w:val="20"/>
          <w:szCs w:val="20"/>
          <w:lang w:val="es-ES_tradnl"/>
        </w:rPr>
        <w:t>”. Al respecto, la Corte Interamericana ya ha precisado que “</w:t>
      </w:r>
      <w:r w:rsidRPr="006910D9">
        <w:rPr>
          <w:rFonts w:asciiTheme="majorHAnsi" w:hAnsiTheme="majorHAnsi"/>
          <w:i/>
          <w:iCs/>
          <w:sz w:val="20"/>
          <w:szCs w:val="20"/>
          <w:lang w:val="es-ES_tradnl"/>
        </w:rPr>
        <w:t>en el caso de los efectos patrimoniales de las pensiones (monto de las pensiones), los Estados pueden reducirlos únicamente por la vía legal adecuada y por los motivos ya indicados</w:t>
      </w:r>
      <w:r w:rsidRPr="006910D9">
        <w:rPr>
          <w:rFonts w:asciiTheme="majorHAnsi" w:hAnsiTheme="majorHAnsi"/>
          <w:sz w:val="20"/>
          <w:szCs w:val="20"/>
          <w:lang w:val="es-ES_tradnl"/>
        </w:rPr>
        <w:t>”; y que “</w:t>
      </w:r>
      <w:r w:rsidRPr="006910D9">
        <w:rPr>
          <w:rFonts w:asciiTheme="majorHAnsi" w:hAnsiTheme="majorHAnsi"/>
          <w:i/>
          <w:iCs/>
          <w:sz w:val="20"/>
          <w:szCs w:val="20"/>
          <w:lang w:val="es-ES_tradnl"/>
        </w:rPr>
        <w:t>si la restricción o limitación afecta el derecho a la propiedad, ésta debe realizarse, además, de conformidad con los parámetros establecidos en el artículo 21 de la Convención Americana</w:t>
      </w:r>
      <w:r w:rsidRPr="006910D9">
        <w:rPr>
          <w:rFonts w:asciiTheme="majorHAnsi" w:hAnsiTheme="majorHAnsi"/>
          <w:sz w:val="20"/>
          <w:szCs w:val="20"/>
          <w:lang w:val="es-ES_tradnl"/>
        </w:rPr>
        <w:t>”</w:t>
      </w:r>
      <w:r w:rsidRPr="006910D9">
        <w:rPr>
          <w:rStyle w:val="FootnoteReference"/>
          <w:rFonts w:asciiTheme="majorHAnsi" w:hAnsiTheme="majorHAnsi"/>
          <w:sz w:val="20"/>
          <w:szCs w:val="20"/>
          <w:lang w:val="es-ES_tradnl"/>
        </w:rPr>
        <w:footnoteReference w:id="11"/>
      </w:r>
      <w:r w:rsidRPr="006910D9">
        <w:rPr>
          <w:rFonts w:asciiTheme="majorHAnsi" w:hAnsiTheme="majorHAnsi"/>
          <w:sz w:val="20"/>
          <w:szCs w:val="20"/>
          <w:lang w:val="es-ES_tradnl"/>
        </w:rPr>
        <w:t xml:space="preserve">. </w:t>
      </w:r>
    </w:p>
    <w:p w14:paraId="59DA5A20" w14:textId="77777777" w:rsidR="0062722A" w:rsidRPr="006910D9" w:rsidRDefault="0062722A" w:rsidP="0062722A">
      <w:pPr>
        <w:pBdr>
          <w:top w:val="none" w:sz="0" w:space="0" w:color="auto"/>
          <w:left w:val="none" w:sz="0" w:space="0" w:color="auto"/>
          <w:bottom w:val="none" w:sz="0" w:space="0" w:color="auto"/>
          <w:right w:val="none" w:sz="0" w:space="0" w:color="auto"/>
          <w:between w:val="none" w:sz="0" w:space="0" w:color="auto"/>
          <w:bar w:val="none" w:sz="0" w:color="auto"/>
        </w:pBdr>
        <w:tabs>
          <w:tab w:val="num" w:pos="810"/>
        </w:tabs>
        <w:suppressAutoHyphens/>
        <w:jc w:val="both"/>
        <w:rPr>
          <w:rFonts w:asciiTheme="majorHAnsi" w:hAnsiTheme="majorHAnsi"/>
          <w:sz w:val="20"/>
          <w:szCs w:val="20"/>
          <w:lang w:val="es-ES_tradnl"/>
        </w:rPr>
      </w:pPr>
    </w:p>
    <w:p w14:paraId="00CC760E" w14:textId="114E36A1" w:rsidR="0062722A" w:rsidRPr="006910D9" w:rsidRDefault="0062722A"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bCs/>
          <w:sz w:val="20"/>
          <w:szCs w:val="20"/>
          <w:lang w:val="es-ES_tradnl"/>
        </w:rPr>
        <w:t>El Estado argumenta que la Comisión carece de competencia para conocer las presuntas violaciones del derecho a la propiedad alegados en el presente asunto, por razón de la reserva realizada por Argentina al artículo 21 de la Convención. Cabe destacar en primer lugar que dicha reserva debe ajustarse al objeto y fin de dicho tratado</w:t>
      </w:r>
      <w:r w:rsidRPr="006910D9">
        <w:rPr>
          <w:rStyle w:val="FootnoteReference"/>
          <w:rFonts w:asciiTheme="majorHAnsi" w:hAnsiTheme="majorHAnsi"/>
          <w:color w:val="000000"/>
          <w:sz w:val="20"/>
          <w:szCs w:val="20"/>
          <w:lang w:val="es-ES_tradnl"/>
        </w:rPr>
        <w:footnoteReference w:id="12"/>
      </w:r>
      <w:r w:rsidRPr="006910D9">
        <w:rPr>
          <w:rFonts w:asciiTheme="majorHAnsi" w:hAnsiTheme="majorHAnsi"/>
          <w:bCs/>
          <w:sz w:val="20"/>
          <w:szCs w:val="20"/>
          <w:lang w:val="es-ES_tradnl"/>
        </w:rPr>
        <w:t>, por lo que no puede interpretarse de manera tal que impida a los órganos del Sistema Interamericano revisar si la aplicación de la política económica resulta en posibles violaciones de normas imperativas de derecho internacional, tales como el derecho a la protección judicial</w:t>
      </w:r>
      <w:r w:rsidRPr="006910D9">
        <w:rPr>
          <w:rStyle w:val="FootnoteReference"/>
          <w:rFonts w:asciiTheme="majorHAnsi" w:hAnsiTheme="majorHAnsi"/>
          <w:color w:val="000000"/>
          <w:sz w:val="20"/>
          <w:szCs w:val="20"/>
          <w:lang w:val="es-ES_tradnl"/>
        </w:rPr>
        <w:footnoteReference w:id="13"/>
      </w:r>
      <w:r w:rsidRPr="006910D9">
        <w:rPr>
          <w:rFonts w:asciiTheme="majorHAnsi" w:hAnsiTheme="majorHAnsi"/>
          <w:color w:val="000000"/>
          <w:sz w:val="20"/>
          <w:szCs w:val="20"/>
          <w:lang w:val="es-ES_tradnl"/>
        </w:rPr>
        <w:t>.</w:t>
      </w:r>
      <w:r w:rsidRPr="006910D9">
        <w:rPr>
          <w:rFonts w:asciiTheme="majorHAnsi" w:hAnsiTheme="majorHAnsi"/>
          <w:sz w:val="20"/>
          <w:szCs w:val="20"/>
          <w:lang w:val="es-ES_tradnl"/>
        </w:rPr>
        <w:t xml:space="preserve"> </w:t>
      </w:r>
      <w:r w:rsidRPr="006910D9">
        <w:rPr>
          <w:rFonts w:asciiTheme="majorHAnsi" w:hAnsiTheme="majorHAnsi"/>
          <w:color w:val="000000"/>
          <w:sz w:val="20"/>
          <w:szCs w:val="20"/>
          <w:lang w:val="es-ES_tradnl"/>
        </w:rPr>
        <w:t>La protección del derecho a la propiedad en el ámbito interamericano se tornaría ilusoria si cualquier afectación quedara exenta de revisión por el solo hecho de</w:t>
      </w:r>
      <w:r w:rsidR="00423FAE" w:rsidRPr="006910D9">
        <w:rPr>
          <w:rFonts w:asciiTheme="majorHAnsi" w:hAnsiTheme="majorHAnsi"/>
          <w:color w:val="000000"/>
          <w:sz w:val="20"/>
          <w:szCs w:val="20"/>
          <w:lang w:val="es-ES_tradnl"/>
        </w:rPr>
        <w:t xml:space="preserve"> haber sido realizada en invocación de</w:t>
      </w:r>
      <w:r w:rsidRPr="006910D9">
        <w:rPr>
          <w:rFonts w:asciiTheme="majorHAnsi" w:hAnsiTheme="majorHAnsi"/>
          <w:color w:val="000000"/>
          <w:sz w:val="20"/>
          <w:szCs w:val="20"/>
          <w:lang w:val="es-ES_tradnl"/>
        </w:rPr>
        <w:t xml:space="preserve"> una política económica determinada. Por lo tanto, la CIDH no es competente para revisar las cuestiones inherentes a la política económica del gobierno, pero sí lo es para analizar si su implementación ha afectado el derecho a la propiedad </w:t>
      </w:r>
      <w:r w:rsidRPr="006910D9">
        <w:rPr>
          <w:rFonts w:asciiTheme="majorHAnsi" w:hAnsiTheme="majorHAnsi"/>
          <w:color w:val="000000"/>
          <w:sz w:val="20"/>
          <w:szCs w:val="20"/>
          <w:lang w:val="es-ES_tradnl"/>
        </w:rPr>
        <w:lastRenderedPageBreak/>
        <w:t>de las personas en un grado tal que hubiera cercenado su esencia</w:t>
      </w:r>
      <w:r w:rsidRPr="006910D9">
        <w:rPr>
          <w:rStyle w:val="FootnoteReference"/>
          <w:rFonts w:asciiTheme="majorHAnsi" w:hAnsiTheme="majorHAnsi"/>
          <w:color w:val="000000"/>
          <w:sz w:val="20"/>
          <w:szCs w:val="20"/>
          <w:lang w:val="es-ES_tradnl"/>
        </w:rPr>
        <w:footnoteReference w:id="14"/>
      </w:r>
      <w:r w:rsidRPr="006910D9">
        <w:rPr>
          <w:rFonts w:asciiTheme="majorHAnsi" w:hAnsiTheme="majorHAnsi"/>
          <w:color w:val="000000"/>
          <w:sz w:val="20"/>
          <w:szCs w:val="20"/>
          <w:lang w:val="es-ES_tradnl"/>
        </w:rPr>
        <w:t xml:space="preserve">. La Comisión Interamericana analizará entonces en la etapa de fondo si los hechos alegados por el peticionario se enmarcan en dicho supuesto. </w:t>
      </w:r>
    </w:p>
    <w:p w14:paraId="59E48F98" w14:textId="47466E95" w:rsidR="00423FAE" w:rsidRPr="006910D9" w:rsidRDefault="00423FAE" w:rsidP="00423FA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B3C7117" w14:textId="408805D1" w:rsidR="0062722A" w:rsidRPr="006910D9" w:rsidRDefault="00423FAE" w:rsidP="009437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ind w:left="90"/>
        <w:jc w:val="both"/>
        <w:rPr>
          <w:rFonts w:asciiTheme="majorHAnsi" w:hAnsiTheme="majorHAnsi"/>
          <w:sz w:val="20"/>
          <w:szCs w:val="20"/>
          <w:lang w:val="es-ES_tradnl"/>
        </w:rPr>
      </w:pPr>
      <w:r w:rsidRPr="006910D9">
        <w:rPr>
          <w:rFonts w:asciiTheme="majorHAnsi" w:hAnsiTheme="majorHAnsi"/>
          <w:sz w:val="20"/>
          <w:szCs w:val="20"/>
          <w:lang w:val="es-ES_tradnl"/>
        </w:rPr>
        <w:t xml:space="preserve">Por las razones expuestas y tras examinar los elementos de hecho y de derecho expuestos por las partes, </w:t>
      </w:r>
      <w:r w:rsidR="00E114FD">
        <w:rPr>
          <w:rFonts w:asciiTheme="majorHAnsi" w:hAnsiTheme="majorHAnsi"/>
          <w:sz w:val="20"/>
          <w:szCs w:val="20"/>
          <w:lang w:val="es-ES_tradnl"/>
        </w:rPr>
        <w:t>y tomando en cuenta el precedente del Informe 410/21, actualmente caso 14.883, que versa sobre los mismos hechos planteados en esta petición</w:t>
      </w:r>
      <w:r w:rsidR="00E114FD">
        <w:rPr>
          <w:rStyle w:val="FootnoteReference"/>
          <w:rFonts w:asciiTheme="majorHAnsi" w:hAnsiTheme="majorHAnsi"/>
          <w:sz w:val="20"/>
          <w:szCs w:val="20"/>
          <w:lang w:val="es-ES_tradnl"/>
        </w:rPr>
        <w:footnoteReference w:id="15"/>
      </w:r>
      <w:r w:rsidR="00E114FD">
        <w:rPr>
          <w:rFonts w:asciiTheme="majorHAnsi" w:hAnsiTheme="majorHAnsi"/>
          <w:sz w:val="20"/>
          <w:szCs w:val="20"/>
          <w:lang w:val="es-ES_tradnl"/>
        </w:rPr>
        <w:t xml:space="preserve">, </w:t>
      </w:r>
      <w:r w:rsidRPr="006910D9">
        <w:rPr>
          <w:rFonts w:asciiTheme="majorHAnsi" w:hAnsiTheme="majorHAnsi"/>
          <w:sz w:val="20"/>
          <w:szCs w:val="20"/>
          <w:lang w:val="es-ES_tradnl"/>
        </w:rPr>
        <w:t>la CIDH estima que los alegatos del peticionario podrían constituir violaciones de los derechos reconocidos en los</w:t>
      </w:r>
      <w:r w:rsidRPr="006910D9">
        <w:rPr>
          <w:rFonts w:asciiTheme="majorHAnsi" w:hAnsiTheme="majorHAnsi"/>
          <w:bCs/>
          <w:sz w:val="20"/>
          <w:szCs w:val="20"/>
          <w:lang w:val="es-ES_tradnl"/>
        </w:rPr>
        <w:t xml:space="preserve"> artículos 8 (garantías judiciales), 21 (propiedad privada), 25 (protección judicial) y 26 (derechos económicos, sociales y culturales) de la Convención Americana, en relación con sus artículos 1.1</w:t>
      </w:r>
      <w:r w:rsidR="00801460" w:rsidRPr="006910D9">
        <w:rPr>
          <w:rFonts w:asciiTheme="majorHAnsi" w:hAnsiTheme="majorHAnsi"/>
          <w:bCs/>
          <w:sz w:val="20"/>
          <w:szCs w:val="20"/>
          <w:lang w:val="es-ES_tradnl"/>
        </w:rPr>
        <w:t>,</w:t>
      </w:r>
      <w:r w:rsidRPr="006910D9">
        <w:rPr>
          <w:rFonts w:asciiTheme="majorHAnsi" w:hAnsiTheme="majorHAnsi"/>
          <w:bCs/>
          <w:sz w:val="20"/>
          <w:szCs w:val="20"/>
          <w:lang w:val="es-ES_tradnl"/>
        </w:rPr>
        <w:t xml:space="preserve"> (obligación de respetar los derechos) y 2 (deber de adoptar disposiciones de derechos interno), en perjuicio de </w:t>
      </w:r>
      <w:r w:rsidR="00801460" w:rsidRPr="006910D9">
        <w:rPr>
          <w:rFonts w:asciiTheme="majorHAnsi" w:hAnsiTheme="majorHAnsi"/>
          <w:bCs/>
          <w:sz w:val="20"/>
          <w:szCs w:val="20"/>
          <w:lang w:val="es-ES_tradnl"/>
        </w:rPr>
        <w:t>Luis Adelaida Cerioni de Bergamascui y Nicolás Quiroga</w:t>
      </w:r>
      <w:r w:rsidRPr="006910D9">
        <w:rPr>
          <w:rFonts w:asciiTheme="majorHAnsi" w:hAnsiTheme="majorHAnsi"/>
          <w:bCs/>
          <w:sz w:val="20"/>
          <w:szCs w:val="20"/>
          <w:lang w:val="es-ES_tradnl"/>
        </w:rPr>
        <w:t>.</w:t>
      </w:r>
    </w:p>
    <w:p w14:paraId="6F2FC803" w14:textId="77777777" w:rsidR="00423FAE" w:rsidRPr="006910D9" w:rsidRDefault="00423FAE" w:rsidP="00423FAE">
      <w:pPr>
        <w:pStyle w:val="ListParagraph"/>
        <w:rPr>
          <w:rFonts w:asciiTheme="majorHAnsi" w:hAnsiTheme="majorHAnsi"/>
          <w:sz w:val="20"/>
          <w:szCs w:val="20"/>
          <w:lang w:val="es-ES_tradnl"/>
        </w:rPr>
      </w:pPr>
    </w:p>
    <w:p w14:paraId="466D6E5D" w14:textId="6789D335" w:rsidR="00423FAE" w:rsidRPr="006910D9" w:rsidRDefault="00423FAE" w:rsidP="009437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En cuanto a los derechos reconocidos al artículo 4 (vida) de la Convención Americana, la CIDH estima que no se desprenden de los alegatos de la parte peticionaria, ni del expediente, elementos o sustento suficiente para considerar </w:t>
      </w:r>
      <w:r w:rsidRPr="006910D9">
        <w:rPr>
          <w:rFonts w:asciiTheme="majorHAnsi" w:hAnsiTheme="majorHAnsi"/>
          <w:i/>
          <w:sz w:val="20"/>
          <w:szCs w:val="20"/>
          <w:lang w:val="es-ES_tradnl"/>
        </w:rPr>
        <w:t>prima facie</w:t>
      </w:r>
      <w:r w:rsidRPr="006910D9">
        <w:rPr>
          <w:rFonts w:asciiTheme="majorHAnsi" w:hAnsiTheme="majorHAnsi"/>
          <w:sz w:val="20"/>
          <w:szCs w:val="20"/>
          <w:lang w:val="es-ES_tradnl"/>
        </w:rPr>
        <w:t xml:space="preserve"> su presunta violación.</w:t>
      </w:r>
    </w:p>
    <w:p w14:paraId="3FF47187" w14:textId="77777777" w:rsidR="00D35888" w:rsidRPr="006910D9" w:rsidRDefault="00D3588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9BB41F5" w14:textId="6372A36D" w:rsidR="003239B8" w:rsidRPr="006910D9" w:rsidRDefault="003239B8" w:rsidP="004217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6910D9">
        <w:rPr>
          <w:rFonts w:asciiTheme="majorHAnsi" w:hAnsiTheme="majorHAnsi"/>
          <w:b/>
          <w:bCs/>
          <w:sz w:val="20"/>
          <w:szCs w:val="20"/>
          <w:lang w:val="es-ES_tradnl"/>
        </w:rPr>
        <w:t xml:space="preserve">VIII. </w:t>
      </w:r>
      <w:r w:rsidRPr="006910D9">
        <w:rPr>
          <w:rFonts w:asciiTheme="majorHAnsi" w:hAnsiTheme="majorHAnsi"/>
          <w:b/>
          <w:bCs/>
          <w:sz w:val="20"/>
          <w:szCs w:val="20"/>
          <w:lang w:val="es-ES_tradnl"/>
        </w:rPr>
        <w:tab/>
        <w:t>DECISIÓN</w:t>
      </w:r>
    </w:p>
    <w:p w14:paraId="49AF4783" w14:textId="77777777" w:rsidR="00840AE8" w:rsidRPr="006910D9"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70DA61C" w14:textId="08AA01B5" w:rsidR="000419AD" w:rsidRPr="006910D9" w:rsidRDefault="003239B8" w:rsidP="009437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Declarar admisible la presente petición en relación con</w:t>
      </w:r>
      <w:r w:rsidR="00C72A01" w:rsidRPr="006910D9">
        <w:rPr>
          <w:rFonts w:asciiTheme="majorHAnsi" w:hAnsiTheme="majorHAnsi"/>
          <w:sz w:val="20"/>
          <w:szCs w:val="20"/>
          <w:lang w:val="es-ES_tradnl"/>
        </w:rPr>
        <w:t xml:space="preserve"> los artículos </w:t>
      </w:r>
      <w:r w:rsidR="00033DB0" w:rsidRPr="006910D9">
        <w:rPr>
          <w:rFonts w:asciiTheme="majorHAnsi" w:hAnsiTheme="majorHAnsi"/>
          <w:sz w:val="20"/>
          <w:szCs w:val="20"/>
          <w:lang w:val="es-ES_tradnl"/>
        </w:rPr>
        <w:t>8</w:t>
      </w:r>
      <w:r w:rsidR="00FA61A4" w:rsidRPr="006910D9">
        <w:rPr>
          <w:rFonts w:asciiTheme="majorHAnsi" w:hAnsiTheme="majorHAnsi"/>
          <w:sz w:val="20"/>
          <w:szCs w:val="20"/>
          <w:lang w:val="es-ES_tradnl"/>
        </w:rPr>
        <w:t xml:space="preserve">, </w:t>
      </w:r>
      <w:r w:rsidR="00423FAE" w:rsidRPr="006910D9">
        <w:rPr>
          <w:rFonts w:asciiTheme="majorHAnsi" w:hAnsiTheme="majorHAnsi"/>
          <w:sz w:val="20"/>
          <w:szCs w:val="20"/>
          <w:lang w:val="es-ES_tradnl"/>
        </w:rPr>
        <w:t>21,</w:t>
      </w:r>
      <w:r w:rsidR="00874720" w:rsidRPr="006910D9">
        <w:rPr>
          <w:rFonts w:asciiTheme="majorHAnsi" w:hAnsiTheme="majorHAnsi"/>
          <w:sz w:val="20"/>
          <w:szCs w:val="20"/>
          <w:lang w:val="es-ES_tradnl"/>
        </w:rPr>
        <w:t xml:space="preserve"> 25</w:t>
      </w:r>
      <w:r w:rsidR="00423FAE" w:rsidRPr="006910D9">
        <w:rPr>
          <w:rFonts w:asciiTheme="majorHAnsi" w:hAnsiTheme="majorHAnsi"/>
          <w:sz w:val="20"/>
          <w:szCs w:val="20"/>
          <w:lang w:val="es-ES_tradnl"/>
        </w:rPr>
        <w:t xml:space="preserve"> y 26</w:t>
      </w:r>
      <w:r w:rsidR="00874720" w:rsidRPr="006910D9">
        <w:rPr>
          <w:rFonts w:asciiTheme="majorHAnsi" w:hAnsiTheme="majorHAnsi"/>
          <w:sz w:val="20"/>
          <w:szCs w:val="20"/>
          <w:lang w:val="es-ES_tradnl"/>
        </w:rPr>
        <w:t xml:space="preserve"> de la Convención Americana en relación con su</w:t>
      </w:r>
      <w:r w:rsidR="004B2127" w:rsidRPr="006910D9">
        <w:rPr>
          <w:rFonts w:asciiTheme="majorHAnsi" w:hAnsiTheme="majorHAnsi"/>
          <w:sz w:val="20"/>
          <w:szCs w:val="20"/>
          <w:lang w:val="es-ES_tradnl"/>
        </w:rPr>
        <w:t>s artículos 1.1</w:t>
      </w:r>
      <w:r w:rsidR="00FA61A4" w:rsidRPr="006910D9">
        <w:rPr>
          <w:rFonts w:asciiTheme="majorHAnsi" w:hAnsiTheme="majorHAnsi"/>
          <w:sz w:val="20"/>
          <w:szCs w:val="20"/>
          <w:lang w:val="es-ES_tradnl"/>
        </w:rPr>
        <w:t xml:space="preserve"> y</w:t>
      </w:r>
      <w:r w:rsidR="00033DB0" w:rsidRPr="006910D9">
        <w:rPr>
          <w:rFonts w:asciiTheme="majorHAnsi" w:hAnsiTheme="majorHAnsi"/>
          <w:sz w:val="20"/>
          <w:szCs w:val="20"/>
          <w:lang w:val="es-ES_tradnl"/>
        </w:rPr>
        <w:t xml:space="preserve"> </w:t>
      </w:r>
      <w:r w:rsidR="004B2127" w:rsidRPr="006910D9">
        <w:rPr>
          <w:rFonts w:asciiTheme="majorHAnsi" w:hAnsiTheme="majorHAnsi"/>
          <w:sz w:val="20"/>
          <w:szCs w:val="20"/>
          <w:lang w:val="es-ES_tradnl"/>
        </w:rPr>
        <w:t>2</w:t>
      </w:r>
      <w:r w:rsidR="00DE269C">
        <w:rPr>
          <w:rFonts w:asciiTheme="majorHAnsi" w:hAnsiTheme="majorHAnsi"/>
          <w:sz w:val="20"/>
          <w:szCs w:val="20"/>
          <w:lang w:val="es-ES_tradnl"/>
        </w:rPr>
        <w:t>;</w:t>
      </w:r>
    </w:p>
    <w:p w14:paraId="6BEFA0DC" w14:textId="77777777" w:rsidR="00423FAE" w:rsidRPr="006910D9" w:rsidRDefault="00423FAE" w:rsidP="00423FA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B051364" w14:textId="168775A2" w:rsidR="00423FAE" w:rsidRPr="006910D9" w:rsidRDefault="00423FAE" w:rsidP="009437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Declarar inadmisible la presente petición en relación con el artículo 4 de la Convención Americana</w:t>
      </w:r>
      <w:r w:rsidR="00801460" w:rsidRPr="006910D9">
        <w:rPr>
          <w:rFonts w:asciiTheme="majorHAnsi" w:hAnsiTheme="majorHAnsi"/>
          <w:sz w:val="20"/>
          <w:szCs w:val="20"/>
          <w:lang w:val="es-ES_tradnl"/>
        </w:rPr>
        <w:t>;</w:t>
      </w:r>
      <w:r w:rsidRPr="006910D9">
        <w:rPr>
          <w:rFonts w:asciiTheme="majorHAnsi" w:hAnsiTheme="majorHAnsi"/>
          <w:sz w:val="20"/>
          <w:szCs w:val="20"/>
          <w:lang w:val="es-ES_tradnl"/>
        </w:rPr>
        <w:t xml:space="preserve"> y las presuntas víctimas que se encuentren</w:t>
      </w:r>
      <w:r w:rsidR="00801460" w:rsidRPr="006910D9">
        <w:rPr>
          <w:rFonts w:asciiTheme="majorHAnsi" w:hAnsiTheme="majorHAnsi"/>
          <w:sz w:val="20"/>
          <w:szCs w:val="20"/>
          <w:lang w:val="es-ES_tradnl"/>
        </w:rPr>
        <w:t xml:space="preserve"> ya</w:t>
      </w:r>
      <w:r w:rsidRPr="006910D9">
        <w:rPr>
          <w:rFonts w:asciiTheme="majorHAnsi" w:hAnsiTheme="majorHAnsi"/>
          <w:sz w:val="20"/>
          <w:szCs w:val="20"/>
          <w:lang w:val="es-ES_tradnl"/>
        </w:rPr>
        <w:t xml:space="preserve"> incluidas en el listado </w:t>
      </w:r>
      <w:r w:rsidR="00E822D6" w:rsidRPr="006910D9">
        <w:rPr>
          <w:rFonts w:asciiTheme="majorHAnsi" w:hAnsiTheme="majorHAnsi"/>
          <w:sz w:val="20"/>
          <w:szCs w:val="20"/>
          <w:lang w:val="es-ES_tradnl"/>
        </w:rPr>
        <w:t>anexo al</w:t>
      </w:r>
      <w:r w:rsidRPr="006910D9">
        <w:rPr>
          <w:rFonts w:asciiTheme="majorHAnsi" w:hAnsiTheme="majorHAnsi"/>
          <w:sz w:val="20"/>
          <w:szCs w:val="20"/>
          <w:lang w:val="es-ES_tradnl"/>
        </w:rPr>
        <w:t xml:space="preserve"> informe de admisibilidad 410/21 </w:t>
      </w:r>
      <w:r w:rsidR="00E822D6" w:rsidRPr="006910D9">
        <w:rPr>
          <w:rFonts w:asciiTheme="majorHAnsi" w:hAnsiTheme="majorHAnsi"/>
          <w:sz w:val="20"/>
          <w:szCs w:val="20"/>
          <w:lang w:val="es-ES_tradnl"/>
        </w:rPr>
        <w:t>emitido por esta Comisión</w:t>
      </w:r>
      <w:r w:rsidR="00DE269C">
        <w:rPr>
          <w:rFonts w:asciiTheme="majorHAnsi" w:hAnsiTheme="majorHAnsi"/>
          <w:sz w:val="20"/>
          <w:szCs w:val="20"/>
          <w:lang w:val="es-ES_tradnl"/>
        </w:rPr>
        <w:t>, y;</w:t>
      </w:r>
    </w:p>
    <w:p w14:paraId="015E50D9" w14:textId="77777777" w:rsidR="00840AE8" w:rsidRPr="006910D9" w:rsidRDefault="00840AE8" w:rsidP="00840A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CD4DFBD" w14:textId="447CFF07" w:rsidR="003239B8" w:rsidRDefault="004A6A54" w:rsidP="009437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910D9">
        <w:rPr>
          <w:rFonts w:asciiTheme="majorHAnsi" w:hAnsiTheme="majorHAnsi"/>
          <w:sz w:val="20"/>
          <w:szCs w:val="20"/>
          <w:lang w:val="es-ES_tradnl"/>
        </w:rPr>
        <w:t xml:space="preserve">Notificar a las partes la presente decisión; </w:t>
      </w:r>
      <w:r w:rsidR="00874720" w:rsidRPr="006910D9">
        <w:rPr>
          <w:rFonts w:asciiTheme="majorHAnsi" w:hAnsiTheme="majorHAnsi"/>
          <w:sz w:val="20"/>
          <w:szCs w:val="20"/>
          <w:lang w:val="es-ES_tradnl"/>
        </w:rPr>
        <w:t>proceder</w:t>
      </w:r>
      <w:r w:rsidRPr="006910D9">
        <w:rPr>
          <w:rFonts w:asciiTheme="majorHAnsi" w:hAnsiTheme="majorHAnsi"/>
          <w:sz w:val="20"/>
          <w:szCs w:val="20"/>
          <w:lang w:val="es-ES_tradnl"/>
        </w:rPr>
        <w:t xml:space="preserve"> con el análisis del fondo de la cuestión; y publicar esta decisión e incluirla en su Informe Anual a la Asamblea General de la Organización de los Estados Americanos.</w:t>
      </w:r>
    </w:p>
    <w:p w14:paraId="27BB8C32" w14:textId="77777777" w:rsidR="00DE269C" w:rsidRDefault="00DE269C" w:rsidP="00DE269C">
      <w:pPr>
        <w:pStyle w:val="ListParagraph"/>
        <w:rPr>
          <w:rFonts w:asciiTheme="majorHAnsi" w:hAnsiTheme="majorHAnsi"/>
          <w:sz w:val="20"/>
          <w:szCs w:val="20"/>
          <w:lang w:val="es-ES_tradnl"/>
        </w:rPr>
      </w:pPr>
    </w:p>
    <w:p w14:paraId="72FB24B1" w14:textId="460B0F93" w:rsidR="00DE269C" w:rsidRPr="00375CA6" w:rsidRDefault="00DE269C" w:rsidP="00375CA6">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375CA6">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r w:rsidRPr="00375CA6">
        <w:rPr>
          <w:rFonts w:asciiTheme="majorHAnsi" w:hAnsiTheme="majorHAnsi"/>
          <w:sz w:val="20"/>
          <w:szCs w:val="20"/>
          <w:lang w:val="es-AR"/>
        </w:rPr>
        <w:br w:type="page"/>
      </w:r>
    </w:p>
    <w:p w14:paraId="0A5096B9" w14:textId="7B91655B" w:rsidR="00E822D6" w:rsidRPr="00375CA6" w:rsidRDefault="00E822D6"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13EA3E9C" w14:textId="664D6A35" w:rsidR="00E822D6" w:rsidRPr="00375CA6" w:rsidRDefault="00E822D6" w:rsidP="0080146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pt-BR"/>
        </w:rPr>
      </w:pPr>
      <w:r w:rsidRPr="00375CA6">
        <w:rPr>
          <w:rFonts w:asciiTheme="majorHAnsi" w:hAnsiTheme="majorHAnsi"/>
          <w:b/>
          <w:bCs/>
          <w:sz w:val="20"/>
          <w:szCs w:val="20"/>
          <w:lang w:val="pt-BR"/>
        </w:rPr>
        <w:t>Anexo</w:t>
      </w:r>
    </w:p>
    <w:p w14:paraId="42F05975" w14:textId="19A4AE0E" w:rsidR="00E822D6" w:rsidRPr="00375CA6" w:rsidRDefault="00E822D6"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pt-BR"/>
        </w:rPr>
      </w:pPr>
    </w:p>
    <w:p w14:paraId="5DB60CAD" w14:textId="40D91416" w:rsidR="00E822D6" w:rsidRPr="00801460" w:rsidRDefault="00E822D6"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Lista de presuntas víctimas que en principio quedarían excluidas de la presente petición</w:t>
      </w:r>
      <w:r w:rsidR="00D329EA">
        <w:rPr>
          <w:rFonts w:asciiTheme="majorHAnsi" w:hAnsiTheme="majorHAnsi"/>
          <w:sz w:val="20"/>
          <w:szCs w:val="20"/>
          <w:lang w:val="es-ES"/>
        </w:rPr>
        <w:t>:</w:t>
      </w:r>
    </w:p>
    <w:p w14:paraId="354D5EDE" w14:textId="743D3473" w:rsidR="00E822D6" w:rsidRPr="00801460" w:rsidRDefault="00E822D6"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B121CC1" w14:textId="30E6176B" w:rsidR="00E822D6" w:rsidRPr="00801460" w:rsidRDefault="00E822D6"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tbl>
      <w:tblPr>
        <w:tblStyle w:val="TableGrid"/>
        <w:tblW w:w="0" w:type="auto"/>
        <w:tblLook w:val="04A0" w:firstRow="1" w:lastRow="0" w:firstColumn="1" w:lastColumn="0" w:noHBand="0" w:noVBand="1"/>
      </w:tblPr>
      <w:tblGrid>
        <w:gridCol w:w="4675"/>
        <w:gridCol w:w="4675"/>
      </w:tblGrid>
      <w:tr w:rsidR="00E822D6" w:rsidRPr="00375CA6" w14:paraId="178F7936" w14:textId="77777777" w:rsidTr="00E822D6">
        <w:tc>
          <w:tcPr>
            <w:tcW w:w="4675" w:type="dxa"/>
          </w:tcPr>
          <w:p w14:paraId="1E58F79B" w14:textId="6EE82837" w:rsidR="00E822D6" w:rsidRPr="00801460" w:rsidRDefault="00E822D6"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801460">
              <w:rPr>
                <w:rFonts w:asciiTheme="majorHAnsi" w:hAnsiTheme="majorHAnsi"/>
                <w:b/>
                <w:bCs/>
                <w:sz w:val="20"/>
                <w:szCs w:val="20"/>
                <w:lang w:val="es-ES"/>
              </w:rPr>
              <w:t>Nombre que aparece en la presente petición</w:t>
            </w:r>
          </w:p>
        </w:tc>
        <w:tc>
          <w:tcPr>
            <w:tcW w:w="4675" w:type="dxa"/>
          </w:tcPr>
          <w:p w14:paraId="561FA87C" w14:textId="1133258B" w:rsidR="00E822D6" w:rsidRPr="00801460" w:rsidRDefault="00E822D6" w:rsidP="00801460">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
              </w:rPr>
            </w:pPr>
            <w:r w:rsidRPr="00801460">
              <w:rPr>
                <w:rFonts w:asciiTheme="majorHAnsi" w:hAnsiTheme="majorHAnsi"/>
                <w:b/>
                <w:bCs/>
                <w:sz w:val="20"/>
                <w:szCs w:val="20"/>
                <w:lang w:val="es-ES"/>
              </w:rPr>
              <w:t>Nombre aparentemente coincidente en el listado anexo al informe 410/21</w:t>
            </w:r>
          </w:p>
        </w:tc>
      </w:tr>
      <w:tr w:rsidR="00E822D6" w:rsidRPr="00801460" w14:paraId="68329C51" w14:textId="77777777" w:rsidTr="00E822D6">
        <w:tc>
          <w:tcPr>
            <w:tcW w:w="4675" w:type="dxa"/>
          </w:tcPr>
          <w:p w14:paraId="7629D020" w14:textId="1859E20C" w:rsidR="00E822D6" w:rsidRPr="00801460" w:rsidRDefault="00E822D6"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Bene</w:t>
            </w:r>
            <w:r w:rsidR="005C45C4" w:rsidRPr="00801460">
              <w:rPr>
                <w:rFonts w:asciiTheme="majorHAnsi" w:hAnsiTheme="majorHAnsi"/>
                <w:sz w:val="20"/>
                <w:szCs w:val="20"/>
                <w:lang w:val="es-ES"/>
              </w:rPr>
              <w:t>dicta</w:t>
            </w:r>
            <w:r w:rsidRPr="00801460">
              <w:rPr>
                <w:rFonts w:asciiTheme="majorHAnsi" w:hAnsiTheme="majorHAnsi"/>
                <w:sz w:val="20"/>
                <w:szCs w:val="20"/>
                <w:lang w:val="es-ES"/>
              </w:rPr>
              <w:t xml:space="preserve"> Avendaño de Ogalde </w:t>
            </w:r>
          </w:p>
        </w:tc>
        <w:tc>
          <w:tcPr>
            <w:tcW w:w="4675" w:type="dxa"/>
          </w:tcPr>
          <w:p w14:paraId="3D224EB7" w14:textId="6115E65D" w:rsidR="00E822D6" w:rsidRPr="00801460" w:rsidRDefault="00E822D6"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Benedicta Avendaño de Ogalde</w:t>
            </w:r>
          </w:p>
        </w:tc>
      </w:tr>
      <w:tr w:rsidR="00E822D6" w:rsidRPr="00801460" w14:paraId="40B762FD" w14:textId="77777777" w:rsidTr="00E822D6">
        <w:tc>
          <w:tcPr>
            <w:tcW w:w="4675" w:type="dxa"/>
          </w:tcPr>
          <w:p w14:paraId="0599E7F8" w14:textId="7ABD1A9B" w:rsidR="00E822D6" w:rsidRPr="00801460" w:rsidRDefault="005C45C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Maria Laura Cirio de Eyerachar</w:t>
            </w:r>
          </w:p>
        </w:tc>
        <w:tc>
          <w:tcPr>
            <w:tcW w:w="4675" w:type="dxa"/>
          </w:tcPr>
          <w:p w14:paraId="7C64C3C5" w14:textId="38DBABFA" w:rsidR="00E822D6" w:rsidRPr="00801460" w:rsidRDefault="005C45C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PA"/>
              </w:rPr>
              <w:t>Maria Clara Sirio de Eyherachar</w:t>
            </w:r>
          </w:p>
        </w:tc>
      </w:tr>
      <w:tr w:rsidR="005C45C4" w:rsidRPr="00801460" w14:paraId="4F2A39EE" w14:textId="77777777" w:rsidTr="00E822D6">
        <w:tc>
          <w:tcPr>
            <w:tcW w:w="4675" w:type="dxa"/>
          </w:tcPr>
          <w:p w14:paraId="56902CFF" w14:textId="41A15798" w:rsidR="005C45C4" w:rsidRPr="00801460" w:rsidRDefault="005C45C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Dolores Aidee Lemos de Jardel</w:t>
            </w:r>
          </w:p>
        </w:tc>
        <w:tc>
          <w:tcPr>
            <w:tcW w:w="4675" w:type="dxa"/>
          </w:tcPr>
          <w:p w14:paraId="741B1CBB" w14:textId="23EB44AA" w:rsidR="005C45C4" w:rsidRPr="00801460" w:rsidRDefault="005C45C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Dolores Haydée Jardel</w:t>
            </w:r>
          </w:p>
        </w:tc>
      </w:tr>
      <w:tr w:rsidR="005C45C4" w:rsidRPr="00801460" w14:paraId="7378A0E3" w14:textId="77777777" w:rsidTr="00E822D6">
        <w:tc>
          <w:tcPr>
            <w:tcW w:w="4675" w:type="dxa"/>
          </w:tcPr>
          <w:p w14:paraId="2093B2E8" w14:textId="43258BFB" w:rsidR="005C45C4" w:rsidRPr="00801460" w:rsidRDefault="005C45C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Fanny Argentina Perrini de Segura</w:t>
            </w:r>
          </w:p>
        </w:tc>
        <w:tc>
          <w:tcPr>
            <w:tcW w:w="4675" w:type="dxa"/>
          </w:tcPr>
          <w:p w14:paraId="5D4321E8" w14:textId="42214B21" w:rsidR="005C45C4" w:rsidRPr="00801460" w:rsidRDefault="005C45C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Fany Argentina Perrini de Segura</w:t>
            </w:r>
          </w:p>
        </w:tc>
      </w:tr>
      <w:tr w:rsidR="005C45C4" w:rsidRPr="00801460" w14:paraId="1FD1ADCC" w14:textId="77777777" w:rsidTr="00E822D6">
        <w:tc>
          <w:tcPr>
            <w:tcW w:w="4675" w:type="dxa"/>
          </w:tcPr>
          <w:p w14:paraId="0269769D" w14:textId="46F65BBE" w:rsidR="005C45C4" w:rsidRPr="00801460" w:rsidRDefault="005C45C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María Pilar Vila de Tomas</w:t>
            </w:r>
          </w:p>
        </w:tc>
        <w:tc>
          <w:tcPr>
            <w:tcW w:w="4675" w:type="dxa"/>
          </w:tcPr>
          <w:p w14:paraId="22F80482" w14:textId="643E8BCF" w:rsidR="005C45C4" w:rsidRPr="00801460" w:rsidRDefault="005C45C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María Vila de Thomas</w:t>
            </w:r>
          </w:p>
        </w:tc>
      </w:tr>
      <w:tr w:rsidR="005C45C4" w:rsidRPr="00375CA6" w14:paraId="7B2F6D1C" w14:textId="77777777" w:rsidTr="00E822D6">
        <w:tc>
          <w:tcPr>
            <w:tcW w:w="4675" w:type="dxa"/>
          </w:tcPr>
          <w:p w14:paraId="3CFB2D64" w14:textId="4C5ACB7F" w:rsidR="005C45C4" w:rsidRPr="00801460" w:rsidRDefault="005C45C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Juana Irma Gonzales de Tomba</w:t>
            </w:r>
          </w:p>
        </w:tc>
        <w:tc>
          <w:tcPr>
            <w:tcW w:w="4675" w:type="dxa"/>
          </w:tcPr>
          <w:p w14:paraId="0B09347E" w14:textId="0809AF63" w:rsidR="005C45C4" w:rsidRPr="00801460" w:rsidRDefault="005C45C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Juana Irma González de Tomba</w:t>
            </w:r>
          </w:p>
        </w:tc>
      </w:tr>
      <w:tr w:rsidR="005C45C4" w:rsidRPr="00801460" w14:paraId="64A14DC7" w14:textId="77777777" w:rsidTr="00E822D6">
        <w:tc>
          <w:tcPr>
            <w:tcW w:w="4675" w:type="dxa"/>
          </w:tcPr>
          <w:p w14:paraId="17C98032" w14:textId="1D04116B" w:rsidR="005C45C4" w:rsidRPr="00801460" w:rsidRDefault="005C45C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Hilda Cortellezzi de Moyano</w:t>
            </w:r>
          </w:p>
        </w:tc>
        <w:tc>
          <w:tcPr>
            <w:tcW w:w="4675" w:type="dxa"/>
          </w:tcPr>
          <w:p w14:paraId="2847C6C5" w14:textId="0C371BA3" w:rsidR="005C45C4" w:rsidRPr="00801460" w:rsidRDefault="005C45C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Hilda Cortellezzi de Moyano</w:t>
            </w:r>
          </w:p>
        </w:tc>
      </w:tr>
      <w:tr w:rsidR="005C45C4" w:rsidRPr="00801460" w14:paraId="3E6FB0F6" w14:textId="77777777" w:rsidTr="00E822D6">
        <w:tc>
          <w:tcPr>
            <w:tcW w:w="4675" w:type="dxa"/>
          </w:tcPr>
          <w:p w14:paraId="3D7E0195" w14:textId="131E5882" w:rsidR="005C45C4" w:rsidRPr="00801460" w:rsidRDefault="005C45C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01460">
              <w:rPr>
                <w:rFonts w:asciiTheme="majorHAnsi" w:hAnsiTheme="majorHAnsi"/>
                <w:sz w:val="20"/>
                <w:szCs w:val="20"/>
                <w:lang w:val="pt-BR"/>
              </w:rPr>
              <w:t>Dora Palma Aguirre de Gomes</w:t>
            </w:r>
          </w:p>
        </w:tc>
        <w:tc>
          <w:tcPr>
            <w:tcW w:w="4675" w:type="dxa"/>
          </w:tcPr>
          <w:p w14:paraId="260F9263" w14:textId="68A12C95" w:rsidR="005C45C4" w:rsidRPr="00801460" w:rsidRDefault="005C45C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Dora Palma Aguirre de Gómez</w:t>
            </w:r>
          </w:p>
        </w:tc>
      </w:tr>
      <w:tr w:rsidR="005C45C4" w:rsidRPr="00375CA6" w14:paraId="5F79F6AA" w14:textId="77777777" w:rsidTr="00E822D6">
        <w:tc>
          <w:tcPr>
            <w:tcW w:w="4675" w:type="dxa"/>
          </w:tcPr>
          <w:p w14:paraId="339C73D2" w14:textId="243EFED7" w:rsidR="005C45C4" w:rsidRPr="00801460" w:rsidRDefault="005C45C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01460">
              <w:rPr>
                <w:rFonts w:asciiTheme="majorHAnsi" w:hAnsiTheme="majorHAnsi"/>
                <w:sz w:val="20"/>
                <w:szCs w:val="20"/>
                <w:lang w:val="pt-BR"/>
              </w:rPr>
              <w:t>Alba Rosa Vitolo de Priore</w:t>
            </w:r>
          </w:p>
        </w:tc>
        <w:tc>
          <w:tcPr>
            <w:tcW w:w="4675" w:type="dxa"/>
          </w:tcPr>
          <w:p w14:paraId="141407BF" w14:textId="65D3B754" w:rsidR="005C45C4" w:rsidRPr="00801460" w:rsidRDefault="005C45C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801460">
              <w:rPr>
                <w:rFonts w:asciiTheme="majorHAnsi" w:hAnsiTheme="majorHAnsi"/>
                <w:sz w:val="20"/>
                <w:szCs w:val="20"/>
                <w:lang w:val="pt-BR"/>
              </w:rPr>
              <w:t>Alba Rosa Vítolo de Priore</w:t>
            </w:r>
          </w:p>
        </w:tc>
      </w:tr>
      <w:tr w:rsidR="005C45C4" w:rsidRPr="00801460" w14:paraId="2DC27FA5" w14:textId="77777777" w:rsidTr="00E822D6">
        <w:tc>
          <w:tcPr>
            <w:tcW w:w="4675" w:type="dxa"/>
          </w:tcPr>
          <w:p w14:paraId="6CC8BDA5" w14:textId="03E8CF48" w:rsidR="005C45C4" w:rsidRPr="00801460" w:rsidRDefault="0095388F"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Leonor Matile Mathus Hoyos de Funes</w:t>
            </w:r>
          </w:p>
        </w:tc>
        <w:tc>
          <w:tcPr>
            <w:tcW w:w="4675" w:type="dxa"/>
          </w:tcPr>
          <w:p w14:paraId="6C2049F7" w14:textId="30284A72" w:rsidR="005C45C4" w:rsidRPr="00801460" w:rsidRDefault="0095388F"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Leonor Matilde Mathus Hoyos de Funes</w:t>
            </w:r>
          </w:p>
        </w:tc>
      </w:tr>
      <w:tr w:rsidR="0095388F" w:rsidRPr="00801460" w14:paraId="7B297003" w14:textId="77777777" w:rsidTr="00E822D6">
        <w:tc>
          <w:tcPr>
            <w:tcW w:w="4675" w:type="dxa"/>
          </w:tcPr>
          <w:p w14:paraId="2573770A" w14:textId="327BC436" w:rsidR="0095388F" w:rsidRPr="00801460" w:rsidRDefault="0095388F"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Hilda Rosario Filomena Di Primio Carubin</w:t>
            </w:r>
          </w:p>
        </w:tc>
        <w:tc>
          <w:tcPr>
            <w:tcW w:w="4675" w:type="dxa"/>
          </w:tcPr>
          <w:p w14:paraId="59AA73CD" w14:textId="24DDF9AC" w:rsidR="0095388F" w:rsidRPr="00801460" w:rsidRDefault="0095388F"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Hilda Rosario Filomena de Primio de Carubin</w:t>
            </w:r>
          </w:p>
        </w:tc>
      </w:tr>
      <w:tr w:rsidR="0095388F" w:rsidRPr="00801460" w14:paraId="014200E6" w14:textId="77777777" w:rsidTr="00E822D6">
        <w:tc>
          <w:tcPr>
            <w:tcW w:w="4675" w:type="dxa"/>
          </w:tcPr>
          <w:p w14:paraId="3EB21967" w14:textId="2264EE2C" w:rsidR="0095388F" w:rsidRPr="00801460" w:rsidRDefault="0095388F"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Lucia Calderon de Videla</w:t>
            </w:r>
          </w:p>
        </w:tc>
        <w:tc>
          <w:tcPr>
            <w:tcW w:w="4675" w:type="dxa"/>
          </w:tcPr>
          <w:p w14:paraId="518548AD" w14:textId="0BC0AA67" w:rsidR="0095388F" w:rsidRPr="00801460" w:rsidRDefault="0095388F"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Lucia Calderón de Videla</w:t>
            </w:r>
          </w:p>
        </w:tc>
      </w:tr>
      <w:tr w:rsidR="0095388F" w:rsidRPr="00801460" w14:paraId="641D9321" w14:textId="77777777" w:rsidTr="00E822D6">
        <w:tc>
          <w:tcPr>
            <w:tcW w:w="4675" w:type="dxa"/>
          </w:tcPr>
          <w:p w14:paraId="07366433" w14:textId="06463C36" w:rsidR="0095388F" w:rsidRPr="00801460" w:rsidRDefault="0095388F"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Julia Viola Agüero de Bernard</w:t>
            </w:r>
          </w:p>
        </w:tc>
        <w:tc>
          <w:tcPr>
            <w:tcW w:w="4675" w:type="dxa"/>
          </w:tcPr>
          <w:p w14:paraId="4CAEAC87" w14:textId="238AAEE7" w:rsidR="0095388F" w:rsidRPr="00801460" w:rsidRDefault="0095388F"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Julia Viola Agüero de Bernard</w:t>
            </w:r>
          </w:p>
        </w:tc>
      </w:tr>
      <w:tr w:rsidR="0095388F" w:rsidRPr="00801460" w14:paraId="2BC9C812" w14:textId="77777777" w:rsidTr="00E822D6">
        <w:tc>
          <w:tcPr>
            <w:tcW w:w="4675" w:type="dxa"/>
          </w:tcPr>
          <w:p w14:paraId="442BF2AA" w14:textId="3E17569B" w:rsidR="0095388F" w:rsidRPr="00801460" w:rsidRDefault="0095388F"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Roque Agustín Burgos</w:t>
            </w:r>
          </w:p>
        </w:tc>
        <w:tc>
          <w:tcPr>
            <w:tcW w:w="4675" w:type="dxa"/>
          </w:tcPr>
          <w:p w14:paraId="65092B2A" w14:textId="3DFA6472" w:rsidR="0095388F" w:rsidRPr="00801460" w:rsidRDefault="0095388F"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Roque Agustín Burgos</w:t>
            </w:r>
          </w:p>
        </w:tc>
      </w:tr>
      <w:tr w:rsidR="0095388F" w:rsidRPr="00801460" w14:paraId="64338886" w14:textId="77777777" w:rsidTr="00E822D6">
        <w:tc>
          <w:tcPr>
            <w:tcW w:w="4675" w:type="dxa"/>
          </w:tcPr>
          <w:p w14:paraId="1FF647FD" w14:textId="37A28949" w:rsidR="0095388F" w:rsidRPr="00801460" w:rsidRDefault="0095388F"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Leopoldo José Ortiz</w:t>
            </w:r>
          </w:p>
        </w:tc>
        <w:tc>
          <w:tcPr>
            <w:tcW w:w="4675" w:type="dxa"/>
          </w:tcPr>
          <w:p w14:paraId="46346C82" w14:textId="63A17ADF" w:rsidR="0095388F" w:rsidRPr="00801460" w:rsidRDefault="0095388F"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Leopoldo José Ortiz</w:t>
            </w:r>
          </w:p>
        </w:tc>
      </w:tr>
      <w:tr w:rsidR="0095388F" w:rsidRPr="00801460" w14:paraId="5ADCA7FD" w14:textId="77777777" w:rsidTr="00E822D6">
        <w:tc>
          <w:tcPr>
            <w:tcW w:w="4675" w:type="dxa"/>
          </w:tcPr>
          <w:p w14:paraId="269A9234" w14:textId="6476F280" w:rsidR="0095388F" w:rsidRPr="00801460" w:rsidRDefault="0095388F"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Elio Adolfo Gomez Marquez</w:t>
            </w:r>
          </w:p>
        </w:tc>
        <w:tc>
          <w:tcPr>
            <w:tcW w:w="4675" w:type="dxa"/>
          </w:tcPr>
          <w:p w14:paraId="12E79F73" w14:textId="2A187A46" w:rsidR="0095388F" w:rsidRPr="00801460" w:rsidRDefault="0095388F"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Elio Adolfo Gómez Márquez</w:t>
            </w:r>
          </w:p>
        </w:tc>
      </w:tr>
      <w:tr w:rsidR="0095388F" w:rsidRPr="00801460" w14:paraId="06098A78" w14:textId="77777777" w:rsidTr="00E822D6">
        <w:tc>
          <w:tcPr>
            <w:tcW w:w="4675" w:type="dxa"/>
          </w:tcPr>
          <w:p w14:paraId="4A8CE244" w14:textId="503DB7AB" w:rsidR="0095388F" w:rsidRPr="00801460" w:rsidRDefault="0095388F"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Domingo Juan Ramos</w:t>
            </w:r>
          </w:p>
        </w:tc>
        <w:tc>
          <w:tcPr>
            <w:tcW w:w="4675" w:type="dxa"/>
          </w:tcPr>
          <w:p w14:paraId="19D11B1B" w14:textId="0C4CDD18" w:rsidR="0095388F" w:rsidRPr="00801460" w:rsidRDefault="0095388F"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Domingo Juan Ramos</w:t>
            </w:r>
          </w:p>
        </w:tc>
      </w:tr>
      <w:tr w:rsidR="0095388F" w:rsidRPr="00801460" w14:paraId="1F3C1005" w14:textId="77777777" w:rsidTr="00E822D6">
        <w:tc>
          <w:tcPr>
            <w:tcW w:w="4675" w:type="dxa"/>
          </w:tcPr>
          <w:p w14:paraId="1E164C70" w14:textId="5192A454" w:rsidR="0095388F"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 xml:space="preserve">Elsa Rodríguez </w:t>
            </w:r>
          </w:p>
        </w:tc>
        <w:tc>
          <w:tcPr>
            <w:tcW w:w="4675" w:type="dxa"/>
          </w:tcPr>
          <w:p w14:paraId="587F1B02" w14:textId="25E75AB0" w:rsidR="0095388F"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Elsa Luisa Rodríguez</w:t>
            </w:r>
          </w:p>
        </w:tc>
      </w:tr>
      <w:tr w:rsidR="005B5AD3" w:rsidRPr="00801460" w14:paraId="284C0DFA" w14:textId="77777777" w:rsidTr="00E822D6">
        <w:tc>
          <w:tcPr>
            <w:tcW w:w="4675" w:type="dxa"/>
          </w:tcPr>
          <w:p w14:paraId="1AA4C3BF" w14:textId="475F1CC4" w:rsidR="005B5AD3"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Isidoro Celestino Cortellezzi</w:t>
            </w:r>
          </w:p>
        </w:tc>
        <w:tc>
          <w:tcPr>
            <w:tcW w:w="4675" w:type="dxa"/>
          </w:tcPr>
          <w:p w14:paraId="3DF62DE9" w14:textId="7E25EED4" w:rsidR="005B5AD3"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Isidoro Celestino Cortellezzi</w:t>
            </w:r>
          </w:p>
        </w:tc>
      </w:tr>
      <w:tr w:rsidR="005B5AD3" w:rsidRPr="00801460" w14:paraId="1DA70BC0" w14:textId="77777777" w:rsidTr="00E822D6">
        <w:tc>
          <w:tcPr>
            <w:tcW w:w="4675" w:type="dxa"/>
          </w:tcPr>
          <w:p w14:paraId="79195FB5" w14:textId="70E3EA06" w:rsidR="005B5AD3"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 xml:space="preserve">Manuel Pedro Torquemada </w:t>
            </w:r>
          </w:p>
        </w:tc>
        <w:tc>
          <w:tcPr>
            <w:tcW w:w="4675" w:type="dxa"/>
          </w:tcPr>
          <w:p w14:paraId="5D799DC9" w14:textId="62B98194" w:rsidR="005B5AD3"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Manuel Pedro Torquemada</w:t>
            </w:r>
          </w:p>
        </w:tc>
      </w:tr>
      <w:tr w:rsidR="005B5AD3" w:rsidRPr="00801460" w14:paraId="26785C9F" w14:textId="77777777" w:rsidTr="00E822D6">
        <w:tc>
          <w:tcPr>
            <w:tcW w:w="4675" w:type="dxa"/>
          </w:tcPr>
          <w:p w14:paraId="199EE23A" w14:textId="2F56CCB7" w:rsidR="005B5AD3"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Eduardo Andrés Olivares</w:t>
            </w:r>
          </w:p>
        </w:tc>
        <w:tc>
          <w:tcPr>
            <w:tcW w:w="4675" w:type="dxa"/>
          </w:tcPr>
          <w:p w14:paraId="7F5978B3" w14:textId="71F259A5" w:rsidR="005B5AD3"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Eduardo Andrés Olivares</w:t>
            </w:r>
          </w:p>
        </w:tc>
      </w:tr>
      <w:tr w:rsidR="005B5AD3" w:rsidRPr="00801460" w14:paraId="34CEDD48" w14:textId="77777777" w:rsidTr="00E822D6">
        <w:tc>
          <w:tcPr>
            <w:tcW w:w="4675" w:type="dxa"/>
          </w:tcPr>
          <w:p w14:paraId="0EF248B5" w14:textId="153B7E65" w:rsidR="005B5AD3"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Manuel Hernán Toranzo</w:t>
            </w:r>
          </w:p>
        </w:tc>
        <w:tc>
          <w:tcPr>
            <w:tcW w:w="4675" w:type="dxa"/>
          </w:tcPr>
          <w:p w14:paraId="7FDBF83B" w14:textId="42131B9A" w:rsidR="005B5AD3"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Manuel Herman Toranzo</w:t>
            </w:r>
          </w:p>
        </w:tc>
      </w:tr>
      <w:tr w:rsidR="005B5AD3" w:rsidRPr="00801460" w14:paraId="76C6A78E" w14:textId="77777777" w:rsidTr="00E822D6">
        <w:tc>
          <w:tcPr>
            <w:tcW w:w="4675" w:type="dxa"/>
          </w:tcPr>
          <w:p w14:paraId="72F890F0" w14:textId="1DC8FFE7" w:rsidR="005B5AD3"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Pedro Felipe Iturgay</w:t>
            </w:r>
          </w:p>
        </w:tc>
        <w:tc>
          <w:tcPr>
            <w:tcW w:w="4675" w:type="dxa"/>
          </w:tcPr>
          <w:p w14:paraId="44DD3EFF" w14:textId="73D62BC1" w:rsidR="005B5AD3"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Pedro Felipe Iturgay</w:t>
            </w:r>
          </w:p>
        </w:tc>
      </w:tr>
      <w:tr w:rsidR="005B5AD3" w:rsidRPr="00801460" w14:paraId="7178155E" w14:textId="77777777" w:rsidTr="00E822D6">
        <w:tc>
          <w:tcPr>
            <w:tcW w:w="4675" w:type="dxa"/>
          </w:tcPr>
          <w:p w14:paraId="54870C5C" w14:textId="45BDBF71" w:rsidR="005B5AD3"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Francisco Julio Gomez Saa</w:t>
            </w:r>
          </w:p>
        </w:tc>
        <w:tc>
          <w:tcPr>
            <w:tcW w:w="4675" w:type="dxa"/>
          </w:tcPr>
          <w:p w14:paraId="5BF21763" w14:textId="1017B521" w:rsidR="005B5AD3"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Francisco Gómez Sáa</w:t>
            </w:r>
          </w:p>
        </w:tc>
      </w:tr>
      <w:tr w:rsidR="005B5AD3" w:rsidRPr="00801460" w14:paraId="3EEC3F4D" w14:textId="77777777" w:rsidTr="00E822D6">
        <w:tc>
          <w:tcPr>
            <w:tcW w:w="4675" w:type="dxa"/>
          </w:tcPr>
          <w:p w14:paraId="534FC2EF" w14:textId="6E8346B3" w:rsidR="005B5AD3"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Roberto Agenor Cano</w:t>
            </w:r>
          </w:p>
        </w:tc>
        <w:tc>
          <w:tcPr>
            <w:tcW w:w="4675" w:type="dxa"/>
          </w:tcPr>
          <w:p w14:paraId="35F624BD" w14:textId="5A792CE3" w:rsidR="005B5AD3"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Roberto Agenor Cano</w:t>
            </w:r>
          </w:p>
        </w:tc>
      </w:tr>
      <w:tr w:rsidR="005B5AD3" w:rsidRPr="00801460" w14:paraId="3EAD9E02" w14:textId="77777777" w:rsidTr="00E822D6">
        <w:tc>
          <w:tcPr>
            <w:tcW w:w="4675" w:type="dxa"/>
          </w:tcPr>
          <w:p w14:paraId="672E21A5" w14:textId="3ADE53A1" w:rsidR="005B5AD3" w:rsidRPr="00801460" w:rsidRDefault="005B5AD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Héctor Ricardo Olivares</w:t>
            </w:r>
          </w:p>
        </w:tc>
        <w:tc>
          <w:tcPr>
            <w:tcW w:w="4675" w:type="dxa"/>
          </w:tcPr>
          <w:p w14:paraId="6FCDA130" w14:textId="33545599" w:rsidR="005B5AD3" w:rsidRPr="00801460" w:rsidRDefault="005B5AD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Héctor Ricardo Olivares</w:t>
            </w:r>
          </w:p>
        </w:tc>
      </w:tr>
      <w:tr w:rsidR="005B5AD3" w:rsidRPr="00801460" w14:paraId="56E793B2" w14:textId="77777777" w:rsidTr="00E822D6">
        <w:tc>
          <w:tcPr>
            <w:tcW w:w="4675" w:type="dxa"/>
          </w:tcPr>
          <w:p w14:paraId="3B2910BF" w14:textId="66B9277E" w:rsidR="005B5AD3" w:rsidRPr="00801460" w:rsidRDefault="00486D55"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Luis Mario Avendaño</w:t>
            </w:r>
          </w:p>
        </w:tc>
        <w:tc>
          <w:tcPr>
            <w:tcW w:w="4675" w:type="dxa"/>
          </w:tcPr>
          <w:p w14:paraId="317454D7" w14:textId="00F324F9" w:rsidR="005B5AD3" w:rsidRPr="00801460" w:rsidRDefault="00486D55"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Luis Mario Avendaño</w:t>
            </w:r>
          </w:p>
        </w:tc>
      </w:tr>
      <w:tr w:rsidR="00486D55" w:rsidRPr="00801460" w14:paraId="7916B221" w14:textId="77777777" w:rsidTr="00E822D6">
        <w:tc>
          <w:tcPr>
            <w:tcW w:w="4675" w:type="dxa"/>
          </w:tcPr>
          <w:p w14:paraId="65344CEE" w14:textId="23731D9F" w:rsidR="00486D55" w:rsidRPr="00801460"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 xml:space="preserve">Miguel Ángel Mangia </w:t>
            </w:r>
          </w:p>
        </w:tc>
        <w:tc>
          <w:tcPr>
            <w:tcW w:w="4675" w:type="dxa"/>
          </w:tcPr>
          <w:p w14:paraId="2278385B" w14:textId="6083D484" w:rsidR="00486D55" w:rsidRPr="00801460"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Miguel Ángel Mangia</w:t>
            </w:r>
          </w:p>
        </w:tc>
      </w:tr>
      <w:tr w:rsidR="006653A3" w:rsidRPr="00801460" w14:paraId="0F7EA830" w14:textId="77777777" w:rsidTr="00E822D6">
        <w:tc>
          <w:tcPr>
            <w:tcW w:w="4675" w:type="dxa"/>
          </w:tcPr>
          <w:p w14:paraId="12D1E1CF" w14:textId="2437505E" w:rsidR="006653A3" w:rsidRPr="00801460"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Juan Arsenio Quiroga</w:t>
            </w:r>
          </w:p>
        </w:tc>
        <w:tc>
          <w:tcPr>
            <w:tcW w:w="4675" w:type="dxa"/>
          </w:tcPr>
          <w:p w14:paraId="18D070A8" w14:textId="35E7DFD6" w:rsidR="006653A3" w:rsidRPr="00801460"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Juan Arsenio Quiroga</w:t>
            </w:r>
          </w:p>
        </w:tc>
      </w:tr>
      <w:tr w:rsidR="006653A3" w:rsidRPr="00801460" w14:paraId="21602414" w14:textId="77777777" w:rsidTr="00E822D6">
        <w:tc>
          <w:tcPr>
            <w:tcW w:w="4675" w:type="dxa"/>
          </w:tcPr>
          <w:p w14:paraId="2AA6C762" w14:textId="2468B30A" w:rsidR="006653A3" w:rsidRPr="00801460"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Dulio Roger Cano</w:t>
            </w:r>
          </w:p>
        </w:tc>
        <w:tc>
          <w:tcPr>
            <w:tcW w:w="4675" w:type="dxa"/>
          </w:tcPr>
          <w:p w14:paraId="5B3BD4D0" w14:textId="2C29C878" w:rsidR="006653A3" w:rsidRPr="00801460"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Duilio Roger Cano</w:t>
            </w:r>
          </w:p>
        </w:tc>
      </w:tr>
      <w:tr w:rsidR="006653A3" w:rsidRPr="00375CA6" w14:paraId="1FFEEC1C" w14:textId="77777777" w:rsidTr="00E822D6">
        <w:tc>
          <w:tcPr>
            <w:tcW w:w="4675" w:type="dxa"/>
          </w:tcPr>
          <w:p w14:paraId="58C0BCB4" w14:textId="62250204" w:rsidR="006653A3" w:rsidRPr="00375CA6"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fr-CA"/>
              </w:rPr>
            </w:pPr>
            <w:r w:rsidRPr="00375CA6">
              <w:rPr>
                <w:rFonts w:asciiTheme="majorHAnsi" w:hAnsiTheme="majorHAnsi"/>
                <w:sz w:val="20"/>
                <w:szCs w:val="20"/>
                <w:lang w:val="fr-CA"/>
              </w:rPr>
              <w:t>Elena América Chifflet de Dreidemie</w:t>
            </w:r>
          </w:p>
        </w:tc>
        <w:tc>
          <w:tcPr>
            <w:tcW w:w="4675" w:type="dxa"/>
          </w:tcPr>
          <w:p w14:paraId="75141F3A" w14:textId="51CAD9F1" w:rsidR="006653A3" w:rsidRPr="00375CA6"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fr-CA"/>
              </w:rPr>
            </w:pPr>
            <w:r w:rsidRPr="00375CA6">
              <w:rPr>
                <w:rFonts w:asciiTheme="majorHAnsi" w:hAnsiTheme="majorHAnsi"/>
                <w:sz w:val="20"/>
                <w:szCs w:val="20"/>
                <w:lang w:val="fr-CA"/>
              </w:rPr>
              <w:t>Elena América Chiffet de Dreidemis</w:t>
            </w:r>
          </w:p>
        </w:tc>
      </w:tr>
      <w:tr w:rsidR="006653A3" w:rsidRPr="00801460" w14:paraId="4F39B39C" w14:textId="77777777" w:rsidTr="00E822D6">
        <w:tc>
          <w:tcPr>
            <w:tcW w:w="4675" w:type="dxa"/>
          </w:tcPr>
          <w:p w14:paraId="430D2E39" w14:textId="28134F0C" w:rsidR="006653A3" w:rsidRPr="00801460"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Alejandro Agustín Bernal Silva</w:t>
            </w:r>
          </w:p>
        </w:tc>
        <w:tc>
          <w:tcPr>
            <w:tcW w:w="4675" w:type="dxa"/>
          </w:tcPr>
          <w:p w14:paraId="6BB30E55" w14:textId="33F02E95" w:rsidR="006653A3" w:rsidRPr="00801460"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Alejandro Agustín Bernal Silva</w:t>
            </w:r>
          </w:p>
        </w:tc>
      </w:tr>
      <w:tr w:rsidR="006653A3" w:rsidRPr="00801460" w14:paraId="17A862F4" w14:textId="77777777" w:rsidTr="00E822D6">
        <w:tc>
          <w:tcPr>
            <w:tcW w:w="4675" w:type="dxa"/>
          </w:tcPr>
          <w:p w14:paraId="1C037398" w14:textId="1D9867B5" w:rsidR="006653A3" w:rsidRPr="00801460"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Julio Zambroni</w:t>
            </w:r>
          </w:p>
        </w:tc>
        <w:tc>
          <w:tcPr>
            <w:tcW w:w="4675" w:type="dxa"/>
          </w:tcPr>
          <w:p w14:paraId="4B76625D" w14:textId="0DF72B0D" w:rsidR="006653A3" w:rsidRPr="00801460"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Julio Zambroni</w:t>
            </w:r>
          </w:p>
        </w:tc>
      </w:tr>
      <w:tr w:rsidR="006653A3" w:rsidRPr="00801460" w14:paraId="530F7DE7" w14:textId="77777777" w:rsidTr="00E822D6">
        <w:tc>
          <w:tcPr>
            <w:tcW w:w="4675" w:type="dxa"/>
          </w:tcPr>
          <w:p w14:paraId="2B6E5D9D" w14:textId="33E0B57C" w:rsidR="006653A3" w:rsidRPr="00801460"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 xml:space="preserve">Carlos Fortunato Alvarado </w:t>
            </w:r>
          </w:p>
        </w:tc>
        <w:tc>
          <w:tcPr>
            <w:tcW w:w="4675" w:type="dxa"/>
          </w:tcPr>
          <w:p w14:paraId="440A1D36" w14:textId="44D2F9A9" w:rsidR="006653A3" w:rsidRPr="00801460"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Carlos Fortunato Alvarado</w:t>
            </w:r>
          </w:p>
        </w:tc>
      </w:tr>
      <w:tr w:rsidR="006653A3" w:rsidRPr="00801460" w14:paraId="7F152B38" w14:textId="77777777" w:rsidTr="00E822D6">
        <w:tc>
          <w:tcPr>
            <w:tcW w:w="4675" w:type="dxa"/>
          </w:tcPr>
          <w:p w14:paraId="3C011BB6" w14:textId="2BC44A66" w:rsidR="006653A3" w:rsidRPr="00801460"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Waldo Rojas</w:t>
            </w:r>
          </w:p>
        </w:tc>
        <w:tc>
          <w:tcPr>
            <w:tcW w:w="4675" w:type="dxa"/>
          </w:tcPr>
          <w:p w14:paraId="1190E7B1" w14:textId="7E54A5AA" w:rsidR="006653A3" w:rsidRPr="00801460"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Waldo Rojas</w:t>
            </w:r>
          </w:p>
        </w:tc>
      </w:tr>
      <w:tr w:rsidR="006653A3" w:rsidRPr="00801460" w14:paraId="203AC445" w14:textId="77777777" w:rsidTr="00E822D6">
        <w:tc>
          <w:tcPr>
            <w:tcW w:w="4675" w:type="dxa"/>
          </w:tcPr>
          <w:p w14:paraId="25EADA00" w14:textId="486CF69C" w:rsidR="006653A3" w:rsidRPr="00801460" w:rsidRDefault="006653A3"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Salvador Nicolás Puscama</w:t>
            </w:r>
          </w:p>
        </w:tc>
        <w:tc>
          <w:tcPr>
            <w:tcW w:w="4675" w:type="dxa"/>
          </w:tcPr>
          <w:p w14:paraId="3DB9E95F" w14:textId="5DE5714D" w:rsidR="006653A3" w:rsidRPr="00801460" w:rsidRDefault="006653A3"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Salvador Nicolás Puscama</w:t>
            </w:r>
          </w:p>
        </w:tc>
      </w:tr>
      <w:tr w:rsidR="006653A3" w:rsidRPr="00801460" w14:paraId="2B597E9C" w14:textId="77777777" w:rsidTr="00E822D6">
        <w:tc>
          <w:tcPr>
            <w:tcW w:w="4675" w:type="dxa"/>
          </w:tcPr>
          <w:p w14:paraId="448054B8" w14:textId="022F06A3" w:rsidR="006653A3" w:rsidRPr="00801460" w:rsidRDefault="00B0692A"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Juan Manuel García</w:t>
            </w:r>
          </w:p>
        </w:tc>
        <w:tc>
          <w:tcPr>
            <w:tcW w:w="4675" w:type="dxa"/>
          </w:tcPr>
          <w:p w14:paraId="0A3EEEBD" w14:textId="3427C467" w:rsidR="00B0692A" w:rsidRPr="00801460" w:rsidRDefault="00B0692A"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Juan Manuel García</w:t>
            </w:r>
          </w:p>
        </w:tc>
      </w:tr>
      <w:tr w:rsidR="00B0692A" w:rsidRPr="00801460" w14:paraId="0D35D2A9" w14:textId="77777777" w:rsidTr="00E822D6">
        <w:tc>
          <w:tcPr>
            <w:tcW w:w="4675" w:type="dxa"/>
          </w:tcPr>
          <w:p w14:paraId="73D774B8" w14:textId="483E9698" w:rsidR="00B0692A" w:rsidRPr="00801460" w:rsidRDefault="00B0692A"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Pedro Manuel Di Cesare</w:t>
            </w:r>
          </w:p>
        </w:tc>
        <w:tc>
          <w:tcPr>
            <w:tcW w:w="4675" w:type="dxa"/>
          </w:tcPr>
          <w:p w14:paraId="2BA5A849" w14:textId="447355C1" w:rsidR="00B0692A" w:rsidRPr="00801460" w:rsidRDefault="00B0692A"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Pedro Manuel Dicesare</w:t>
            </w:r>
          </w:p>
        </w:tc>
      </w:tr>
      <w:tr w:rsidR="00B0692A" w:rsidRPr="00801460" w14:paraId="215BC065" w14:textId="77777777" w:rsidTr="00E822D6">
        <w:tc>
          <w:tcPr>
            <w:tcW w:w="4675" w:type="dxa"/>
          </w:tcPr>
          <w:p w14:paraId="04E8D0DA" w14:textId="2D7F9B0D" w:rsidR="00B0692A" w:rsidRPr="00801460" w:rsidRDefault="00B0692A"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Armando Florido</w:t>
            </w:r>
          </w:p>
        </w:tc>
        <w:tc>
          <w:tcPr>
            <w:tcW w:w="4675" w:type="dxa"/>
          </w:tcPr>
          <w:p w14:paraId="72A0E41A" w14:textId="35234226" w:rsidR="00B0692A" w:rsidRPr="00801460" w:rsidRDefault="00B0692A"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Armando Florido</w:t>
            </w:r>
          </w:p>
        </w:tc>
      </w:tr>
      <w:tr w:rsidR="00B0692A" w:rsidRPr="00801460" w14:paraId="18797307" w14:textId="77777777" w:rsidTr="00E822D6">
        <w:tc>
          <w:tcPr>
            <w:tcW w:w="4675" w:type="dxa"/>
          </w:tcPr>
          <w:p w14:paraId="642FCC5D" w14:textId="1F75905E" w:rsidR="00B0692A" w:rsidRPr="00801460" w:rsidRDefault="00B0692A"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Jorge Plutarco Flores</w:t>
            </w:r>
          </w:p>
        </w:tc>
        <w:tc>
          <w:tcPr>
            <w:tcW w:w="4675" w:type="dxa"/>
          </w:tcPr>
          <w:p w14:paraId="18BFFDD4" w14:textId="5BBE2198" w:rsidR="00B0692A" w:rsidRPr="00801460" w:rsidRDefault="00B0692A"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Jorge Plutarco Flores</w:t>
            </w:r>
          </w:p>
        </w:tc>
      </w:tr>
      <w:tr w:rsidR="00B0692A" w:rsidRPr="00801460" w14:paraId="368562B2" w14:textId="77777777" w:rsidTr="00E822D6">
        <w:tc>
          <w:tcPr>
            <w:tcW w:w="4675" w:type="dxa"/>
          </w:tcPr>
          <w:p w14:paraId="66063AC3" w14:textId="3BC7D9B6" w:rsidR="00B0692A" w:rsidRPr="00801460" w:rsidRDefault="00B0692A"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Irma Carlota Freixas de Gutierrez del Castillo</w:t>
            </w:r>
          </w:p>
        </w:tc>
        <w:tc>
          <w:tcPr>
            <w:tcW w:w="4675" w:type="dxa"/>
          </w:tcPr>
          <w:p w14:paraId="18094414" w14:textId="4D525E21" w:rsidR="00B0692A" w:rsidRPr="00801460" w:rsidRDefault="00B0692A"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Irma Carlota Freixas de Gutiérrez de Castillo</w:t>
            </w:r>
          </w:p>
        </w:tc>
      </w:tr>
      <w:tr w:rsidR="00B0692A" w:rsidRPr="00801460" w14:paraId="7757CE12" w14:textId="77777777" w:rsidTr="00E822D6">
        <w:tc>
          <w:tcPr>
            <w:tcW w:w="4675" w:type="dxa"/>
          </w:tcPr>
          <w:p w14:paraId="26451398" w14:textId="312DF94C" w:rsidR="00B0692A" w:rsidRPr="00801460" w:rsidRDefault="00B0692A"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Doralia Baez Di Svrsek</w:t>
            </w:r>
          </w:p>
        </w:tc>
        <w:tc>
          <w:tcPr>
            <w:tcW w:w="4675" w:type="dxa"/>
          </w:tcPr>
          <w:p w14:paraId="430D7BEB" w14:textId="03930A66" w:rsidR="00B0692A" w:rsidRPr="00801460" w:rsidRDefault="00B0692A"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Doralía Báez de Svrsek</w:t>
            </w:r>
          </w:p>
        </w:tc>
      </w:tr>
      <w:tr w:rsidR="00B0692A" w:rsidRPr="00801460" w14:paraId="1EB67A93" w14:textId="77777777" w:rsidTr="00E822D6">
        <w:tc>
          <w:tcPr>
            <w:tcW w:w="4675" w:type="dxa"/>
          </w:tcPr>
          <w:p w14:paraId="21B4C275" w14:textId="2250DC2F" w:rsidR="00B0692A" w:rsidRPr="00801460" w:rsidRDefault="00B0692A"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Carlos Carson Elorza</w:t>
            </w:r>
          </w:p>
        </w:tc>
        <w:tc>
          <w:tcPr>
            <w:tcW w:w="4675" w:type="dxa"/>
          </w:tcPr>
          <w:p w14:paraId="2E94D4DA" w14:textId="62954407" w:rsidR="00B0692A" w:rsidRPr="00801460" w:rsidRDefault="00B0692A"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Carlos Carzon Elorza</w:t>
            </w:r>
          </w:p>
        </w:tc>
      </w:tr>
      <w:tr w:rsidR="00B0692A" w:rsidRPr="00801460" w14:paraId="01934D0B" w14:textId="77777777" w:rsidTr="00E822D6">
        <w:tc>
          <w:tcPr>
            <w:tcW w:w="4675" w:type="dxa"/>
          </w:tcPr>
          <w:p w14:paraId="30938BDA" w14:textId="2618F71E" w:rsidR="00B0692A" w:rsidRPr="00801460" w:rsidRDefault="00B0692A"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Roberto Arnoldo Arenas</w:t>
            </w:r>
          </w:p>
        </w:tc>
        <w:tc>
          <w:tcPr>
            <w:tcW w:w="4675" w:type="dxa"/>
          </w:tcPr>
          <w:p w14:paraId="2768FBDE" w14:textId="2BEFF39D" w:rsidR="00B0692A" w:rsidRPr="00801460" w:rsidRDefault="00B0692A"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Roberto Arnoldo Arenas</w:t>
            </w:r>
          </w:p>
        </w:tc>
      </w:tr>
      <w:tr w:rsidR="00B0692A" w:rsidRPr="00801460" w14:paraId="5900DDF4" w14:textId="77777777" w:rsidTr="00E822D6">
        <w:tc>
          <w:tcPr>
            <w:tcW w:w="4675" w:type="dxa"/>
          </w:tcPr>
          <w:p w14:paraId="60F12C59" w14:textId="5F1014CA" w:rsidR="00B0692A" w:rsidRPr="00801460" w:rsidRDefault="00EF111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lastRenderedPageBreak/>
              <w:t>Vicente Dagostino</w:t>
            </w:r>
          </w:p>
        </w:tc>
        <w:tc>
          <w:tcPr>
            <w:tcW w:w="4675" w:type="dxa"/>
          </w:tcPr>
          <w:p w14:paraId="1F3F432D" w14:textId="6190C86A" w:rsidR="00B0692A" w:rsidRPr="00801460" w:rsidRDefault="00EF111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Vicente D’Agostino</w:t>
            </w:r>
          </w:p>
        </w:tc>
      </w:tr>
      <w:tr w:rsidR="00EF1114" w:rsidRPr="00801460" w14:paraId="22850D0B" w14:textId="77777777" w:rsidTr="00E822D6">
        <w:tc>
          <w:tcPr>
            <w:tcW w:w="4675" w:type="dxa"/>
          </w:tcPr>
          <w:p w14:paraId="01BAB71A" w14:textId="02A7EF11" w:rsidR="00EF1114" w:rsidRPr="00801460" w:rsidRDefault="00EF111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Manuel Landa</w:t>
            </w:r>
          </w:p>
        </w:tc>
        <w:tc>
          <w:tcPr>
            <w:tcW w:w="4675" w:type="dxa"/>
          </w:tcPr>
          <w:p w14:paraId="730F06CE" w14:textId="1519CBE5" w:rsidR="00EF1114" w:rsidRPr="00801460" w:rsidRDefault="00EF111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Manuel Landas</w:t>
            </w:r>
          </w:p>
        </w:tc>
      </w:tr>
      <w:tr w:rsidR="00EF1114" w:rsidRPr="00801460" w14:paraId="16BFB617" w14:textId="77777777" w:rsidTr="00E822D6">
        <w:tc>
          <w:tcPr>
            <w:tcW w:w="4675" w:type="dxa"/>
          </w:tcPr>
          <w:p w14:paraId="114A91F3" w14:textId="54714644" w:rsidR="00EF1114" w:rsidRPr="00801460" w:rsidRDefault="00EF111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Alejandro Noe Garro</w:t>
            </w:r>
          </w:p>
        </w:tc>
        <w:tc>
          <w:tcPr>
            <w:tcW w:w="4675" w:type="dxa"/>
          </w:tcPr>
          <w:p w14:paraId="74CDD05F" w14:textId="791FC7A4" w:rsidR="00EF1114" w:rsidRPr="00801460" w:rsidRDefault="00EF111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Alejandro Noé Garro</w:t>
            </w:r>
          </w:p>
        </w:tc>
      </w:tr>
      <w:tr w:rsidR="00EF1114" w:rsidRPr="00801460" w14:paraId="7F291ADD" w14:textId="77777777" w:rsidTr="00E822D6">
        <w:tc>
          <w:tcPr>
            <w:tcW w:w="4675" w:type="dxa"/>
          </w:tcPr>
          <w:p w14:paraId="1F1A268A" w14:textId="1898C34F" w:rsidR="00EF1114" w:rsidRPr="00801460" w:rsidRDefault="00EF111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Mario Ramón Videla</w:t>
            </w:r>
          </w:p>
        </w:tc>
        <w:tc>
          <w:tcPr>
            <w:tcW w:w="4675" w:type="dxa"/>
          </w:tcPr>
          <w:p w14:paraId="494535AD" w14:textId="546B5356" w:rsidR="00EF1114" w:rsidRPr="00801460" w:rsidRDefault="00EF111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Mario Ramón Videla</w:t>
            </w:r>
          </w:p>
        </w:tc>
      </w:tr>
      <w:tr w:rsidR="00EF1114" w:rsidRPr="00801460" w14:paraId="029A564C" w14:textId="77777777" w:rsidTr="00E822D6">
        <w:tc>
          <w:tcPr>
            <w:tcW w:w="4675" w:type="dxa"/>
          </w:tcPr>
          <w:p w14:paraId="588899FC" w14:textId="01A79F28" w:rsidR="00EF1114" w:rsidRPr="00801460" w:rsidRDefault="00EF111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Olimpia Adela Paris de Sosa</w:t>
            </w:r>
          </w:p>
        </w:tc>
        <w:tc>
          <w:tcPr>
            <w:tcW w:w="4675" w:type="dxa"/>
          </w:tcPr>
          <w:p w14:paraId="0B882FB1" w14:textId="4839AE74" w:rsidR="00EF1114" w:rsidRPr="00801460" w:rsidRDefault="00EF111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Olimpia D. Paris de Sosa</w:t>
            </w:r>
          </w:p>
        </w:tc>
      </w:tr>
      <w:tr w:rsidR="00EF1114" w:rsidRPr="00801460" w14:paraId="6BEFC6CC" w14:textId="77777777" w:rsidTr="00E822D6">
        <w:tc>
          <w:tcPr>
            <w:tcW w:w="4675" w:type="dxa"/>
          </w:tcPr>
          <w:p w14:paraId="3AAC8D99" w14:textId="1F381DA5" w:rsidR="00EF1114" w:rsidRPr="00801460" w:rsidRDefault="00EF111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María Isabel de Lourdes Sosa de Videla Segura</w:t>
            </w:r>
          </w:p>
        </w:tc>
        <w:tc>
          <w:tcPr>
            <w:tcW w:w="4675" w:type="dxa"/>
          </w:tcPr>
          <w:p w14:paraId="356129DB" w14:textId="77777777" w:rsidR="00EF1114" w:rsidRPr="00801460" w:rsidRDefault="00EF1114"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María I. Lourdes de Videla Segura</w:t>
            </w:r>
          </w:p>
          <w:p w14:paraId="08C0EA79" w14:textId="77777777" w:rsidR="00EF1114" w:rsidRPr="00801460" w:rsidRDefault="00EF1114"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p>
        </w:tc>
      </w:tr>
      <w:tr w:rsidR="00EF1114" w:rsidRPr="00375CA6" w14:paraId="114A0FD4" w14:textId="77777777" w:rsidTr="00E822D6">
        <w:tc>
          <w:tcPr>
            <w:tcW w:w="4675" w:type="dxa"/>
          </w:tcPr>
          <w:p w14:paraId="01D4B3E9" w14:textId="167DAE3F" w:rsidR="00EF1114" w:rsidRPr="00801460" w:rsidRDefault="00EF111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Sabina Reyes de Eguia Muñoz</w:t>
            </w:r>
          </w:p>
        </w:tc>
        <w:tc>
          <w:tcPr>
            <w:tcW w:w="4675" w:type="dxa"/>
          </w:tcPr>
          <w:p w14:paraId="5806A08C" w14:textId="01FA386F" w:rsidR="00EF1114" w:rsidRPr="00801460" w:rsidRDefault="00EF1114"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Sabina Reyes de Eguía Muñoz</w:t>
            </w:r>
          </w:p>
        </w:tc>
      </w:tr>
      <w:tr w:rsidR="00EF1114" w:rsidRPr="00375CA6" w14:paraId="7AB3AC17" w14:textId="77777777" w:rsidTr="00E822D6">
        <w:tc>
          <w:tcPr>
            <w:tcW w:w="4675" w:type="dxa"/>
          </w:tcPr>
          <w:p w14:paraId="39349E9C" w14:textId="0DA534AD" w:rsidR="00EF1114" w:rsidRPr="00801460" w:rsidRDefault="00EF1114"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María Inés Saez de Correa Llano y sus hijos discapacitados Carlos Daniel Correa Llano y María Clara Correa Llano</w:t>
            </w:r>
          </w:p>
        </w:tc>
        <w:tc>
          <w:tcPr>
            <w:tcW w:w="4675" w:type="dxa"/>
          </w:tcPr>
          <w:p w14:paraId="32B59220" w14:textId="095AE9E5" w:rsidR="00EF1114" w:rsidRPr="00801460" w:rsidRDefault="00EF1114"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María Sáenz de Correa Llano</w:t>
            </w:r>
          </w:p>
        </w:tc>
      </w:tr>
      <w:tr w:rsidR="00EF1114" w:rsidRPr="00801460" w14:paraId="22DF074F" w14:textId="77777777" w:rsidTr="00E822D6">
        <w:tc>
          <w:tcPr>
            <w:tcW w:w="4675" w:type="dxa"/>
          </w:tcPr>
          <w:p w14:paraId="51D0D9F3" w14:textId="675C6F36" w:rsidR="00EF1114" w:rsidRPr="00801460" w:rsidRDefault="00770577"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 xml:space="preserve">Juan Carlos Carril </w:t>
            </w:r>
          </w:p>
        </w:tc>
        <w:tc>
          <w:tcPr>
            <w:tcW w:w="4675" w:type="dxa"/>
          </w:tcPr>
          <w:p w14:paraId="54462AA6" w14:textId="10441A19" w:rsidR="00EF1114" w:rsidRPr="00801460" w:rsidRDefault="00770577"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Juan Carlos Carril</w:t>
            </w:r>
          </w:p>
        </w:tc>
      </w:tr>
      <w:tr w:rsidR="00770577" w:rsidRPr="00801460" w14:paraId="5124D7B7" w14:textId="77777777" w:rsidTr="00E822D6">
        <w:tc>
          <w:tcPr>
            <w:tcW w:w="4675" w:type="dxa"/>
          </w:tcPr>
          <w:p w14:paraId="2FF145A6" w14:textId="4B6BC0D4" w:rsidR="00770577" w:rsidRPr="00801460" w:rsidRDefault="00770577"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Cayetano Vicente Oliva</w:t>
            </w:r>
          </w:p>
        </w:tc>
        <w:tc>
          <w:tcPr>
            <w:tcW w:w="4675" w:type="dxa"/>
          </w:tcPr>
          <w:p w14:paraId="5609CDB1" w14:textId="38B9FF2C" w:rsidR="00770577" w:rsidRPr="00801460" w:rsidRDefault="00770577"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Cayetano Vicente Oliva</w:t>
            </w:r>
          </w:p>
        </w:tc>
      </w:tr>
      <w:tr w:rsidR="00770577" w:rsidRPr="00801460" w14:paraId="392FA7D2" w14:textId="77777777" w:rsidTr="00E822D6">
        <w:tc>
          <w:tcPr>
            <w:tcW w:w="4675" w:type="dxa"/>
          </w:tcPr>
          <w:p w14:paraId="4741FCFE" w14:textId="690D1951" w:rsidR="00770577" w:rsidRPr="00801460" w:rsidRDefault="00770577"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Nemesia del Carmen Laciar de Bezier</w:t>
            </w:r>
          </w:p>
        </w:tc>
        <w:tc>
          <w:tcPr>
            <w:tcW w:w="4675" w:type="dxa"/>
          </w:tcPr>
          <w:p w14:paraId="49937656" w14:textId="4FE8026A" w:rsidR="00770577" w:rsidRPr="00801460" w:rsidRDefault="00770577"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Nemesia Lasiar de Bezier</w:t>
            </w:r>
          </w:p>
        </w:tc>
      </w:tr>
      <w:tr w:rsidR="00770577" w:rsidRPr="00801460" w14:paraId="660CC1F6" w14:textId="77777777" w:rsidTr="00E822D6">
        <w:tc>
          <w:tcPr>
            <w:tcW w:w="4675" w:type="dxa"/>
          </w:tcPr>
          <w:p w14:paraId="25F5ADED" w14:textId="308DA64B" w:rsidR="00770577" w:rsidRPr="00801460" w:rsidRDefault="00770577"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Rafael Antonio Becerra</w:t>
            </w:r>
          </w:p>
        </w:tc>
        <w:tc>
          <w:tcPr>
            <w:tcW w:w="4675" w:type="dxa"/>
          </w:tcPr>
          <w:p w14:paraId="5D1E14B1" w14:textId="33A2B39B" w:rsidR="00770577" w:rsidRPr="00801460" w:rsidRDefault="00770577"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Rafael Antonio Becerra</w:t>
            </w:r>
          </w:p>
        </w:tc>
      </w:tr>
      <w:tr w:rsidR="00770577" w:rsidRPr="00375CA6" w14:paraId="4488916E" w14:textId="77777777" w:rsidTr="00E822D6">
        <w:tc>
          <w:tcPr>
            <w:tcW w:w="4675" w:type="dxa"/>
          </w:tcPr>
          <w:p w14:paraId="7EDF93F7" w14:textId="2751E6F2" w:rsidR="00770577" w:rsidRPr="00801460" w:rsidRDefault="00770577"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 xml:space="preserve">María Justa Frías de Iturralde </w:t>
            </w:r>
          </w:p>
        </w:tc>
        <w:tc>
          <w:tcPr>
            <w:tcW w:w="4675" w:type="dxa"/>
          </w:tcPr>
          <w:p w14:paraId="623C7605" w14:textId="1B37B95D" w:rsidR="00770577" w:rsidRPr="00801460" w:rsidRDefault="00770577"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María Justa Frías de Iturralde</w:t>
            </w:r>
          </w:p>
        </w:tc>
      </w:tr>
      <w:tr w:rsidR="00770577" w:rsidRPr="00801460" w14:paraId="18073E34" w14:textId="77777777" w:rsidTr="00E822D6">
        <w:tc>
          <w:tcPr>
            <w:tcW w:w="4675" w:type="dxa"/>
          </w:tcPr>
          <w:p w14:paraId="53F740B4" w14:textId="7D0EAE54" w:rsidR="00770577" w:rsidRPr="00375CA6" w:rsidRDefault="00770577"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75CA6">
              <w:rPr>
                <w:rFonts w:asciiTheme="majorHAnsi" w:hAnsiTheme="majorHAnsi"/>
                <w:sz w:val="20"/>
                <w:szCs w:val="20"/>
                <w:lang w:val="pt-BR"/>
              </w:rPr>
              <w:t>Isabel Ramon Aguila de Freire</w:t>
            </w:r>
          </w:p>
        </w:tc>
        <w:tc>
          <w:tcPr>
            <w:tcW w:w="4675" w:type="dxa"/>
          </w:tcPr>
          <w:p w14:paraId="4F7A0B10" w14:textId="0309A7C0" w:rsidR="00770577" w:rsidRPr="00801460" w:rsidRDefault="00770577"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Ramón Aguilar De Freire</w:t>
            </w:r>
          </w:p>
        </w:tc>
      </w:tr>
      <w:tr w:rsidR="00770577" w:rsidRPr="00801460" w14:paraId="4ED0975F" w14:textId="77777777" w:rsidTr="00E822D6">
        <w:tc>
          <w:tcPr>
            <w:tcW w:w="4675" w:type="dxa"/>
          </w:tcPr>
          <w:p w14:paraId="346CDA93" w14:textId="184A59A9" w:rsidR="00770577" w:rsidRPr="00801460" w:rsidRDefault="00770577"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Domingo Estanislao Fernandez</w:t>
            </w:r>
          </w:p>
        </w:tc>
        <w:tc>
          <w:tcPr>
            <w:tcW w:w="4675" w:type="dxa"/>
          </w:tcPr>
          <w:p w14:paraId="4F0A078D" w14:textId="654AFBC2" w:rsidR="00770577" w:rsidRPr="00801460" w:rsidRDefault="00770577"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Domingo Estanislao Fernández</w:t>
            </w:r>
          </w:p>
        </w:tc>
      </w:tr>
      <w:tr w:rsidR="00770577" w:rsidRPr="00801460" w14:paraId="6BA561A9" w14:textId="77777777" w:rsidTr="00E822D6">
        <w:tc>
          <w:tcPr>
            <w:tcW w:w="4675" w:type="dxa"/>
          </w:tcPr>
          <w:p w14:paraId="72550F7D" w14:textId="16F2383A" w:rsidR="00770577" w:rsidRPr="00801460" w:rsidRDefault="00770577"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Juan Carlos Luna</w:t>
            </w:r>
          </w:p>
        </w:tc>
        <w:tc>
          <w:tcPr>
            <w:tcW w:w="4675" w:type="dxa"/>
          </w:tcPr>
          <w:p w14:paraId="444023AC" w14:textId="7844AF09" w:rsidR="00770577" w:rsidRPr="00801460" w:rsidRDefault="00062C18"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Juan Carlos Luna</w:t>
            </w:r>
          </w:p>
        </w:tc>
      </w:tr>
      <w:tr w:rsidR="00062C18" w:rsidRPr="00801460" w14:paraId="5DA38256" w14:textId="77777777" w:rsidTr="00E822D6">
        <w:tc>
          <w:tcPr>
            <w:tcW w:w="4675" w:type="dxa"/>
          </w:tcPr>
          <w:p w14:paraId="43B27203" w14:textId="1C303C2C" w:rsidR="00062C18" w:rsidRPr="00801460" w:rsidRDefault="00062C18"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Félix Bellino</w:t>
            </w:r>
          </w:p>
        </w:tc>
        <w:tc>
          <w:tcPr>
            <w:tcW w:w="4675" w:type="dxa"/>
          </w:tcPr>
          <w:p w14:paraId="2FCCC4B8" w14:textId="23A4E91E" w:rsidR="00062C18" w:rsidRPr="00801460" w:rsidRDefault="00062C18"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José Félix Bellino</w:t>
            </w:r>
          </w:p>
        </w:tc>
      </w:tr>
      <w:tr w:rsidR="00062C18" w:rsidRPr="00801460" w14:paraId="610514B6" w14:textId="77777777" w:rsidTr="00E822D6">
        <w:tc>
          <w:tcPr>
            <w:tcW w:w="4675" w:type="dxa"/>
          </w:tcPr>
          <w:p w14:paraId="249CE8D9" w14:textId="54B809EB" w:rsidR="00062C18" w:rsidRPr="00801460" w:rsidRDefault="00062C18"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 xml:space="preserve">María Rodríguez de Coldeira </w:t>
            </w:r>
          </w:p>
        </w:tc>
        <w:tc>
          <w:tcPr>
            <w:tcW w:w="4675" w:type="dxa"/>
          </w:tcPr>
          <w:p w14:paraId="329D8BB3" w14:textId="5896A245" w:rsidR="00062C18" w:rsidRPr="00801460" w:rsidRDefault="00062C18"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María Rodríguez de Coldeira</w:t>
            </w:r>
          </w:p>
        </w:tc>
      </w:tr>
      <w:tr w:rsidR="00062C18" w:rsidRPr="00801460" w14:paraId="7CE2DFB9" w14:textId="77777777" w:rsidTr="00E822D6">
        <w:tc>
          <w:tcPr>
            <w:tcW w:w="4675" w:type="dxa"/>
          </w:tcPr>
          <w:p w14:paraId="1BCA6C51" w14:textId="633067F4" w:rsidR="00062C18" w:rsidRPr="00801460" w:rsidRDefault="00062C18" w:rsidP="009437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01460">
              <w:rPr>
                <w:rFonts w:asciiTheme="majorHAnsi" w:hAnsiTheme="majorHAnsi"/>
                <w:sz w:val="20"/>
                <w:szCs w:val="20"/>
                <w:lang w:val="es-ES"/>
              </w:rPr>
              <w:t>Juan Carlos Mayer</w:t>
            </w:r>
          </w:p>
        </w:tc>
        <w:tc>
          <w:tcPr>
            <w:tcW w:w="4675" w:type="dxa"/>
          </w:tcPr>
          <w:p w14:paraId="3FAA21E3" w14:textId="1530EDBE" w:rsidR="00062C18" w:rsidRPr="00801460" w:rsidRDefault="00062C18" w:rsidP="00EF11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A"/>
              </w:rPr>
            </w:pPr>
            <w:r w:rsidRPr="00801460">
              <w:rPr>
                <w:rFonts w:asciiTheme="majorHAnsi" w:hAnsiTheme="majorHAnsi"/>
                <w:sz w:val="20"/>
                <w:szCs w:val="20"/>
                <w:lang w:val="es-PA"/>
              </w:rPr>
              <w:t>Juan Carlos Mayer</w:t>
            </w:r>
          </w:p>
        </w:tc>
      </w:tr>
    </w:tbl>
    <w:p w14:paraId="061D2EBA" w14:textId="77777777" w:rsidR="00E822D6" w:rsidRPr="00801460" w:rsidRDefault="00E822D6" w:rsidP="00E822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AC80CA6" w14:textId="69C64FA7" w:rsidR="00722C9F" w:rsidRPr="00801460" w:rsidRDefault="00722C9F" w:rsidP="004217A5">
      <w:pPr>
        <w:rPr>
          <w:rFonts w:asciiTheme="majorHAnsi" w:hAnsiTheme="majorHAnsi" w:cs="Calibri"/>
          <w:sz w:val="20"/>
          <w:szCs w:val="20"/>
          <w:lang w:val="es-ES"/>
        </w:rPr>
      </w:pPr>
    </w:p>
    <w:sectPr w:rsidR="00722C9F" w:rsidRPr="00801460"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AE7A" w14:textId="77777777" w:rsidR="00ED3B98" w:rsidRDefault="00ED3B98">
      <w:r>
        <w:separator/>
      </w:r>
    </w:p>
  </w:endnote>
  <w:endnote w:type="continuationSeparator" w:id="0">
    <w:p w14:paraId="2629BBDF" w14:textId="77777777" w:rsidR="00ED3B98" w:rsidRDefault="00ED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F115A5" w:rsidRDefault="00F1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F115A5" w:rsidRPr="00934A2C" w:rsidRDefault="00F115A5">
    <w:pPr>
      <w:pStyle w:val="Footer"/>
      <w:jc w:val="center"/>
      <w:rPr>
        <w:sz w:val="16"/>
        <w:szCs w:val="22"/>
      </w:rPr>
    </w:pPr>
  </w:p>
  <w:p w14:paraId="4EA5439C" w14:textId="77777777" w:rsidR="00F115A5" w:rsidRDefault="00F11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82FE2" w:rsidR="00F115A5" w:rsidRPr="00934A2C" w:rsidRDefault="00F115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C6CB7">
          <w:rPr>
            <w:noProof/>
            <w:sz w:val="16"/>
            <w:szCs w:val="22"/>
          </w:rPr>
          <w:t>6</w:t>
        </w:r>
        <w:r w:rsidRPr="00934A2C">
          <w:rPr>
            <w:noProof/>
            <w:sz w:val="16"/>
            <w:szCs w:val="22"/>
          </w:rPr>
          <w:fldChar w:fldCharType="end"/>
        </w:r>
      </w:p>
    </w:sdtContent>
  </w:sdt>
  <w:p w14:paraId="68530E6A" w14:textId="77777777" w:rsidR="00F115A5" w:rsidRDefault="00F11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115A5" w:rsidRPr="00934A2C" w:rsidRDefault="00F115A5">
    <w:pPr>
      <w:pStyle w:val="Footer"/>
      <w:jc w:val="center"/>
      <w:rPr>
        <w:sz w:val="16"/>
        <w:szCs w:val="22"/>
      </w:rPr>
    </w:pPr>
  </w:p>
  <w:p w14:paraId="49059CE3" w14:textId="77777777" w:rsidR="00F115A5" w:rsidRDefault="00F1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6B83" w14:textId="77777777" w:rsidR="00ED3B98" w:rsidRPr="000F35ED" w:rsidRDefault="00ED3B9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AEE4FBC" w14:textId="77777777" w:rsidR="00ED3B98" w:rsidRPr="000F35ED" w:rsidRDefault="00ED3B98" w:rsidP="000F35ED">
      <w:pPr>
        <w:rPr>
          <w:rFonts w:asciiTheme="majorHAnsi" w:hAnsiTheme="majorHAnsi"/>
          <w:sz w:val="16"/>
          <w:szCs w:val="16"/>
        </w:rPr>
      </w:pPr>
      <w:r w:rsidRPr="000F35ED">
        <w:rPr>
          <w:rFonts w:asciiTheme="majorHAnsi" w:hAnsiTheme="majorHAnsi"/>
          <w:sz w:val="16"/>
          <w:szCs w:val="16"/>
        </w:rPr>
        <w:separator/>
      </w:r>
    </w:p>
    <w:p w14:paraId="43758D4E" w14:textId="77777777" w:rsidR="00ED3B98" w:rsidRPr="000F35ED" w:rsidRDefault="00ED3B9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9E00282" w14:textId="77777777" w:rsidR="00ED3B98" w:rsidRPr="000F35ED" w:rsidRDefault="00ED3B9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E6ED74" w14:textId="0F2B2E93" w:rsidR="00F115A5" w:rsidRPr="00750497" w:rsidRDefault="00F115A5" w:rsidP="00386152">
      <w:pPr>
        <w:pStyle w:val="FootnoteText"/>
        <w:ind w:firstLine="720"/>
        <w:jc w:val="both"/>
        <w:rPr>
          <w:rFonts w:asciiTheme="majorHAnsi" w:hAnsiTheme="majorHAnsi"/>
          <w:sz w:val="16"/>
          <w:szCs w:val="16"/>
          <w:lang w:val="es-PA"/>
        </w:rPr>
      </w:pPr>
      <w:r w:rsidRPr="00750497">
        <w:rPr>
          <w:rStyle w:val="FootnoteReference"/>
          <w:rFonts w:asciiTheme="majorHAnsi" w:hAnsiTheme="majorHAnsi"/>
          <w:sz w:val="16"/>
          <w:szCs w:val="16"/>
        </w:rPr>
        <w:footnoteRef/>
      </w:r>
      <w:r w:rsidRPr="00750497">
        <w:rPr>
          <w:rFonts w:asciiTheme="majorHAnsi" w:hAnsiTheme="majorHAnsi"/>
          <w:sz w:val="16"/>
          <w:szCs w:val="16"/>
          <w:lang w:val="es-PA"/>
        </w:rPr>
        <w:t xml:space="preserve"> En adelante “la Convención Americana”</w:t>
      </w:r>
      <w:r w:rsidR="006910D9" w:rsidRPr="00750497">
        <w:rPr>
          <w:rFonts w:asciiTheme="majorHAnsi" w:hAnsiTheme="majorHAnsi"/>
          <w:sz w:val="16"/>
          <w:szCs w:val="16"/>
          <w:lang w:val="es-PA"/>
        </w:rPr>
        <w:t xml:space="preserve"> o “la Convención”</w:t>
      </w:r>
      <w:r w:rsidRPr="00750497">
        <w:rPr>
          <w:rFonts w:asciiTheme="majorHAnsi" w:hAnsiTheme="majorHAnsi"/>
          <w:sz w:val="16"/>
          <w:szCs w:val="16"/>
          <w:lang w:val="es-PA"/>
        </w:rPr>
        <w:t>.</w:t>
      </w:r>
    </w:p>
  </w:footnote>
  <w:footnote w:id="3">
    <w:p w14:paraId="08CD6656" w14:textId="77777777" w:rsidR="00F115A5" w:rsidRPr="00750497" w:rsidRDefault="00F115A5" w:rsidP="00386152">
      <w:pPr>
        <w:pStyle w:val="FootnoteText"/>
        <w:ind w:firstLine="720"/>
        <w:jc w:val="both"/>
        <w:rPr>
          <w:rFonts w:asciiTheme="majorHAnsi" w:hAnsiTheme="majorHAnsi"/>
          <w:sz w:val="16"/>
          <w:szCs w:val="16"/>
          <w:lang w:val="es-ES"/>
        </w:rPr>
      </w:pPr>
      <w:r w:rsidRPr="00750497">
        <w:rPr>
          <w:rStyle w:val="FootnoteReference"/>
          <w:rFonts w:asciiTheme="majorHAnsi" w:hAnsiTheme="majorHAnsi"/>
          <w:sz w:val="16"/>
          <w:szCs w:val="16"/>
        </w:rPr>
        <w:footnoteRef/>
      </w:r>
      <w:r w:rsidRPr="00750497">
        <w:rPr>
          <w:rFonts w:asciiTheme="majorHAnsi" w:hAnsiTheme="majorHAnsi"/>
          <w:sz w:val="16"/>
          <w:szCs w:val="16"/>
          <w:lang w:val="es-ES"/>
        </w:rPr>
        <w:t xml:space="preserve"> Las observaciones de cada parte fueron debidamente trasladadas a la parte contraria.</w:t>
      </w:r>
    </w:p>
  </w:footnote>
  <w:footnote w:id="4">
    <w:p w14:paraId="412F9200" w14:textId="30FA835E" w:rsidR="00DE6678" w:rsidRPr="00750497" w:rsidRDefault="00DE6678" w:rsidP="00DE6678">
      <w:pPr>
        <w:pStyle w:val="FootnoteText"/>
        <w:ind w:firstLine="720"/>
        <w:jc w:val="both"/>
        <w:rPr>
          <w:rFonts w:asciiTheme="majorHAnsi" w:hAnsiTheme="majorHAnsi"/>
          <w:sz w:val="16"/>
          <w:szCs w:val="16"/>
          <w:lang w:val="es-PA"/>
        </w:rPr>
      </w:pPr>
      <w:r w:rsidRPr="00750497">
        <w:rPr>
          <w:rStyle w:val="FootnoteReference"/>
          <w:rFonts w:asciiTheme="majorHAnsi" w:hAnsiTheme="majorHAnsi"/>
          <w:sz w:val="16"/>
          <w:szCs w:val="16"/>
        </w:rPr>
        <w:footnoteRef/>
      </w:r>
      <w:r w:rsidRPr="00750497">
        <w:rPr>
          <w:rFonts w:asciiTheme="majorHAnsi" w:hAnsiTheme="majorHAnsi"/>
          <w:sz w:val="16"/>
          <w:szCs w:val="16"/>
          <w:lang w:val="es-PA"/>
        </w:rPr>
        <w:t xml:space="preserve"> Artículo 280 del Código Procesal Civil y Comercial de la Nación: “L</w:t>
      </w:r>
      <w:r w:rsidRPr="00750497">
        <w:rPr>
          <w:rFonts w:asciiTheme="majorHAnsi" w:hAnsiTheme="majorHAnsi"/>
          <w:sz w:val="16"/>
          <w:szCs w:val="16"/>
          <w:lang w:val="es-ES_tradnl"/>
        </w:rPr>
        <w:t>a Corte, según su sana discreción, y con la sola invocación de esta norma, podrá rechazar el recurso extraordinario, por falta de agravio federal suficiente o cuando las cuestiones planteadas resultaren insustanciales o carentes de trascendencia”.</w:t>
      </w:r>
    </w:p>
  </w:footnote>
  <w:footnote w:id="5">
    <w:p w14:paraId="0B1DD8E5" w14:textId="6DFA207F" w:rsidR="007F1E12" w:rsidRPr="00750497" w:rsidRDefault="007F1E12" w:rsidP="007F1E12">
      <w:pPr>
        <w:pStyle w:val="FootnoteText"/>
        <w:ind w:firstLine="720"/>
        <w:jc w:val="both"/>
        <w:rPr>
          <w:rFonts w:asciiTheme="majorHAnsi" w:hAnsiTheme="majorHAnsi"/>
          <w:sz w:val="16"/>
          <w:szCs w:val="16"/>
          <w:lang w:val="es-PA"/>
        </w:rPr>
      </w:pPr>
      <w:r w:rsidRPr="00750497">
        <w:rPr>
          <w:rStyle w:val="FootnoteReference"/>
          <w:rFonts w:asciiTheme="majorHAnsi" w:hAnsiTheme="majorHAnsi"/>
          <w:sz w:val="16"/>
          <w:szCs w:val="16"/>
        </w:rPr>
        <w:footnoteRef/>
      </w:r>
      <w:r w:rsidRPr="00750497">
        <w:rPr>
          <w:rFonts w:asciiTheme="majorHAnsi" w:hAnsiTheme="majorHAnsi"/>
          <w:sz w:val="16"/>
          <w:szCs w:val="16"/>
          <w:lang w:val="es-PA"/>
        </w:rPr>
        <w:t xml:space="preserve"> CIDH, Informe No. 40/06. Petición 11.214. Inadmisibilidad. Pedro Velásquez Ibarra. Argentina. 15 de marzo de 2006, párr 45.</w:t>
      </w:r>
    </w:p>
  </w:footnote>
  <w:footnote w:id="6">
    <w:p w14:paraId="3E12EBF0" w14:textId="77777777" w:rsidR="005407EF" w:rsidRPr="00750497" w:rsidRDefault="005407EF" w:rsidP="005407EF">
      <w:pPr>
        <w:ind w:firstLine="720"/>
        <w:contextualSpacing/>
        <w:jc w:val="both"/>
        <w:rPr>
          <w:rFonts w:asciiTheme="majorHAnsi" w:hAnsiTheme="majorHAnsi" w:cs="Calibri"/>
          <w:sz w:val="16"/>
          <w:szCs w:val="16"/>
          <w:lang w:val="es-ES_tradnl"/>
        </w:rPr>
      </w:pPr>
      <w:r w:rsidRPr="00750497">
        <w:rPr>
          <w:rStyle w:val="FootnoteReference"/>
          <w:rFonts w:asciiTheme="majorHAnsi" w:hAnsiTheme="majorHAnsi" w:cs="Calibri"/>
          <w:sz w:val="16"/>
          <w:szCs w:val="16"/>
        </w:rPr>
        <w:footnoteRef/>
      </w:r>
      <w:r w:rsidRPr="00750497">
        <w:rPr>
          <w:rFonts w:asciiTheme="majorHAnsi" w:hAnsiTheme="majorHAnsi" w:cs="Calibri"/>
          <w:sz w:val="16"/>
          <w:szCs w:val="16"/>
          <w:lang w:val="es-ES"/>
        </w:rPr>
        <w:t xml:space="preserve">  </w:t>
      </w:r>
      <w:r w:rsidRPr="00750497">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7">
    <w:p w14:paraId="1339508F" w14:textId="77777777" w:rsidR="00742496" w:rsidRPr="00750497" w:rsidRDefault="00742496" w:rsidP="00742496">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Y"/>
        </w:rPr>
      </w:pPr>
      <w:r w:rsidRPr="00750497">
        <w:rPr>
          <w:rStyle w:val="FootnoteReference"/>
          <w:rFonts w:asciiTheme="majorHAnsi" w:hAnsiTheme="majorHAnsi"/>
          <w:sz w:val="16"/>
          <w:szCs w:val="16"/>
          <w:lang w:val="es-ES"/>
        </w:rPr>
        <w:footnoteRef/>
      </w:r>
      <w:r w:rsidRPr="00750497">
        <w:rPr>
          <w:rFonts w:asciiTheme="majorHAnsi" w:hAnsiTheme="majorHAnsi"/>
          <w:sz w:val="16"/>
          <w:szCs w:val="16"/>
          <w:lang w:val="es-ES"/>
        </w:rPr>
        <w:t xml:space="preserve"> CIDH, Informe No. 82/17. Petición 1067-07. Admisibilidad. Rosa Ángela Martino y María Cristina González. Argentina. 7 de julio de 2017, párr. 12.</w:t>
      </w:r>
    </w:p>
  </w:footnote>
  <w:footnote w:id="8">
    <w:p w14:paraId="18D44715" w14:textId="77777777" w:rsidR="00742496" w:rsidRPr="00750497" w:rsidRDefault="00742496" w:rsidP="00742496">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50497">
        <w:rPr>
          <w:rStyle w:val="FootnoteReference"/>
          <w:rFonts w:asciiTheme="majorHAnsi" w:hAnsiTheme="majorHAnsi"/>
          <w:sz w:val="16"/>
          <w:szCs w:val="16"/>
        </w:rPr>
        <w:footnoteRef/>
      </w:r>
      <w:r w:rsidRPr="00750497">
        <w:rPr>
          <w:rFonts w:asciiTheme="majorHAnsi" w:hAnsiTheme="majorHAnsi"/>
          <w:sz w:val="16"/>
          <w:szCs w:val="16"/>
          <w:lang w:val="es-PA"/>
        </w:rPr>
        <w:t xml:space="preserve"> En cuanto al alcance del trabajo jurisdiccional, l</w:t>
      </w:r>
      <w:r w:rsidRPr="00750497">
        <w:rPr>
          <w:rFonts w:asciiTheme="majorHAnsi" w:hAnsiTheme="majorHAnsi"/>
          <w:sz w:val="16"/>
          <w:szCs w:val="16"/>
          <w:lang w:val="es-ES"/>
        </w:rPr>
        <w:t>a Corte Interamericana ha señalado que “l</w:t>
      </w:r>
      <w:r w:rsidRPr="00750497">
        <w:rPr>
          <w:rFonts w:asciiTheme="majorHAnsi" w:hAnsiTheme="majorHAnsi"/>
          <w:sz w:val="16"/>
          <w:szCs w:val="16"/>
          <w:lang w:val="es-PA"/>
        </w:rPr>
        <w:t>os órganos del Poder Judicial deben ejercer no sólo un control de constitucionalidad, sino también ‘de convencionalidad’ ex officio entre las normas internas y la Convención Americana, evidentemente en el marco de sus respectivas competencias y de las regulaciones procesales correspondientes” y que “esta función no debe quedar limitada exclusivamente por las manifestaciones o actos de los accionantes en cada caso concreto”. Corte IDH. Caso Trabajadores Cesados del Congreso (Aguado Alfaro y otros) Vs. Perú. Excepciones Preliminares, Fondo, Reparaciones y Costas. Sentencia de 24 de noviembre de 2006. Serie C No. 215, párr. 128.</w:t>
      </w:r>
    </w:p>
  </w:footnote>
  <w:footnote w:id="9">
    <w:p w14:paraId="22014F94" w14:textId="5526E513" w:rsidR="00742496" w:rsidRPr="00750497" w:rsidRDefault="00742496" w:rsidP="00742496">
      <w:pPr>
        <w:pStyle w:val="FootnoteText"/>
        <w:ind w:firstLine="720"/>
        <w:jc w:val="both"/>
        <w:rPr>
          <w:rFonts w:asciiTheme="majorHAnsi" w:hAnsiTheme="majorHAnsi"/>
          <w:sz w:val="16"/>
          <w:szCs w:val="16"/>
          <w:lang w:val="es-PA"/>
        </w:rPr>
      </w:pPr>
      <w:r w:rsidRPr="00750497">
        <w:rPr>
          <w:rStyle w:val="FootnoteReference"/>
          <w:rFonts w:asciiTheme="majorHAnsi" w:hAnsiTheme="majorHAnsi"/>
          <w:color w:val="auto"/>
          <w:sz w:val="16"/>
          <w:szCs w:val="16"/>
        </w:rPr>
        <w:footnoteRef/>
      </w:r>
      <w:r w:rsidRPr="00750497">
        <w:rPr>
          <w:rFonts w:asciiTheme="majorHAnsi" w:hAnsiTheme="majorHAnsi"/>
          <w:color w:val="auto"/>
          <w:sz w:val="16"/>
          <w:szCs w:val="16"/>
          <w:lang w:val="es-PA"/>
        </w:rPr>
        <w:t xml:space="preserve"> </w:t>
      </w:r>
      <w:r w:rsidRPr="00750497">
        <w:rPr>
          <w:rFonts w:asciiTheme="majorHAnsi" w:hAnsiTheme="majorHAnsi"/>
          <w:color w:val="auto"/>
          <w:sz w:val="16"/>
          <w:szCs w:val="16"/>
          <w:lang w:val="es-US"/>
        </w:rPr>
        <w:t xml:space="preserve">CIDH, Informe No. 410/21. </w:t>
      </w:r>
      <w:r w:rsidRPr="00750497">
        <w:rPr>
          <w:rFonts w:asciiTheme="majorHAnsi" w:hAnsiTheme="majorHAnsi"/>
          <w:color w:val="auto"/>
          <w:sz w:val="16"/>
          <w:szCs w:val="16"/>
          <w:lang w:val="es-ES_tradnl"/>
        </w:rPr>
        <w:t xml:space="preserve">Admisibilidad. Benedicta Avendaño de Ogalde y otros. Argentina. </w:t>
      </w:r>
      <w:r w:rsidRPr="00750497">
        <w:rPr>
          <w:rFonts w:asciiTheme="majorHAnsi" w:hAnsiTheme="majorHAnsi"/>
          <w:color w:val="auto"/>
          <w:sz w:val="16"/>
          <w:szCs w:val="16"/>
          <w:lang w:val="es-ES"/>
        </w:rPr>
        <w:t>31 de diciembre de 2021.</w:t>
      </w:r>
    </w:p>
  </w:footnote>
  <w:footnote w:id="10">
    <w:p w14:paraId="2F074481" w14:textId="77777777" w:rsidR="00336D02" w:rsidRPr="00750497" w:rsidRDefault="00336D02" w:rsidP="00043AF7">
      <w:pPr>
        <w:pStyle w:val="FootnoteText"/>
        <w:spacing w:after="120"/>
        <w:ind w:firstLine="720"/>
        <w:jc w:val="both"/>
        <w:rPr>
          <w:rFonts w:asciiTheme="majorHAnsi" w:hAnsiTheme="majorHAnsi"/>
          <w:sz w:val="16"/>
          <w:szCs w:val="16"/>
          <w:lang w:val="es-ES"/>
        </w:rPr>
      </w:pPr>
      <w:r w:rsidRPr="00750497">
        <w:rPr>
          <w:rStyle w:val="FootnoteReference"/>
          <w:rFonts w:asciiTheme="majorHAnsi" w:hAnsiTheme="majorHAnsi"/>
          <w:sz w:val="16"/>
          <w:szCs w:val="16"/>
        </w:rPr>
        <w:footnoteRef/>
      </w:r>
      <w:r w:rsidRPr="00750497">
        <w:rPr>
          <w:rFonts w:asciiTheme="majorHAnsi" w:hAnsiTheme="majorHAnsi"/>
          <w:sz w:val="16"/>
          <w:szCs w:val="16"/>
          <w:lang w:val="es-ES"/>
        </w:rPr>
        <w:t xml:space="preserve"> CIDH, Informe No. 143/18, Petición 940-08. Admisibilidad. Luis Américo Ayala Gonzales. Perú. 4 de diciembre de 2018, párr. 12.</w:t>
      </w:r>
    </w:p>
  </w:footnote>
  <w:footnote w:id="11">
    <w:p w14:paraId="1FFB8223" w14:textId="77777777" w:rsidR="0062722A" w:rsidRPr="00750497" w:rsidRDefault="0062722A" w:rsidP="0062722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750497">
        <w:rPr>
          <w:rStyle w:val="FootnoteReference"/>
          <w:rFonts w:asciiTheme="majorHAnsi" w:hAnsiTheme="majorHAnsi"/>
          <w:sz w:val="16"/>
          <w:szCs w:val="16"/>
        </w:rPr>
        <w:footnoteRef/>
      </w:r>
      <w:r w:rsidRPr="00375CA6">
        <w:rPr>
          <w:rFonts w:asciiTheme="majorHAnsi" w:hAnsiTheme="majorHAnsi"/>
          <w:sz w:val="16"/>
          <w:szCs w:val="16"/>
          <w:lang w:val="pt-BR"/>
        </w:rPr>
        <w:t xml:space="preserve"> Corte IDH. Caso Cinco Pensionistas vs. Perú. </w:t>
      </w:r>
      <w:r w:rsidRPr="00750497">
        <w:rPr>
          <w:rFonts w:asciiTheme="majorHAnsi" w:hAnsiTheme="majorHAnsi"/>
          <w:sz w:val="16"/>
          <w:szCs w:val="16"/>
          <w:lang w:val="es-PA"/>
        </w:rPr>
        <w:t>Fondo, Reparaciones y Costas. Sentencia de 28 de febrero de 2003. Serie C No. 98, párr. 116. Por su parte, la Corte Europea ha determinado lo siguiente:</w:t>
      </w:r>
    </w:p>
    <w:p w14:paraId="0EBC2C58" w14:textId="77777777" w:rsidR="0062722A" w:rsidRPr="00750497" w:rsidRDefault="0062722A" w:rsidP="0062722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50497">
        <w:rPr>
          <w:rFonts w:asciiTheme="majorHAnsi" w:hAnsiTheme="majorHAnsi"/>
          <w:sz w:val="16"/>
          <w:szCs w:val="16"/>
          <w:lang w:val="es-ES"/>
        </w:rPr>
        <w:t>En la valoración de la proporcionalidad de medidas tomadas por el Estado con relación a derechos pensionarios, una consideración importante es si los derechos del peticionario se han visto infringidos forma tal que conlleve en esencia al cercenamiento de su derecho. La naturaleza del derecho cercenado -en particular si este ha originado de un régimen pensionario especialmente privilegiado accesible para solo ciertos grupos de personas- también puede ser tomado en cuenta. La valoración variará dependiendo de las particulares circunstancias del caso y la situación personal del peticionario; mientras que una privación total de los beneficios que conlleve a una pérdida de los medios de subsistencia conllevaría en principio a una violación del derecho de propiedad, la imposición de una reducción razonable y conmensurada no lo haría.</w:t>
      </w:r>
    </w:p>
    <w:p w14:paraId="63FDE536" w14:textId="77777777" w:rsidR="0062722A" w:rsidRPr="00750497" w:rsidRDefault="0062722A" w:rsidP="0062722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750497">
        <w:rPr>
          <w:rFonts w:asciiTheme="majorHAnsi" w:hAnsiTheme="majorHAnsi" w:cs="Tahoma"/>
          <w:sz w:val="16"/>
          <w:szCs w:val="16"/>
          <w:lang w:val="pt-BR"/>
        </w:rPr>
        <w:t xml:space="preserve">Corte Europea de Derechos Humanos. Caso Da Conceição Mateus y Santos Januário v. Portugal. </w:t>
      </w:r>
      <w:r w:rsidRPr="00750497">
        <w:rPr>
          <w:rFonts w:asciiTheme="majorHAnsi" w:hAnsiTheme="majorHAnsi" w:cs="Tahoma"/>
          <w:sz w:val="16"/>
          <w:szCs w:val="16"/>
          <w:lang w:val="es-PA"/>
        </w:rPr>
        <w:t>Decisión de 8 de octubre de 2013, párr. 24.</w:t>
      </w:r>
    </w:p>
  </w:footnote>
  <w:footnote w:id="12">
    <w:p w14:paraId="3ED9A9F6" w14:textId="77777777" w:rsidR="0062722A" w:rsidRPr="00750497" w:rsidRDefault="0062722A" w:rsidP="0062722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50497">
        <w:rPr>
          <w:rStyle w:val="FootnoteReference"/>
          <w:rFonts w:asciiTheme="majorHAnsi" w:hAnsiTheme="majorHAnsi"/>
          <w:sz w:val="16"/>
          <w:szCs w:val="16"/>
        </w:rPr>
        <w:footnoteRef/>
      </w:r>
      <w:r w:rsidRPr="00750497">
        <w:rPr>
          <w:rFonts w:asciiTheme="majorHAnsi" w:hAnsiTheme="majorHAnsi"/>
          <w:sz w:val="16"/>
          <w:szCs w:val="16"/>
          <w:lang w:val="es-ES"/>
        </w:rPr>
        <w:t xml:space="preserve"> Ver, Corte I.D.H., </w:t>
      </w:r>
      <w:r w:rsidRPr="00750497">
        <w:rPr>
          <w:rFonts w:asciiTheme="majorHAnsi" w:hAnsiTheme="majorHAnsi"/>
          <w:i/>
          <w:iCs/>
          <w:sz w:val="16"/>
          <w:szCs w:val="16"/>
          <w:lang w:val="es-ES"/>
        </w:rPr>
        <w:t>El efecto de las reservas sobre la entrada en vigencia de la Convención Americana sobre Derechos Humanos</w:t>
      </w:r>
      <w:r w:rsidRPr="00750497">
        <w:rPr>
          <w:rFonts w:asciiTheme="majorHAnsi" w:hAnsiTheme="majorHAnsi"/>
          <w:sz w:val="16"/>
          <w:szCs w:val="16"/>
          <w:lang w:val="es-ES"/>
        </w:rPr>
        <w:t>. Opinión Consultiva OC-2/82 del 24 de septiembre de 1982. Serie A No. 2.</w:t>
      </w:r>
    </w:p>
  </w:footnote>
  <w:footnote w:id="13">
    <w:p w14:paraId="3F5A2905" w14:textId="77777777" w:rsidR="0062722A" w:rsidRPr="00750497" w:rsidRDefault="0062722A" w:rsidP="0062722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750497">
        <w:rPr>
          <w:rStyle w:val="FootnoteReference"/>
          <w:rFonts w:asciiTheme="majorHAnsi" w:hAnsiTheme="majorHAnsi" w:cs="Tahoma"/>
          <w:sz w:val="16"/>
          <w:szCs w:val="16"/>
        </w:rPr>
        <w:footnoteRef/>
      </w:r>
      <w:r w:rsidRPr="00750497">
        <w:rPr>
          <w:rFonts w:asciiTheme="majorHAnsi" w:hAnsiTheme="majorHAnsi"/>
          <w:sz w:val="16"/>
          <w:szCs w:val="16"/>
          <w:lang w:val="es-ES"/>
        </w:rPr>
        <w:t xml:space="preserve"> CIDH, Informe No. 40/06, Petición 11.214. Inadmisibilidad. Pedro Velásquez Ibarra. Argentina. 15 de marzo de 2006 (“CIDH, Pedro Velásquez Ibarra”), párrs 45-46.</w:t>
      </w:r>
      <w:r w:rsidRPr="00750497">
        <w:rPr>
          <w:rFonts w:asciiTheme="majorHAnsi" w:hAnsiTheme="majorHAnsi"/>
          <w:sz w:val="16"/>
          <w:szCs w:val="16"/>
          <w:lang w:val="es-ES_tradnl"/>
        </w:rPr>
        <w:t xml:space="preserve"> </w:t>
      </w:r>
    </w:p>
  </w:footnote>
  <w:footnote w:id="14">
    <w:p w14:paraId="00E48447" w14:textId="77777777" w:rsidR="0062722A" w:rsidRPr="00750497" w:rsidRDefault="0062722A" w:rsidP="0062722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Y"/>
        </w:rPr>
      </w:pPr>
      <w:r w:rsidRPr="00750497">
        <w:rPr>
          <w:rStyle w:val="FootnoteReference"/>
          <w:rFonts w:asciiTheme="majorHAnsi" w:hAnsiTheme="majorHAnsi"/>
          <w:sz w:val="16"/>
          <w:szCs w:val="16"/>
        </w:rPr>
        <w:footnoteRef/>
      </w:r>
      <w:r w:rsidRPr="00750497">
        <w:rPr>
          <w:rFonts w:asciiTheme="majorHAnsi" w:hAnsiTheme="majorHAnsi"/>
          <w:sz w:val="16"/>
          <w:szCs w:val="16"/>
          <w:lang w:val="es-ES"/>
        </w:rPr>
        <w:t xml:space="preserve"> Ver, CIDH, Informe Nº 03/01, Caso 11.670, Amílcar Menéndez, Juan Manuel Caride, y otros. (Sistema de Seguridad Social), Argentina. Admisibilidad, 19 de enero de 2001.</w:t>
      </w:r>
    </w:p>
  </w:footnote>
  <w:footnote w:id="15">
    <w:p w14:paraId="2172FCF7" w14:textId="357CECDB" w:rsidR="00E114FD" w:rsidRPr="00750497" w:rsidRDefault="00E114FD" w:rsidP="00E114FD">
      <w:pPr>
        <w:pStyle w:val="FootnoteText"/>
        <w:ind w:firstLine="720"/>
        <w:jc w:val="both"/>
        <w:rPr>
          <w:rFonts w:asciiTheme="majorHAnsi" w:hAnsiTheme="majorHAnsi"/>
          <w:sz w:val="16"/>
          <w:szCs w:val="16"/>
          <w:lang w:val="es-US"/>
        </w:rPr>
      </w:pPr>
      <w:r w:rsidRPr="00750497">
        <w:rPr>
          <w:rStyle w:val="FootnoteReference"/>
          <w:rFonts w:asciiTheme="majorHAnsi" w:hAnsiTheme="majorHAnsi"/>
          <w:sz w:val="16"/>
          <w:szCs w:val="16"/>
        </w:rPr>
        <w:footnoteRef/>
      </w:r>
      <w:r w:rsidRPr="00750497">
        <w:rPr>
          <w:rFonts w:asciiTheme="majorHAnsi" w:hAnsiTheme="majorHAnsi"/>
          <w:sz w:val="16"/>
          <w:szCs w:val="16"/>
          <w:lang w:val="es-US"/>
        </w:rPr>
        <w:t xml:space="preserve"> CIDH, Informe No. 410/21. Admisibilidad. Benedicta Avendaño de Ogalde y otros. </w:t>
      </w:r>
      <w:r w:rsidRPr="00750497">
        <w:rPr>
          <w:rFonts w:asciiTheme="majorHAnsi" w:hAnsiTheme="majorHAnsi"/>
          <w:sz w:val="16"/>
          <w:szCs w:val="16"/>
        </w:rPr>
        <w:t>Argentina. 31 de diciembre de 2021</w:t>
      </w:r>
      <w:r w:rsidR="00750497" w:rsidRPr="00750497">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F115A5" w:rsidRDefault="00F1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F115A5" w:rsidRPr="00EC7D62" w:rsidRDefault="00E8336F"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115A5" w:rsidRDefault="00F115A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115A5" w:rsidRDefault="00F11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115A5" w:rsidRDefault="00F115A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115A5" w:rsidRPr="00EC7D62" w:rsidRDefault="00E8336F"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B6F30FE"/>
    <w:multiLevelType w:val="hybridMultilevel"/>
    <w:tmpl w:val="6AF24D30"/>
    <w:lvl w:ilvl="0" w:tplc="4E0C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40690201">
    <w:abstractNumId w:val="3"/>
  </w:num>
  <w:num w:numId="2" w16cid:durableId="730276270">
    <w:abstractNumId w:val="5"/>
  </w:num>
  <w:num w:numId="3" w16cid:durableId="1102141599">
    <w:abstractNumId w:val="51"/>
  </w:num>
  <w:num w:numId="4" w16cid:durableId="293027915">
    <w:abstractNumId w:val="20"/>
  </w:num>
  <w:num w:numId="5" w16cid:durableId="1509440426">
    <w:abstractNumId w:val="45"/>
  </w:num>
  <w:num w:numId="6" w16cid:durableId="2016686263">
    <w:abstractNumId w:val="25"/>
  </w:num>
  <w:num w:numId="7" w16cid:durableId="258756172">
    <w:abstractNumId w:val="6"/>
  </w:num>
  <w:num w:numId="8" w16cid:durableId="1013921928">
    <w:abstractNumId w:val="16"/>
  </w:num>
  <w:num w:numId="9" w16cid:durableId="1918051516">
    <w:abstractNumId w:val="36"/>
  </w:num>
  <w:num w:numId="10" w16cid:durableId="708458188">
    <w:abstractNumId w:val="40"/>
  </w:num>
  <w:num w:numId="11" w16cid:durableId="233392124">
    <w:abstractNumId w:val="0"/>
  </w:num>
  <w:num w:numId="12" w16cid:durableId="1312178321">
    <w:abstractNumId w:val="35"/>
  </w:num>
  <w:num w:numId="13" w16cid:durableId="161744303">
    <w:abstractNumId w:val="42"/>
  </w:num>
  <w:num w:numId="14" w16cid:durableId="2012221676">
    <w:abstractNumId w:val="1"/>
  </w:num>
  <w:num w:numId="15" w16cid:durableId="893539174">
    <w:abstractNumId w:val="2"/>
  </w:num>
  <w:num w:numId="16" w16cid:durableId="2057512161">
    <w:abstractNumId w:val="7"/>
  </w:num>
  <w:num w:numId="17" w16cid:durableId="1405177421">
    <w:abstractNumId w:val="8"/>
  </w:num>
  <w:num w:numId="18" w16cid:durableId="34472888">
    <w:abstractNumId w:val="9"/>
  </w:num>
  <w:num w:numId="19" w16cid:durableId="1411538030">
    <w:abstractNumId w:val="10"/>
  </w:num>
  <w:num w:numId="20" w16cid:durableId="1670055787">
    <w:abstractNumId w:val="11"/>
  </w:num>
  <w:num w:numId="21" w16cid:durableId="1476488703">
    <w:abstractNumId w:val="12"/>
  </w:num>
  <w:num w:numId="22" w16cid:durableId="1781878438">
    <w:abstractNumId w:val="13"/>
  </w:num>
  <w:num w:numId="23" w16cid:durableId="759956656">
    <w:abstractNumId w:val="14"/>
  </w:num>
  <w:num w:numId="24" w16cid:durableId="50542899">
    <w:abstractNumId w:val="15"/>
  </w:num>
  <w:num w:numId="25" w16cid:durableId="1418091911">
    <w:abstractNumId w:val="17"/>
  </w:num>
  <w:num w:numId="26" w16cid:durableId="1449199962">
    <w:abstractNumId w:val="18"/>
  </w:num>
  <w:num w:numId="27" w16cid:durableId="283579666">
    <w:abstractNumId w:val="21"/>
  </w:num>
  <w:num w:numId="28" w16cid:durableId="1014501218">
    <w:abstractNumId w:val="22"/>
  </w:num>
  <w:num w:numId="29" w16cid:durableId="381099360">
    <w:abstractNumId w:val="23"/>
  </w:num>
  <w:num w:numId="30" w16cid:durableId="363671611">
    <w:abstractNumId w:val="24"/>
  </w:num>
  <w:num w:numId="31" w16cid:durableId="162161400">
    <w:abstractNumId w:val="26"/>
  </w:num>
  <w:num w:numId="32" w16cid:durableId="1000157426">
    <w:abstractNumId w:val="27"/>
  </w:num>
  <w:num w:numId="33" w16cid:durableId="173351582">
    <w:abstractNumId w:val="28"/>
  </w:num>
  <w:num w:numId="34" w16cid:durableId="829446695">
    <w:abstractNumId w:val="29"/>
  </w:num>
  <w:num w:numId="35" w16cid:durableId="2059816485">
    <w:abstractNumId w:val="30"/>
  </w:num>
  <w:num w:numId="36" w16cid:durableId="2075078248">
    <w:abstractNumId w:val="31"/>
  </w:num>
  <w:num w:numId="37" w16cid:durableId="1401294475">
    <w:abstractNumId w:val="32"/>
  </w:num>
  <w:num w:numId="38" w16cid:durableId="480125332">
    <w:abstractNumId w:val="33"/>
  </w:num>
  <w:num w:numId="39" w16cid:durableId="725223851">
    <w:abstractNumId w:val="37"/>
  </w:num>
  <w:num w:numId="40" w16cid:durableId="563151303">
    <w:abstractNumId w:val="38"/>
  </w:num>
  <w:num w:numId="41" w16cid:durableId="91711496">
    <w:abstractNumId w:val="44"/>
  </w:num>
  <w:num w:numId="42" w16cid:durableId="1922133002">
    <w:abstractNumId w:val="46"/>
  </w:num>
  <w:num w:numId="43" w16cid:durableId="1740402341">
    <w:abstractNumId w:val="47"/>
  </w:num>
  <w:num w:numId="44" w16cid:durableId="50888106">
    <w:abstractNumId w:val="49"/>
  </w:num>
  <w:num w:numId="45" w16cid:durableId="1630628803">
    <w:abstractNumId w:val="50"/>
  </w:num>
  <w:num w:numId="46" w16cid:durableId="421804787">
    <w:abstractNumId w:val="52"/>
  </w:num>
  <w:num w:numId="47" w16cid:durableId="1949003016">
    <w:abstractNumId w:val="53"/>
  </w:num>
  <w:num w:numId="48" w16cid:durableId="2132820928">
    <w:abstractNumId w:val="54"/>
  </w:num>
  <w:num w:numId="49" w16cid:durableId="759254854">
    <w:abstractNumId w:val="55"/>
  </w:num>
  <w:num w:numId="50" w16cid:durableId="1833719683">
    <w:abstractNumId w:val="56"/>
  </w:num>
  <w:num w:numId="51" w16cid:durableId="2133135423">
    <w:abstractNumId w:val="19"/>
  </w:num>
  <w:num w:numId="52" w16cid:durableId="1269191624">
    <w:abstractNumId w:val="39"/>
  </w:num>
  <w:num w:numId="53" w16cid:durableId="1760517884">
    <w:abstractNumId w:val="48"/>
  </w:num>
  <w:num w:numId="54" w16cid:durableId="1639728107">
    <w:abstractNumId w:val="43"/>
  </w:num>
  <w:num w:numId="55" w16cid:durableId="1736079558">
    <w:abstractNumId w:val="4"/>
  </w:num>
  <w:num w:numId="56" w16cid:durableId="1677414629">
    <w:abstractNumId w:val="41"/>
  </w:num>
  <w:num w:numId="57" w16cid:durableId="1996913035">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3D1"/>
    <w:rsid w:val="00006E1F"/>
    <w:rsid w:val="000070D7"/>
    <w:rsid w:val="0001034D"/>
    <w:rsid w:val="00010877"/>
    <w:rsid w:val="000112E0"/>
    <w:rsid w:val="00012F86"/>
    <w:rsid w:val="00013A1E"/>
    <w:rsid w:val="00014313"/>
    <w:rsid w:val="0001788C"/>
    <w:rsid w:val="0002227C"/>
    <w:rsid w:val="00030ECF"/>
    <w:rsid w:val="00031112"/>
    <w:rsid w:val="00031EE3"/>
    <w:rsid w:val="000337EF"/>
    <w:rsid w:val="00033DB0"/>
    <w:rsid w:val="00040C3A"/>
    <w:rsid w:val="000419AD"/>
    <w:rsid w:val="000433C9"/>
    <w:rsid w:val="00043AF7"/>
    <w:rsid w:val="0004627C"/>
    <w:rsid w:val="00047262"/>
    <w:rsid w:val="00050A0B"/>
    <w:rsid w:val="00054317"/>
    <w:rsid w:val="00056CD8"/>
    <w:rsid w:val="00057F1A"/>
    <w:rsid w:val="00062C18"/>
    <w:rsid w:val="000673D0"/>
    <w:rsid w:val="00071600"/>
    <w:rsid w:val="000716C5"/>
    <w:rsid w:val="00072E35"/>
    <w:rsid w:val="00075E23"/>
    <w:rsid w:val="000812BB"/>
    <w:rsid w:val="00086968"/>
    <w:rsid w:val="0008770E"/>
    <w:rsid w:val="0009344A"/>
    <w:rsid w:val="00095DFF"/>
    <w:rsid w:val="000A392E"/>
    <w:rsid w:val="000A4746"/>
    <w:rsid w:val="000A5104"/>
    <w:rsid w:val="000A575F"/>
    <w:rsid w:val="000B571B"/>
    <w:rsid w:val="000B6B06"/>
    <w:rsid w:val="000C225B"/>
    <w:rsid w:val="000C29DF"/>
    <w:rsid w:val="000C778D"/>
    <w:rsid w:val="000D05CB"/>
    <w:rsid w:val="000D10DB"/>
    <w:rsid w:val="000D1C57"/>
    <w:rsid w:val="000D2BCE"/>
    <w:rsid w:val="000D407B"/>
    <w:rsid w:val="000D6C2E"/>
    <w:rsid w:val="000E1E37"/>
    <w:rsid w:val="000E409D"/>
    <w:rsid w:val="000E5EB5"/>
    <w:rsid w:val="000F02EC"/>
    <w:rsid w:val="000F056E"/>
    <w:rsid w:val="000F0824"/>
    <w:rsid w:val="000F35ED"/>
    <w:rsid w:val="000F3C3B"/>
    <w:rsid w:val="000F59E2"/>
    <w:rsid w:val="000F5F2D"/>
    <w:rsid w:val="00107131"/>
    <w:rsid w:val="0010736F"/>
    <w:rsid w:val="00111FDC"/>
    <w:rsid w:val="001134A1"/>
    <w:rsid w:val="00113F73"/>
    <w:rsid w:val="001157F3"/>
    <w:rsid w:val="0012027B"/>
    <w:rsid w:val="00121CC2"/>
    <w:rsid w:val="00124397"/>
    <w:rsid w:val="00126CEC"/>
    <w:rsid w:val="00130420"/>
    <w:rsid w:val="0013058E"/>
    <w:rsid w:val="00131425"/>
    <w:rsid w:val="00133EE5"/>
    <w:rsid w:val="00135499"/>
    <w:rsid w:val="00143212"/>
    <w:rsid w:val="001510C5"/>
    <w:rsid w:val="0015692A"/>
    <w:rsid w:val="00157C22"/>
    <w:rsid w:val="00165B43"/>
    <w:rsid w:val="00165EB6"/>
    <w:rsid w:val="00167A34"/>
    <w:rsid w:val="00174378"/>
    <w:rsid w:val="00174AFF"/>
    <w:rsid w:val="00175057"/>
    <w:rsid w:val="00176E5D"/>
    <w:rsid w:val="001813E1"/>
    <w:rsid w:val="001838D3"/>
    <w:rsid w:val="00194CC6"/>
    <w:rsid w:val="001A2721"/>
    <w:rsid w:val="001A6789"/>
    <w:rsid w:val="001A7870"/>
    <w:rsid w:val="001B3A00"/>
    <w:rsid w:val="001B49DD"/>
    <w:rsid w:val="001B7932"/>
    <w:rsid w:val="001C1B41"/>
    <w:rsid w:val="001C376C"/>
    <w:rsid w:val="001D3954"/>
    <w:rsid w:val="001D54B7"/>
    <w:rsid w:val="001D65EF"/>
    <w:rsid w:val="001E2632"/>
    <w:rsid w:val="001E42F7"/>
    <w:rsid w:val="001E49E7"/>
    <w:rsid w:val="001F1E05"/>
    <w:rsid w:val="001F48A6"/>
    <w:rsid w:val="001F6BFE"/>
    <w:rsid w:val="001F7201"/>
    <w:rsid w:val="001F755E"/>
    <w:rsid w:val="00210593"/>
    <w:rsid w:val="00216A1D"/>
    <w:rsid w:val="0022072D"/>
    <w:rsid w:val="00222F75"/>
    <w:rsid w:val="00223A29"/>
    <w:rsid w:val="002250A3"/>
    <w:rsid w:val="00235217"/>
    <w:rsid w:val="0023774E"/>
    <w:rsid w:val="00237C14"/>
    <w:rsid w:val="00246D1F"/>
    <w:rsid w:val="00247403"/>
    <w:rsid w:val="00247542"/>
    <w:rsid w:val="00251109"/>
    <w:rsid w:val="0025568F"/>
    <w:rsid w:val="00262240"/>
    <w:rsid w:val="0026460E"/>
    <w:rsid w:val="00266B61"/>
    <w:rsid w:val="0026712A"/>
    <w:rsid w:val="002704DB"/>
    <w:rsid w:val="002725D9"/>
    <w:rsid w:val="00286E1D"/>
    <w:rsid w:val="00292FAD"/>
    <w:rsid w:val="002A0AAE"/>
    <w:rsid w:val="002A4312"/>
    <w:rsid w:val="002A5820"/>
    <w:rsid w:val="002B02DD"/>
    <w:rsid w:val="002B0B90"/>
    <w:rsid w:val="002C3A5E"/>
    <w:rsid w:val="002C3B2B"/>
    <w:rsid w:val="002D1AB4"/>
    <w:rsid w:val="002D2B26"/>
    <w:rsid w:val="002D7EA2"/>
    <w:rsid w:val="002E187C"/>
    <w:rsid w:val="002E24E5"/>
    <w:rsid w:val="002E4781"/>
    <w:rsid w:val="002F3179"/>
    <w:rsid w:val="002F3BFD"/>
    <w:rsid w:val="002F6E47"/>
    <w:rsid w:val="00302733"/>
    <w:rsid w:val="00314078"/>
    <w:rsid w:val="0031535D"/>
    <w:rsid w:val="00320752"/>
    <w:rsid w:val="003239B8"/>
    <w:rsid w:val="00330F68"/>
    <w:rsid w:val="003312DF"/>
    <w:rsid w:val="0033169F"/>
    <w:rsid w:val="00336D02"/>
    <w:rsid w:val="003376AE"/>
    <w:rsid w:val="00344977"/>
    <w:rsid w:val="00346C95"/>
    <w:rsid w:val="00356185"/>
    <w:rsid w:val="00360380"/>
    <w:rsid w:val="00364718"/>
    <w:rsid w:val="00366053"/>
    <w:rsid w:val="00374380"/>
    <w:rsid w:val="0037519E"/>
    <w:rsid w:val="00375317"/>
    <w:rsid w:val="00375CA6"/>
    <w:rsid w:val="00377E2B"/>
    <w:rsid w:val="003808BD"/>
    <w:rsid w:val="003812C4"/>
    <w:rsid w:val="0038223E"/>
    <w:rsid w:val="003851E5"/>
    <w:rsid w:val="00386152"/>
    <w:rsid w:val="00386902"/>
    <w:rsid w:val="00386CF0"/>
    <w:rsid w:val="003875BC"/>
    <w:rsid w:val="003963BB"/>
    <w:rsid w:val="003A2774"/>
    <w:rsid w:val="003A3E87"/>
    <w:rsid w:val="003B3325"/>
    <w:rsid w:val="003B4E83"/>
    <w:rsid w:val="003B5776"/>
    <w:rsid w:val="003B70FB"/>
    <w:rsid w:val="003C3C48"/>
    <w:rsid w:val="003C4D17"/>
    <w:rsid w:val="003C676B"/>
    <w:rsid w:val="003D1FDE"/>
    <w:rsid w:val="003D36F6"/>
    <w:rsid w:val="003D3BC2"/>
    <w:rsid w:val="003D5EAE"/>
    <w:rsid w:val="003E04BE"/>
    <w:rsid w:val="003E6CA1"/>
    <w:rsid w:val="004065A8"/>
    <w:rsid w:val="00411591"/>
    <w:rsid w:val="004165C2"/>
    <w:rsid w:val="004217A5"/>
    <w:rsid w:val="00423FAE"/>
    <w:rsid w:val="00426FFD"/>
    <w:rsid w:val="004273CC"/>
    <w:rsid w:val="00430F23"/>
    <w:rsid w:val="00431AEE"/>
    <w:rsid w:val="00441ECB"/>
    <w:rsid w:val="004448FD"/>
    <w:rsid w:val="00445193"/>
    <w:rsid w:val="00445A0D"/>
    <w:rsid w:val="004514EE"/>
    <w:rsid w:val="0045175F"/>
    <w:rsid w:val="00454776"/>
    <w:rsid w:val="00454E8C"/>
    <w:rsid w:val="004557AC"/>
    <w:rsid w:val="00462C1B"/>
    <w:rsid w:val="00465FFA"/>
    <w:rsid w:val="00467811"/>
    <w:rsid w:val="00467B7E"/>
    <w:rsid w:val="00473BB4"/>
    <w:rsid w:val="00477016"/>
    <w:rsid w:val="004774F2"/>
    <w:rsid w:val="00477592"/>
    <w:rsid w:val="0048136A"/>
    <w:rsid w:val="00484027"/>
    <w:rsid w:val="0048440B"/>
    <w:rsid w:val="0048671B"/>
    <w:rsid w:val="00486D55"/>
    <w:rsid w:val="00486F1C"/>
    <w:rsid w:val="0049419D"/>
    <w:rsid w:val="00494CCE"/>
    <w:rsid w:val="004A4B9C"/>
    <w:rsid w:val="004A6A54"/>
    <w:rsid w:val="004A7056"/>
    <w:rsid w:val="004B052B"/>
    <w:rsid w:val="004B2127"/>
    <w:rsid w:val="004C0E8D"/>
    <w:rsid w:val="004C1EDB"/>
    <w:rsid w:val="004C20D2"/>
    <w:rsid w:val="004C2312"/>
    <w:rsid w:val="004C4B62"/>
    <w:rsid w:val="004C4DA6"/>
    <w:rsid w:val="004C54C9"/>
    <w:rsid w:val="004D4ABA"/>
    <w:rsid w:val="004D6025"/>
    <w:rsid w:val="004D70F9"/>
    <w:rsid w:val="004E2649"/>
    <w:rsid w:val="004E3248"/>
    <w:rsid w:val="004E3564"/>
    <w:rsid w:val="004F13A2"/>
    <w:rsid w:val="004F1980"/>
    <w:rsid w:val="004F516B"/>
    <w:rsid w:val="004F626F"/>
    <w:rsid w:val="00501399"/>
    <w:rsid w:val="00503066"/>
    <w:rsid w:val="0050633D"/>
    <w:rsid w:val="00507BC4"/>
    <w:rsid w:val="00511602"/>
    <w:rsid w:val="005128E4"/>
    <w:rsid w:val="005133DB"/>
    <w:rsid w:val="00514504"/>
    <w:rsid w:val="00514BBA"/>
    <w:rsid w:val="00516068"/>
    <w:rsid w:val="00525560"/>
    <w:rsid w:val="00530A97"/>
    <w:rsid w:val="00533A62"/>
    <w:rsid w:val="0053487B"/>
    <w:rsid w:val="005407EF"/>
    <w:rsid w:val="00544C49"/>
    <w:rsid w:val="00550353"/>
    <w:rsid w:val="005516A1"/>
    <w:rsid w:val="0055189F"/>
    <w:rsid w:val="005559EF"/>
    <w:rsid w:val="005622CB"/>
    <w:rsid w:val="00563557"/>
    <w:rsid w:val="0057402A"/>
    <w:rsid w:val="00575C7B"/>
    <w:rsid w:val="005771D0"/>
    <w:rsid w:val="00585A16"/>
    <w:rsid w:val="0059191A"/>
    <w:rsid w:val="00592102"/>
    <w:rsid w:val="005921FF"/>
    <w:rsid w:val="005A24ED"/>
    <w:rsid w:val="005A6D0E"/>
    <w:rsid w:val="005B1F7D"/>
    <w:rsid w:val="005B458D"/>
    <w:rsid w:val="005B52B0"/>
    <w:rsid w:val="005B5AD3"/>
    <w:rsid w:val="005B6806"/>
    <w:rsid w:val="005B707C"/>
    <w:rsid w:val="005C0974"/>
    <w:rsid w:val="005C0B94"/>
    <w:rsid w:val="005C1B62"/>
    <w:rsid w:val="005C4225"/>
    <w:rsid w:val="005C45C4"/>
    <w:rsid w:val="005C5F50"/>
    <w:rsid w:val="005D0747"/>
    <w:rsid w:val="005D6FF2"/>
    <w:rsid w:val="005E1769"/>
    <w:rsid w:val="005E531B"/>
    <w:rsid w:val="005E7F2E"/>
    <w:rsid w:val="005F0DAD"/>
    <w:rsid w:val="005F0F33"/>
    <w:rsid w:val="00600D0F"/>
    <w:rsid w:val="00600DEB"/>
    <w:rsid w:val="00601040"/>
    <w:rsid w:val="006014D8"/>
    <w:rsid w:val="006122B1"/>
    <w:rsid w:val="00614C17"/>
    <w:rsid w:val="00620511"/>
    <w:rsid w:val="0062722A"/>
    <w:rsid w:val="00627C9F"/>
    <w:rsid w:val="006311E9"/>
    <w:rsid w:val="00632354"/>
    <w:rsid w:val="00635421"/>
    <w:rsid w:val="00636BE2"/>
    <w:rsid w:val="006400A3"/>
    <w:rsid w:val="00642810"/>
    <w:rsid w:val="006428C3"/>
    <w:rsid w:val="00644D7B"/>
    <w:rsid w:val="00652333"/>
    <w:rsid w:val="00653281"/>
    <w:rsid w:val="00656506"/>
    <w:rsid w:val="006653A3"/>
    <w:rsid w:val="00675B2C"/>
    <w:rsid w:val="0068009E"/>
    <w:rsid w:val="006856C8"/>
    <w:rsid w:val="006910D9"/>
    <w:rsid w:val="00691772"/>
    <w:rsid w:val="00692219"/>
    <w:rsid w:val="0069536F"/>
    <w:rsid w:val="00696E84"/>
    <w:rsid w:val="006A17D2"/>
    <w:rsid w:val="006A53B4"/>
    <w:rsid w:val="006A73E6"/>
    <w:rsid w:val="006B1378"/>
    <w:rsid w:val="006B2D5C"/>
    <w:rsid w:val="006B2F11"/>
    <w:rsid w:val="006B77EA"/>
    <w:rsid w:val="006C3525"/>
    <w:rsid w:val="006C3991"/>
    <w:rsid w:val="006C4EB1"/>
    <w:rsid w:val="006C6FCF"/>
    <w:rsid w:val="006D2CF2"/>
    <w:rsid w:val="006D46DB"/>
    <w:rsid w:val="006D4A83"/>
    <w:rsid w:val="006D79E2"/>
    <w:rsid w:val="006E0166"/>
    <w:rsid w:val="006E2FFB"/>
    <w:rsid w:val="006E3931"/>
    <w:rsid w:val="006E7B34"/>
    <w:rsid w:val="006F2CD3"/>
    <w:rsid w:val="0070697F"/>
    <w:rsid w:val="007115B7"/>
    <w:rsid w:val="00711AC0"/>
    <w:rsid w:val="00713516"/>
    <w:rsid w:val="00720524"/>
    <w:rsid w:val="0072199C"/>
    <w:rsid w:val="00721AA7"/>
    <w:rsid w:val="00722C9F"/>
    <w:rsid w:val="007253B8"/>
    <w:rsid w:val="00725B0E"/>
    <w:rsid w:val="00725ED7"/>
    <w:rsid w:val="0073741F"/>
    <w:rsid w:val="00742496"/>
    <w:rsid w:val="00750497"/>
    <w:rsid w:val="00750723"/>
    <w:rsid w:val="00750DE0"/>
    <w:rsid w:val="00751FB6"/>
    <w:rsid w:val="00760DA9"/>
    <w:rsid w:val="0076239A"/>
    <w:rsid w:val="00763850"/>
    <w:rsid w:val="0076643F"/>
    <w:rsid w:val="00770577"/>
    <w:rsid w:val="00777F63"/>
    <w:rsid w:val="0078377F"/>
    <w:rsid w:val="00785D5C"/>
    <w:rsid w:val="007A2CE0"/>
    <w:rsid w:val="007A5817"/>
    <w:rsid w:val="007A601B"/>
    <w:rsid w:val="007A6729"/>
    <w:rsid w:val="007B05C4"/>
    <w:rsid w:val="007B543E"/>
    <w:rsid w:val="007B60E9"/>
    <w:rsid w:val="007B6CC3"/>
    <w:rsid w:val="007B767B"/>
    <w:rsid w:val="007B76D3"/>
    <w:rsid w:val="007B7D07"/>
    <w:rsid w:val="007C05DE"/>
    <w:rsid w:val="007C3334"/>
    <w:rsid w:val="007C4159"/>
    <w:rsid w:val="007D05AA"/>
    <w:rsid w:val="007D18E4"/>
    <w:rsid w:val="007D2B98"/>
    <w:rsid w:val="007D328D"/>
    <w:rsid w:val="007D7946"/>
    <w:rsid w:val="007E21BC"/>
    <w:rsid w:val="007E3525"/>
    <w:rsid w:val="007E42AB"/>
    <w:rsid w:val="007E75F4"/>
    <w:rsid w:val="007E7C82"/>
    <w:rsid w:val="007F1E12"/>
    <w:rsid w:val="007F2AA1"/>
    <w:rsid w:val="007F588D"/>
    <w:rsid w:val="007F58A4"/>
    <w:rsid w:val="007F72F1"/>
    <w:rsid w:val="00801460"/>
    <w:rsid w:val="00803423"/>
    <w:rsid w:val="00803C12"/>
    <w:rsid w:val="00803F1C"/>
    <w:rsid w:val="0080600E"/>
    <w:rsid w:val="00807EA2"/>
    <w:rsid w:val="00811520"/>
    <w:rsid w:val="00812C82"/>
    <w:rsid w:val="00814688"/>
    <w:rsid w:val="00817612"/>
    <w:rsid w:val="008338A4"/>
    <w:rsid w:val="00834D49"/>
    <w:rsid w:val="00835105"/>
    <w:rsid w:val="00837C45"/>
    <w:rsid w:val="00840881"/>
    <w:rsid w:val="00840AE8"/>
    <w:rsid w:val="00844730"/>
    <w:rsid w:val="008457C2"/>
    <w:rsid w:val="00854D24"/>
    <w:rsid w:val="00857A82"/>
    <w:rsid w:val="0086038A"/>
    <w:rsid w:val="00861DE4"/>
    <w:rsid w:val="00866A35"/>
    <w:rsid w:val="0086785F"/>
    <w:rsid w:val="00873836"/>
    <w:rsid w:val="00874720"/>
    <w:rsid w:val="00877CC5"/>
    <w:rsid w:val="00885737"/>
    <w:rsid w:val="00885993"/>
    <w:rsid w:val="00890650"/>
    <w:rsid w:val="008915D3"/>
    <w:rsid w:val="00895C51"/>
    <w:rsid w:val="00897E12"/>
    <w:rsid w:val="008A1AB1"/>
    <w:rsid w:val="008A7D0D"/>
    <w:rsid w:val="008A7E0F"/>
    <w:rsid w:val="008B12F5"/>
    <w:rsid w:val="008B46CA"/>
    <w:rsid w:val="008B75ED"/>
    <w:rsid w:val="008C119E"/>
    <w:rsid w:val="008C12AE"/>
    <w:rsid w:val="008C2E5A"/>
    <w:rsid w:val="008C5E2D"/>
    <w:rsid w:val="008D114A"/>
    <w:rsid w:val="008D5BF9"/>
    <w:rsid w:val="008D6733"/>
    <w:rsid w:val="008D768D"/>
    <w:rsid w:val="008E107C"/>
    <w:rsid w:val="008E3759"/>
    <w:rsid w:val="008E3BFE"/>
    <w:rsid w:val="008E4ADB"/>
    <w:rsid w:val="008E4F1C"/>
    <w:rsid w:val="008E580E"/>
    <w:rsid w:val="008F1912"/>
    <w:rsid w:val="0090270B"/>
    <w:rsid w:val="0090336D"/>
    <w:rsid w:val="00903910"/>
    <w:rsid w:val="00904013"/>
    <w:rsid w:val="009041DC"/>
    <w:rsid w:val="00904913"/>
    <w:rsid w:val="00904C8E"/>
    <w:rsid w:val="00904DA3"/>
    <w:rsid w:val="009125DA"/>
    <w:rsid w:val="009148D8"/>
    <w:rsid w:val="00915136"/>
    <w:rsid w:val="00915722"/>
    <w:rsid w:val="009170E3"/>
    <w:rsid w:val="00917B5A"/>
    <w:rsid w:val="00920A58"/>
    <w:rsid w:val="00920A8C"/>
    <w:rsid w:val="009222E5"/>
    <w:rsid w:val="00930C81"/>
    <w:rsid w:val="00930D2A"/>
    <w:rsid w:val="00934A2C"/>
    <w:rsid w:val="00943790"/>
    <w:rsid w:val="0094529B"/>
    <w:rsid w:val="0095388F"/>
    <w:rsid w:val="00955BDB"/>
    <w:rsid w:val="00965DB6"/>
    <w:rsid w:val="0096697B"/>
    <w:rsid w:val="0096706E"/>
    <w:rsid w:val="009678C1"/>
    <w:rsid w:val="00974491"/>
    <w:rsid w:val="00975C4E"/>
    <w:rsid w:val="00980F2C"/>
    <w:rsid w:val="00981FBA"/>
    <w:rsid w:val="00982926"/>
    <w:rsid w:val="00986760"/>
    <w:rsid w:val="00990498"/>
    <w:rsid w:val="00997BC5"/>
    <w:rsid w:val="009A4F41"/>
    <w:rsid w:val="009A7A58"/>
    <w:rsid w:val="009B12E1"/>
    <w:rsid w:val="009B381B"/>
    <w:rsid w:val="009C6CB7"/>
    <w:rsid w:val="009D1753"/>
    <w:rsid w:val="009D7611"/>
    <w:rsid w:val="009E0B61"/>
    <w:rsid w:val="009E3735"/>
    <w:rsid w:val="009E41D6"/>
    <w:rsid w:val="009E4EC3"/>
    <w:rsid w:val="009E53DE"/>
    <w:rsid w:val="009E5A77"/>
    <w:rsid w:val="009E5B34"/>
    <w:rsid w:val="009E5BFC"/>
    <w:rsid w:val="009F16CE"/>
    <w:rsid w:val="009F7599"/>
    <w:rsid w:val="00A11212"/>
    <w:rsid w:val="00A11E44"/>
    <w:rsid w:val="00A16C90"/>
    <w:rsid w:val="00A22AA6"/>
    <w:rsid w:val="00A244EB"/>
    <w:rsid w:val="00A25FAD"/>
    <w:rsid w:val="00A30100"/>
    <w:rsid w:val="00A3035E"/>
    <w:rsid w:val="00A30DF6"/>
    <w:rsid w:val="00A322E4"/>
    <w:rsid w:val="00A328B3"/>
    <w:rsid w:val="00A3454F"/>
    <w:rsid w:val="00A47F17"/>
    <w:rsid w:val="00A50FCF"/>
    <w:rsid w:val="00A528D1"/>
    <w:rsid w:val="00A55249"/>
    <w:rsid w:val="00A553B1"/>
    <w:rsid w:val="00A5716A"/>
    <w:rsid w:val="00A603CD"/>
    <w:rsid w:val="00A610CD"/>
    <w:rsid w:val="00A62142"/>
    <w:rsid w:val="00A64E7D"/>
    <w:rsid w:val="00A71294"/>
    <w:rsid w:val="00A758AA"/>
    <w:rsid w:val="00A75E36"/>
    <w:rsid w:val="00A762A5"/>
    <w:rsid w:val="00A850E6"/>
    <w:rsid w:val="00A861CD"/>
    <w:rsid w:val="00A9295D"/>
    <w:rsid w:val="00A93C5B"/>
    <w:rsid w:val="00AA09A2"/>
    <w:rsid w:val="00AA7996"/>
    <w:rsid w:val="00AB2DCE"/>
    <w:rsid w:val="00AC0FB1"/>
    <w:rsid w:val="00AC19CB"/>
    <w:rsid w:val="00AC75CA"/>
    <w:rsid w:val="00AE0953"/>
    <w:rsid w:val="00AE5488"/>
    <w:rsid w:val="00AE6F91"/>
    <w:rsid w:val="00AF5571"/>
    <w:rsid w:val="00AF5738"/>
    <w:rsid w:val="00AF6BF7"/>
    <w:rsid w:val="00AF7002"/>
    <w:rsid w:val="00AF752C"/>
    <w:rsid w:val="00B02958"/>
    <w:rsid w:val="00B050C7"/>
    <w:rsid w:val="00B0692A"/>
    <w:rsid w:val="00B07341"/>
    <w:rsid w:val="00B10A88"/>
    <w:rsid w:val="00B12A05"/>
    <w:rsid w:val="00B168CA"/>
    <w:rsid w:val="00B2016D"/>
    <w:rsid w:val="00B209A8"/>
    <w:rsid w:val="00B22BAC"/>
    <w:rsid w:val="00B23183"/>
    <w:rsid w:val="00B261A9"/>
    <w:rsid w:val="00B30049"/>
    <w:rsid w:val="00B30539"/>
    <w:rsid w:val="00B314DB"/>
    <w:rsid w:val="00B318C1"/>
    <w:rsid w:val="00B361F2"/>
    <w:rsid w:val="00B3718B"/>
    <w:rsid w:val="00B3745F"/>
    <w:rsid w:val="00B43081"/>
    <w:rsid w:val="00B43505"/>
    <w:rsid w:val="00B44CE6"/>
    <w:rsid w:val="00B45E23"/>
    <w:rsid w:val="00B46185"/>
    <w:rsid w:val="00B4632A"/>
    <w:rsid w:val="00B52C2E"/>
    <w:rsid w:val="00B530F1"/>
    <w:rsid w:val="00B53C36"/>
    <w:rsid w:val="00B62188"/>
    <w:rsid w:val="00B72CC1"/>
    <w:rsid w:val="00B737C4"/>
    <w:rsid w:val="00B7549F"/>
    <w:rsid w:val="00B832CD"/>
    <w:rsid w:val="00B84304"/>
    <w:rsid w:val="00BA276C"/>
    <w:rsid w:val="00BB0D91"/>
    <w:rsid w:val="00BB306F"/>
    <w:rsid w:val="00BB46AE"/>
    <w:rsid w:val="00BB49AE"/>
    <w:rsid w:val="00BB50FF"/>
    <w:rsid w:val="00BB5333"/>
    <w:rsid w:val="00BB79D4"/>
    <w:rsid w:val="00BC33CD"/>
    <w:rsid w:val="00BC7441"/>
    <w:rsid w:val="00BD4B89"/>
    <w:rsid w:val="00BD5922"/>
    <w:rsid w:val="00BE646F"/>
    <w:rsid w:val="00BE75F5"/>
    <w:rsid w:val="00BF02CB"/>
    <w:rsid w:val="00BF6FD8"/>
    <w:rsid w:val="00BF727A"/>
    <w:rsid w:val="00C01815"/>
    <w:rsid w:val="00C03680"/>
    <w:rsid w:val="00C04908"/>
    <w:rsid w:val="00C0515D"/>
    <w:rsid w:val="00C054DF"/>
    <w:rsid w:val="00C13B48"/>
    <w:rsid w:val="00C14BD4"/>
    <w:rsid w:val="00C21762"/>
    <w:rsid w:val="00C21FEF"/>
    <w:rsid w:val="00C237D9"/>
    <w:rsid w:val="00C23BA4"/>
    <w:rsid w:val="00C24543"/>
    <w:rsid w:val="00C256A2"/>
    <w:rsid w:val="00C25ADB"/>
    <w:rsid w:val="00C2623F"/>
    <w:rsid w:val="00C318F4"/>
    <w:rsid w:val="00C40CE6"/>
    <w:rsid w:val="00C42079"/>
    <w:rsid w:val="00C470F1"/>
    <w:rsid w:val="00C51515"/>
    <w:rsid w:val="00C5407F"/>
    <w:rsid w:val="00C5660B"/>
    <w:rsid w:val="00C57398"/>
    <w:rsid w:val="00C6279E"/>
    <w:rsid w:val="00C64D9E"/>
    <w:rsid w:val="00C65A7C"/>
    <w:rsid w:val="00C661B1"/>
    <w:rsid w:val="00C66B72"/>
    <w:rsid w:val="00C67C1E"/>
    <w:rsid w:val="00C7006E"/>
    <w:rsid w:val="00C70198"/>
    <w:rsid w:val="00C72339"/>
    <w:rsid w:val="00C72A01"/>
    <w:rsid w:val="00C74717"/>
    <w:rsid w:val="00C83701"/>
    <w:rsid w:val="00C87AC4"/>
    <w:rsid w:val="00C9152C"/>
    <w:rsid w:val="00C92C03"/>
    <w:rsid w:val="00C9491D"/>
    <w:rsid w:val="00C9567A"/>
    <w:rsid w:val="00C96ED5"/>
    <w:rsid w:val="00CA0D76"/>
    <w:rsid w:val="00CA499E"/>
    <w:rsid w:val="00CA4D19"/>
    <w:rsid w:val="00CA6E18"/>
    <w:rsid w:val="00CA6F30"/>
    <w:rsid w:val="00CB212D"/>
    <w:rsid w:val="00CB2660"/>
    <w:rsid w:val="00CC388E"/>
    <w:rsid w:val="00CC4E0A"/>
    <w:rsid w:val="00CC5E90"/>
    <w:rsid w:val="00CD046C"/>
    <w:rsid w:val="00CD29BB"/>
    <w:rsid w:val="00CD7AF9"/>
    <w:rsid w:val="00CE076C"/>
    <w:rsid w:val="00CE5199"/>
    <w:rsid w:val="00CE66D5"/>
    <w:rsid w:val="00CE7283"/>
    <w:rsid w:val="00CF5E04"/>
    <w:rsid w:val="00CF637A"/>
    <w:rsid w:val="00CF7AFD"/>
    <w:rsid w:val="00D03ABC"/>
    <w:rsid w:val="00D059DE"/>
    <w:rsid w:val="00D05ABD"/>
    <w:rsid w:val="00D06F66"/>
    <w:rsid w:val="00D07E2F"/>
    <w:rsid w:val="00D127B1"/>
    <w:rsid w:val="00D13FCE"/>
    <w:rsid w:val="00D14F49"/>
    <w:rsid w:val="00D16A77"/>
    <w:rsid w:val="00D2102D"/>
    <w:rsid w:val="00D23167"/>
    <w:rsid w:val="00D276C6"/>
    <w:rsid w:val="00D306D1"/>
    <w:rsid w:val="00D30800"/>
    <w:rsid w:val="00D329EA"/>
    <w:rsid w:val="00D34786"/>
    <w:rsid w:val="00D349A9"/>
    <w:rsid w:val="00D34BDB"/>
    <w:rsid w:val="00D35888"/>
    <w:rsid w:val="00D37BFC"/>
    <w:rsid w:val="00D47A8E"/>
    <w:rsid w:val="00D52D14"/>
    <w:rsid w:val="00D555CE"/>
    <w:rsid w:val="00D56E2A"/>
    <w:rsid w:val="00D61D36"/>
    <w:rsid w:val="00D704FD"/>
    <w:rsid w:val="00D712D3"/>
    <w:rsid w:val="00D71422"/>
    <w:rsid w:val="00D72DC6"/>
    <w:rsid w:val="00D73BA4"/>
    <w:rsid w:val="00D7558D"/>
    <w:rsid w:val="00D81D92"/>
    <w:rsid w:val="00D848AC"/>
    <w:rsid w:val="00D876F9"/>
    <w:rsid w:val="00D952F3"/>
    <w:rsid w:val="00DA23D4"/>
    <w:rsid w:val="00DA500C"/>
    <w:rsid w:val="00DA7B5F"/>
    <w:rsid w:val="00DB597D"/>
    <w:rsid w:val="00DC11E7"/>
    <w:rsid w:val="00DC24E3"/>
    <w:rsid w:val="00DC5DC6"/>
    <w:rsid w:val="00DC7023"/>
    <w:rsid w:val="00DC769A"/>
    <w:rsid w:val="00DD3D86"/>
    <w:rsid w:val="00DD4AD2"/>
    <w:rsid w:val="00DE0304"/>
    <w:rsid w:val="00DE0342"/>
    <w:rsid w:val="00DE269C"/>
    <w:rsid w:val="00DE52FF"/>
    <w:rsid w:val="00DE6678"/>
    <w:rsid w:val="00DF020D"/>
    <w:rsid w:val="00DF1EC4"/>
    <w:rsid w:val="00DF6EFB"/>
    <w:rsid w:val="00E0340B"/>
    <w:rsid w:val="00E04A90"/>
    <w:rsid w:val="00E0551F"/>
    <w:rsid w:val="00E114FD"/>
    <w:rsid w:val="00E17F9D"/>
    <w:rsid w:val="00E219C7"/>
    <w:rsid w:val="00E22003"/>
    <w:rsid w:val="00E25454"/>
    <w:rsid w:val="00E4118C"/>
    <w:rsid w:val="00E421E3"/>
    <w:rsid w:val="00E43157"/>
    <w:rsid w:val="00E461CE"/>
    <w:rsid w:val="00E56EA8"/>
    <w:rsid w:val="00E573E4"/>
    <w:rsid w:val="00E614FE"/>
    <w:rsid w:val="00E67981"/>
    <w:rsid w:val="00E67AE5"/>
    <w:rsid w:val="00E715FA"/>
    <w:rsid w:val="00E71C69"/>
    <w:rsid w:val="00E720CA"/>
    <w:rsid w:val="00E745D7"/>
    <w:rsid w:val="00E8086F"/>
    <w:rsid w:val="00E822D6"/>
    <w:rsid w:val="00E8336F"/>
    <w:rsid w:val="00E84EB5"/>
    <w:rsid w:val="00E85662"/>
    <w:rsid w:val="00E8789F"/>
    <w:rsid w:val="00E9227D"/>
    <w:rsid w:val="00E92899"/>
    <w:rsid w:val="00E94E53"/>
    <w:rsid w:val="00E97B71"/>
    <w:rsid w:val="00EA3D34"/>
    <w:rsid w:val="00EA7F7F"/>
    <w:rsid w:val="00EB2FE4"/>
    <w:rsid w:val="00EB454D"/>
    <w:rsid w:val="00EB4F91"/>
    <w:rsid w:val="00EB507E"/>
    <w:rsid w:val="00EC3B95"/>
    <w:rsid w:val="00EC747F"/>
    <w:rsid w:val="00ED3636"/>
    <w:rsid w:val="00ED3B98"/>
    <w:rsid w:val="00ED549D"/>
    <w:rsid w:val="00ED560B"/>
    <w:rsid w:val="00ED715D"/>
    <w:rsid w:val="00ED76BE"/>
    <w:rsid w:val="00EE00E9"/>
    <w:rsid w:val="00EE01AC"/>
    <w:rsid w:val="00EE247F"/>
    <w:rsid w:val="00EE27FD"/>
    <w:rsid w:val="00EE57EB"/>
    <w:rsid w:val="00EF1114"/>
    <w:rsid w:val="00EF1AAA"/>
    <w:rsid w:val="00EF1E3A"/>
    <w:rsid w:val="00EF4225"/>
    <w:rsid w:val="00EF4A29"/>
    <w:rsid w:val="00EF619B"/>
    <w:rsid w:val="00EF6510"/>
    <w:rsid w:val="00F00B55"/>
    <w:rsid w:val="00F02AD1"/>
    <w:rsid w:val="00F06359"/>
    <w:rsid w:val="00F06F0B"/>
    <w:rsid w:val="00F115A5"/>
    <w:rsid w:val="00F14B36"/>
    <w:rsid w:val="00F20330"/>
    <w:rsid w:val="00F23C40"/>
    <w:rsid w:val="00F253CC"/>
    <w:rsid w:val="00F27404"/>
    <w:rsid w:val="00F3260F"/>
    <w:rsid w:val="00F37106"/>
    <w:rsid w:val="00F44E25"/>
    <w:rsid w:val="00F50CCE"/>
    <w:rsid w:val="00F51856"/>
    <w:rsid w:val="00F519CF"/>
    <w:rsid w:val="00F52F40"/>
    <w:rsid w:val="00F56BA5"/>
    <w:rsid w:val="00F60E22"/>
    <w:rsid w:val="00F63A2C"/>
    <w:rsid w:val="00F65FC7"/>
    <w:rsid w:val="00F66E5C"/>
    <w:rsid w:val="00F7295F"/>
    <w:rsid w:val="00F81395"/>
    <w:rsid w:val="00F81BB8"/>
    <w:rsid w:val="00F8437D"/>
    <w:rsid w:val="00F90C64"/>
    <w:rsid w:val="00F917D1"/>
    <w:rsid w:val="00F940C0"/>
    <w:rsid w:val="00F94965"/>
    <w:rsid w:val="00F9653B"/>
    <w:rsid w:val="00FA0C29"/>
    <w:rsid w:val="00FA12E5"/>
    <w:rsid w:val="00FA2D1B"/>
    <w:rsid w:val="00FA61A4"/>
    <w:rsid w:val="00FB35E7"/>
    <w:rsid w:val="00FB62CF"/>
    <w:rsid w:val="00FC0324"/>
    <w:rsid w:val="00FC03F3"/>
    <w:rsid w:val="00FD1E19"/>
    <w:rsid w:val="00FD3C3B"/>
    <w:rsid w:val="00FE0584"/>
    <w:rsid w:val="00FE07DD"/>
    <w:rsid w:val="00FE236B"/>
    <w:rsid w:val="00FE3C0A"/>
    <w:rsid w:val="00FE6B45"/>
    <w:rsid w:val="00FF55F3"/>
    <w:rsid w:val="00FF5851"/>
    <w:rsid w:val="00FF769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742496"/>
    <w:rPr>
      <w:rFonts w:ascii="Calibri" w:eastAsia="Times New Roman"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1D3"/>
    <w:rsid w:val="0002647A"/>
    <w:rsid w:val="0016196A"/>
    <w:rsid w:val="001C2FE6"/>
    <w:rsid w:val="00200821"/>
    <w:rsid w:val="00251339"/>
    <w:rsid w:val="0025245B"/>
    <w:rsid w:val="002C52A7"/>
    <w:rsid w:val="002E45B9"/>
    <w:rsid w:val="00310904"/>
    <w:rsid w:val="00394049"/>
    <w:rsid w:val="004B5BBB"/>
    <w:rsid w:val="004F2DF8"/>
    <w:rsid w:val="00555DD5"/>
    <w:rsid w:val="006F24A1"/>
    <w:rsid w:val="007E0160"/>
    <w:rsid w:val="0081121B"/>
    <w:rsid w:val="00834D3E"/>
    <w:rsid w:val="00881891"/>
    <w:rsid w:val="00916105"/>
    <w:rsid w:val="009A261B"/>
    <w:rsid w:val="009C33C1"/>
    <w:rsid w:val="009E5C9A"/>
    <w:rsid w:val="009F0134"/>
    <w:rsid w:val="009F1AE2"/>
    <w:rsid w:val="00A018AF"/>
    <w:rsid w:val="00AA2E17"/>
    <w:rsid w:val="00AC15A4"/>
    <w:rsid w:val="00B0336C"/>
    <w:rsid w:val="00B17E31"/>
    <w:rsid w:val="00B614B1"/>
    <w:rsid w:val="00B81461"/>
    <w:rsid w:val="00BE2C6D"/>
    <w:rsid w:val="00C35B5F"/>
    <w:rsid w:val="00D241E9"/>
    <w:rsid w:val="00D25363"/>
    <w:rsid w:val="00D54B5E"/>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E9BB-CD80-4287-8AB9-88D9724B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4129</Words>
  <Characters>23538</Characters>
  <Application>Microsoft Office Word</Application>
  <DocSecurity>0</DocSecurity>
  <Lines>196</Lines>
  <Paragraphs>55</Paragraphs>
  <ScaleCrop>false</ScaleCrop>
  <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2022-10-14T13:51:00Z</dcterms:created>
  <dcterms:modified xsi:type="dcterms:W3CDTF">2022-10-14T13:51:00Z</dcterms:modified>
</cp:coreProperties>
</file>