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1F7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C6896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9C6">
                              <w:rPr>
                                <w:rFonts w:asciiTheme="majorHAnsi" w:hAnsiTheme="majorHAnsi" w:cs="Arial"/>
                                <w:b/>
                                <w:bCs/>
                                <w:color w:val="0D0D0D" w:themeColor="text1" w:themeTint="F2"/>
                                <w:sz w:val="36"/>
                                <w:szCs w:val="22"/>
                                <w:lang w:val="es-ES_tradnl"/>
                              </w:rPr>
                              <w:t>259</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C97887">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561CF668"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517C">
                              <w:rPr>
                                <w:rFonts w:asciiTheme="majorHAnsi" w:hAnsiTheme="majorHAnsi" w:cs="Arial"/>
                                <w:b/>
                                <w:color w:val="0D0D0D" w:themeColor="text1" w:themeTint="F2"/>
                                <w:sz w:val="36"/>
                                <w:szCs w:val="22"/>
                                <w:lang w:val="es-ES_tradnl"/>
                              </w:rPr>
                              <w:t>344-15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34857B35" w:rsidR="00CC395D" w:rsidRPr="00BB517C" w:rsidRDefault="00BB517C"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PA"/>
                              </w:rPr>
                              <w:t>ARÍA GABRIELA GONZALEZ</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0C6896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9C6">
                        <w:rPr>
                          <w:rFonts w:asciiTheme="majorHAnsi" w:hAnsiTheme="majorHAnsi" w:cs="Arial"/>
                          <w:b/>
                          <w:bCs/>
                          <w:color w:val="0D0D0D" w:themeColor="text1" w:themeTint="F2"/>
                          <w:sz w:val="36"/>
                          <w:szCs w:val="22"/>
                          <w:lang w:val="es-ES_tradnl"/>
                        </w:rPr>
                        <w:t>259</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C97887">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561CF668"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B517C">
                        <w:rPr>
                          <w:rFonts w:asciiTheme="majorHAnsi" w:hAnsiTheme="majorHAnsi" w:cs="Arial"/>
                          <w:b/>
                          <w:color w:val="0D0D0D" w:themeColor="text1" w:themeTint="F2"/>
                          <w:sz w:val="36"/>
                          <w:szCs w:val="22"/>
                          <w:lang w:val="es-ES_tradnl"/>
                        </w:rPr>
                        <w:t>344-15</w:t>
                      </w:r>
                    </w:p>
                    <w:p w14:paraId="44097965" w14:textId="3021C8C5"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34857B35" w:rsidR="00CC395D" w:rsidRPr="00BB517C" w:rsidRDefault="00BB517C"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PA"/>
                        </w:rPr>
                        <w:t>ARÍA GABRIELA GONZALEZ</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F95EEC5" w:rsidR="00627C9F" w:rsidRPr="00684DD7" w:rsidRDefault="00834D49" w:rsidP="007A5817">
                            <w:pPr>
                              <w:spacing w:line="276" w:lineRule="auto"/>
                              <w:jc w:val="right"/>
                              <w:rPr>
                                <w:rFonts w:asciiTheme="minorHAnsi" w:hAnsiTheme="minorHAnsi"/>
                                <w:color w:val="FFFFFF" w:themeColor="background1"/>
                                <w:sz w:val="22"/>
                                <w:lang w:val="es-419"/>
                              </w:rPr>
                            </w:pPr>
                            <w:r w:rsidRPr="00684DD7">
                              <w:rPr>
                                <w:rFonts w:asciiTheme="minorHAnsi" w:hAnsiTheme="minorHAnsi"/>
                                <w:color w:val="FFFFFF" w:themeColor="background1"/>
                                <w:sz w:val="22"/>
                                <w:lang w:val="es-419"/>
                              </w:rPr>
                              <w:t>OEA/Ser.L/V/II</w:t>
                            </w:r>
                          </w:p>
                          <w:p w14:paraId="6A41611B" w14:textId="6D1866B0" w:rsidR="00627C9F" w:rsidRPr="00684DD7" w:rsidRDefault="00627C9F" w:rsidP="007A5817">
                            <w:pPr>
                              <w:spacing w:line="276" w:lineRule="auto"/>
                              <w:jc w:val="right"/>
                              <w:rPr>
                                <w:rFonts w:asciiTheme="minorHAnsi" w:hAnsiTheme="minorHAnsi"/>
                                <w:color w:val="FFFFFF" w:themeColor="background1"/>
                                <w:sz w:val="22"/>
                                <w:lang w:val="es-419"/>
                              </w:rPr>
                            </w:pPr>
                            <w:r w:rsidRPr="00684DD7">
                              <w:rPr>
                                <w:rFonts w:asciiTheme="minorHAnsi" w:hAnsiTheme="minorHAnsi"/>
                                <w:color w:val="FFFFFF" w:themeColor="background1"/>
                                <w:sz w:val="22"/>
                                <w:lang w:val="es-419"/>
                              </w:rPr>
                              <w:t xml:space="preserve">Doc. </w:t>
                            </w:r>
                            <w:r w:rsidR="00AA3A15" w:rsidRPr="00684DD7">
                              <w:rPr>
                                <w:rFonts w:asciiTheme="minorHAnsi" w:hAnsiTheme="minorHAnsi"/>
                                <w:color w:val="FFFFFF" w:themeColor="background1"/>
                                <w:sz w:val="22"/>
                                <w:lang w:val="es-419"/>
                              </w:rPr>
                              <w:t>263</w:t>
                            </w:r>
                          </w:p>
                          <w:p w14:paraId="69373ED2" w14:textId="655B8A37" w:rsidR="00627C9F" w:rsidRPr="001B4C00" w:rsidRDefault="00AA3A1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octubre</w:t>
                            </w:r>
                            <w:r w:rsidR="00627C9F" w:rsidRPr="001B4C00">
                              <w:rPr>
                                <w:rFonts w:asciiTheme="minorHAnsi" w:hAnsiTheme="minorHAnsi"/>
                                <w:color w:val="FFFFFF" w:themeColor="background1"/>
                                <w:sz w:val="22"/>
                                <w:lang w:val="es-ES"/>
                              </w:rPr>
                              <w:t xml:space="preserve"> 20</w:t>
                            </w:r>
                            <w:r w:rsidR="00BB517C">
                              <w:rPr>
                                <w:rFonts w:asciiTheme="minorHAnsi" w:hAnsiTheme="minorHAnsi"/>
                                <w:color w:val="FFFFFF" w:themeColor="background1"/>
                                <w:sz w:val="22"/>
                                <w:lang w:val="es-ES"/>
                              </w:rPr>
                              <w:t>2</w:t>
                            </w:r>
                            <w:r w:rsidR="00C97887">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F95EEC5" w:rsidR="00627C9F" w:rsidRPr="00684DD7" w:rsidRDefault="00834D49" w:rsidP="007A5817">
                      <w:pPr>
                        <w:spacing w:line="276" w:lineRule="auto"/>
                        <w:jc w:val="right"/>
                        <w:rPr>
                          <w:rFonts w:asciiTheme="minorHAnsi" w:hAnsiTheme="minorHAnsi"/>
                          <w:color w:val="FFFFFF" w:themeColor="background1"/>
                          <w:sz w:val="22"/>
                          <w:lang w:val="es-419"/>
                        </w:rPr>
                      </w:pPr>
                      <w:r w:rsidRPr="00684DD7">
                        <w:rPr>
                          <w:rFonts w:asciiTheme="minorHAnsi" w:hAnsiTheme="minorHAnsi"/>
                          <w:color w:val="FFFFFF" w:themeColor="background1"/>
                          <w:sz w:val="22"/>
                          <w:lang w:val="es-419"/>
                        </w:rPr>
                        <w:t>OEA/Ser.L/V/II</w:t>
                      </w:r>
                    </w:p>
                    <w:p w14:paraId="6A41611B" w14:textId="6D1866B0" w:rsidR="00627C9F" w:rsidRPr="00684DD7" w:rsidRDefault="00627C9F" w:rsidP="007A5817">
                      <w:pPr>
                        <w:spacing w:line="276" w:lineRule="auto"/>
                        <w:jc w:val="right"/>
                        <w:rPr>
                          <w:rFonts w:asciiTheme="minorHAnsi" w:hAnsiTheme="minorHAnsi"/>
                          <w:color w:val="FFFFFF" w:themeColor="background1"/>
                          <w:sz w:val="22"/>
                          <w:lang w:val="es-419"/>
                        </w:rPr>
                      </w:pPr>
                      <w:r w:rsidRPr="00684DD7">
                        <w:rPr>
                          <w:rFonts w:asciiTheme="minorHAnsi" w:hAnsiTheme="minorHAnsi"/>
                          <w:color w:val="FFFFFF" w:themeColor="background1"/>
                          <w:sz w:val="22"/>
                          <w:lang w:val="es-419"/>
                        </w:rPr>
                        <w:t xml:space="preserve">Doc. </w:t>
                      </w:r>
                      <w:r w:rsidR="00AA3A15" w:rsidRPr="00684DD7">
                        <w:rPr>
                          <w:rFonts w:asciiTheme="minorHAnsi" w:hAnsiTheme="minorHAnsi"/>
                          <w:color w:val="FFFFFF" w:themeColor="background1"/>
                          <w:sz w:val="22"/>
                          <w:lang w:val="es-419"/>
                        </w:rPr>
                        <w:t>263</w:t>
                      </w:r>
                    </w:p>
                    <w:p w14:paraId="69373ED2" w14:textId="655B8A37" w:rsidR="00627C9F" w:rsidRPr="001B4C00" w:rsidRDefault="00AA3A1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octubre</w:t>
                      </w:r>
                      <w:r w:rsidR="00627C9F" w:rsidRPr="001B4C00">
                        <w:rPr>
                          <w:rFonts w:asciiTheme="minorHAnsi" w:hAnsiTheme="minorHAnsi"/>
                          <w:color w:val="FFFFFF" w:themeColor="background1"/>
                          <w:sz w:val="22"/>
                          <w:lang w:val="es-ES"/>
                        </w:rPr>
                        <w:t xml:space="preserve"> 20</w:t>
                      </w:r>
                      <w:r w:rsidR="00BB517C">
                        <w:rPr>
                          <w:rFonts w:asciiTheme="minorHAnsi" w:hAnsiTheme="minorHAnsi"/>
                          <w:color w:val="FFFFFF" w:themeColor="background1"/>
                          <w:sz w:val="22"/>
                          <w:lang w:val="es-ES"/>
                        </w:rPr>
                        <w:t>2</w:t>
                      </w:r>
                      <w:r w:rsidR="00C97887">
                        <w:rPr>
                          <w:rFonts w:asciiTheme="minorHAnsi" w:hAnsiTheme="minorHAnsi"/>
                          <w:color w:val="FFFFFF" w:themeColor="background1"/>
                          <w:sz w:val="22"/>
                          <w:lang w:val="es-ES"/>
                        </w:rPr>
                        <w:t>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07FBCEE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2BB35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3A1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A3A1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C97887">
                              <w:rPr>
                                <w:rFonts w:asciiTheme="majorHAnsi" w:hAnsiTheme="majorHAnsi"/>
                                <w:color w:val="0D0D0D" w:themeColor="text1" w:themeTint="F2"/>
                                <w:sz w:val="18"/>
                                <w:szCs w:val="22"/>
                                <w:lang w:val="es-ES"/>
                              </w:rPr>
                              <w:t>2</w:t>
                            </w:r>
                            <w:r w:rsidR="00AA3A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2BB359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A3A1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AA3A1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C97887">
                        <w:rPr>
                          <w:rFonts w:asciiTheme="majorHAnsi" w:hAnsiTheme="majorHAnsi"/>
                          <w:color w:val="0D0D0D" w:themeColor="text1" w:themeTint="F2"/>
                          <w:sz w:val="18"/>
                          <w:szCs w:val="22"/>
                          <w:lang w:val="es-ES"/>
                        </w:rPr>
                        <w:t>2</w:t>
                      </w:r>
                      <w:r w:rsidR="00AA3A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BBEBE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3A15" w:rsidRPr="00AA3A15">
                              <w:rPr>
                                <w:rFonts w:asciiTheme="majorHAnsi" w:hAnsiTheme="majorHAnsi"/>
                                <w:color w:val="595959" w:themeColor="text1" w:themeTint="A6"/>
                                <w:sz w:val="18"/>
                                <w:szCs w:val="18"/>
                                <w:lang w:val="pt-BR"/>
                              </w:rPr>
                              <w:t>259</w:t>
                            </w:r>
                            <w:r w:rsidR="007B05C4" w:rsidRPr="00AA3A15">
                              <w:rPr>
                                <w:rFonts w:asciiTheme="majorHAnsi" w:hAnsiTheme="majorHAnsi"/>
                                <w:color w:val="595959" w:themeColor="text1" w:themeTint="A6"/>
                                <w:sz w:val="18"/>
                                <w:szCs w:val="18"/>
                                <w:lang w:val="pt-BR"/>
                              </w:rPr>
                              <w:t>/</w:t>
                            </w:r>
                            <w:r w:rsidR="00A777B4" w:rsidRPr="00AA3A15">
                              <w:rPr>
                                <w:rFonts w:asciiTheme="majorHAnsi" w:hAnsiTheme="majorHAnsi"/>
                                <w:color w:val="595959" w:themeColor="text1" w:themeTint="A6"/>
                                <w:sz w:val="18"/>
                                <w:szCs w:val="18"/>
                                <w:lang w:val="pt-BR"/>
                              </w:rPr>
                              <w:t>2</w:t>
                            </w:r>
                            <w:r w:rsidR="00AA3A15" w:rsidRPr="00AA3A15">
                              <w:rPr>
                                <w:rFonts w:asciiTheme="majorHAnsi" w:hAnsiTheme="majorHAnsi"/>
                                <w:color w:val="595959" w:themeColor="text1" w:themeTint="A6"/>
                                <w:sz w:val="18"/>
                                <w:szCs w:val="18"/>
                                <w:lang w:val="pt-BR"/>
                              </w:rPr>
                              <w:t>2</w:t>
                            </w:r>
                            <w:r w:rsidRPr="00AA3A15">
                              <w:rPr>
                                <w:rFonts w:asciiTheme="majorHAnsi" w:hAnsiTheme="majorHAnsi"/>
                                <w:color w:val="595959" w:themeColor="text1" w:themeTint="A6"/>
                                <w:sz w:val="18"/>
                                <w:szCs w:val="18"/>
                                <w:lang w:val="pt-BR"/>
                              </w:rPr>
                              <w:t xml:space="preserve">. </w:t>
                            </w:r>
                            <w:r w:rsidR="00AA3A15" w:rsidRPr="002561FD">
                              <w:rPr>
                                <w:rFonts w:asciiTheme="majorHAnsi" w:hAnsiTheme="majorHAnsi"/>
                                <w:color w:val="595959" w:themeColor="text1" w:themeTint="A6"/>
                                <w:sz w:val="18"/>
                                <w:szCs w:val="18"/>
                                <w:lang w:val="es-419"/>
                              </w:rPr>
                              <w:t>P-344-15</w:t>
                            </w:r>
                            <w:r w:rsidR="002561FD">
                              <w:rPr>
                                <w:rFonts w:asciiTheme="majorHAnsi" w:hAnsiTheme="majorHAnsi"/>
                                <w:color w:val="595959" w:themeColor="text1" w:themeTint="A6"/>
                                <w:sz w:val="18"/>
                                <w:szCs w:val="18"/>
                                <w:lang w:val="es-419"/>
                              </w:rPr>
                              <w:t xml:space="preserve">. </w:t>
                            </w:r>
                            <w:r w:rsidR="00AA3A15" w:rsidRPr="002561FD">
                              <w:rPr>
                                <w:rFonts w:asciiTheme="majorHAnsi" w:hAnsiTheme="majorHAnsi"/>
                                <w:color w:val="595959" w:themeColor="text1" w:themeTint="A6"/>
                                <w:sz w:val="18"/>
                                <w:szCs w:val="18"/>
                                <w:lang w:val="es-419"/>
                              </w:rPr>
                              <w:t>A</w:t>
                            </w:r>
                            <w:r w:rsidR="002561FD" w:rsidRPr="00890650">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BB517C">
                              <w:rPr>
                                <w:rFonts w:asciiTheme="majorHAnsi" w:hAnsiTheme="majorHAnsi"/>
                                <w:color w:val="595959" w:themeColor="text1" w:themeTint="A6"/>
                                <w:sz w:val="18"/>
                                <w:szCs w:val="18"/>
                                <w:lang w:val="es-ES_tradnl"/>
                              </w:rPr>
                              <w:t>María Gabriela Gonz</w:t>
                            </w:r>
                            <w:r w:rsidR="0052331C">
                              <w:rPr>
                                <w:rFonts w:asciiTheme="majorHAnsi" w:hAnsiTheme="majorHAnsi"/>
                                <w:color w:val="595959" w:themeColor="text1" w:themeTint="A6"/>
                                <w:sz w:val="18"/>
                                <w:szCs w:val="18"/>
                                <w:lang w:val="es-ES_tradnl"/>
                              </w:rPr>
                              <w:t>a</w:t>
                            </w:r>
                            <w:r w:rsidR="00BB517C">
                              <w:rPr>
                                <w:rFonts w:asciiTheme="majorHAnsi" w:hAnsiTheme="majorHAnsi"/>
                                <w:color w:val="595959" w:themeColor="text1" w:themeTint="A6"/>
                                <w:sz w:val="18"/>
                                <w:szCs w:val="18"/>
                                <w:lang w:val="es-ES_tradnl"/>
                              </w:rPr>
                              <w:t>lez</w:t>
                            </w:r>
                            <w:r w:rsidRPr="00890650">
                              <w:rPr>
                                <w:rFonts w:asciiTheme="majorHAnsi" w:hAnsiTheme="majorHAnsi"/>
                                <w:color w:val="595959" w:themeColor="text1" w:themeTint="A6"/>
                                <w:sz w:val="18"/>
                                <w:szCs w:val="18"/>
                                <w:lang w:val="es-ES_tradnl"/>
                              </w:rPr>
                              <w:t>.</w:t>
                            </w:r>
                            <w:r w:rsidR="002561FD">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2561FD">
                              <w:rPr>
                                <w:rFonts w:asciiTheme="majorHAnsi" w:hAnsiTheme="majorHAnsi"/>
                                <w:color w:val="595959" w:themeColor="text1" w:themeTint="A6"/>
                                <w:sz w:val="18"/>
                                <w:szCs w:val="18"/>
                                <w:lang w:val="es-ES"/>
                              </w:rPr>
                              <w:t>3 de octubre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3BBEBED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A3A15" w:rsidRPr="00AA3A15">
                        <w:rPr>
                          <w:rFonts w:asciiTheme="majorHAnsi" w:hAnsiTheme="majorHAnsi"/>
                          <w:color w:val="595959" w:themeColor="text1" w:themeTint="A6"/>
                          <w:sz w:val="18"/>
                          <w:szCs w:val="18"/>
                          <w:lang w:val="pt-BR"/>
                        </w:rPr>
                        <w:t>259</w:t>
                      </w:r>
                      <w:r w:rsidR="007B05C4" w:rsidRPr="00AA3A15">
                        <w:rPr>
                          <w:rFonts w:asciiTheme="majorHAnsi" w:hAnsiTheme="majorHAnsi"/>
                          <w:color w:val="595959" w:themeColor="text1" w:themeTint="A6"/>
                          <w:sz w:val="18"/>
                          <w:szCs w:val="18"/>
                          <w:lang w:val="pt-BR"/>
                        </w:rPr>
                        <w:t>/</w:t>
                      </w:r>
                      <w:r w:rsidR="00A777B4" w:rsidRPr="00AA3A15">
                        <w:rPr>
                          <w:rFonts w:asciiTheme="majorHAnsi" w:hAnsiTheme="majorHAnsi"/>
                          <w:color w:val="595959" w:themeColor="text1" w:themeTint="A6"/>
                          <w:sz w:val="18"/>
                          <w:szCs w:val="18"/>
                          <w:lang w:val="pt-BR"/>
                        </w:rPr>
                        <w:t>2</w:t>
                      </w:r>
                      <w:r w:rsidR="00AA3A15" w:rsidRPr="00AA3A15">
                        <w:rPr>
                          <w:rFonts w:asciiTheme="majorHAnsi" w:hAnsiTheme="majorHAnsi"/>
                          <w:color w:val="595959" w:themeColor="text1" w:themeTint="A6"/>
                          <w:sz w:val="18"/>
                          <w:szCs w:val="18"/>
                          <w:lang w:val="pt-BR"/>
                        </w:rPr>
                        <w:t>2</w:t>
                      </w:r>
                      <w:r w:rsidRPr="00AA3A15">
                        <w:rPr>
                          <w:rFonts w:asciiTheme="majorHAnsi" w:hAnsiTheme="majorHAnsi"/>
                          <w:color w:val="595959" w:themeColor="text1" w:themeTint="A6"/>
                          <w:sz w:val="18"/>
                          <w:szCs w:val="18"/>
                          <w:lang w:val="pt-BR"/>
                        </w:rPr>
                        <w:t xml:space="preserve">. </w:t>
                      </w:r>
                      <w:r w:rsidR="00AA3A15" w:rsidRPr="002561FD">
                        <w:rPr>
                          <w:rFonts w:asciiTheme="majorHAnsi" w:hAnsiTheme="majorHAnsi"/>
                          <w:color w:val="595959" w:themeColor="text1" w:themeTint="A6"/>
                          <w:sz w:val="18"/>
                          <w:szCs w:val="18"/>
                          <w:lang w:val="es-419"/>
                        </w:rPr>
                        <w:t>P-344-15</w:t>
                      </w:r>
                      <w:r w:rsidR="002561FD">
                        <w:rPr>
                          <w:rFonts w:asciiTheme="majorHAnsi" w:hAnsiTheme="majorHAnsi"/>
                          <w:color w:val="595959" w:themeColor="text1" w:themeTint="A6"/>
                          <w:sz w:val="18"/>
                          <w:szCs w:val="18"/>
                          <w:lang w:val="es-419"/>
                        </w:rPr>
                        <w:t xml:space="preserve">. </w:t>
                      </w:r>
                      <w:r w:rsidR="00AA3A15" w:rsidRPr="002561FD">
                        <w:rPr>
                          <w:rFonts w:asciiTheme="majorHAnsi" w:hAnsiTheme="majorHAnsi"/>
                          <w:color w:val="595959" w:themeColor="text1" w:themeTint="A6"/>
                          <w:sz w:val="18"/>
                          <w:szCs w:val="18"/>
                          <w:lang w:val="es-419"/>
                        </w:rPr>
                        <w:t>A</w:t>
                      </w:r>
                      <w:r w:rsidR="002561FD" w:rsidRPr="00890650">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BB517C">
                        <w:rPr>
                          <w:rFonts w:asciiTheme="majorHAnsi" w:hAnsiTheme="majorHAnsi"/>
                          <w:color w:val="595959" w:themeColor="text1" w:themeTint="A6"/>
                          <w:sz w:val="18"/>
                          <w:szCs w:val="18"/>
                          <w:lang w:val="es-ES_tradnl"/>
                        </w:rPr>
                        <w:t>María Gabriela Gonz</w:t>
                      </w:r>
                      <w:r w:rsidR="0052331C">
                        <w:rPr>
                          <w:rFonts w:asciiTheme="majorHAnsi" w:hAnsiTheme="majorHAnsi"/>
                          <w:color w:val="595959" w:themeColor="text1" w:themeTint="A6"/>
                          <w:sz w:val="18"/>
                          <w:szCs w:val="18"/>
                          <w:lang w:val="es-ES_tradnl"/>
                        </w:rPr>
                        <w:t>a</w:t>
                      </w:r>
                      <w:r w:rsidR="00BB517C">
                        <w:rPr>
                          <w:rFonts w:asciiTheme="majorHAnsi" w:hAnsiTheme="majorHAnsi"/>
                          <w:color w:val="595959" w:themeColor="text1" w:themeTint="A6"/>
                          <w:sz w:val="18"/>
                          <w:szCs w:val="18"/>
                          <w:lang w:val="es-ES_tradnl"/>
                        </w:rPr>
                        <w:t>lez</w:t>
                      </w:r>
                      <w:r w:rsidRPr="00890650">
                        <w:rPr>
                          <w:rFonts w:asciiTheme="majorHAnsi" w:hAnsiTheme="majorHAnsi"/>
                          <w:color w:val="595959" w:themeColor="text1" w:themeTint="A6"/>
                          <w:sz w:val="18"/>
                          <w:szCs w:val="18"/>
                          <w:lang w:val="es-ES_tradnl"/>
                        </w:rPr>
                        <w:t>.</w:t>
                      </w:r>
                      <w:r w:rsidR="002561FD">
                        <w:rPr>
                          <w:rFonts w:asciiTheme="majorHAnsi" w:hAnsiTheme="majorHAnsi"/>
                          <w:color w:val="595959" w:themeColor="text1" w:themeTint="A6"/>
                          <w:sz w:val="18"/>
                          <w:szCs w:val="18"/>
                          <w:lang w:val="es-ES_tradnl"/>
                        </w:rPr>
                        <w:t xml:space="preserve"> Argentina</w:t>
                      </w:r>
                      <w:r w:rsidRPr="00890650">
                        <w:rPr>
                          <w:rFonts w:asciiTheme="majorHAnsi" w:hAnsiTheme="majorHAnsi"/>
                          <w:color w:val="595959" w:themeColor="text1" w:themeTint="A6"/>
                          <w:sz w:val="18"/>
                          <w:szCs w:val="18"/>
                          <w:lang w:val="es-ES_tradnl"/>
                        </w:rPr>
                        <w:t xml:space="preserve"> </w:t>
                      </w:r>
                      <w:r w:rsidR="002561FD">
                        <w:rPr>
                          <w:rFonts w:asciiTheme="majorHAnsi" w:hAnsiTheme="majorHAnsi"/>
                          <w:color w:val="595959" w:themeColor="text1" w:themeTint="A6"/>
                          <w:sz w:val="18"/>
                          <w:szCs w:val="18"/>
                          <w:lang w:val="es-ES"/>
                        </w:rPr>
                        <w:t>3 de octubre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2D148503"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DA8FB4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73F8EF2" w:rsidR="0070697F" w:rsidRPr="00006B74" w:rsidRDefault="002561FD"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66D189BF">
                <wp:simplePos x="0" y="0"/>
                <wp:positionH relativeFrom="column">
                  <wp:posOffset>1310640</wp:posOffset>
                </wp:positionH>
                <wp:positionV relativeFrom="paragraph">
                  <wp:posOffset>521063</wp:posOffset>
                </wp:positionV>
                <wp:extent cx="4096385" cy="616404"/>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6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BB65737">
                                  <wp:extent cx="1872343" cy="481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95115" cy="4875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3.2pt;margin-top:41.05pt;width:322.55pt;height:4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2BB65737">
                            <wp:extent cx="1872343" cy="481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95115" cy="487518"/>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C97887"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r>
      <w:r w:rsidRPr="00C97887">
        <w:rPr>
          <w:rFonts w:asciiTheme="majorHAnsi" w:hAnsiTheme="majorHAnsi"/>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3239B8" w:rsidRPr="00C97887" w14:paraId="5A79D1F7" w14:textId="77777777" w:rsidTr="00C97887">
        <w:tc>
          <w:tcPr>
            <w:tcW w:w="3577" w:type="dxa"/>
            <w:tcBorders>
              <w:top w:val="single" w:sz="4" w:space="0" w:color="auto"/>
              <w:bottom w:val="single" w:sz="6" w:space="0" w:color="auto"/>
            </w:tcBorders>
            <w:shd w:val="clear" w:color="auto" w:fill="386294"/>
            <w:vAlign w:val="center"/>
          </w:tcPr>
          <w:p w14:paraId="0CB2A43B" w14:textId="6FB89BFC" w:rsidR="003239B8" w:rsidRPr="00C97887" w:rsidRDefault="00D77503" w:rsidP="008D2290">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Parte peticionaria</w:t>
            </w:r>
          </w:p>
        </w:tc>
        <w:tc>
          <w:tcPr>
            <w:tcW w:w="5783" w:type="dxa"/>
            <w:vAlign w:val="center"/>
          </w:tcPr>
          <w:p w14:paraId="3C5315D8" w14:textId="6230594E" w:rsidR="003239B8" w:rsidRPr="00C97887" w:rsidRDefault="00BB517C" w:rsidP="008D2290">
            <w:pPr>
              <w:jc w:val="both"/>
              <w:rPr>
                <w:rFonts w:asciiTheme="majorHAnsi" w:hAnsiTheme="majorHAnsi"/>
                <w:bCs/>
                <w:sz w:val="20"/>
                <w:szCs w:val="20"/>
                <w:lang w:val="es-PA"/>
              </w:rPr>
            </w:pPr>
            <w:r w:rsidRPr="00C97887">
              <w:rPr>
                <w:rFonts w:asciiTheme="majorHAnsi" w:hAnsiTheme="majorHAnsi"/>
                <w:bCs/>
                <w:sz w:val="20"/>
                <w:szCs w:val="20"/>
                <w:lang w:val="es-PA"/>
              </w:rPr>
              <w:t>Flavio Loreal Gonzalez</w:t>
            </w:r>
            <w:r w:rsidR="00F5759A" w:rsidRPr="00C97887">
              <w:rPr>
                <w:rFonts w:asciiTheme="majorHAnsi" w:hAnsiTheme="majorHAnsi"/>
                <w:bCs/>
                <w:sz w:val="20"/>
                <w:szCs w:val="20"/>
                <w:lang w:val="es-PA"/>
              </w:rPr>
              <w:t xml:space="preserve"> </w:t>
            </w:r>
          </w:p>
        </w:tc>
      </w:tr>
      <w:tr w:rsidR="003239B8" w:rsidRPr="00C97887" w14:paraId="593A7E45" w14:textId="77777777" w:rsidTr="00C97887">
        <w:tc>
          <w:tcPr>
            <w:tcW w:w="3577" w:type="dxa"/>
            <w:tcBorders>
              <w:top w:val="single" w:sz="6" w:space="0" w:color="auto"/>
              <w:bottom w:val="single" w:sz="6" w:space="0" w:color="auto"/>
            </w:tcBorders>
            <w:shd w:val="clear" w:color="auto" w:fill="386294"/>
            <w:vAlign w:val="center"/>
          </w:tcPr>
          <w:p w14:paraId="0E78CA0C" w14:textId="6191E4A1" w:rsidR="003239B8" w:rsidRPr="00C97887" w:rsidRDefault="002355A9" w:rsidP="008D2290">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Presunta víctima</w:t>
            </w:r>
          </w:p>
        </w:tc>
        <w:tc>
          <w:tcPr>
            <w:tcW w:w="5783" w:type="dxa"/>
            <w:vAlign w:val="center"/>
          </w:tcPr>
          <w:p w14:paraId="4AEBF59E" w14:textId="6EEF764E" w:rsidR="003239B8" w:rsidRPr="00C97887" w:rsidRDefault="00BB517C" w:rsidP="005B6D22">
            <w:pPr>
              <w:jc w:val="both"/>
              <w:rPr>
                <w:rFonts w:asciiTheme="majorHAnsi" w:hAnsiTheme="majorHAnsi"/>
                <w:bCs/>
                <w:sz w:val="20"/>
                <w:szCs w:val="20"/>
                <w:lang w:val="es-ES"/>
              </w:rPr>
            </w:pPr>
            <w:r w:rsidRPr="00C97887">
              <w:rPr>
                <w:rFonts w:asciiTheme="majorHAnsi" w:hAnsiTheme="majorHAnsi"/>
                <w:bCs/>
                <w:sz w:val="20"/>
                <w:szCs w:val="20"/>
                <w:lang w:val="es-ES"/>
              </w:rPr>
              <w:t>María Gabriela Gonzalez</w:t>
            </w:r>
          </w:p>
        </w:tc>
      </w:tr>
      <w:tr w:rsidR="003239B8" w:rsidRPr="00C97887" w14:paraId="3E62E1D3" w14:textId="77777777" w:rsidTr="00C97887">
        <w:tc>
          <w:tcPr>
            <w:tcW w:w="3577" w:type="dxa"/>
            <w:tcBorders>
              <w:top w:val="single" w:sz="6" w:space="0" w:color="auto"/>
              <w:bottom w:val="single" w:sz="6" w:space="0" w:color="auto"/>
            </w:tcBorders>
            <w:shd w:val="clear" w:color="auto" w:fill="386294"/>
            <w:vAlign w:val="center"/>
          </w:tcPr>
          <w:p w14:paraId="340B0F09" w14:textId="16C11299" w:rsidR="003239B8" w:rsidRPr="00C97887" w:rsidRDefault="00D77503" w:rsidP="008D2290">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Estado denunciado</w:t>
            </w:r>
          </w:p>
        </w:tc>
        <w:tc>
          <w:tcPr>
            <w:tcW w:w="5783" w:type="dxa"/>
            <w:vAlign w:val="center"/>
          </w:tcPr>
          <w:p w14:paraId="274C8A50" w14:textId="364C85B2" w:rsidR="003239B8" w:rsidRPr="00C97887" w:rsidRDefault="00026DF5" w:rsidP="008D2290">
            <w:pPr>
              <w:jc w:val="both"/>
              <w:rPr>
                <w:rFonts w:asciiTheme="majorHAnsi" w:hAnsiTheme="majorHAnsi"/>
                <w:bCs/>
                <w:sz w:val="20"/>
                <w:szCs w:val="20"/>
                <w:lang w:val="es-ES"/>
              </w:rPr>
            </w:pPr>
            <w:r w:rsidRPr="00C97887">
              <w:rPr>
                <w:rFonts w:asciiTheme="majorHAnsi" w:hAnsiTheme="majorHAnsi"/>
                <w:bCs/>
                <w:sz w:val="20"/>
                <w:szCs w:val="20"/>
                <w:lang w:val="es-ES"/>
              </w:rPr>
              <w:t>Argentina</w:t>
            </w:r>
          </w:p>
        </w:tc>
      </w:tr>
      <w:tr w:rsidR="00223A29" w:rsidRPr="000F70D7" w14:paraId="632511BC" w14:textId="77777777" w:rsidTr="00C97887">
        <w:trPr>
          <w:trHeight w:val="408"/>
        </w:trPr>
        <w:tc>
          <w:tcPr>
            <w:tcW w:w="3577" w:type="dxa"/>
            <w:tcBorders>
              <w:top w:val="single" w:sz="6" w:space="0" w:color="auto"/>
              <w:bottom w:val="single" w:sz="6" w:space="0" w:color="auto"/>
            </w:tcBorders>
            <w:shd w:val="clear" w:color="auto" w:fill="386294"/>
            <w:vAlign w:val="center"/>
          </w:tcPr>
          <w:p w14:paraId="727E2F6B" w14:textId="1D86EADA" w:rsidR="00223A29" w:rsidRPr="00C97887" w:rsidRDefault="001B3A00" w:rsidP="00E4118C">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 xml:space="preserve">Derechos </w:t>
            </w:r>
            <w:r w:rsidR="00E4118C" w:rsidRPr="00C97887">
              <w:rPr>
                <w:rFonts w:asciiTheme="majorHAnsi" w:hAnsiTheme="majorHAnsi"/>
                <w:b/>
                <w:color w:val="FFFFFF" w:themeColor="background1"/>
                <w:sz w:val="20"/>
                <w:szCs w:val="20"/>
                <w:lang w:val="es-ES"/>
              </w:rPr>
              <w:t>invocados</w:t>
            </w:r>
          </w:p>
        </w:tc>
        <w:tc>
          <w:tcPr>
            <w:tcW w:w="5783" w:type="dxa"/>
            <w:vAlign w:val="center"/>
          </w:tcPr>
          <w:p w14:paraId="6DEE1EEB" w14:textId="30F9D683" w:rsidR="00223A29" w:rsidRPr="00C97887" w:rsidRDefault="0098113F" w:rsidP="0034224A">
            <w:pPr>
              <w:jc w:val="both"/>
              <w:rPr>
                <w:rFonts w:asciiTheme="majorHAnsi" w:hAnsiTheme="majorHAnsi"/>
                <w:bCs/>
                <w:sz w:val="20"/>
                <w:szCs w:val="20"/>
                <w:lang w:val="es-ES"/>
              </w:rPr>
            </w:pPr>
            <w:r w:rsidRPr="00C97887">
              <w:rPr>
                <w:rFonts w:asciiTheme="majorHAnsi" w:hAnsiTheme="majorHAnsi"/>
                <w:bCs/>
                <w:sz w:val="20"/>
                <w:szCs w:val="20"/>
                <w:lang w:val="es-PA"/>
              </w:rPr>
              <w:t>Artículos</w:t>
            </w:r>
            <w:r w:rsidR="00777567" w:rsidRPr="00C97887">
              <w:rPr>
                <w:rFonts w:asciiTheme="majorHAnsi" w:hAnsiTheme="majorHAnsi"/>
                <w:bCs/>
                <w:sz w:val="20"/>
                <w:szCs w:val="20"/>
                <w:lang w:val="es-PA"/>
              </w:rPr>
              <w:t xml:space="preserve"> </w:t>
            </w:r>
            <w:r w:rsidR="00F5759A" w:rsidRPr="00C97887">
              <w:rPr>
                <w:rFonts w:asciiTheme="majorHAnsi" w:hAnsiTheme="majorHAnsi"/>
                <w:bCs/>
                <w:sz w:val="20"/>
                <w:szCs w:val="20"/>
                <w:lang w:val="es-PA"/>
              </w:rPr>
              <w:t>5 (integridad personal)</w:t>
            </w:r>
            <w:r w:rsidR="00BB517C" w:rsidRPr="00C97887">
              <w:rPr>
                <w:rFonts w:asciiTheme="majorHAnsi" w:hAnsiTheme="majorHAnsi"/>
                <w:bCs/>
                <w:sz w:val="20"/>
                <w:szCs w:val="20"/>
                <w:lang w:val="es-PA"/>
              </w:rPr>
              <w:t xml:space="preserve"> </w:t>
            </w:r>
            <w:r w:rsidR="00620631" w:rsidRPr="00C97887">
              <w:rPr>
                <w:rFonts w:asciiTheme="majorHAnsi" w:hAnsiTheme="majorHAnsi"/>
                <w:bCs/>
                <w:sz w:val="20"/>
                <w:szCs w:val="20"/>
                <w:lang w:val="es-PA"/>
              </w:rPr>
              <w:t>y 8 (garantías judiciales)</w:t>
            </w:r>
            <w:r w:rsidR="00BB517C" w:rsidRPr="00C97887">
              <w:rPr>
                <w:rFonts w:asciiTheme="majorHAnsi" w:hAnsiTheme="majorHAnsi"/>
                <w:bCs/>
                <w:sz w:val="20"/>
                <w:szCs w:val="20"/>
                <w:lang w:val="es-PA"/>
              </w:rPr>
              <w:t xml:space="preserve"> </w:t>
            </w:r>
            <w:r w:rsidR="00E7309B">
              <w:rPr>
                <w:rFonts w:asciiTheme="majorHAnsi" w:hAnsiTheme="majorHAnsi"/>
                <w:bCs/>
                <w:sz w:val="20"/>
                <w:szCs w:val="20"/>
                <w:lang w:val="es-PA"/>
              </w:rPr>
              <w:t>d</w:t>
            </w:r>
            <w:r w:rsidR="00BB517C" w:rsidRPr="00C97887">
              <w:rPr>
                <w:rFonts w:asciiTheme="majorHAnsi" w:hAnsiTheme="majorHAnsi"/>
                <w:bCs/>
                <w:sz w:val="20"/>
                <w:szCs w:val="20"/>
                <w:lang w:val="es-PA"/>
              </w:rPr>
              <w:t>e la Convención Americana sobre Derechos Humanos</w:t>
            </w:r>
            <w:r w:rsidR="00BB517C" w:rsidRPr="00C97887">
              <w:rPr>
                <w:rStyle w:val="FootnoteReference"/>
                <w:rFonts w:asciiTheme="majorHAnsi" w:hAnsiTheme="majorHAnsi"/>
                <w:bCs/>
                <w:sz w:val="20"/>
                <w:szCs w:val="20"/>
                <w:lang w:val="es-PA"/>
              </w:rPr>
              <w:footnoteReference w:id="2"/>
            </w:r>
          </w:p>
        </w:tc>
      </w:tr>
    </w:tbl>
    <w:p w14:paraId="20263696" w14:textId="4C873868" w:rsidR="003239B8" w:rsidRPr="00C97887" w:rsidRDefault="002636E9" w:rsidP="007C402A">
      <w:pPr>
        <w:spacing w:before="120" w:after="120"/>
        <w:ind w:firstLine="720"/>
        <w:jc w:val="both"/>
        <w:rPr>
          <w:rFonts w:asciiTheme="majorHAnsi" w:hAnsiTheme="majorHAnsi"/>
          <w:b/>
          <w:bCs/>
          <w:sz w:val="20"/>
          <w:szCs w:val="20"/>
          <w:lang w:val="es-ES"/>
        </w:rPr>
      </w:pPr>
      <w:r w:rsidRPr="00C97887">
        <w:rPr>
          <w:rFonts w:asciiTheme="majorHAnsi" w:hAnsiTheme="majorHAnsi"/>
          <w:b/>
          <w:bCs/>
          <w:sz w:val="20"/>
          <w:szCs w:val="20"/>
          <w:lang w:val="es-ES"/>
        </w:rPr>
        <w:t xml:space="preserve"> </w:t>
      </w:r>
      <w:r w:rsidR="003239B8" w:rsidRPr="00C97887">
        <w:rPr>
          <w:rFonts w:asciiTheme="majorHAnsi" w:hAnsiTheme="majorHAnsi"/>
          <w:b/>
          <w:bCs/>
          <w:sz w:val="20"/>
          <w:szCs w:val="20"/>
          <w:lang w:val="es-ES"/>
        </w:rPr>
        <w:t>II.</w:t>
      </w:r>
      <w:r w:rsidR="003239B8" w:rsidRPr="00C97887">
        <w:rPr>
          <w:rFonts w:asciiTheme="majorHAnsi" w:hAnsiTheme="majorHAnsi"/>
          <w:b/>
          <w:bCs/>
          <w:sz w:val="20"/>
          <w:szCs w:val="20"/>
          <w:lang w:val="es-ES"/>
        </w:rPr>
        <w:tab/>
        <w:t>TRÁMITE ANTE LA CIDH</w:t>
      </w:r>
      <w:r w:rsidR="008E3BFE" w:rsidRPr="00C97887">
        <w:rPr>
          <w:rStyle w:val="FootnoteReference"/>
          <w:rFonts w:asciiTheme="majorHAnsi" w:hAnsiTheme="majorHAnsi"/>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577"/>
        <w:gridCol w:w="5783"/>
      </w:tblGrid>
      <w:tr w:rsidR="004C2312" w:rsidRPr="00C97887" w14:paraId="306EFCB0" w14:textId="77777777" w:rsidTr="00C97887">
        <w:tc>
          <w:tcPr>
            <w:tcW w:w="3577" w:type="dxa"/>
            <w:tcBorders>
              <w:top w:val="single" w:sz="6" w:space="0" w:color="auto"/>
              <w:bottom w:val="single" w:sz="6" w:space="0" w:color="auto"/>
            </w:tcBorders>
            <w:shd w:val="clear" w:color="auto" w:fill="386294"/>
            <w:vAlign w:val="center"/>
          </w:tcPr>
          <w:p w14:paraId="7508D16F" w14:textId="2A4C7FC3" w:rsidR="004C2312" w:rsidRPr="00C97887" w:rsidRDefault="000C1C69" w:rsidP="004A6A54">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Recepción</w:t>
            </w:r>
            <w:r w:rsidR="00D77503" w:rsidRPr="00C97887">
              <w:rPr>
                <w:rFonts w:asciiTheme="majorHAnsi" w:hAnsiTheme="majorHAnsi"/>
                <w:b/>
                <w:color w:val="FFFFFF" w:themeColor="background1"/>
                <w:sz w:val="20"/>
                <w:szCs w:val="20"/>
                <w:lang w:val="es-ES"/>
              </w:rPr>
              <w:t xml:space="preserve"> de la petición</w:t>
            </w:r>
          </w:p>
        </w:tc>
        <w:tc>
          <w:tcPr>
            <w:tcW w:w="5783" w:type="dxa"/>
            <w:vAlign w:val="center"/>
          </w:tcPr>
          <w:p w14:paraId="6E579153" w14:textId="53B82160" w:rsidR="004C2312" w:rsidRPr="00C97887" w:rsidRDefault="003A72B3" w:rsidP="002625EA">
            <w:pPr>
              <w:jc w:val="both"/>
              <w:rPr>
                <w:rFonts w:asciiTheme="majorHAnsi" w:hAnsiTheme="majorHAnsi"/>
                <w:bCs/>
                <w:sz w:val="20"/>
                <w:szCs w:val="20"/>
                <w:lang w:val="es-ES"/>
              </w:rPr>
            </w:pPr>
            <w:r w:rsidRPr="00C97887">
              <w:rPr>
                <w:rFonts w:asciiTheme="majorHAnsi" w:hAnsiTheme="majorHAnsi"/>
                <w:bCs/>
                <w:sz w:val="20"/>
                <w:szCs w:val="20"/>
                <w:lang w:val="es-ES"/>
              </w:rPr>
              <w:t>14 de abril de 2015</w:t>
            </w:r>
            <w:r w:rsidR="002636E9" w:rsidRPr="00C97887">
              <w:rPr>
                <w:rFonts w:asciiTheme="majorHAnsi" w:hAnsiTheme="majorHAnsi"/>
                <w:bCs/>
                <w:sz w:val="20"/>
                <w:szCs w:val="20"/>
                <w:lang w:val="es-ES"/>
              </w:rPr>
              <w:t xml:space="preserve"> </w:t>
            </w:r>
          </w:p>
        </w:tc>
      </w:tr>
      <w:tr w:rsidR="006E772A" w:rsidRPr="00C97887" w14:paraId="68F509DA" w14:textId="77777777" w:rsidTr="00C97887">
        <w:tc>
          <w:tcPr>
            <w:tcW w:w="3577" w:type="dxa"/>
            <w:tcBorders>
              <w:top w:val="single" w:sz="6" w:space="0" w:color="auto"/>
              <w:bottom w:val="single" w:sz="6" w:space="0" w:color="auto"/>
            </w:tcBorders>
            <w:shd w:val="clear" w:color="auto" w:fill="386294"/>
            <w:vAlign w:val="center"/>
          </w:tcPr>
          <w:p w14:paraId="62C9F91B" w14:textId="65F3AB1A" w:rsidR="006E772A" w:rsidRPr="00C97887" w:rsidRDefault="006E772A" w:rsidP="004A6A54">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 xml:space="preserve">Información adicional </w:t>
            </w:r>
            <w:r w:rsidR="002355A9" w:rsidRPr="00C97887">
              <w:rPr>
                <w:rFonts w:asciiTheme="majorHAnsi" w:hAnsiTheme="majorHAnsi"/>
                <w:b/>
                <w:color w:val="FFFFFF" w:themeColor="background1"/>
                <w:sz w:val="20"/>
                <w:szCs w:val="20"/>
                <w:lang w:val="es-ES"/>
              </w:rPr>
              <w:t>recibida en la etapa de estudio</w:t>
            </w:r>
          </w:p>
        </w:tc>
        <w:tc>
          <w:tcPr>
            <w:tcW w:w="5783" w:type="dxa"/>
            <w:vAlign w:val="center"/>
          </w:tcPr>
          <w:p w14:paraId="796669C8" w14:textId="55B89E7A" w:rsidR="006E772A" w:rsidRPr="00C97887" w:rsidRDefault="003A72B3" w:rsidP="002625EA">
            <w:pPr>
              <w:jc w:val="both"/>
              <w:rPr>
                <w:rFonts w:asciiTheme="majorHAnsi" w:hAnsiTheme="majorHAnsi"/>
                <w:bCs/>
                <w:sz w:val="20"/>
                <w:szCs w:val="20"/>
                <w:lang w:val="es-ES"/>
              </w:rPr>
            </w:pPr>
            <w:r w:rsidRPr="00C97887">
              <w:rPr>
                <w:rFonts w:asciiTheme="majorHAnsi" w:hAnsiTheme="majorHAnsi"/>
                <w:bCs/>
                <w:sz w:val="20"/>
                <w:szCs w:val="20"/>
                <w:lang w:val="es-ES"/>
              </w:rPr>
              <w:t>14 de noviembre de 2016</w:t>
            </w:r>
          </w:p>
        </w:tc>
      </w:tr>
      <w:tr w:rsidR="004C2312" w:rsidRPr="00C97887" w14:paraId="1BDCD5C6" w14:textId="77777777" w:rsidTr="00C97887">
        <w:tc>
          <w:tcPr>
            <w:tcW w:w="3577" w:type="dxa"/>
            <w:tcBorders>
              <w:top w:val="single" w:sz="6" w:space="0" w:color="auto"/>
              <w:bottom w:val="single" w:sz="6" w:space="0" w:color="auto"/>
            </w:tcBorders>
            <w:shd w:val="clear" w:color="auto" w:fill="386294"/>
            <w:vAlign w:val="center"/>
          </w:tcPr>
          <w:p w14:paraId="7A18664F" w14:textId="53CE1B14" w:rsidR="004C2312" w:rsidRPr="00C97887" w:rsidRDefault="004A6A54" w:rsidP="000C1C69">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N</w:t>
            </w:r>
            <w:r w:rsidR="004C2312" w:rsidRPr="00C97887">
              <w:rPr>
                <w:rFonts w:asciiTheme="majorHAnsi" w:hAnsiTheme="majorHAnsi"/>
                <w:b/>
                <w:color w:val="FFFFFF" w:themeColor="background1"/>
                <w:sz w:val="20"/>
                <w:szCs w:val="20"/>
                <w:lang w:val="es-ES"/>
              </w:rPr>
              <w:t>otificación de la petición</w:t>
            </w:r>
          </w:p>
        </w:tc>
        <w:tc>
          <w:tcPr>
            <w:tcW w:w="5783" w:type="dxa"/>
            <w:vAlign w:val="center"/>
          </w:tcPr>
          <w:p w14:paraId="1519DA6A" w14:textId="48A8E5F0" w:rsidR="004C2312" w:rsidRPr="00C97887" w:rsidRDefault="003A72B3" w:rsidP="008D2290">
            <w:pPr>
              <w:jc w:val="both"/>
              <w:rPr>
                <w:rFonts w:asciiTheme="majorHAnsi" w:hAnsiTheme="majorHAnsi"/>
                <w:bCs/>
                <w:sz w:val="20"/>
                <w:szCs w:val="20"/>
                <w:lang w:val="es-ES"/>
              </w:rPr>
            </w:pPr>
            <w:r w:rsidRPr="00C97887">
              <w:rPr>
                <w:rFonts w:asciiTheme="majorHAnsi" w:hAnsiTheme="majorHAnsi"/>
                <w:bCs/>
                <w:sz w:val="20"/>
                <w:szCs w:val="20"/>
                <w:lang w:val="es-ES"/>
              </w:rPr>
              <w:t>7 de agosto de 2019</w:t>
            </w:r>
          </w:p>
        </w:tc>
      </w:tr>
      <w:tr w:rsidR="00F06354" w:rsidRPr="00C97887" w14:paraId="6147A8D5" w14:textId="77777777" w:rsidTr="00C97887">
        <w:tc>
          <w:tcPr>
            <w:tcW w:w="3577" w:type="dxa"/>
            <w:tcBorders>
              <w:top w:val="single" w:sz="6" w:space="0" w:color="auto"/>
              <w:bottom w:val="single" w:sz="6" w:space="0" w:color="auto"/>
            </w:tcBorders>
            <w:shd w:val="clear" w:color="auto" w:fill="386294"/>
            <w:vAlign w:val="center"/>
          </w:tcPr>
          <w:p w14:paraId="0201C86D" w14:textId="678B514E" w:rsidR="00F06354" w:rsidRPr="00C97887" w:rsidRDefault="00D77503" w:rsidP="00F06354">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Primera respuesta del Estado</w:t>
            </w:r>
          </w:p>
        </w:tc>
        <w:tc>
          <w:tcPr>
            <w:tcW w:w="5783" w:type="dxa"/>
            <w:vAlign w:val="center"/>
          </w:tcPr>
          <w:p w14:paraId="1972B99E" w14:textId="765681CA" w:rsidR="00F06354" w:rsidRPr="00C97887" w:rsidRDefault="003A72B3" w:rsidP="00F06354">
            <w:pPr>
              <w:jc w:val="both"/>
              <w:rPr>
                <w:rFonts w:asciiTheme="majorHAnsi" w:hAnsiTheme="majorHAnsi"/>
                <w:bCs/>
                <w:sz w:val="20"/>
                <w:szCs w:val="20"/>
                <w:lang w:val="es-ES"/>
              </w:rPr>
            </w:pPr>
            <w:r w:rsidRPr="00C97887">
              <w:rPr>
                <w:rFonts w:asciiTheme="majorHAnsi" w:hAnsiTheme="majorHAnsi"/>
                <w:bCs/>
                <w:sz w:val="20"/>
                <w:szCs w:val="20"/>
                <w:lang w:val="es-ES"/>
              </w:rPr>
              <w:t>22 de septiembre de 2020</w:t>
            </w:r>
          </w:p>
        </w:tc>
      </w:tr>
      <w:tr w:rsidR="001C0932" w:rsidRPr="00C97887" w14:paraId="67850AB8" w14:textId="77777777" w:rsidTr="00C97887">
        <w:tc>
          <w:tcPr>
            <w:tcW w:w="3577" w:type="dxa"/>
            <w:tcBorders>
              <w:top w:val="single" w:sz="6" w:space="0" w:color="auto"/>
              <w:bottom w:val="single" w:sz="6" w:space="0" w:color="auto"/>
            </w:tcBorders>
            <w:shd w:val="clear" w:color="auto" w:fill="386294"/>
            <w:vAlign w:val="center"/>
          </w:tcPr>
          <w:p w14:paraId="5CC0A955" w14:textId="4680A8B5" w:rsidR="001C0932" w:rsidRPr="00C97887" w:rsidRDefault="001C0932" w:rsidP="00F06354">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Observaciones adicionales de la parte peticionaria</w:t>
            </w:r>
          </w:p>
        </w:tc>
        <w:tc>
          <w:tcPr>
            <w:tcW w:w="5783" w:type="dxa"/>
            <w:vAlign w:val="center"/>
          </w:tcPr>
          <w:p w14:paraId="662D00D0" w14:textId="09D6D1DB" w:rsidR="001C0932" w:rsidRPr="00C97887" w:rsidRDefault="003A72B3" w:rsidP="00F06354">
            <w:pPr>
              <w:jc w:val="both"/>
              <w:rPr>
                <w:rFonts w:asciiTheme="majorHAnsi" w:hAnsiTheme="majorHAnsi"/>
                <w:bCs/>
                <w:sz w:val="20"/>
                <w:szCs w:val="20"/>
                <w:lang w:val="es-ES"/>
              </w:rPr>
            </w:pPr>
            <w:r w:rsidRPr="00C97887">
              <w:rPr>
                <w:rFonts w:asciiTheme="majorHAnsi" w:hAnsiTheme="majorHAnsi"/>
                <w:bCs/>
                <w:sz w:val="20"/>
                <w:szCs w:val="20"/>
                <w:lang w:val="es-ES"/>
              </w:rPr>
              <w:t>25 de marzo de 2021</w:t>
            </w:r>
          </w:p>
        </w:tc>
      </w:tr>
      <w:tr w:rsidR="001C0932" w:rsidRPr="00C97887" w14:paraId="37B5DEFA" w14:textId="77777777" w:rsidTr="00C97887">
        <w:tc>
          <w:tcPr>
            <w:tcW w:w="3577" w:type="dxa"/>
            <w:tcBorders>
              <w:top w:val="single" w:sz="6" w:space="0" w:color="auto"/>
              <w:bottom w:val="single" w:sz="6" w:space="0" w:color="auto"/>
            </w:tcBorders>
            <w:shd w:val="clear" w:color="auto" w:fill="386294"/>
            <w:vAlign w:val="center"/>
          </w:tcPr>
          <w:p w14:paraId="4D1A0D12" w14:textId="49A127CC" w:rsidR="001C0932" w:rsidRPr="00C97887" w:rsidRDefault="001C0932" w:rsidP="00F06354">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Observaciones adicionales del Estado</w:t>
            </w:r>
          </w:p>
        </w:tc>
        <w:tc>
          <w:tcPr>
            <w:tcW w:w="5783" w:type="dxa"/>
            <w:vAlign w:val="center"/>
          </w:tcPr>
          <w:p w14:paraId="7B744CDE" w14:textId="7E1AE7FA" w:rsidR="001C0932" w:rsidRPr="00C97887" w:rsidRDefault="003A72B3" w:rsidP="00F06354">
            <w:pPr>
              <w:jc w:val="both"/>
              <w:rPr>
                <w:rFonts w:asciiTheme="majorHAnsi" w:hAnsiTheme="majorHAnsi"/>
                <w:bCs/>
                <w:sz w:val="20"/>
                <w:szCs w:val="20"/>
                <w:lang w:val="es-ES"/>
              </w:rPr>
            </w:pPr>
            <w:r w:rsidRPr="00C97887">
              <w:rPr>
                <w:rFonts w:asciiTheme="majorHAnsi" w:hAnsiTheme="majorHAnsi"/>
                <w:bCs/>
                <w:sz w:val="20"/>
                <w:szCs w:val="20"/>
                <w:lang w:val="es-ES"/>
              </w:rPr>
              <w:t>1 de julio de 2021</w:t>
            </w:r>
            <w:r w:rsidR="001C0932" w:rsidRPr="00C97887">
              <w:rPr>
                <w:rFonts w:asciiTheme="majorHAnsi" w:hAnsiTheme="majorHAnsi"/>
                <w:bCs/>
                <w:sz w:val="20"/>
                <w:szCs w:val="20"/>
                <w:lang w:val="es-ES"/>
              </w:rPr>
              <w:t xml:space="preserve"> </w:t>
            </w:r>
          </w:p>
        </w:tc>
      </w:tr>
    </w:tbl>
    <w:p w14:paraId="21DAA666" w14:textId="5065046E" w:rsidR="003239B8" w:rsidRPr="00C97887" w:rsidRDefault="003239B8" w:rsidP="007C402A">
      <w:pPr>
        <w:spacing w:before="120" w:after="120"/>
        <w:ind w:firstLine="720"/>
        <w:jc w:val="both"/>
        <w:rPr>
          <w:rFonts w:asciiTheme="majorHAnsi" w:hAnsiTheme="majorHAnsi"/>
          <w:b/>
          <w:bCs/>
          <w:sz w:val="20"/>
          <w:szCs w:val="20"/>
          <w:lang w:val="es-ES"/>
        </w:rPr>
      </w:pPr>
      <w:r w:rsidRPr="00C97887">
        <w:rPr>
          <w:rFonts w:asciiTheme="majorHAnsi" w:hAnsiTheme="majorHAnsi"/>
          <w:b/>
          <w:bCs/>
          <w:sz w:val="20"/>
          <w:szCs w:val="20"/>
          <w:lang w:val="es-ES"/>
        </w:rPr>
        <w:t xml:space="preserve">III. </w:t>
      </w:r>
      <w:r w:rsidRPr="00C97887">
        <w:rPr>
          <w:rFonts w:asciiTheme="majorHAnsi" w:hAnsiTheme="majorHAnsi"/>
          <w:b/>
          <w:bCs/>
          <w:sz w:val="20"/>
          <w:szCs w:val="20"/>
          <w:lang w:val="es-ES"/>
        </w:rPr>
        <w:tab/>
        <w:t>COMPETENCIA</w:t>
      </w:r>
      <w:r w:rsidR="00EE00E9" w:rsidRPr="00C97887">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3239B8" w:rsidRPr="00C97887" w14:paraId="072532AD" w14:textId="77777777" w:rsidTr="00C97887">
        <w:trPr>
          <w:cantSplit/>
        </w:trPr>
        <w:tc>
          <w:tcPr>
            <w:tcW w:w="3577" w:type="dxa"/>
            <w:tcBorders>
              <w:top w:val="single" w:sz="4" w:space="0" w:color="auto"/>
              <w:bottom w:val="single" w:sz="6" w:space="0" w:color="auto"/>
            </w:tcBorders>
            <w:shd w:val="clear" w:color="auto" w:fill="386294"/>
            <w:vAlign w:val="center"/>
          </w:tcPr>
          <w:p w14:paraId="5C2E4B34" w14:textId="7281AAF8" w:rsidR="003239B8" w:rsidRPr="00C97887" w:rsidRDefault="00D77503" w:rsidP="008D2290">
            <w:pPr>
              <w:jc w:val="center"/>
              <w:rPr>
                <w:rFonts w:asciiTheme="majorHAnsi" w:hAnsiTheme="majorHAnsi"/>
                <w:b/>
                <w:i/>
                <w:color w:val="FFFFFF" w:themeColor="background1"/>
                <w:sz w:val="20"/>
                <w:szCs w:val="20"/>
                <w:lang w:val="es-ES"/>
              </w:rPr>
            </w:pPr>
            <w:r w:rsidRPr="00C97887">
              <w:rPr>
                <w:rFonts w:asciiTheme="majorHAnsi" w:hAnsiTheme="majorHAnsi"/>
                <w:b/>
                <w:i/>
                <w:color w:val="FFFFFF" w:themeColor="background1"/>
                <w:sz w:val="20"/>
                <w:szCs w:val="20"/>
                <w:lang w:val="es-ES"/>
              </w:rPr>
              <w:t>Ratione personae</w:t>
            </w:r>
          </w:p>
        </w:tc>
        <w:tc>
          <w:tcPr>
            <w:tcW w:w="5760" w:type="dxa"/>
            <w:vAlign w:val="center"/>
          </w:tcPr>
          <w:p w14:paraId="7707F3E9" w14:textId="5413C97E" w:rsidR="003239B8" w:rsidRPr="00C97887" w:rsidRDefault="00253195" w:rsidP="008D2290">
            <w:pPr>
              <w:rPr>
                <w:rFonts w:asciiTheme="majorHAnsi" w:hAnsiTheme="majorHAnsi"/>
                <w:bCs/>
                <w:sz w:val="20"/>
                <w:szCs w:val="20"/>
                <w:lang w:val="es-ES"/>
              </w:rPr>
            </w:pPr>
            <w:r w:rsidRPr="00C97887">
              <w:rPr>
                <w:rFonts w:asciiTheme="majorHAnsi" w:hAnsiTheme="majorHAnsi"/>
                <w:bCs/>
                <w:sz w:val="20"/>
                <w:szCs w:val="20"/>
                <w:lang w:val="es-ES"/>
              </w:rPr>
              <w:t>Sí</w:t>
            </w:r>
          </w:p>
        </w:tc>
      </w:tr>
      <w:tr w:rsidR="003239B8" w:rsidRPr="00C97887" w14:paraId="4B8802DA" w14:textId="77777777" w:rsidTr="00C97887">
        <w:trPr>
          <w:cantSplit/>
        </w:trPr>
        <w:tc>
          <w:tcPr>
            <w:tcW w:w="3577" w:type="dxa"/>
            <w:tcBorders>
              <w:top w:val="single" w:sz="6" w:space="0" w:color="auto"/>
              <w:bottom w:val="single" w:sz="6" w:space="0" w:color="auto"/>
            </w:tcBorders>
            <w:shd w:val="clear" w:color="auto" w:fill="386294"/>
            <w:vAlign w:val="center"/>
          </w:tcPr>
          <w:p w14:paraId="3915C23B" w14:textId="629F623D" w:rsidR="003239B8" w:rsidRPr="00C97887" w:rsidRDefault="003239B8" w:rsidP="00D77503">
            <w:pPr>
              <w:jc w:val="center"/>
              <w:rPr>
                <w:rFonts w:asciiTheme="majorHAnsi" w:hAnsiTheme="majorHAnsi"/>
                <w:b/>
                <w:color w:val="FFFFFF" w:themeColor="background1"/>
                <w:sz w:val="20"/>
                <w:szCs w:val="20"/>
                <w:lang w:val="es-ES"/>
              </w:rPr>
            </w:pPr>
            <w:r w:rsidRPr="00C97887">
              <w:rPr>
                <w:rFonts w:asciiTheme="majorHAnsi" w:hAnsiTheme="majorHAnsi"/>
                <w:b/>
                <w:i/>
                <w:color w:val="FFFFFF" w:themeColor="background1"/>
                <w:sz w:val="20"/>
                <w:szCs w:val="20"/>
                <w:lang w:val="es-ES"/>
              </w:rPr>
              <w:t>Ratione loci</w:t>
            </w:r>
          </w:p>
        </w:tc>
        <w:tc>
          <w:tcPr>
            <w:tcW w:w="5760" w:type="dxa"/>
            <w:vAlign w:val="center"/>
          </w:tcPr>
          <w:p w14:paraId="12C931CB" w14:textId="40C87F4E" w:rsidR="003239B8" w:rsidRPr="00C97887" w:rsidRDefault="00253195" w:rsidP="008D2290">
            <w:pPr>
              <w:rPr>
                <w:rFonts w:asciiTheme="majorHAnsi" w:hAnsiTheme="majorHAnsi"/>
                <w:bCs/>
                <w:sz w:val="20"/>
                <w:szCs w:val="20"/>
                <w:lang w:val="es-ES"/>
              </w:rPr>
            </w:pPr>
            <w:r w:rsidRPr="00C97887">
              <w:rPr>
                <w:rFonts w:asciiTheme="majorHAnsi" w:hAnsiTheme="majorHAnsi"/>
                <w:bCs/>
                <w:sz w:val="20"/>
                <w:szCs w:val="20"/>
                <w:lang w:val="es-ES"/>
              </w:rPr>
              <w:t>Sí</w:t>
            </w:r>
          </w:p>
        </w:tc>
      </w:tr>
      <w:tr w:rsidR="003239B8" w:rsidRPr="00C97887" w14:paraId="4362FDF3" w14:textId="77777777" w:rsidTr="00C97887">
        <w:trPr>
          <w:cantSplit/>
        </w:trPr>
        <w:tc>
          <w:tcPr>
            <w:tcW w:w="3577" w:type="dxa"/>
            <w:tcBorders>
              <w:top w:val="single" w:sz="6" w:space="0" w:color="auto"/>
              <w:bottom w:val="single" w:sz="6" w:space="0" w:color="auto"/>
            </w:tcBorders>
            <w:shd w:val="clear" w:color="auto" w:fill="386294"/>
            <w:vAlign w:val="center"/>
          </w:tcPr>
          <w:p w14:paraId="3BE23153" w14:textId="1788B5D3" w:rsidR="003239B8" w:rsidRPr="00C97887" w:rsidRDefault="003239B8" w:rsidP="008D2290">
            <w:pPr>
              <w:jc w:val="center"/>
              <w:rPr>
                <w:rFonts w:asciiTheme="majorHAnsi" w:hAnsiTheme="majorHAnsi"/>
                <w:b/>
                <w:color w:val="FFFFFF" w:themeColor="background1"/>
                <w:sz w:val="20"/>
                <w:szCs w:val="20"/>
                <w:lang w:val="es-ES"/>
              </w:rPr>
            </w:pPr>
            <w:r w:rsidRPr="00C97887">
              <w:rPr>
                <w:rFonts w:asciiTheme="majorHAnsi" w:hAnsiTheme="majorHAnsi"/>
                <w:b/>
                <w:i/>
                <w:color w:val="FFFFFF" w:themeColor="background1"/>
                <w:sz w:val="20"/>
                <w:szCs w:val="20"/>
                <w:lang w:val="es-ES"/>
              </w:rPr>
              <w:t>Ratione temporis</w:t>
            </w:r>
          </w:p>
        </w:tc>
        <w:tc>
          <w:tcPr>
            <w:tcW w:w="5760" w:type="dxa"/>
            <w:vAlign w:val="center"/>
          </w:tcPr>
          <w:p w14:paraId="6F8B059B" w14:textId="3897AC54" w:rsidR="003239B8" w:rsidRPr="00C97887" w:rsidRDefault="00253195" w:rsidP="008D2290">
            <w:pPr>
              <w:rPr>
                <w:rFonts w:asciiTheme="majorHAnsi" w:hAnsiTheme="majorHAnsi"/>
                <w:bCs/>
                <w:sz w:val="20"/>
                <w:szCs w:val="20"/>
                <w:lang w:val="es-ES"/>
              </w:rPr>
            </w:pPr>
            <w:r w:rsidRPr="00C97887">
              <w:rPr>
                <w:rFonts w:asciiTheme="majorHAnsi" w:hAnsiTheme="majorHAnsi"/>
                <w:bCs/>
                <w:sz w:val="20"/>
                <w:szCs w:val="20"/>
                <w:lang w:val="es-ES"/>
              </w:rPr>
              <w:t>Sí</w:t>
            </w:r>
          </w:p>
        </w:tc>
      </w:tr>
      <w:tr w:rsidR="003239B8" w:rsidRPr="000F70D7" w14:paraId="30ABEC3E" w14:textId="77777777" w:rsidTr="00C97887">
        <w:trPr>
          <w:cantSplit/>
        </w:trPr>
        <w:tc>
          <w:tcPr>
            <w:tcW w:w="3577" w:type="dxa"/>
            <w:tcBorders>
              <w:top w:val="single" w:sz="6" w:space="0" w:color="auto"/>
              <w:bottom w:val="single" w:sz="6" w:space="0" w:color="auto"/>
            </w:tcBorders>
            <w:shd w:val="clear" w:color="auto" w:fill="386294"/>
            <w:vAlign w:val="center"/>
          </w:tcPr>
          <w:p w14:paraId="47B529D2" w14:textId="72B41633" w:rsidR="003239B8" w:rsidRPr="00C97887" w:rsidRDefault="003239B8" w:rsidP="008D2290">
            <w:pPr>
              <w:jc w:val="center"/>
              <w:rPr>
                <w:rFonts w:asciiTheme="majorHAnsi" w:hAnsiTheme="majorHAnsi"/>
                <w:b/>
                <w:color w:val="FFFFFF" w:themeColor="background1"/>
                <w:sz w:val="20"/>
                <w:szCs w:val="20"/>
                <w:lang w:val="es-ES"/>
              </w:rPr>
            </w:pPr>
            <w:r w:rsidRPr="00C97887">
              <w:rPr>
                <w:rFonts w:asciiTheme="majorHAnsi" w:hAnsiTheme="majorHAnsi"/>
                <w:b/>
                <w:i/>
                <w:color w:val="FFFFFF" w:themeColor="background1"/>
                <w:sz w:val="20"/>
                <w:szCs w:val="20"/>
                <w:lang w:val="es-ES"/>
              </w:rPr>
              <w:t>Ratione materia</w:t>
            </w:r>
            <w:r w:rsidR="00EE00E9" w:rsidRPr="00C97887">
              <w:rPr>
                <w:rFonts w:asciiTheme="majorHAnsi" w:hAnsiTheme="majorHAnsi"/>
                <w:b/>
                <w:i/>
                <w:color w:val="FFFFFF" w:themeColor="background1"/>
                <w:sz w:val="20"/>
                <w:szCs w:val="20"/>
                <w:lang w:val="es-ES"/>
              </w:rPr>
              <w:t>e</w:t>
            </w:r>
          </w:p>
        </w:tc>
        <w:tc>
          <w:tcPr>
            <w:tcW w:w="5760" w:type="dxa"/>
            <w:vAlign w:val="center"/>
          </w:tcPr>
          <w:p w14:paraId="0C122F44" w14:textId="09E5549F" w:rsidR="003239B8" w:rsidRPr="00C97887" w:rsidRDefault="00253195" w:rsidP="008D2290">
            <w:pPr>
              <w:jc w:val="both"/>
              <w:rPr>
                <w:rFonts w:asciiTheme="majorHAnsi" w:hAnsiTheme="majorHAnsi"/>
                <w:bCs/>
                <w:sz w:val="20"/>
                <w:szCs w:val="20"/>
                <w:lang w:val="es-ES"/>
              </w:rPr>
            </w:pPr>
            <w:r w:rsidRPr="00C97887">
              <w:rPr>
                <w:rFonts w:asciiTheme="majorHAnsi" w:hAnsiTheme="majorHAnsi"/>
                <w:bCs/>
                <w:sz w:val="20"/>
                <w:szCs w:val="20"/>
                <w:lang w:val="es-ES"/>
              </w:rPr>
              <w:t xml:space="preserve">Sí, Convención Americana (depósito del instrumento realizado el </w:t>
            </w:r>
            <w:r w:rsidR="00D314F3" w:rsidRPr="00C97887">
              <w:rPr>
                <w:rFonts w:asciiTheme="majorHAnsi" w:hAnsiTheme="majorHAnsi"/>
                <w:bCs/>
                <w:sz w:val="20"/>
                <w:szCs w:val="20"/>
                <w:lang w:val="es-ES"/>
              </w:rPr>
              <w:t>5 de septiembre de 1984)</w:t>
            </w:r>
          </w:p>
        </w:tc>
      </w:tr>
    </w:tbl>
    <w:p w14:paraId="4E92C444" w14:textId="44A3FC3C" w:rsidR="003239B8" w:rsidRPr="00C97887" w:rsidRDefault="003239B8" w:rsidP="007C402A">
      <w:pPr>
        <w:spacing w:before="120" w:after="120"/>
        <w:ind w:firstLine="720"/>
        <w:jc w:val="both"/>
        <w:rPr>
          <w:rFonts w:asciiTheme="majorHAnsi" w:hAnsiTheme="majorHAnsi"/>
          <w:b/>
          <w:bCs/>
          <w:sz w:val="20"/>
          <w:szCs w:val="20"/>
          <w:lang w:val="es-ES"/>
        </w:rPr>
      </w:pPr>
      <w:r w:rsidRPr="00C97887">
        <w:rPr>
          <w:rFonts w:asciiTheme="majorHAnsi" w:hAnsiTheme="majorHAnsi"/>
          <w:b/>
          <w:bCs/>
          <w:sz w:val="20"/>
          <w:szCs w:val="20"/>
          <w:lang w:val="es-ES"/>
        </w:rPr>
        <w:t xml:space="preserve">IV. </w:t>
      </w:r>
      <w:r w:rsidRPr="00C97887">
        <w:rPr>
          <w:rFonts w:asciiTheme="majorHAnsi" w:hAnsiTheme="majorHAnsi"/>
          <w:b/>
          <w:bCs/>
          <w:sz w:val="20"/>
          <w:szCs w:val="20"/>
          <w:lang w:val="es-ES"/>
        </w:rPr>
        <w:tab/>
      </w:r>
      <w:r w:rsidR="00EE00E9" w:rsidRPr="00C97887">
        <w:rPr>
          <w:rFonts w:asciiTheme="majorHAnsi" w:hAnsiTheme="majorHAnsi"/>
          <w:b/>
          <w:bCs/>
          <w:sz w:val="20"/>
          <w:szCs w:val="20"/>
          <w:lang w:val="es-ES"/>
        </w:rPr>
        <w:t>DUPLICACIÓN</w:t>
      </w:r>
      <w:r w:rsidR="00EE00E9" w:rsidRPr="00C97887">
        <w:rPr>
          <w:rFonts w:asciiTheme="majorHAnsi" w:hAnsiTheme="majorHAnsi"/>
          <w:b/>
          <w:bCs/>
          <w:color w:val="FFFFFF" w:themeColor="background1"/>
          <w:sz w:val="20"/>
          <w:szCs w:val="20"/>
          <w:lang w:val="es-ES"/>
        </w:rPr>
        <w:t xml:space="preserve"> </w:t>
      </w:r>
      <w:r w:rsidR="00EE00E9" w:rsidRPr="00C97887">
        <w:rPr>
          <w:rFonts w:asciiTheme="majorHAnsi" w:hAnsiTheme="majorHAnsi"/>
          <w:b/>
          <w:bCs/>
          <w:sz w:val="20"/>
          <w:szCs w:val="20"/>
          <w:lang w:val="es-ES"/>
        </w:rPr>
        <w:t>DE PROCEDIMIENTOS Y COSA JUZGADA</w:t>
      </w:r>
      <w:r w:rsidR="00EE00E9" w:rsidRPr="00C97887">
        <w:rPr>
          <w:rFonts w:asciiTheme="majorHAnsi" w:hAnsiTheme="majorHAnsi"/>
          <w:b/>
          <w:bCs/>
          <w:i/>
          <w:sz w:val="20"/>
          <w:szCs w:val="20"/>
          <w:lang w:val="es-ES"/>
        </w:rPr>
        <w:t xml:space="preserve"> </w:t>
      </w:r>
      <w:r w:rsidR="00E40792" w:rsidRPr="00C97887">
        <w:rPr>
          <w:rFonts w:asciiTheme="majorHAnsi" w:hAnsiTheme="majorHAnsi"/>
          <w:b/>
          <w:bCs/>
          <w:sz w:val="20"/>
          <w:szCs w:val="20"/>
          <w:lang w:val="es-ES"/>
        </w:rPr>
        <w:t>INTERNACIONAL, CARACTERIZACIÓN</w:t>
      </w:r>
      <w:r w:rsidRPr="00C97887">
        <w:rPr>
          <w:rFonts w:asciiTheme="majorHAnsi" w:hAnsiTheme="majorHAnsi"/>
          <w:b/>
          <w:bCs/>
          <w:sz w:val="20"/>
          <w:szCs w:val="20"/>
          <w:lang w:val="es-ES"/>
        </w:rPr>
        <w:t xml:space="preserve">, </w:t>
      </w:r>
      <w:r w:rsidRPr="00C97887">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77"/>
        <w:gridCol w:w="5760"/>
      </w:tblGrid>
      <w:tr w:rsidR="00EE00E9" w:rsidRPr="00C97887" w14:paraId="1231C988" w14:textId="77777777" w:rsidTr="00C97887">
        <w:trPr>
          <w:cantSplit/>
        </w:trPr>
        <w:tc>
          <w:tcPr>
            <w:tcW w:w="3577" w:type="dxa"/>
            <w:tcBorders>
              <w:top w:val="single" w:sz="4" w:space="0" w:color="auto"/>
              <w:bottom w:val="single" w:sz="6" w:space="0" w:color="auto"/>
            </w:tcBorders>
            <w:shd w:val="clear" w:color="auto" w:fill="386294"/>
            <w:vAlign w:val="center"/>
          </w:tcPr>
          <w:p w14:paraId="6F8031F4" w14:textId="03D8D2D1" w:rsidR="00EE00E9" w:rsidRPr="00C97887" w:rsidRDefault="00EE00E9" w:rsidP="00954B82">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 xml:space="preserve">Duplicación </w:t>
            </w:r>
            <w:r w:rsidR="00D77503" w:rsidRPr="00C97887">
              <w:rPr>
                <w:rFonts w:asciiTheme="majorHAnsi" w:hAnsiTheme="majorHAnsi"/>
                <w:b/>
                <w:color w:val="FFFFFF" w:themeColor="background1"/>
                <w:sz w:val="20"/>
                <w:szCs w:val="20"/>
                <w:lang w:val="es-ES"/>
              </w:rPr>
              <w:t>y cosa juzgada internacional</w:t>
            </w:r>
          </w:p>
        </w:tc>
        <w:tc>
          <w:tcPr>
            <w:tcW w:w="5760" w:type="dxa"/>
            <w:vAlign w:val="center"/>
          </w:tcPr>
          <w:p w14:paraId="240941E6" w14:textId="6C8799BB" w:rsidR="00EE00E9" w:rsidRPr="00C97887" w:rsidRDefault="00B84C70" w:rsidP="008D2290">
            <w:pPr>
              <w:jc w:val="both"/>
              <w:rPr>
                <w:rFonts w:asciiTheme="majorHAnsi" w:hAnsiTheme="majorHAnsi"/>
                <w:bCs/>
                <w:sz w:val="20"/>
                <w:szCs w:val="20"/>
                <w:lang w:val="es-ES"/>
              </w:rPr>
            </w:pPr>
            <w:r w:rsidRPr="00C97887">
              <w:rPr>
                <w:rFonts w:asciiTheme="majorHAnsi" w:hAnsiTheme="majorHAnsi"/>
                <w:bCs/>
                <w:sz w:val="20"/>
                <w:szCs w:val="20"/>
                <w:lang w:val="es-ES"/>
              </w:rPr>
              <w:t>No</w:t>
            </w:r>
          </w:p>
        </w:tc>
      </w:tr>
      <w:tr w:rsidR="003239B8" w:rsidRPr="000F70D7" w14:paraId="15FAA7D1" w14:textId="77777777" w:rsidTr="00C97887">
        <w:trPr>
          <w:cantSplit/>
        </w:trPr>
        <w:tc>
          <w:tcPr>
            <w:tcW w:w="3577" w:type="dxa"/>
            <w:tcBorders>
              <w:top w:val="single" w:sz="4" w:space="0" w:color="auto"/>
              <w:bottom w:val="single" w:sz="6" w:space="0" w:color="auto"/>
            </w:tcBorders>
            <w:shd w:val="clear" w:color="auto" w:fill="386294"/>
            <w:vAlign w:val="center"/>
          </w:tcPr>
          <w:p w14:paraId="1B0D29FF" w14:textId="4FE01870" w:rsidR="003239B8" w:rsidRPr="00C97887" w:rsidRDefault="003239B8" w:rsidP="00954B82">
            <w:pPr>
              <w:jc w:val="center"/>
              <w:rPr>
                <w:rFonts w:asciiTheme="majorHAnsi" w:hAnsiTheme="majorHAnsi"/>
                <w:b/>
                <w:i/>
                <w:color w:val="FFFFFF" w:themeColor="background1"/>
                <w:sz w:val="20"/>
                <w:szCs w:val="20"/>
                <w:lang w:val="es-ES"/>
              </w:rPr>
            </w:pPr>
            <w:r w:rsidRPr="00C97887">
              <w:rPr>
                <w:rFonts w:asciiTheme="majorHAnsi" w:hAnsiTheme="majorHAnsi"/>
                <w:b/>
                <w:color w:val="FFFFFF" w:themeColor="background1"/>
                <w:sz w:val="20"/>
                <w:szCs w:val="20"/>
                <w:lang w:val="es-ES"/>
              </w:rPr>
              <w:t>Derechos admi</w:t>
            </w:r>
            <w:r w:rsidR="00954B82" w:rsidRPr="00C97887">
              <w:rPr>
                <w:rFonts w:asciiTheme="majorHAnsi" w:hAnsiTheme="majorHAnsi"/>
                <w:b/>
                <w:color w:val="FFFFFF" w:themeColor="background1"/>
                <w:sz w:val="20"/>
                <w:szCs w:val="20"/>
                <w:lang w:val="es-ES"/>
              </w:rPr>
              <w:t>tidos</w:t>
            </w:r>
          </w:p>
        </w:tc>
        <w:tc>
          <w:tcPr>
            <w:tcW w:w="5760" w:type="dxa"/>
            <w:vAlign w:val="center"/>
          </w:tcPr>
          <w:p w14:paraId="6310C8F7" w14:textId="473B434B" w:rsidR="003239B8" w:rsidRPr="00C97887" w:rsidRDefault="00E37026" w:rsidP="001479C0">
            <w:pPr>
              <w:jc w:val="both"/>
              <w:rPr>
                <w:rFonts w:asciiTheme="majorHAnsi" w:hAnsiTheme="majorHAnsi"/>
                <w:bCs/>
                <w:sz w:val="20"/>
                <w:szCs w:val="20"/>
                <w:lang w:val="es-ES"/>
              </w:rPr>
            </w:pPr>
            <w:r w:rsidRPr="00C97887">
              <w:rPr>
                <w:rFonts w:asciiTheme="majorHAnsi" w:hAnsiTheme="majorHAnsi"/>
                <w:bCs/>
                <w:sz w:val="20"/>
                <w:szCs w:val="20"/>
                <w:lang w:val="es-ES"/>
              </w:rPr>
              <w:t>Artículo</w:t>
            </w:r>
            <w:r w:rsidR="001C0932" w:rsidRPr="00C97887">
              <w:rPr>
                <w:rFonts w:asciiTheme="majorHAnsi" w:hAnsiTheme="majorHAnsi"/>
                <w:bCs/>
                <w:sz w:val="20"/>
                <w:szCs w:val="20"/>
                <w:lang w:val="es-ES"/>
              </w:rPr>
              <w:t>s 5 (integridad personal),</w:t>
            </w:r>
            <w:r w:rsidR="0034788B" w:rsidRPr="00C97887">
              <w:rPr>
                <w:rFonts w:asciiTheme="majorHAnsi" w:hAnsiTheme="majorHAnsi"/>
                <w:bCs/>
                <w:sz w:val="20"/>
                <w:szCs w:val="20"/>
                <w:lang w:val="es-ES"/>
              </w:rPr>
              <w:t xml:space="preserve"> </w:t>
            </w:r>
            <w:r w:rsidR="003A72B3" w:rsidRPr="00C97887">
              <w:rPr>
                <w:rFonts w:asciiTheme="majorHAnsi" w:hAnsiTheme="majorHAnsi"/>
                <w:bCs/>
                <w:sz w:val="20"/>
                <w:szCs w:val="20"/>
                <w:lang w:val="es-ES"/>
              </w:rPr>
              <w:t>8 (garantías judiciales)</w:t>
            </w:r>
            <w:r w:rsidR="00FD0695" w:rsidRPr="00C97887">
              <w:rPr>
                <w:rFonts w:asciiTheme="majorHAnsi" w:hAnsiTheme="majorHAnsi"/>
                <w:bCs/>
                <w:sz w:val="20"/>
                <w:szCs w:val="20"/>
                <w:lang w:val="es-ES"/>
              </w:rPr>
              <w:t xml:space="preserve"> y 25 (protección judicial) de la Convención Americana</w:t>
            </w:r>
            <w:r w:rsidR="00E7309B">
              <w:rPr>
                <w:rFonts w:asciiTheme="majorHAnsi" w:hAnsiTheme="majorHAnsi"/>
                <w:bCs/>
                <w:sz w:val="20"/>
                <w:szCs w:val="20"/>
                <w:lang w:val="es-ES"/>
              </w:rPr>
              <w:t>,</w:t>
            </w:r>
            <w:r w:rsidR="00FD0695" w:rsidRPr="00C97887">
              <w:rPr>
                <w:rFonts w:asciiTheme="majorHAnsi" w:hAnsiTheme="majorHAnsi"/>
                <w:bCs/>
                <w:sz w:val="20"/>
                <w:szCs w:val="20"/>
                <w:lang w:val="es-ES"/>
              </w:rPr>
              <w:t xml:space="preserve"> en relación con sus artículos 1.1 (obligación de respetar los derechos) y 2 (deber de adoptar disposiciones de derecho interno)</w:t>
            </w:r>
          </w:p>
        </w:tc>
      </w:tr>
      <w:tr w:rsidR="003239B8" w:rsidRPr="000F70D7" w14:paraId="4EFD141E" w14:textId="77777777" w:rsidTr="00C97887">
        <w:trPr>
          <w:cantSplit/>
        </w:trPr>
        <w:tc>
          <w:tcPr>
            <w:tcW w:w="3577" w:type="dxa"/>
            <w:tcBorders>
              <w:top w:val="single" w:sz="6" w:space="0" w:color="auto"/>
              <w:bottom w:val="single" w:sz="6" w:space="0" w:color="auto"/>
            </w:tcBorders>
            <w:shd w:val="clear" w:color="auto" w:fill="386294"/>
            <w:vAlign w:val="center"/>
          </w:tcPr>
          <w:p w14:paraId="4C04A89C" w14:textId="058482B9" w:rsidR="003239B8" w:rsidRPr="00C97887" w:rsidRDefault="003239B8" w:rsidP="006775AB">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Agotamiento de</w:t>
            </w:r>
            <w:r w:rsidR="0069402E" w:rsidRPr="00C97887">
              <w:rPr>
                <w:rFonts w:asciiTheme="majorHAnsi" w:hAnsiTheme="majorHAnsi"/>
                <w:b/>
                <w:color w:val="FFFFFF" w:themeColor="background1"/>
                <w:sz w:val="20"/>
                <w:szCs w:val="20"/>
                <w:lang w:val="es-ES"/>
              </w:rPr>
              <w:t xml:space="preserve"> </w:t>
            </w:r>
            <w:r w:rsidRPr="00C97887">
              <w:rPr>
                <w:rFonts w:asciiTheme="majorHAnsi" w:hAnsiTheme="majorHAnsi"/>
                <w:b/>
                <w:color w:val="FFFFFF" w:themeColor="background1"/>
                <w:sz w:val="20"/>
                <w:szCs w:val="20"/>
                <w:lang w:val="es-ES"/>
              </w:rPr>
              <w:t xml:space="preserve">recursos </w:t>
            </w:r>
            <w:r w:rsidR="00D77503" w:rsidRPr="00C97887">
              <w:rPr>
                <w:rFonts w:asciiTheme="majorHAnsi" w:hAnsiTheme="majorHAnsi"/>
                <w:b/>
                <w:color w:val="FFFFFF" w:themeColor="background1"/>
                <w:sz w:val="20"/>
                <w:szCs w:val="20"/>
                <w:lang w:val="es-ES"/>
              </w:rPr>
              <w:t>o procedencia de una excepción</w:t>
            </w:r>
          </w:p>
        </w:tc>
        <w:tc>
          <w:tcPr>
            <w:tcW w:w="5760" w:type="dxa"/>
            <w:vAlign w:val="center"/>
          </w:tcPr>
          <w:p w14:paraId="69C53E8A" w14:textId="068108E8" w:rsidR="003239B8" w:rsidRPr="00C97887" w:rsidRDefault="00E37026" w:rsidP="00BB3FBD">
            <w:pPr>
              <w:rPr>
                <w:rFonts w:asciiTheme="majorHAnsi" w:hAnsiTheme="majorHAnsi"/>
                <w:bCs/>
                <w:sz w:val="20"/>
                <w:szCs w:val="20"/>
                <w:lang w:val="es-ES"/>
              </w:rPr>
            </w:pPr>
            <w:r w:rsidRPr="00C97887">
              <w:rPr>
                <w:rFonts w:asciiTheme="majorHAnsi" w:hAnsiTheme="majorHAnsi"/>
                <w:bCs/>
                <w:sz w:val="20"/>
                <w:szCs w:val="20"/>
                <w:lang w:val="es-ES"/>
              </w:rPr>
              <w:t>Sí,</w:t>
            </w:r>
            <w:r w:rsidR="007034AD" w:rsidRPr="00C97887">
              <w:rPr>
                <w:rFonts w:asciiTheme="majorHAnsi" w:hAnsiTheme="majorHAnsi"/>
                <w:bCs/>
                <w:sz w:val="20"/>
                <w:szCs w:val="20"/>
                <w:lang w:val="es-ES"/>
              </w:rPr>
              <w:t xml:space="preserve"> </w:t>
            </w:r>
            <w:r w:rsidR="00C97887" w:rsidRPr="00C97887">
              <w:rPr>
                <w:rFonts w:asciiTheme="majorHAnsi" w:hAnsiTheme="majorHAnsi"/>
                <w:bCs/>
                <w:sz w:val="20"/>
                <w:szCs w:val="20"/>
                <w:lang w:val="es-ES"/>
              </w:rPr>
              <w:t xml:space="preserve">el </w:t>
            </w:r>
            <w:r w:rsidR="00FD0695" w:rsidRPr="00C97887">
              <w:rPr>
                <w:rFonts w:asciiTheme="majorHAnsi" w:hAnsiTheme="majorHAnsi"/>
                <w:bCs/>
                <w:sz w:val="20"/>
                <w:szCs w:val="20"/>
                <w:lang w:val="es-ES"/>
              </w:rPr>
              <w:t>4 de noviembre de 2014</w:t>
            </w:r>
          </w:p>
        </w:tc>
      </w:tr>
      <w:tr w:rsidR="003239B8" w:rsidRPr="00C97887" w14:paraId="52B5BA17" w14:textId="77777777" w:rsidTr="00C97887">
        <w:trPr>
          <w:cantSplit/>
        </w:trPr>
        <w:tc>
          <w:tcPr>
            <w:tcW w:w="3577" w:type="dxa"/>
            <w:tcBorders>
              <w:top w:val="single" w:sz="6" w:space="0" w:color="auto"/>
              <w:bottom w:val="single" w:sz="6" w:space="0" w:color="auto"/>
            </w:tcBorders>
            <w:shd w:val="clear" w:color="auto" w:fill="386294"/>
            <w:vAlign w:val="center"/>
          </w:tcPr>
          <w:p w14:paraId="5DF99086" w14:textId="392A0ECF" w:rsidR="003239B8" w:rsidRPr="00C97887" w:rsidRDefault="00D77503" w:rsidP="008D2290">
            <w:pPr>
              <w:jc w:val="center"/>
              <w:rPr>
                <w:rFonts w:asciiTheme="majorHAnsi" w:hAnsiTheme="majorHAnsi"/>
                <w:b/>
                <w:color w:val="FFFFFF" w:themeColor="background1"/>
                <w:sz w:val="20"/>
                <w:szCs w:val="20"/>
                <w:lang w:val="es-ES"/>
              </w:rPr>
            </w:pPr>
            <w:r w:rsidRPr="00C97887">
              <w:rPr>
                <w:rFonts w:asciiTheme="majorHAnsi" w:hAnsiTheme="majorHAnsi"/>
                <w:b/>
                <w:color w:val="FFFFFF" w:themeColor="background1"/>
                <w:sz w:val="20"/>
                <w:szCs w:val="20"/>
                <w:lang w:val="es-ES"/>
              </w:rPr>
              <w:t>Presentación dentro de plazo</w:t>
            </w:r>
          </w:p>
        </w:tc>
        <w:tc>
          <w:tcPr>
            <w:tcW w:w="5760" w:type="dxa"/>
            <w:vAlign w:val="center"/>
          </w:tcPr>
          <w:p w14:paraId="4A2A4569" w14:textId="1E855C59" w:rsidR="003239B8" w:rsidRPr="00C97887" w:rsidRDefault="001425C4" w:rsidP="008D2290">
            <w:pPr>
              <w:rPr>
                <w:rFonts w:asciiTheme="majorHAnsi" w:hAnsiTheme="majorHAnsi"/>
                <w:bCs/>
                <w:sz w:val="20"/>
                <w:szCs w:val="20"/>
                <w:lang w:val="es-US"/>
              </w:rPr>
            </w:pPr>
            <w:r w:rsidRPr="00C97887">
              <w:rPr>
                <w:rFonts w:asciiTheme="majorHAnsi" w:hAnsiTheme="majorHAnsi"/>
                <w:bCs/>
                <w:sz w:val="20"/>
                <w:szCs w:val="20"/>
                <w:lang w:val="es-US"/>
              </w:rPr>
              <w:t>S</w:t>
            </w:r>
            <w:r w:rsidR="00C93233" w:rsidRPr="00C97887">
              <w:rPr>
                <w:rFonts w:asciiTheme="majorHAnsi" w:hAnsiTheme="majorHAnsi"/>
                <w:bCs/>
                <w:sz w:val="20"/>
                <w:szCs w:val="20"/>
                <w:lang w:val="es-US"/>
              </w:rPr>
              <w:t>í</w:t>
            </w:r>
          </w:p>
        </w:tc>
      </w:tr>
    </w:tbl>
    <w:p w14:paraId="53D91403" w14:textId="77777777" w:rsidR="00E40792" w:rsidRPr="00C97887" w:rsidRDefault="00E40792" w:rsidP="00D2344E">
      <w:pPr>
        <w:ind w:firstLine="720"/>
        <w:jc w:val="both"/>
        <w:rPr>
          <w:rFonts w:asciiTheme="majorHAnsi" w:hAnsiTheme="majorHAnsi"/>
          <w:b/>
          <w:sz w:val="20"/>
          <w:szCs w:val="20"/>
          <w:lang w:val="es-ES"/>
        </w:rPr>
      </w:pPr>
    </w:p>
    <w:p w14:paraId="18E6423B" w14:textId="0F6C9692" w:rsidR="003239B8" w:rsidRPr="00ED0D6F" w:rsidRDefault="00223A29" w:rsidP="00C97887">
      <w:pPr>
        <w:spacing w:after="240"/>
        <w:ind w:firstLine="720"/>
        <w:jc w:val="both"/>
        <w:rPr>
          <w:rFonts w:asciiTheme="majorHAnsi" w:hAnsiTheme="majorHAnsi"/>
          <w:b/>
          <w:i/>
          <w:iCs/>
          <w:sz w:val="20"/>
          <w:szCs w:val="20"/>
          <w:lang w:val="es-ES_tradnl"/>
        </w:rPr>
      </w:pPr>
      <w:r w:rsidRPr="00ED0D6F">
        <w:rPr>
          <w:rFonts w:asciiTheme="majorHAnsi" w:hAnsiTheme="majorHAnsi"/>
          <w:b/>
          <w:sz w:val="20"/>
          <w:szCs w:val="20"/>
          <w:lang w:val="es-ES_tradnl"/>
        </w:rPr>
        <w:t xml:space="preserve">V. </w:t>
      </w:r>
      <w:r w:rsidRPr="00ED0D6F">
        <w:rPr>
          <w:rFonts w:asciiTheme="majorHAnsi" w:hAnsiTheme="majorHAnsi"/>
          <w:b/>
          <w:sz w:val="20"/>
          <w:szCs w:val="20"/>
          <w:lang w:val="es-ES_tradnl"/>
        </w:rPr>
        <w:tab/>
      </w:r>
      <w:r w:rsidR="0034224A" w:rsidRPr="00ED0D6F">
        <w:rPr>
          <w:rFonts w:asciiTheme="majorHAnsi" w:hAnsiTheme="majorHAnsi"/>
          <w:b/>
          <w:sz w:val="20"/>
          <w:szCs w:val="20"/>
          <w:lang w:val="es-ES_tradnl"/>
        </w:rPr>
        <w:t>RESUMEN DE LOS HECHOS ALEGADOS</w:t>
      </w:r>
    </w:p>
    <w:p w14:paraId="62F0A80A" w14:textId="1BCAE2CF" w:rsidR="00C93233" w:rsidRPr="00ED0D6F" w:rsidRDefault="00E7309B" w:rsidP="00C978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D0D6F">
        <w:rPr>
          <w:rFonts w:asciiTheme="majorHAnsi" w:hAnsiTheme="majorHAnsi"/>
          <w:sz w:val="20"/>
          <w:szCs w:val="20"/>
          <w:lang w:val="es-ES_tradnl"/>
        </w:rPr>
        <w:t>El peticionario</w:t>
      </w:r>
      <w:r w:rsidR="00C93233" w:rsidRPr="00ED0D6F">
        <w:rPr>
          <w:rFonts w:asciiTheme="majorHAnsi" w:hAnsiTheme="majorHAnsi"/>
          <w:sz w:val="20"/>
          <w:szCs w:val="20"/>
          <w:lang w:val="es-ES_tradnl"/>
        </w:rPr>
        <w:t xml:space="preserve"> alega que la </w:t>
      </w:r>
      <w:r w:rsidR="00277DE6" w:rsidRPr="00ED0D6F">
        <w:rPr>
          <w:rFonts w:asciiTheme="majorHAnsi" w:hAnsiTheme="majorHAnsi"/>
          <w:sz w:val="20"/>
          <w:szCs w:val="20"/>
          <w:lang w:val="es-ES_tradnl"/>
        </w:rPr>
        <w:t>Sra. Ma. Gabriela Gonzalez</w:t>
      </w:r>
      <w:r w:rsidR="00C93233" w:rsidRPr="00ED0D6F">
        <w:rPr>
          <w:rFonts w:asciiTheme="majorHAnsi" w:hAnsiTheme="majorHAnsi"/>
          <w:sz w:val="20"/>
          <w:szCs w:val="20"/>
          <w:lang w:val="es-ES_tradnl"/>
        </w:rPr>
        <w:t xml:space="preserve"> ha </w:t>
      </w:r>
      <w:r w:rsidR="00277DE6" w:rsidRPr="00ED0D6F">
        <w:rPr>
          <w:rFonts w:asciiTheme="majorHAnsi" w:hAnsiTheme="majorHAnsi"/>
          <w:sz w:val="20"/>
          <w:szCs w:val="20"/>
          <w:lang w:val="es-ES_tradnl"/>
        </w:rPr>
        <w:t>adquirido una discapacidad permanente</w:t>
      </w:r>
      <w:r w:rsidR="00C93233" w:rsidRPr="00ED0D6F">
        <w:rPr>
          <w:rFonts w:asciiTheme="majorHAnsi" w:hAnsiTheme="majorHAnsi"/>
          <w:sz w:val="20"/>
          <w:szCs w:val="20"/>
          <w:lang w:val="es-ES_tradnl"/>
        </w:rPr>
        <w:t xml:space="preserve"> </w:t>
      </w:r>
      <w:r w:rsidR="00620A74" w:rsidRPr="00ED0D6F">
        <w:rPr>
          <w:rFonts w:asciiTheme="majorHAnsi" w:hAnsiTheme="majorHAnsi"/>
          <w:sz w:val="20"/>
          <w:szCs w:val="20"/>
          <w:lang w:val="es-ES_tradnl"/>
        </w:rPr>
        <w:t>como</w:t>
      </w:r>
      <w:r w:rsidR="00C93233" w:rsidRPr="00ED0D6F">
        <w:rPr>
          <w:rFonts w:asciiTheme="majorHAnsi" w:hAnsiTheme="majorHAnsi"/>
          <w:sz w:val="20"/>
          <w:szCs w:val="20"/>
          <w:lang w:val="es-ES_tradnl"/>
        </w:rPr>
        <w:t xml:space="preserve"> consecuencia de la negligencia de </w:t>
      </w:r>
      <w:r w:rsidR="00620A74" w:rsidRPr="00ED0D6F">
        <w:rPr>
          <w:rFonts w:asciiTheme="majorHAnsi" w:hAnsiTheme="majorHAnsi"/>
          <w:sz w:val="20"/>
          <w:szCs w:val="20"/>
          <w:lang w:val="es-ES_tradnl"/>
        </w:rPr>
        <w:t>una</w:t>
      </w:r>
      <w:r w:rsidR="00C93233" w:rsidRPr="00ED0D6F">
        <w:rPr>
          <w:rFonts w:asciiTheme="majorHAnsi" w:hAnsiTheme="majorHAnsi"/>
          <w:sz w:val="20"/>
          <w:szCs w:val="20"/>
          <w:lang w:val="es-ES_tradnl"/>
        </w:rPr>
        <w:t xml:space="preserve"> empresa concesionada por el Estado para explotar sus ferrocarriles. La empresa fue condenada a pagar </w:t>
      </w:r>
      <w:r w:rsidR="009575DE" w:rsidRPr="00ED0D6F">
        <w:rPr>
          <w:rFonts w:asciiTheme="majorHAnsi" w:hAnsiTheme="majorHAnsi"/>
          <w:sz w:val="20"/>
          <w:szCs w:val="20"/>
          <w:lang w:val="es-ES_tradnl"/>
        </w:rPr>
        <w:t>indemnizaciones</w:t>
      </w:r>
      <w:r w:rsidR="00277DE6" w:rsidRPr="00ED0D6F">
        <w:rPr>
          <w:rFonts w:asciiTheme="majorHAnsi" w:hAnsiTheme="majorHAnsi"/>
          <w:sz w:val="20"/>
          <w:szCs w:val="20"/>
          <w:lang w:val="es-ES_tradnl"/>
        </w:rPr>
        <w:t>,</w:t>
      </w:r>
      <w:r w:rsidR="00C93233" w:rsidRPr="00ED0D6F">
        <w:rPr>
          <w:rFonts w:asciiTheme="majorHAnsi" w:hAnsiTheme="majorHAnsi"/>
          <w:sz w:val="20"/>
          <w:szCs w:val="20"/>
          <w:lang w:val="es-ES_tradnl"/>
        </w:rPr>
        <w:t xml:space="preserve"> pero se declaró en quiebra haciendo imposible el cobro. Los tribunales determinaron que el Estado no tenía responsabilidad en lo ocurrido</w:t>
      </w:r>
      <w:r w:rsidR="00620A74" w:rsidRPr="00ED0D6F">
        <w:rPr>
          <w:rFonts w:asciiTheme="majorHAnsi" w:hAnsiTheme="majorHAnsi"/>
          <w:sz w:val="20"/>
          <w:szCs w:val="20"/>
          <w:lang w:val="es-ES_tradnl"/>
        </w:rPr>
        <w:t>;</w:t>
      </w:r>
      <w:r w:rsidR="00C93233" w:rsidRPr="00ED0D6F">
        <w:rPr>
          <w:rFonts w:asciiTheme="majorHAnsi" w:hAnsiTheme="majorHAnsi"/>
          <w:sz w:val="20"/>
          <w:szCs w:val="20"/>
          <w:lang w:val="es-ES_tradnl"/>
        </w:rPr>
        <w:t xml:space="preserve"> ignorando que tenía el deber de supervisar adecuadamente a su concesionaria</w:t>
      </w:r>
      <w:r w:rsidR="00620A74" w:rsidRPr="00ED0D6F">
        <w:rPr>
          <w:rFonts w:asciiTheme="majorHAnsi" w:hAnsiTheme="majorHAnsi"/>
          <w:sz w:val="20"/>
          <w:szCs w:val="20"/>
          <w:lang w:val="es-ES_tradnl"/>
        </w:rPr>
        <w:t>,</w:t>
      </w:r>
      <w:r w:rsidR="00C93233" w:rsidRPr="00ED0D6F">
        <w:rPr>
          <w:rFonts w:asciiTheme="majorHAnsi" w:hAnsiTheme="majorHAnsi"/>
          <w:sz w:val="20"/>
          <w:szCs w:val="20"/>
          <w:lang w:val="es-ES_tradnl"/>
        </w:rPr>
        <w:t xml:space="preserve"> y </w:t>
      </w:r>
      <w:r w:rsidR="00620A74" w:rsidRPr="00ED0D6F">
        <w:rPr>
          <w:rFonts w:asciiTheme="majorHAnsi" w:hAnsiTheme="majorHAnsi"/>
          <w:sz w:val="20"/>
          <w:szCs w:val="20"/>
          <w:lang w:val="es-ES_tradnl"/>
        </w:rPr>
        <w:t>privando</w:t>
      </w:r>
      <w:r w:rsidR="00C93233" w:rsidRPr="00ED0D6F">
        <w:rPr>
          <w:rFonts w:asciiTheme="majorHAnsi" w:hAnsiTheme="majorHAnsi"/>
          <w:sz w:val="20"/>
          <w:szCs w:val="20"/>
          <w:lang w:val="es-ES_tradnl"/>
        </w:rPr>
        <w:t xml:space="preserve"> a la presunta víctima de obtener reparaciones. </w:t>
      </w:r>
    </w:p>
    <w:p w14:paraId="609F9B68" w14:textId="37FB10E1" w:rsidR="007D1A3B" w:rsidRPr="00ED0D6F" w:rsidRDefault="00C93233"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Según relata la petición, el 21 de octubre de 2006 la presunta víctima </w:t>
      </w:r>
      <w:r w:rsidR="00E1148A" w:rsidRPr="00ED0D6F">
        <w:rPr>
          <w:rFonts w:asciiTheme="majorHAnsi" w:hAnsiTheme="majorHAnsi"/>
          <w:sz w:val="20"/>
          <w:szCs w:val="20"/>
          <w:lang w:val="es-ES_tradnl"/>
        </w:rPr>
        <w:t xml:space="preserve">se encontraba </w:t>
      </w:r>
      <w:r w:rsidRPr="00ED0D6F">
        <w:rPr>
          <w:rFonts w:asciiTheme="majorHAnsi" w:hAnsiTheme="majorHAnsi"/>
          <w:sz w:val="20"/>
          <w:szCs w:val="20"/>
          <w:lang w:val="es-ES_tradnl"/>
        </w:rPr>
        <w:t>en la estación Rafael Calzada del Ferrocarril General Roca ubicado en Buenos Aires.</w:t>
      </w:r>
      <w:r w:rsidR="00E1148A" w:rsidRPr="00ED0D6F">
        <w:rPr>
          <w:rFonts w:asciiTheme="majorHAnsi" w:hAnsiTheme="majorHAnsi"/>
          <w:sz w:val="20"/>
          <w:szCs w:val="20"/>
          <w:lang w:val="es-ES_tradnl"/>
        </w:rPr>
        <w:t xml:space="preserve"> El cochecito de su bebe quedó atascado en la escalerilla de ascenso de pasajeros y mientras</w:t>
      </w:r>
      <w:r w:rsidR="007801A6" w:rsidRPr="00ED0D6F">
        <w:rPr>
          <w:rFonts w:asciiTheme="majorHAnsi" w:hAnsiTheme="majorHAnsi"/>
          <w:sz w:val="20"/>
          <w:szCs w:val="20"/>
          <w:lang w:val="es-ES_tradnl"/>
        </w:rPr>
        <w:t xml:space="preserve"> </w:t>
      </w:r>
      <w:r w:rsidR="00E1148A" w:rsidRPr="00ED0D6F">
        <w:rPr>
          <w:rFonts w:asciiTheme="majorHAnsi" w:hAnsiTheme="majorHAnsi"/>
          <w:sz w:val="20"/>
          <w:szCs w:val="20"/>
          <w:lang w:val="es-ES_tradnl"/>
        </w:rPr>
        <w:t>lo intentaba desatascar el tren partió y la arrastró por varios metros en el hueco ubicado entre el vagón y el andén.</w:t>
      </w:r>
      <w:r w:rsidR="00013B5B" w:rsidRPr="00ED0D6F">
        <w:rPr>
          <w:rFonts w:asciiTheme="majorHAnsi" w:hAnsiTheme="majorHAnsi"/>
          <w:sz w:val="20"/>
          <w:szCs w:val="20"/>
          <w:lang w:val="es-ES_tradnl"/>
        </w:rPr>
        <w:t xml:space="preserve"> Este accidente le causó </w:t>
      </w:r>
      <w:r w:rsidR="00275874" w:rsidRPr="00ED0D6F">
        <w:rPr>
          <w:rFonts w:asciiTheme="majorHAnsi" w:hAnsiTheme="majorHAnsi"/>
          <w:sz w:val="20"/>
          <w:szCs w:val="20"/>
          <w:lang w:val="es-ES_tradnl"/>
        </w:rPr>
        <w:t xml:space="preserve">a la Sra. Gonzalez </w:t>
      </w:r>
      <w:r w:rsidR="00013B5B" w:rsidRPr="00ED0D6F">
        <w:rPr>
          <w:rFonts w:asciiTheme="majorHAnsi" w:hAnsiTheme="majorHAnsi"/>
          <w:sz w:val="20"/>
          <w:szCs w:val="20"/>
          <w:lang w:val="es-ES_tradnl"/>
        </w:rPr>
        <w:lastRenderedPageBreak/>
        <w:t>graves lesiones</w:t>
      </w:r>
      <w:r w:rsidR="00013B5B" w:rsidRPr="00ED0D6F">
        <w:rPr>
          <w:rStyle w:val="FootnoteReference"/>
          <w:rFonts w:asciiTheme="majorHAnsi" w:hAnsiTheme="majorHAnsi"/>
          <w:sz w:val="20"/>
          <w:szCs w:val="20"/>
          <w:lang w:val="es-ES_tradnl"/>
        </w:rPr>
        <w:footnoteReference w:id="4"/>
      </w:r>
      <w:r w:rsidR="00013B5B" w:rsidRPr="00ED0D6F">
        <w:rPr>
          <w:rFonts w:asciiTheme="majorHAnsi" w:hAnsiTheme="majorHAnsi"/>
          <w:sz w:val="20"/>
          <w:szCs w:val="20"/>
          <w:lang w:val="es-ES_tradnl"/>
        </w:rPr>
        <w:t xml:space="preserve"> y la ha dejado permanentemente </w:t>
      </w:r>
      <w:r w:rsidR="00275874" w:rsidRPr="00ED0D6F">
        <w:rPr>
          <w:rFonts w:asciiTheme="majorHAnsi" w:hAnsiTheme="majorHAnsi"/>
          <w:sz w:val="20"/>
          <w:szCs w:val="20"/>
          <w:lang w:val="es-ES_tradnl"/>
        </w:rPr>
        <w:t>en</w:t>
      </w:r>
      <w:r w:rsidR="00013B5B" w:rsidRPr="00ED0D6F">
        <w:rPr>
          <w:rFonts w:asciiTheme="majorHAnsi" w:hAnsiTheme="majorHAnsi"/>
          <w:sz w:val="20"/>
          <w:szCs w:val="20"/>
          <w:lang w:val="es-ES_tradnl"/>
        </w:rPr>
        <w:t xml:space="preserve"> silla de ruedas.</w:t>
      </w:r>
      <w:r w:rsidR="00E1148A" w:rsidRPr="00ED0D6F">
        <w:rPr>
          <w:rFonts w:asciiTheme="majorHAnsi" w:hAnsiTheme="majorHAnsi"/>
          <w:sz w:val="20"/>
          <w:szCs w:val="20"/>
          <w:lang w:val="es-ES_tradnl"/>
        </w:rPr>
        <w:t xml:space="preserve"> </w:t>
      </w:r>
      <w:r w:rsidRPr="00ED0D6F">
        <w:rPr>
          <w:rFonts w:asciiTheme="majorHAnsi" w:hAnsiTheme="majorHAnsi"/>
          <w:sz w:val="20"/>
          <w:szCs w:val="20"/>
          <w:lang w:val="es-ES_tradnl"/>
        </w:rPr>
        <w:t>El ferrocarril era propiedad del Estado</w:t>
      </w:r>
      <w:r w:rsidR="00F501FB"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pero en</w:t>
      </w:r>
      <w:r w:rsidR="00013B5B" w:rsidRPr="00ED0D6F">
        <w:rPr>
          <w:rFonts w:asciiTheme="majorHAnsi" w:hAnsiTheme="majorHAnsi"/>
          <w:sz w:val="20"/>
          <w:szCs w:val="20"/>
          <w:lang w:val="es-ES_tradnl"/>
        </w:rPr>
        <w:t xml:space="preserve"> el momento del accidente </w:t>
      </w:r>
      <w:r w:rsidRPr="00ED0D6F">
        <w:rPr>
          <w:rFonts w:asciiTheme="majorHAnsi" w:hAnsiTheme="majorHAnsi"/>
          <w:sz w:val="20"/>
          <w:szCs w:val="20"/>
          <w:lang w:val="es-ES_tradnl"/>
        </w:rPr>
        <w:t xml:space="preserve">estaba siendo explotado por una empresa privada a quien el Estado le había otorgado </w:t>
      </w:r>
      <w:r w:rsidR="00281020" w:rsidRPr="00ED0D6F">
        <w:rPr>
          <w:rFonts w:asciiTheme="majorHAnsi" w:hAnsiTheme="majorHAnsi"/>
          <w:sz w:val="20"/>
          <w:szCs w:val="20"/>
          <w:lang w:val="es-ES_tradnl"/>
        </w:rPr>
        <w:t xml:space="preserve">una </w:t>
      </w:r>
      <w:r w:rsidRPr="00ED0D6F">
        <w:rPr>
          <w:rFonts w:asciiTheme="majorHAnsi" w:hAnsiTheme="majorHAnsi"/>
          <w:sz w:val="20"/>
          <w:szCs w:val="20"/>
          <w:lang w:val="es-ES_tradnl"/>
        </w:rPr>
        <w:t>concesión en 1994 mediante decreto del Poder Ejecutivo Nacional.</w:t>
      </w:r>
      <w:r w:rsidR="00E1148A" w:rsidRPr="00ED0D6F">
        <w:rPr>
          <w:rFonts w:asciiTheme="majorHAnsi" w:hAnsiTheme="majorHAnsi"/>
          <w:sz w:val="20"/>
          <w:szCs w:val="20"/>
          <w:lang w:val="es-ES_tradnl"/>
        </w:rPr>
        <w:t xml:space="preserve"> </w:t>
      </w:r>
    </w:p>
    <w:p w14:paraId="2AA837C0" w14:textId="7FF5D330" w:rsidR="00E1148A" w:rsidRPr="00ED0D6F" w:rsidRDefault="007801A6"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La presunta víctima presentó una demanda de reparación </w:t>
      </w:r>
      <w:r w:rsidR="009575DE" w:rsidRPr="00ED0D6F">
        <w:rPr>
          <w:rFonts w:asciiTheme="majorHAnsi" w:hAnsiTheme="majorHAnsi"/>
          <w:sz w:val="20"/>
          <w:szCs w:val="20"/>
          <w:lang w:val="es-ES_tradnl"/>
        </w:rPr>
        <w:t xml:space="preserve">por </w:t>
      </w:r>
      <w:r w:rsidRPr="00ED0D6F">
        <w:rPr>
          <w:rFonts w:asciiTheme="majorHAnsi" w:hAnsiTheme="majorHAnsi"/>
          <w:sz w:val="20"/>
          <w:szCs w:val="20"/>
          <w:lang w:val="es-ES_tradnl"/>
        </w:rPr>
        <w:t xml:space="preserve">daños y perjuicios contra la empresa concesionaria, su aseguradora y el Estado. </w:t>
      </w:r>
      <w:r w:rsidR="006E48BD" w:rsidRPr="00ED0D6F">
        <w:rPr>
          <w:rFonts w:asciiTheme="majorHAnsi" w:hAnsiTheme="majorHAnsi"/>
          <w:sz w:val="20"/>
          <w:szCs w:val="20"/>
          <w:lang w:val="es-ES_tradnl"/>
        </w:rPr>
        <w:t>Según la demanda, el accidente habría sido ocasionado porque los andenes de la estación había</w:t>
      </w:r>
      <w:r w:rsidR="008C32FE" w:rsidRPr="00ED0D6F">
        <w:rPr>
          <w:rFonts w:asciiTheme="majorHAnsi" w:hAnsiTheme="majorHAnsi"/>
          <w:sz w:val="20"/>
          <w:szCs w:val="20"/>
          <w:lang w:val="es-ES_tradnl"/>
        </w:rPr>
        <w:t>n</w:t>
      </w:r>
      <w:r w:rsidR="006E48BD" w:rsidRPr="00ED0D6F">
        <w:rPr>
          <w:rFonts w:asciiTheme="majorHAnsi" w:hAnsiTheme="majorHAnsi"/>
          <w:sz w:val="20"/>
          <w:szCs w:val="20"/>
          <w:lang w:val="es-ES_tradnl"/>
        </w:rPr>
        <w:t xml:space="preserve"> sido elevados para hacerlos coincidir con las puertas de los</w:t>
      </w:r>
      <w:r w:rsidR="008C32FE" w:rsidRPr="00ED0D6F">
        <w:rPr>
          <w:rFonts w:asciiTheme="majorHAnsi" w:hAnsiTheme="majorHAnsi"/>
          <w:sz w:val="20"/>
          <w:szCs w:val="20"/>
          <w:lang w:val="es-ES_tradnl"/>
        </w:rPr>
        <w:t xml:space="preserve"> nuevos</w:t>
      </w:r>
      <w:r w:rsidR="006E48BD" w:rsidRPr="00ED0D6F">
        <w:rPr>
          <w:rFonts w:asciiTheme="majorHAnsi" w:hAnsiTheme="majorHAnsi"/>
          <w:sz w:val="20"/>
          <w:szCs w:val="20"/>
          <w:lang w:val="es-ES_tradnl"/>
        </w:rPr>
        <w:t xml:space="preserve"> trenes eléctricos, a la </w:t>
      </w:r>
      <w:r w:rsidR="008C32FE" w:rsidRPr="00ED0D6F">
        <w:rPr>
          <w:rFonts w:asciiTheme="majorHAnsi" w:hAnsiTheme="majorHAnsi"/>
          <w:sz w:val="20"/>
          <w:szCs w:val="20"/>
          <w:lang w:val="es-ES_tradnl"/>
        </w:rPr>
        <w:t>vez</w:t>
      </w:r>
      <w:r w:rsidR="006E48BD" w:rsidRPr="00ED0D6F">
        <w:rPr>
          <w:rFonts w:asciiTheme="majorHAnsi" w:hAnsiTheme="majorHAnsi"/>
          <w:sz w:val="20"/>
          <w:szCs w:val="20"/>
          <w:lang w:val="es-ES_tradnl"/>
        </w:rPr>
        <w:t xml:space="preserve"> que </w:t>
      </w:r>
      <w:r w:rsidR="008C32FE" w:rsidRPr="00ED0D6F">
        <w:rPr>
          <w:rFonts w:asciiTheme="majorHAnsi" w:hAnsiTheme="majorHAnsi"/>
          <w:sz w:val="20"/>
          <w:szCs w:val="20"/>
          <w:lang w:val="es-ES_tradnl"/>
        </w:rPr>
        <w:t xml:space="preserve">se continuaba prestando servicio con las viejas locomotoras impulsadas por </w:t>
      </w:r>
      <w:r w:rsidR="002D74DA" w:rsidRPr="00ED0D6F">
        <w:rPr>
          <w:rFonts w:asciiTheme="majorHAnsi" w:hAnsiTheme="majorHAnsi"/>
          <w:sz w:val="20"/>
          <w:szCs w:val="20"/>
          <w:lang w:val="es-ES_tradnl"/>
        </w:rPr>
        <w:t>diésel</w:t>
      </w:r>
      <w:r w:rsidR="008C32FE" w:rsidRPr="00ED0D6F">
        <w:rPr>
          <w:rFonts w:asciiTheme="majorHAnsi" w:hAnsiTheme="majorHAnsi"/>
          <w:sz w:val="20"/>
          <w:szCs w:val="20"/>
          <w:lang w:val="es-ES_tradnl"/>
        </w:rPr>
        <w:t>. Esto significaba que los andenes quedaron nivelados para el servicio de trenes eléctricos</w:t>
      </w:r>
      <w:r w:rsidR="002D74DA" w:rsidRPr="00ED0D6F">
        <w:rPr>
          <w:rFonts w:asciiTheme="majorHAnsi" w:hAnsiTheme="majorHAnsi"/>
          <w:sz w:val="20"/>
          <w:szCs w:val="20"/>
          <w:lang w:val="es-ES_tradnl"/>
        </w:rPr>
        <w:t>,</w:t>
      </w:r>
      <w:r w:rsidR="008C32FE" w:rsidRPr="00ED0D6F">
        <w:rPr>
          <w:rFonts w:asciiTheme="majorHAnsi" w:hAnsiTheme="majorHAnsi"/>
          <w:sz w:val="20"/>
          <w:szCs w:val="20"/>
          <w:lang w:val="es-ES_tradnl"/>
        </w:rPr>
        <w:t xml:space="preserve"> mas no así para el de locomotoras Diesel. En el ca</w:t>
      </w:r>
      <w:r w:rsidR="009575DE" w:rsidRPr="00ED0D6F">
        <w:rPr>
          <w:rFonts w:asciiTheme="majorHAnsi" w:hAnsiTheme="majorHAnsi"/>
          <w:sz w:val="20"/>
          <w:szCs w:val="20"/>
          <w:lang w:val="es-ES_tradnl"/>
        </w:rPr>
        <w:t>so</w:t>
      </w:r>
      <w:r w:rsidR="008C32FE" w:rsidRPr="00ED0D6F">
        <w:rPr>
          <w:rFonts w:asciiTheme="majorHAnsi" w:hAnsiTheme="majorHAnsi"/>
          <w:sz w:val="20"/>
          <w:szCs w:val="20"/>
          <w:lang w:val="es-ES_tradnl"/>
        </w:rPr>
        <w:t xml:space="preserve"> de este últimas, el primer escalón del vagón se encontraba aproximadamente </w:t>
      </w:r>
      <w:r w:rsidR="002D74DA" w:rsidRPr="00ED0D6F">
        <w:rPr>
          <w:rFonts w:asciiTheme="majorHAnsi" w:hAnsiTheme="majorHAnsi"/>
          <w:sz w:val="20"/>
          <w:szCs w:val="20"/>
          <w:lang w:val="es-ES_tradnl"/>
        </w:rPr>
        <w:t>cuarenta centímetros</w:t>
      </w:r>
      <w:r w:rsidR="008C32FE" w:rsidRPr="00ED0D6F">
        <w:rPr>
          <w:rFonts w:asciiTheme="majorHAnsi" w:hAnsiTheme="majorHAnsi"/>
          <w:sz w:val="20"/>
          <w:szCs w:val="20"/>
          <w:lang w:val="es-ES_tradnl"/>
        </w:rPr>
        <w:t xml:space="preserve"> debajo del andén. Esto forzaba a las personas que deseaban acceder a ellas a descender a un “pozo” encerrado entre el andén y los paneles de metal que conducen al siguiente peldaño, para desde ahí iniciar su ascenso a los vagones. Fue en este “pozo” que el cochecito del bebe de la presunta víctima quedó atascado el día del accidente</w:t>
      </w:r>
      <w:r w:rsidR="002D74DA" w:rsidRPr="00ED0D6F">
        <w:rPr>
          <w:rFonts w:asciiTheme="majorHAnsi" w:hAnsiTheme="majorHAnsi"/>
          <w:sz w:val="20"/>
          <w:szCs w:val="20"/>
          <w:lang w:val="es-ES_tradnl"/>
        </w:rPr>
        <w:t>,</w:t>
      </w:r>
      <w:r w:rsidR="008C32FE" w:rsidRPr="00ED0D6F">
        <w:rPr>
          <w:rFonts w:asciiTheme="majorHAnsi" w:hAnsiTheme="majorHAnsi"/>
          <w:sz w:val="20"/>
          <w:szCs w:val="20"/>
          <w:lang w:val="es-ES_tradnl"/>
        </w:rPr>
        <w:t xml:space="preserve"> lo que ocasionó que </w:t>
      </w:r>
      <w:r w:rsidR="002D74DA" w:rsidRPr="00ED0D6F">
        <w:rPr>
          <w:rFonts w:asciiTheme="majorHAnsi" w:hAnsiTheme="majorHAnsi"/>
          <w:sz w:val="20"/>
          <w:szCs w:val="20"/>
          <w:lang w:val="es-ES_tradnl"/>
        </w:rPr>
        <w:t>la presunta víctima</w:t>
      </w:r>
      <w:r w:rsidR="008C32FE" w:rsidRPr="00ED0D6F">
        <w:rPr>
          <w:rFonts w:asciiTheme="majorHAnsi" w:hAnsiTheme="majorHAnsi"/>
          <w:sz w:val="20"/>
          <w:szCs w:val="20"/>
          <w:lang w:val="es-ES_tradnl"/>
        </w:rPr>
        <w:t xml:space="preserve"> quedara </w:t>
      </w:r>
      <w:r w:rsidR="00625770" w:rsidRPr="00ED0D6F">
        <w:rPr>
          <w:rFonts w:asciiTheme="majorHAnsi" w:hAnsiTheme="majorHAnsi"/>
          <w:sz w:val="20"/>
          <w:szCs w:val="20"/>
          <w:lang w:val="es-ES_tradnl"/>
        </w:rPr>
        <w:t xml:space="preserve">atrapada entre el tren y las vías a la altura de sus caderas; pues si el acceso al vagón hubiera estado nivelado con el acceso al andén ella no habría quedado </w:t>
      </w:r>
      <w:r w:rsidR="000F70D7" w:rsidRPr="00ED0D6F">
        <w:rPr>
          <w:rFonts w:asciiTheme="majorHAnsi" w:hAnsiTheme="majorHAnsi"/>
          <w:sz w:val="20"/>
          <w:szCs w:val="20"/>
          <w:lang w:val="es-ES_tradnl"/>
        </w:rPr>
        <w:t>atrapada,</w:t>
      </w:r>
      <w:r w:rsidR="00625770" w:rsidRPr="00ED0D6F">
        <w:rPr>
          <w:rFonts w:asciiTheme="majorHAnsi" w:hAnsiTheme="majorHAnsi"/>
          <w:sz w:val="20"/>
          <w:szCs w:val="20"/>
          <w:lang w:val="es-ES_tradnl"/>
        </w:rPr>
        <w:t xml:space="preserve"> sino que hubiera sido despedida hacia la superficie del andén.</w:t>
      </w:r>
      <w:r w:rsidR="00F73E9F" w:rsidRPr="00ED0D6F">
        <w:rPr>
          <w:rFonts w:asciiTheme="majorHAnsi" w:hAnsiTheme="majorHAnsi"/>
          <w:sz w:val="20"/>
          <w:szCs w:val="20"/>
          <w:lang w:val="es-ES_tradnl"/>
        </w:rPr>
        <w:t xml:space="preserve"> </w:t>
      </w:r>
      <w:r w:rsidR="002D74DA" w:rsidRPr="00ED0D6F">
        <w:rPr>
          <w:rFonts w:asciiTheme="majorHAnsi" w:hAnsiTheme="majorHAnsi"/>
          <w:sz w:val="20"/>
          <w:szCs w:val="20"/>
          <w:lang w:val="es-ES_tradnl"/>
        </w:rPr>
        <w:t>E</w:t>
      </w:r>
      <w:r w:rsidR="00F73E9F" w:rsidRPr="00ED0D6F">
        <w:rPr>
          <w:rFonts w:asciiTheme="majorHAnsi" w:hAnsiTheme="majorHAnsi"/>
          <w:sz w:val="20"/>
          <w:szCs w:val="20"/>
          <w:lang w:val="es-ES_tradnl"/>
        </w:rPr>
        <w:t xml:space="preserve">l accidente se </w:t>
      </w:r>
      <w:r w:rsidR="002D74DA" w:rsidRPr="00ED0D6F">
        <w:rPr>
          <w:rFonts w:asciiTheme="majorHAnsi" w:hAnsiTheme="majorHAnsi"/>
          <w:sz w:val="20"/>
          <w:szCs w:val="20"/>
          <w:lang w:val="es-ES_tradnl"/>
        </w:rPr>
        <w:t>habría</w:t>
      </w:r>
      <w:r w:rsidR="00F73E9F" w:rsidRPr="00ED0D6F">
        <w:rPr>
          <w:rFonts w:asciiTheme="majorHAnsi" w:hAnsiTheme="majorHAnsi"/>
          <w:sz w:val="20"/>
          <w:szCs w:val="20"/>
          <w:lang w:val="es-ES_tradnl"/>
        </w:rPr>
        <w:t xml:space="preserve"> evitado si los trenes </w:t>
      </w:r>
      <w:r w:rsidR="002D74DA" w:rsidRPr="00ED0D6F">
        <w:rPr>
          <w:rFonts w:asciiTheme="majorHAnsi" w:hAnsiTheme="majorHAnsi"/>
          <w:sz w:val="20"/>
          <w:szCs w:val="20"/>
          <w:lang w:val="es-ES_tradnl"/>
        </w:rPr>
        <w:t>hubiesen</w:t>
      </w:r>
      <w:r w:rsidR="00F73E9F" w:rsidRPr="00ED0D6F">
        <w:rPr>
          <w:rFonts w:asciiTheme="majorHAnsi" w:hAnsiTheme="majorHAnsi"/>
          <w:sz w:val="20"/>
          <w:szCs w:val="20"/>
          <w:lang w:val="es-ES_tradnl"/>
        </w:rPr>
        <w:t xml:space="preserve"> contado con puertas automáticas que impidieran al tren partir cuando se encuentran bloqueadas.</w:t>
      </w:r>
      <w:r w:rsidR="00625770" w:rsidRPr="00ED0D6F">
        <w:rPr>
          <w:rFonts w:asciiTheme="majorHAnsi" w:hAnsiTheme="majorHAnsi"/>
          <w:sz w:val="20"/>
          <w:szCs w:val="20"/>
          <w:lang w:val="es-ES_tradnl"/>
        </w:rPr>
        <w:t xml:space="preserve"> La demanda también alegó que los trabajadores de la empresa </w:t>
      </w:r>
      <w:r w:rsidR="009575DE" w:rsidRPr="00ED0D6F">
        <w:rPr>
          <w:rFonts w:asciiTheme="majorHAnsi" w:hAnsiTheme="majorHAnsi"/>
          <w:sz w:val="20"/>
          <w:szCs w:val="20"/>
          <w:lang w:val="es-ES_tradnl"/>
        </w:rPr>
        <w:t>concesionaria</w:t>
      </w:r>
      <w:r w:rsidR="00625770" w:rsidRPr="00ED0D6F">
        <w:rPr>
          <w:rFonts w:asciiTheme="majorHAnsi" w:hAnsiTheme="majorHAnsi"/>
          <w:sz w:val="20"/>
          <w:szCs w:val="20"/>
          <w:lang w:val="es-ES_tradnl"/>
        </w:rPr>
        <w:t xml:space="preserve"> tendían a actuar en forma negligente y desaprensiva haciendo siempre paradas muy breves</w:t>
      </w:r>
      <w:r w:rsidR="002D74DA" w:rsidRPr="00ED0D6F">
        <w:rPr>
          <w:rFonts w:asciiTheme="majorHAnsi" w:hAnsiTheme="majorHAnsi"/>
          <w:sz w:val="20"/>
          <w:szCs w:val="20"/>
          <w:lang w:val="es-ES_tradnl"/>
        </w:rPr>
        <w:t>,</w:t>
      </w:r>
      <w:r w:rsidR="00625770" w:rsidRPr="00ED0D6F">
        <w:rPr>
          <w:rFonts w:asciiTheme="majorHAnsi" w:hAnsiTheme="majorHAnsi"/>
          <w:sz w:val="20"/>
          <w:szCs w:val="20"/>
          <w:lang w:val="es-ES_tradnl"/>
        </w:rPr>
        <w:t xml:space="preserve"> sin reparar en que </w:t>
      </w:r>
      <w:r w:rsidR="00C97887" w:rsidRPr="00ED0D6F">
        <w:rPr>
          <w:rFonts w:asciiTheme="majorHAnsi" w:hAnsiTheme="majorHAnsi"/>
          <w:sz w:val="20"/>
          <w:szCs w:val="20"/>
          <w:lang w:val="es-ES_tradnl"/>
        </w:rPr>
        <w:t>podía</w:t>
      </w:r>
      <w:r w:rsidR="00625770" w:rsidRPr="00ED0D6F">
        <w:rPr>
          <w:rFonts w:asciiTheme="majorHAnsi" w:hAnsiTheme="majorHAnsi"/>
          <w:sz w:val="20"/>
          <w:szCs w:val="20"/>
          <w:lang w:val="es-ES_tradnl"/>
        </w:rPr>
        <w:t xml:space="preserve"> haber personas que no hubieran terminado de subir al vagón</w:t>
      </w:r>
      <w:r w:rsidR="00343D9F" w:rsidRPr="00ED0D6F">
        <w:rPr>
          <w:rFonts w:asciiTheme="majorHAnsi" w:hAnsiTheme="majorHAnsi"/>
          <w:sz w:val="20"/>
          <w:szCs w:val="20"/>
          <w:lang w:val="es-ES_tradnl"/>
        </w:rPr>
        <w:t>,</w:t>
      </w:r>
      <w:r w:rsidR="00625770" w:rsidRPr="00ED0D6F">
        <w:rPr>
          <w:rFonts w:asciiTheme="majorHAnsi" w:hAnsiTheme="majorHAnsi"/>
          <w:sz w:val="20"/>
          <w:szCs w:val="20"/>
          <w:lang w:val="es-ES_tradnl"/>
        </w:rPr>
        <w:t xml:space="preserve"> o en la situación de riesgo </w:t>
      </w:r>
      <w:r w:rsidR="00343D9F" w:rsidRPr="00ED0D6F">
        <w:rPr>
          <w:rFonts w:asciiTheme="majorHAnsi" w:hAnsiTheme="majorHAnsi"/>
          <w:sz w:val="20"/>
          <w:szCs w:val="20"/>
          <w:lang w:val="es-ES_tradnl"/>
        </w:rPr>
        <w:t xml:space="preserve">en la que se encontraban los pasajeros </w:t>
      </w:r>
      <w:r w:rsidR="00625770" w:rsidRPr="00ED0D6F">
        <w:rPr>
          <w:rFonts w:asciiTheme="majorHAnsi" w:hAnsiTheme="majorHAnsi"/>
          <w:sz w:val="20"/>
          <w:szCs w:val="20"/>
          <w:lang w:val="es-ES_tradnl"/>
        </w:rPr>
        <w:t xml:space="preserve">a causa de la deficiente estructura ferroviaria. </w:t>
      </w:r>
    </w:p>
    <w:p w14:paraId="74DEF2E8" w14:textId="77777777" w:rsidR="00264CC1" w:rsidRPr="00ED0D6F" w:rsidRDefault="00625770" w:rsidP="00264C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La misma demanda también sostuvo que el Estado compartía responsabilidad en lo ocurrido</w:t>
      </w:r>
      <w:r w:rsidR="00EE4CBD" w:rsidRPr="00ED0D6F">
        <w:rPr>
          <w:rFonts w:asciiTheme="majorHAnsi" w:hAnsiTheme="majorHAnsi"/>
          <w:sz w:val="20"/>
          <w:szCs w:val="20"/>
          <w:lang w:val="es-ES_tradnl"/>
        </w:rPr>
        <w:t xml:space="preserve"> por ser el dueño de la infraestructura peligrosa (vagones y andenes) que ocasionó el accidente, así como por su omisión de ejercer acciones para poner fin al servicio deficiente e inseguro de la concesionaria.</w:t>
      </w:r>
      <w:r w:rsidR="00F73E9F" w:rsidRPr="00ED0D6F">
        <w:rPr>
          <w:rFonts w:asciiTheme="majorHAnsi" w:hAnsiTheme="majorHAnsi"/>
          <w:sz w:val="20"/>
          <w:szCs w:val="20"/>
          <w:lang w:val="es-ES_tradnl"/>
        </w:rPr>
        <w:t xml:space="preserve"> En este sentido, la demanda destacó que el Estado tenía conocimiento que el servicio prestado por la concesionaria era deficiente pues le había aplicado </w:t>
      </w:r>
      <w:r w:rsidR="00A92169" w:rsidRPr="00ED0D6F">
        <w:rPr>
          <w:rFonts w:asciiTheme="majorHAnsi" w:hAnsiTheme="majorHAnsi"/>
          <w:sz w:val="20"/>
          <w:szCs w:val="20"/>
          <w:lang w:val="es-ES_tradnl"/>
        </w:rPr>
        <w:t xml:space="preserve">a esta </w:t>
      </w:r>
      <w:r w:rsidR="00F73E9F" w:rsidRPr="00ED0D6F">
        <w:rPr>
          <w:rFonts w:asciiTheme="majorHAnsi" w:hAnsiTheme="majorHAnsi"/>
          <w:sz w:val="20"/>
          <w:szCs w:val="20"/>
          <w:lang w:val="es-ES_tradnl"/>
        </w:rPr>
        <w:t xml:space="preserve">penalidades y sanciones </w:t>
      </w:r>
      <w:r w:rsidR="0022402B" w:rsidRPr="00ED0D6F">
        <w:rPr>
          <w:rFonts w:asciiTheme="majorHAnsi" w:hAnsiTheme="majorHAnsi"/>
          <w:sz w:val="20"/>
          <w:szCs w:val="20"/>
          <w:lang w:val="es-ES_tradnl"/>
        </w:rPr>
        <w:t xml:space="preserve">que excedían el 30% del monto de garantía de ejecución contractual. Esta circunstancia estaba contemplada como causal de rescisión en el contrato de concesión. Sin embargo, el Estado </w:t>
      </w:r>
      <w:r w:rsidR="00E411F8" w:rsidRPr="00ED0D6F">
        <w:rPr>
          <w:rFonts w:asciiTheme="majorHAnsi" w:hAnsiTheme="majorHAnsi"/>
          <w:sz w:val="20"/>
          <w:szCs w:val="20"/>
          <w:lang w:val="es-ES_tradnl"/>
        </w:rPr>
        <w:t>habría optado</w:t>
      </w:r>
      <w:r w:rsidR="0022402B" w:rsidRPr="00ED0D6F">
        <w:rPr>
          <w:rFonts w:asciiTheme="majorHAnsi" w:hAnsiTheme="majorHAnsi"/>
          <w:sz w:val="20"/>
          <w:szCs w:val="20"/>
          <w:lang w:val="es-ES_tradnl"/>
        </w:rPr>
        <w:t xml:space="preserve"> negligentemente por no rescindir el </w:t>
      </w:r>
      <w:r w:rsidR="009575DE" w:rsidRPr="00ED0D6F">
        <w:rPr>
          <w:rFonts w:asciiTheme="majorHAnsi" w:hAnsiTheme="majorHAnsi"/>
          <w:sz w:val="20"/>
          <w:szCs w:val="20"/>
          <w:lang w:val="es-ES_tradnl"/>
        </w:rPr>
        <w:t>contrato</w:t>
      </w:r>
      <w:r w:rsidR="0022402B" w:rsidRPr="00ED0D6F">
        <w:rPr>
          <w:rFonts w:asciiTheme="majorHAnsi" w:hAnsiTheme="majorHAnsi"/>
          <w:sz w:val="20"/>
          <w:szCs w:val="20"/>
          <w:lang w:val="es-ES_tradnl"/>
        </w:rPr>
        <w:t xml:space="preserve">. </w:t>
      </w:r>
      <w:r w:rsidR="00E411F8" w:rsidRPr="00ED0D6F">
        <w:rPr>
          <w:rFonts w:asciiTheme="majorHAnsi" w:hAnsiTheme="majorHAnsi"/>
          <w:sz w:val="20"/>
          <w:szCs w:val="20"/>
          <w:lang w:val="es-ES_tradnl"/>
        </w:rPr>
        <w:t>De</w:t>
      </w:r>
      <w:r w:rsidR="0022402B" w:rsidRPr="00ED0D6F">
        <w:rPr>
          <w:rFonts w:asciiTheme="majorHAnsi" w:hAnsiTheme="majorHAnsi"/>
          <w:sz w:val="20"/>
          <w:szCs w:val="20"/>
          <w:lang w:val="es-ES_tradnl"/>
        </w:rPr>
        <w:t xml:space="preserve"> esta forma, contribuyó al accidente el cual pudo ser evitado si la concesionaria hubiera sido reemplazada por un prestador que sí cumpliera con los estándares requeridos para la seguridad de los pasajeros. La demanda </w:t>
      </w:r>
      <w:r w:rsidR="00767FF0" w:rsidRPr="00ED0D6F">
        <w:rPr>
          <w:rFonts w:asciiTheme="majorHAnsi" w:hAnsiTheme="majorHAnsi"/>
          <w:sz w:val="20"/>
          <w:szCs w:val="20"/>
          <w:lang w:val="es-ES_tradnl"/>
        </w:rPr>
        <w:t xml:space="preserve">también explicó que en 2007 la concesión fue finalmente rescindida a raíz de protestas de </w:t>
      </w:r>
      <w:r w:rsidR="00E411F8" w:rsidRPr="00ED0D6F">
        <w:rPr>
          <w:rFonts w:asciiTheme="majorHAnsi" w:hAnsiTheme="majorHAnsi"/>
          <w:sz w:val="20"/>
          <w:szCs w:val="20"/>
          <w:lang w:val="es-ES_tradnl"/>
        </w:rPr>
        <w:t>los pasajeros</w:t>
      </w:r>
      <w:r w:rsidR="002123C0" w:rsidRPr="00ED0D6F">
        <w:rPr>
          <w:rFonts w:asciiTheme="majorHAnsi" w:hAnsiTheme="majorHAnsi"/>
          <w:sz w:val="20"/>
          <w:szCs w:val="20"/>
          <w:lang w:val="es-ES_tradnl"/>
        </w:rPr>
        <w:t>.</w:t>
      </w:r>
    </w:p>
    <w:p w14:paraId="01073217" w14:textId="795C3E6A" w:rsidR="00625770" w:rsidRPr="00ED0D6F" w:rsidRDefault="00E411F8" w:rsidP="00264C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En este contexto, l</w:t>
      </w:r>
      <w:r w:rsidR="002123C0" w:rsidRPr="00ED0D6F">
        <w:rPr>
          <w:rFonts w:asciiTheme="majorHAnsi" w:hAnsiTheme="majorHAnsi"/>
          <w:sz w:val="20"/>
          <w:szCs w:val="20"/>
          <w:lang w:val="es-ES_tradnl"/>
        </w:rPr>
        <w:t>a demanda interpuesta por la presunta víctima fue conocida</w:t>
      </w:r>
      <w:r w:rsidR="009575DE" w:rsidRPr="00ED0D6F">
        <w:rPr>
          <w:rFonts w:asciiTheme="majorHAnsi" w:hAnsiTheme="majorHAnsi"/>
          <w:sz w:val="20"/>
          <w:szCs w:val="20"/>
          <w:lang w:val="es-ES_tradnl"/>
        </w:rPr>
        <w:t xml:space="preserve"> por</w:t>
      </w:r>
      <w:r w:rsidRPr="00ED0D6F">
        <w:rPr>
          <w:rFonts w:asciiTheme="majorHAnsi" w:hAnsiTheme="majorHAnsi"/>
          <w:sz w:val="20"/>
          <w:szCs w:val="20"/>
          <w:lang w:val="es-ES_tradnl"/>
        </w:rPr>
        <w:t xml:space="preserve"> </w:t>
      </w:r>
      <w:r w:rsidR="009575DE" w:rsidRPr="00ED0D6F">
        <w:rPr>
          <w:rFonts w:asciiTheme="majorHAnsi" w:hAnsiTheme="majorHAnsi"/>
          <w:sz w:val="20"/>
          <w:szCs w:val="20"/>
          <w:lang w:val="es-ES_tradnl"/>
        </w:rPr>
        <w:t xml:space="preserve">el Juzgado Nacional de Primera Instancia en los Civil No. 1 de la Capital Federal. </w:t>
      </w:r>
      <w:r w:rsidR="002123C0" w:rsidRPr="00ED0D6F">
        <w:rPr>
          <w:rFonts w:asciiTheme="majorHAnsi" w:hAnsiTheme="majorHAnsi"/>
          <w:sz w:val="20"/>
          <w:szCs w:val="20"/>
          <w:lang w:val="es-ES_tradnl"/>
        </w:rPr>
        <w:t xml:space="preserve"> </w:t>
      </w:r>
      <w:r w:rsidR="00C17D26" w:rsidRPr="00ED0D6F">
        <w:rPr>
          <w:rFonts w:asciiTheme="majorHAnsi" w:hAnsiTheme="majorHAnsi"/>
          <w:sz w:val="20"/>
          <w:szCs w:val="20"/>
          <w:lang w:val="es-ES_tradnl"/>
        </w:rPr>
        <w:t>El 13 de diciembre de 2010 e</w:t>
      </w:r>
      <w:r w:rsidR="002123C0" w:rsidRPr="00ED0D6F">
        <w:rPr>
          <w:rFonts w:asciiTheme="majorHAnsi" w:hAnsiTheme="majorHAnsi"/>
          <w:sz w:val="20"/>
          <w:szCs w:val="20"/>
          <w:lang w:val="es-ES_tradnl"/>
        </w:rPr>
        <w:t xml:space="preserve">ste juzgado falló a favor de la presunta víctima condenado a la empresa, su aseguradora y </w:t>
      </w:r>
      <w:r w:rsidR="00782139" w:rsidRPr="00ED0D6F">
        <w:rPr>
          <w:rFonts w:asciiTheme="majorHAnsi" w:hAnsiTheme="majorHAnsi"/>
          <w:sz w:val="20"/>
          <w:szCs w:val="20"/>
          <w:lang w:val="es-ES_tradnl"/>
        </w:rPr>
        <w:t>a</w:t>
      </w:r>
      <w:r w:rsidR="002123C0" w:rsidRPr="00ED0D6F">
        <w:rPr>
          <w:rFonts w:asciiTheme="majorHAnsi" w:hAnsiTheme="majorHAnsi"/>
          <w:sz w:val="20"/>
          <w:szCs w:val="20"/>
          <w:lang w:val="es-ES_tradnl"/>
        </w:rPr>
        <w:t>l Estado a pagar $</w:t>
      </w:r>
      <w:r w:rsidR="00BC24EF" w:rsidRPr="00ED0D6F">
        <w:rPr>
          <w:rFonts w:asciiTheme="majorHAnsi" w:hAnsiTheme="majorHAnsi"/>
          <w:sz w:val="20"/>
          <w:szCs w:val="20"/>
          <w:lang w:val="es-ES_tradnl"/>
        </w:rPr>
        <w:t>.</w:t>
      </w:r>
      <w:r w:rsidR="002123C0" w:rsidRPr="00ED0D6F">
        <w:rPr>
          <w:rFonts w:asciiTheme="majorHAnsi" w:hAnsiTheme="majorHAnsi"/>
          <w:sz w:val="20"/>
          <w:szCs w:val="20"/>
          <w:lang w:val="es-ES_tradnl"/>
        </w:rPr>
        <w:t>557.000 pesos</w:t>
      </w:r>
      <w:r w:rsidR="00C17D26" w:rsidRPr="00ED0D6F">
        <w:rPr>
          <w:rFonts w:asciiTheme="majorHAnsi" w:hAnsiTheme="majorHAnsi"/>
          <w:sz w:val="20"/>
          <w:szCs w:val="20"/>
          <w:lang w:val="es-ES_tradnl"/>
        </w:rPr>
        <w:t xml:space="preserve"> (aproximadamente </w:t>
      </w:r>
      <w:r w:rsidR="00782139" w:rsidRPr="00ED0D6F">
        <w:rPr>
          <w:rFonts w:asciiTheme="majorHAnsi" w:hAnsiTheme="majorHAnsi"/>
          <w:sz w:val="20"/>
          <w:szCs w:val="20"/>
          <w:lang w:val="es-ES_tradnl"/>
        </w:rPr>
        <w:t>USD</w:t>
      </w:r>
      <w:r w:rsidR="00C17D26" w:rsidRPr="00ED0D6F">
        <w:rPr>
          <w:rFonts w:asciiTheme="majorHAnsi" w:hAnsiTheme="majorHAnsi"/>
          <w:sz w:val="20"/>
          <w:szCs w:val="20"/>
          <w:lang w:val="es-ES_tradnl"/>
        </w:rPr>
        <w:t>$</w:t>
      </w:r>
      <w:r w:rsidR="00782139" w:rsidRPr="00ED0D6F">
        <w:rPr>
          <w:rFonts w:asciiTheme="majorHAnsi" w:hAnsiTheme="majorHAnsi"/>
          <w:sz w:val="20"/>
          <w:szCs w:val="20"/>
          <w:lang w:val="es-ES_tradnl"/>
        </w:rPr>
        <w:t xml:space="preserve">. </w:t>
      </w:r>
      <w:r w:rsidR="00C17D26" w:rsidRPr="00ED0D6F">
        <w:rPr>
          <w:rFonts w:asciiTheme="majorHAnsi" w:hAnsiTheme="majorHAnsi"/>
          <w:sz w:val="20"/>
          <w:szCs w:val="20"/>
          <w:lang w:val="es-ES_tradnl"/>
        </w:rPr>
        <w:t>139,250.00 en 2010</w:t>
      </w:r>
      <w:r w:rsidR="00C17D26" w:rsidRPr="00ED0D6F">
        <w:rPr>
          <w:rStyle w:val="FootnoteReference"/>
          <w:rFonts w:asciiTheme="majorHAnsi" w:hAnsiTheme="majorHAnsi"/>
          <w:sz w:val="20"/>
          <w:szCs w:val="20"/>
          <w:lang w:val="es-ES_tradnl"/>
        </w:rPr>
        <w:footnoteReference w:id="5"/>
      </w:r>
      <w:r w:rsidR="00C17D26" w:rsidRPr="00ED0D6F">
        <w:rPr>
          <w:rFonts w:asciiTheme="majorHAnsi" w:hAnsiTheme="majorHAnsi"/>
          <w:sz w:val="20"/>
          <w:szCs w:val="20"/>
          <w:lang w:val="es-ES_tradnl"/>
        </w:rPr>
        <w:t>)</w:t>
      </w:r>
      <w:r w:rsidR="00782139" w:rsidRPr="00ED0D6F">
        <w:rPr>
          <w:rFonts w:asciiTheme="majorHAnsi" w:hAnsiTheme="majorHAnsi"/>
          <w:sz w:val="20"/>
          <w:szCs w:val="20"/>
          <w:lang w:val="es-ES_tradnl"/>
        </w:rPr>
        <w:t>,</w:t>
      </w:r>
      <w:r w:rsidR="002123C0" w:rsidRPr="00ED0D6F">
        <w:rPr>
          <w:rFonts w:asciiTheme="majorHAnsi" w:hAnsiTheme="majorHAnsi"/>
          <w:sz w:val="20"/>
          <w:szCs w:val="20"/>
          <w:lang w:val="es-ES_tradnl"/>
        </w:rPr>
        <w:t xml:space="preserve"> más intereses y costas</w:t>
      </w:r>
      <w:r w:rsidR="00C17D26" w:rsidRPr="00ED0D6F">
        <w:rPr>
          <w:rFonts w:asciiTheme="majorHAnsi" w:hAnsiTheme="majorHAnsi"/>
          <w:sz w:val="20"/>
          <w:szCs w:val="20"/>
          <w:lang w:val="es-ES_tradnl"/>
        </w:rPr>
        <w:t xml:space="preserve">. Sin embargo, la sentencia fue apelada por las partes demandadas. El 7 de febrero de 2012 la Sala I de la Cámara Nacional de Apelaciones en lo Civil confirmó la condena contra la concesionaria y su </w:t>
      </w:r>
      <w:r w:rsidR="009575DE" w:rsidRPr="00ED0D6F">
        <w:rPr>
          <w:rFonts w:asciiTheme="majorHAnsi" w:hAnsiTheme="majorHAnsi"/>
          <w:sz w:val="20"/>
          <w:szCs w:val="20"/>
          <w:lang w:val="es-ES_tradnl"/>
        </w:rPr>
        <w:t>a</w:t>
      </w:r>
      <w:r w:rsidR="00C17D26" w:rsidRPr="00ED0D6F">
        <w:rPr>
          <w:rFonts w:asciiTheme="majorHAnsi" w:hAnsiTheme="majorHAnsi"/>
          <w:sz w:val="20"/>
          <w:szCs w:val="20"/>
          <w:lang w:val="es-ES_tradnl"/>
        </w:rPr>
        <w:t>seguradora</w:t>
      </w:r>
      <w:r w:rsidR="009575DE" w:rsidRPr="00ED0D6F">
        <w:rPr>
          <w:rFonts w:asciiTheme="majorHAnsi" w:hAnsiTheme="majorHAnsi"/>
          <w:sz w:val="20"/>
          <w:szCs w:val="20"/>
          <w:lang w:val="es-ES_tradnl"/>
        </w:rPr>
        <w:t>,</w:t>
      </w:r>
      <w:r w:rsidR="00C17D26" w:rsidRPr="00ED0D6F">
        <w:rPr>
          <w:rFonts w:asciiTheme="majorHAnsi" w:hAnsiTheme="majorHAnsi"/>
          <w:sz w:val="20"/>
          <w:szCs w:val="20"/>
          <w:lang w:val="es-ES_tradnl"/>
        </w:rPr>
        <w:t xml:space="preserve"> pero la revocó en lo relacionado con la responsabilidad del Estado. </w:t>
      </w:r>
      <w:bookmarkStart w:id="2" w:name="_Hlk113884530"/>
      <w:r w:rsidR="00264CC1" w:rsidRPr="00ED0D6F">
        <w:rPr>
          <w:rFonts w:asciiTheme="majorHAnsi" w:hAnsiTheme="majorHAnsi"/>
          <w:sz w:val="20"/>
          <w:szCs w:val="20"/>
          <w:lang w:val="es-ES_tradnl"/>
        </w:rPr>
        <w:t>El peticionario alega que el voto mayoritario de la decisión que eximió de responsabilidad al Estado se fundamentó en una cláusula del contrato de concesión celebrado entre el Estado y la empresa que operaba el servicio, la cual establecía que el Estado no tendría responsabilidad frente a terceras personas en casos de accidente. En la misma decisión también se habría emitido un voto de minoría el cual concluyó que el Estado había controlado correctamente al servicio ferroviario.</w:t>
      </w:r>
    </w:p>
    <w:bookmarkEnd w:id="2"/>
    <w:p w14:paraId="413DDE57" w14:textId="1C8F4D0D" w:rsidR="008A3EF9" w:rsidRPr="00ED0D6F" w:rsidRDefault="008A3EF9"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El peticionario explica que la empresa que fue responsabilizada del accidente se declaró en quiebra luego de que su concesión fuera rescindida por el Estado en 2007</w:t>
      </w:r>
      <w:r w:rsidR="00592921" w:rsidRPr="00ED0D6F">
        <w:rPr>
          <w:rFonts w:asciiTheme="majorHAnsi" w:hAnsiTheme="majorHAnsi"/>
          <w:sz w:val="20"/>
          <w:szCs w:val="20"/>
          <w:lang w:val="es-ES_tradnl"/>
        </w:rPr>
        <w:t>. La referida concesión era el único activo de la empresa en cuestión</w:t>
      </w:r>
      <w:r w:rsidR="00CB53B4" w:rsidRPr="00ED0D6F">
        <w:rPr>
          <w:rFonts w:asciiTheme="majorHAnsi" w:hAnsiTheme="majorHAnsi"/>
          <w:sz w:val="20"/>
          <w:szCs w:val="20"/>
          <w:lang w:val="es-ES_tradnl"/>
        </w:rPr>
        <w:t>,</w:t>
      </w:r>
      <w:r w:rsidR="00592921" w:rsidRPr="00ED0D6F">
        <w:rPr>
          <w:rFonts w:asciiTheme="majorHAnsi" w:hAnsiTheme="majorHAnsi"/>
          <w:sz w:val="20"/>
          <w:szCs w:val="20"/>
          <w:lang w:val="es-ES_tradnl"/>
        </w:rPr>
        <w:t xml:space="preserve"> por lo que tras perderla quedó en estado de insolvencia e incapaz de pagar las reparaciones ordenadas a favor de la presunta víctima. La empresa que fungió como aseguradora era un “auto seguro”</w:t>
      </w:r>
      <w:r w:rsidR="00E20FDE" w:rsidRPr="00ED0D6F">
        <w:rPr>
          <w:rFonts w:asciiTheme="majorHAnsi" w:hAnsiTheme="majorHAnsi"/>
          <w:sz w:val="20"/>
          <w:szCs w:val="20"/>
          <w:lang w:val="es-ES_tradnl"/>
        </w:rPr>
        <w:t>,</w:t>
      </w:r>
      <w:r w:rsidR="00592921" w:rsidRPr="00ED0D6F">
        <w:rPr>
          <w:rFonts w:asciiTheme="majorHAnsi" w:hAnsiTheme="majorHAnsi"/>
          <w:sz w:val="20"/>
          <w:szCs w:val="20"/>
          <w:lang w:val="es-ES_tradnl"/>
        </w:rPr>
        <w:t xml:space="preserve"> pues pertenecía al mismo grupo económico que la empresa concesionaria</w:t>
      </w:r>
      <w:r w:rsidR="00E20FDE" w:rsidRPr="00ED0D6F">
        <w:rPr>
          <w:rFonts w:asciiTheme="majorHAnsi" w:hAnsiTheme="majorHAnsi"/>
          <w:sz w:val="20"/>
          <w:szCs w:val="20"/>
          <w:lang w:val="es-ES_tradnl"/>
        </w:rPr>
        <w:t>,</w:t>
      </w:r>
      <w:r w:rsidR="00592921" w:rsidRPr="00ED0D6F">
        <w:rPr>
          <w:rFonts w:asciiTheme="majorHAnsi" w:hAnsiTheme="majorHAnsi"/>
          <w:sz w:val="20"/>
          <w:szCs w:val="20"/>
          <w:lang w:val="es-ES_tradnl"/>
        </w:rPr>
        <w:t xml:space="preserve"> y también se declaró </w:t>
      </w:r>
      <w:r w:rsidR="00592921" w:rsidRPr="00ED0D6F">
        <w:rPr>
          <w:rFonts w:asciiTheme="majorHAnsi" w:hAnsiTheme="majorHAnsi"/>
          <w:sz w:val="20"/>
          <w:szCs w:val="20"/>
          <w:lang w:val="es-ES_tradnl"/>
        </w:rPr>
        <w:lastRenderedPageBreak/>
        <w:t xml:space="preserve">en quiebra tras la rescisión de la concesión. Por lo tanto, </w:t>
      </w:r>
      <w:r w:rsidR="005A1099" w:rsidRPr="00ED0D6F">
        <w:rPr>
          <w:rFonts w:asciiTheme="majorHAnsi" w:hAnsiTheme="majorHAnsi"/>
          <w:sz w:val="20"/>
          <w:szCs w:val="20"/>
          <w:lang w:val="es-ES_tradnl"/>
        </w:rPr>
        <w:t>sostiene el peticionario,</w:t>
      </w:r>
      <w:r w:rsidR="00592921" w:rsidRPr="00ED0D6F">
        <w:rPr>
          <w:rFonts w:asciiTheme="majorHAnsi" w:hAnsiTheme="majorHAnsi"/>
          <w:sz w:val="20"/>
          <w:szCs w:val="20"/>
          <w:lang w:val="es-ES_tradnl"/>
        </w:rPr>
        <w:t xml:space="preserve"> la decisión de eximir de responsabilidad del Estado colocó a la presunta víctima en una imposibilidad total de obtener reparación por los perjuicios que sufrió. </w:t>
      </w:r>
      <w:r w:rsidR="00A07620" w:rsidRPr="00ED0D6F">
        <w:rPr>
          <w:rFonts w:asciiTheme="majorHAnsi" w:hAnsiTheme="majorHAnsi"/>
          <w:sz w:val="20"/>
          <w:szCs w:val="20"/>
          <w:lang w:val="es-ES_tradnl"/>
        </w:rPr>
        <w:t>A juicio del peticionario, esto agrava la responsabilidad del Estado</w:t>
      </w:r>
      <w:r w:rsidR="00292855" w:rsidRPr="00ED0D6F">
        <w:rPr>
          <w:rFonts w:asciiTheme="majorHAnsi" w:hAnsiTheme="majorHAnsi"/>
          <w:sz w:val="20"/>
          <w:szCs w:val="20"/>
          <w:lang w:val="es-ES_tradnl"/>
        </w:rPr>
        <w:t>,</w:t>
      </w:r>
      <w:r w:rsidR="00A07620" w:rsidRPr="00ED0D6F">
        <w:rPr>
          <w:rFonts w:asciiTheme="majorHAnsi" w:hAnsiTheme="majorHAnsi"/>
          <w:sz w:val="20"/>
          <w:szCs w:val="20"/>
          <w:lang w:val="es-ES_tradnl"/>
        </w:rPr>
        <w:t xml:space="preserve"> pues concesionó a una empresa que no solo prestó el servicio en forma deficiente</w:t>
      </w:r>
      <w:r w:rsidR="00292855" w:rsidRPr="00ED0D6F">
        <w:rPr>
          <w:rFonts w:asciiTheme="majorHAnsi" w:hAnsiTheme="majorHAnsi"/>
          <w:sz w:val="20"/>
          <w:szCs w:val="20"/>
          <w:lang w:val="es-ES_tradnl"/>
        </w:rPr>
        <w:t>,</w:t>
      </w:r>
      <w:r w:rsidR="00A07620" w:rsidRPr="00ED0D6F">
        <w:rPr>
          <w:rFonts w:asciiTheme="majorHAnsi" w:hAnsiTheme="majorHAnsi"/>
          <w:sz w:val="20"/>
          <w:szCs w:val="20"/>
          <w:lang w:val="es-ES_tradnl"/>
        </w:rPr>
        <w:t xml:space="preserve"> sino que además resultó ser insolvente. </w:t>
      </w:r>
    </w:p>
    <w:p w14:paraId="2A4B2976" w14:textId="538C69B1" w:rsidR="00A44CCC" w:rsidRPr="00ED0D6F" w:rsidRDefault="00A07620" w:rsidP="00605B5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La presunta víctima interpuso </w:t>
      </w:r>
      <w:r w:rsidR="00BA220A" w:rsidRPr="00ED0D6F">
        <w:rPr>
          <w:rFonts w:asciiTheme="majorHAnsi" w:hAnsiTheme="majorHAnsi"/>
          <w:sz w:val="20"/>
          <w:szCs w:val="20"/>
          <w:lang w:val="es-ES_tradnl"/>
        </w:rPr>
        <w:t xml:space="preserve">un </w:t>
      </w:r>
      <w:r w:rsidRPr="00ED0D6F">
        <w:rPr>
          <w:rFonts w:asciiTheme="majorHAnsi" w:hAnsiTheme="majorHAnsi"/>
          <w:sz w:val="20"/>
          <w:szCs w:val="20"/>
          <w:lang w:val="es-ES_tradnl"/>
        </w:rPr>
        <w:t>recurso extraordinario federal contra la decisión de la Cámara Nacional de Apelaciones que eximió al Estado de responsabilid</w:t>
      </w:r>
      <w:r w:rsidR="004C3D96" w:rsidRPr="00ED0D6F">
        <w:rPr>
          <w:rFonts w:asciiTheme="majorHAnsi" w:hAnsiTheme="majorHAnsi"/>
          <w:sz w:val="20"/>
          <w:szCs w:val="20"/>
          <w:lang w:val="es-ES_tradnl"/>
        </w:rPr>
        <w:t xml:space="preserve">ad. El recurso </w:t>
      </w:r>
      <w:r w:rsidR="00081014" w:rsidRPr="00ED0D6F">
        <w:rPr>
          <w:rFonts w:asciiTheme="majorHAnsi" w:hAnsiTheme="majorHAnsi"/>
          <w:sz w:val="20"/>
          <w:szCs w:val="20"/>
          <w:lang w:val="es-ES_tradnl"/>
        </w:rPr>
        <w:t>planteó</w:t>
      </w:r>
      <w:r w:rsidR="004C3D96" w:rsidRPr="00ED0D6F">
        <w:rPr>
          <w:rFonts w:asciiTheme="majorHAnsi" w:hAnsiTheme="majorHAnsi"/>
          <w:sz w:val="20"/>
          <w:szCs w:val="20"/>
          <w:lang w:val="es-ES_tradnl"/>
        </w:rPr>
        <w:t xml:space="preserve"> que la sentencia adolecía de vicios de arbitrariedad. Sin embargo, el 8 de mayo de 2012 la </w:t>
      </w:r>
      <w:r w:rsidR="00B70A85" w:rsidRPr="00ED0D6F">
        <w:rPr>
          <w:rFonts w:asciiTheme="majorHAnsi" w:hAnsiTheme="majorHAnsi"/>
          <w:sz w:val="20"/>
          <w:szCs w:val="20"/>
          <w:lang w:val="es-ES_tradnl"/>
        </w:rPr>
        <w:t>c</w:t>
      </w:r>
      <w:r w:rsidR="004C3D96" w:rsidRPr="00ED0D6F">
        <w:rPr>
          <w:rFonts w:asciiTheme="majorHAnsi" w:hAnsiTheme="majorHAnsi"/>
          <w:sz w:val="20"/>
          <w:szCs w:val="20"/>
          <w:lang w:val="es-ES_tradnl"/>
        </w:rPr>
        <w:t xml:space="preserve">ámara desestimó el recurso extraordinario. Entonces, la presunta víctima interpuso un recurso de queja por recurso extraordinario denegado ante la Corte Suprema de Justicia de la Nación. </w:t>
      </w:r>
      <w:r w:rsidR="00B70A85" w:rsidRPr="00ED0D6F">
        <w:rPr>
          <w:rFonts w:asciiTheme="majorHAnsi" w:hAnsiTheme="majorHAnsi"/>
          <w:sz w:val="20"/>
          <w:szCs w:val="20"/>
          <w:lang w:val="es-ES_tradnl"/>
        </w:rPr>
        <w:t>E</w:t>
      </w:r>
      <w:r w:rsidR="004C3D96" w:rsidRPr="00ED0D6F">
        <w:rPr>
          <w:rFonts w:asciiTheme="majorHAnsi" w:hAnsiTheme="majorHAnsi"/>
          <w:sz w:val="20"/>
          <w:szCs w:val="20"/>
          <w:lang w:val="es-ES_tradnl"/>
        </w:rPr>
        <w:t xml:space="preserve">l </w:t>
      </w:r>
      <w:r w:rsidR="00A44CCC" w:rsidRPr="00ED0D6F">
        <w:rPr>
          <w:rFonts w:asciiTheme="majorHAnsi" w:hAnsiTheme="majorHAnsi"/>
          <w:sz w:val="20"/>
          <w:szCs w:val="20"/>
          <w:lang w:val="es-ES_tradnl"/>
        </w:rPr>
        <w:t>21 de octubre de 2014</w:t>
      </w:r>
      <w:r w:rsidR="005237ED" w:rsidRPr="00ED0D6F">
        <w:rPr>
          <w:rFonts w:asciiTheme="majorHAnsi" w:hAnsiTheme="majorHAnsi"/>
          <w:sz w:val="20"/>
          <w:szCs w:val="20"/>
          <w:lang w:val="es-ES_tradnl"/>
        </w:rPr>
        <w:t xml:space="preserve"> </w:t>
      </w:r>
      <w:r w:rsidR="00B70A85" w:rsidRPr="00ED0D6F">
        <w:rPr>
          <w:rFonts w:asciiTheme="majorHAnsi" w:hAnsiTheme="majorHAnsi"/>
          <w:sz w:val="20"/>
          <w:szCs w:val="20"/>
          <w:lang w:val="es-ES_tradnl"/>
        </w:rPr>
        <w:t xml:space="preserve">esta última instancia </w:t>
      </w:r>
      <w:r w:rsidR="00A44CCC" w:rsidRPr="00ED0D6F">
        <w:rPr>
          <w:rFonts w:asciiTheme="majorHAnsi" w:hAnsiTheme="majorHAnsi"/>
          <w:sz w:val="20"/>
          <w:szCs w:val="20"/>
          <w:lang w:val="es-ES_tradnl"/>
        </w:rPr>
        <w:t xml:space="preserve">declaró el recurso inadmisible </w:t>
      </w:r>
      <w:r w:rsidR="00B70A85" w:rsidRPr="00ED0D6F">
        <w:rPr>
          <w:rFonts w:asciiTheme="majorHAnsi" w:hAnsiTheme="majorHAnsi"/>
          <w:sz w:val="20"/>
          <w:szCs w:val="20"/>
          <w:lang w:val="es-ES_tradnl"/>
        </w:rPr>
        <w:t>invocando</w:t>
      </w:r>
      <w:r w:rsidR="00A44CCC" w:rsidRPr="00ED0D6F">
        <w:rPr>
          <w:rFonts w:asciiTheme="majorHAnsi" w:hAnsiTheme="majorHAnsi"/>
          <w:sz w:val="20"/>
          <w:szCs w:val="20"/>
          <w:lang w:val="es-ES_tradnl"/>
        </w:rPr>
        <w:t xml:space="preserve"> el artículo 280 del Código Procesal Civil y Comercial de la Nación</w:t>
      </w:r>
      <w:r w:rsidR="00B70A85" w:rsidRPr="00ED0D6F">
        <w:rPr>
          <w:rFonts w:asciiTheme="majorHAnsi" w:hAnsiTheme="majorHAnsi"/>
          <w:sz w:val="20"/>
          <w:szCs w:val="20"/>
          <w:lang w:val="es-ES_tradnl"/>
        </w:rPr>
        <w:t xml:space="preserve"> (</w:t>
      </w:r>
      <w:r w:rsidR="00B70A85" w:rsidRPr="00ED0D6F">
        <w:rPr>
          <w:rFonts w:asciiTheme="majorHAnsi" w:hAnsiTheme="majorHAnsi"/>
          <w:i/>
          <w:iCs/>
          <w:sz w:val="20"/>
          <w:szCs w:val="20"/>
          <w:lang w:val="es-ES_tradnl"/>
        </w:rPr>
        <w:t>certiorari</w:t>
      </w:r>
      <w:r w:rsidR="00B70A85" w:rsidRPr="00ED0D6F">
        <w:rPr>
          <w:rFonts w:asciiTheme="majorHAnsi" w:hAnsiTheme="majorHAnsi"/>
          <w:sz w:val="20"/>
          <w:szCs w:val="20"/>
          <w:lang w:val="es-ES_tradnl"/>
        </w:rPr>
        <w:t>)</w:t>
      </w:r>
      <w:r w:rsidR="00A44CCC" w:rsidRPr="00ED0D6F">
        <w:rPr>
          <w:rFonts w:asciiTheme="majorHAnsi" w:hAnsiTheme="majorHAnsi"/>
          <w:sz w:val="20"/>
          <w:szCs w:val="20"/>
          <w:lang w:val="es-ES_tradnl"/>
        </w:rPr>
        <w:t>.</w:t>
      </w:r>
      <w:r w:rsidR="005237ED" w:rsidRPr="00ED0D6F">
        <w:rPr>
          <w:rFonts w:asciiTheme="majorHAnsi" w:hAnsiTheme="majorHAnsi"/>
          <w:sz w:val="20"/>
          <w:szCs w:val="20"/>
          <w:lang w:val="es-ES_tradnl"/>
        </w:rPr>
        <w:t xml:space="preserve"> La petición señala que esta decisión agotó las vías judiciales internas y que le fue notificada a la presunta víctima el 4 de noviembre de 2014</w:t>
      </w:r>
      <w:r w:rsidR="00B70A85" w:rsidRPr="00ED0D6F">
        <w:rPr>
          <w:rFonts w:asciiTheme="majorHAnsi" w:hAnsiTheme="majorHAnsi"/>
          <w:sz w:val="20"/>
          <w:szCs w:val="20"/>
          <w:lang w:val="es-ES_tradnl"/>
        </w:rPr>
        <w:t>.</w:t>
      </w:r>
      <w:r w:rsidR="005237ED" w:rsidRPr="00ED0D6F">
        <w:rPr>
          <w:rFonts w:asciiTheme="majorHAnsi" w:hAnsiTheme="majorHAnsi"/>
          <w:sz w:val="20"/>
          <w:szCs w:val="20"/>
          <w:lang w:val="es-ES_tradnl"/>
        </w:rPr>
        <w:t xml:space="preserve"> </w:t>
      </w:r>
      <w:r w:rsidR="00605B59" w:rsidRPr="00ED0D6F">
        <w:rPr>
          <w:rFonts w:asciiTheme="majorHAnsi" w:hAnsiTheme="majorHAnsi"/>
          <w:sz w:val="20"/>
          <w:szCs w:val="20"/>
          <w:lang w:val="es-ES_tradnl"/>
        </w:rPr>
        <w:t>Rechazó que el peticionario considera infundado.</w:t>
      </w:r>
    </w:p>
    <w:p w14:paraId="28656961" w14:textId="36ABD5CA" w:rsidR="005237ED" w:rsidRPr="00ED0D6F" w:rsidRDefault="005237ED"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El Estado</w:t>
      </w:r>
      <w:r w:rsidR="00605B59" w:rsidRPr="00ED0D6F">
        <w:rPr>
          <w:rFonts w:asciiTheme="majorHAnsi" w:hAnsiTheme="majorHAnsi"/>
          <w:sz w:val="20"/>
          <w:szCs w:val="20"/>
          <w:lang w:val="es-ES_tradnl"/>
        </w:rPr>
        <w:t xml:space="preserve"> argentino</w:t>
      </w:r>
      <w:r w:rsidRPr="00ED0D6F">
        <w:rPr>
          <w:rFonts w:asciiTheme="majorHAnsi" w:hAnsiTheme="majorHAnsi"/>
          <w:sz w:val="20"/>
          <w:szCs w:val="20"/>
          <w:lang w:val="es-ES_tradnl"/>
        </w:rPr>
        <w:t xml:space="preserve">, por su parte, solicita la inadmisión de la petición </w:t>
      </w:r>
      <w:r w:rsidR="005C1BD0" w:rsidRPr="00ED0D6F">
        <w:rPr>
          <w:rFonts w:asciiTheme="majorHAnsi" w:hAnsiTheme="majorHAnsi"/>
          <w:sz w:val="20"/>
          <w:szCs w:val="20"/>
          <w:lang w:val="es-ES_tradnl"/>
        </w:rPr>
        <w:t>porque la presunta víctima no cumplió con el requisito de agotamiento de los recursos internos</w:t>
      </w:r>
      <w:r w:rsidR="000220A4" w:rsidRPr="00ED0D6F">
        <w:rPr>
          <w:rFonts w:asciiTheme="majorHAnsi" w:hAnsiTheme="majorHAnsi"/>
          <w:sz w:val="20"/>
          <w:szCs w:val="20"/>
          <w:lang w:val="es-ES_tradnl"/>
        </w:rPr>
        <w:t>;</w:t>
      </w:r>
      <w:r w:rsidR="005C1BD0" w:rsidRPr="00ED0D6F">
        <w:rPr>
          <w:rFonts w:asciiTheme="majorHAnsi" w:hAnsiTheme="majorHAnsi"/>
          <w:sz w:val="20"/>
          <w:szCs w:val="20"/>
          <w:lang w:val="es-ES_tradnl"/>
        </w:rPr>
        <w:t xml:space="preserve"> y porque</w:t>
      </w:r>
      <w:r w:rsidR="000220A4" w:rsidRPr="00ED0D6F">
        <w:rPr>
          <w:rFonts w:asciiTheme="majorHAnsi" w:hAnsiTheme="majorHAnsi"/>
          <w:sz w:val="20"/>
          <w:szCs w:val="20"/>
          <w:lang w:val="es-ES_tradnl"/>
        </w:rPr>
        <w:t>, a su juicio,</w:t>
      </w:r>
      <w:r w:rsidR="005C1BD0" w:rsidRPr="00ED0D6F">
        <w:rPr>
          <w:rFonts w:asciiTheme="majorHAnsi" w:hAnsiTheme="majorHAnsi"/>
          <w:sz w:val="20"/>
          <w:szCs w:val="20"/>
          <w:lang w:val="es-ES_tradnl"/>
        </w:rPr>
        <w:t xml:space="preserve"> el peticionario pretende que la Comisión actúe como una “cuarta instancia” en contra </w:t>
      </w:r>
      <w:r w:rsidR="000220A4" w:rsidRPr="00ED0D6F">
        <w:rPr>
          <w:rFonts w:asciiTheme="majorHAnsi" w:hAnsiTheme="majorHAnsi"/>
          <w:sz w:val="20"/>
          <w:szCs w:val="20"/>
          <w:lang w:val="es-ES_tradnl"/>
        </w:rPr>
        <w:t>de</w:t>
      </w:r>
      <w:r w:rsidR="005C1BD0" w:rsidRPr="00ED0D6F">
        <w:rPr>
          <w:rFonts w:asciiTheme="majorHAnsi" w:hAnsiTheme="majorHAnsi"/>
          <w:sz w:val="20"/>
          <w:szCs w:val="20"/>
          <w:lang w:val="es-ES_tradnl"/>
        </w:rPr>
        <w:t xml:space="preserve"> su naturaleza subsidiaria. </w:t>
      </w:r>
    </w:p>
    <w:p w14:paraId="7E79417D" w14:textId="719BBB71" w:rsidR="005C1BD0" w:rsidRPr="00ED0D6F" w:rsidRDefault="005C1BD0"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El Estado reconoce que los hechos padecidos por la presunta víctima fueron extremadamente graves y manifiesta que la responsabilidad de la empresa concesionaria y su aseguradora no se encuentra controvertida. Sin embargo, expresa que el análisis de la petición debe circunscribirse únicamente a determinar si el Estado incurrió en violaciones a derechos consagrados en instrumentos internacionales. </w:t>
      </w:r>
      <w:r w:rsidR="00DF694C" w:rsidRPr="00ED0D6F">
        <w:rPr>
          <w:rFonts w:asciiTheme="majorHAnsi" w:hAnsiTheme="majorHAnsi"/>
          <w:sz w:val="20"/>
          <w:szCs w:val="20"/>
          <w:lang w:val="es-ES_tradnl"/>
        </w:rPr>
        <w:t>Así, sostiene que las autoridades dieron adecuada respuesta a lo ocurrido</w:t>
      </w:r>
      <w:r w:rsidR="00943B19" w:rsidRPr="00ED0D6F">
        <w:rPr>
          <w:rFonts w:asciiTheme="majorHAnsi" w:hAnsiTheme="majorHAnsi"/>
          <w:sz w:val="20"/>
          <w:szCs w:val="20"/>
          <w:lang w:val="es-ES_tradnl"/>
        </w:rPr>
        <w:t>;</w:t>
      </w:r>
      <w:r w:rsidR="00DF694C" w:rsidRPr="00ED0D6F">
        <w:rPr>
          <w:rFonts w:asciiTheme="majorHAnsi" w:hAnsiTheme="majorHAnsi"/>
          <w:sz w:val="20"/>
          <w:szCs w:val="20"/>
          <w:lang w:val="es-ES_tradnl"/>
        </w:rPr>
        <w:t xml:space="preserve"> y que la responsabilidad del Estado fue descartada tras un análisis detallado y respetuoso del debido proceso legal por parte de los tribu</w:t>
      </w:r>
      <w:r w:rsidR="00097F34" w:rsidRPr="00ED0D6F">
        <w:rPr>
          <w:rFonts w:asciiTheme="majorHAnsi" w:hAnsiTheme="majorHAnsi"/>
          <w:sz w:val="20"/>
          <w:szCs w:val="20"/>
          <w:lang w:val="es-ES_tradnl"/>
        </w:rPr>
        <w:t>nales</w:t>
      </w:r>
      <w:r w:rsidR="00DF694C" w:rsidRPr="00ED0D6F">
        <w:rPr>
          <w:rFonts w:asciiTheme="majorHAnsi" w:hAnsiTheme="majorHAnsi"/>
          <w:sz w:val="20"/>
          <w:szCs w:val="20"/>
          <w:lang w:val="es-ES_tradnl"/>
        </w:rPr>
        <w:t xml:space="preserve"> domésticos. </w:t>
      </w:r>
    </w:p>
    <w:p w14:paraId="321E23AD" w14:textId="40EF570F" w:rsidR="00097F34" w:rsidRPr="00ED0D6F" w:rsidRDefault="00097F3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El Estado relata que al responder a la demanda de daños y perjuicios de la presunta víctima la Comisión Nacional de Regulación de Transporte</w:t>
      </w:r>
      <w:r w:rsidRPr="00ED0D6F">
        <w:rPr>
          <w:rFonts w:asciiTheme="majorHAnsi" w:hAnsiTheme="majorHAnsi"/>
          <w:sz w:val="20"/>
          <w:szCs w:val="20"/>
          <w:lang w:val="es-ES_tradnl" w:eastAsia="es-ES"/>
        </w:rPr>
        <w:t xml:space="preserve"> demostró que la mayoría de las multas emitidas contra la empresa concesionaria fueron por razones de “</w:t>
      </w:r>
      <w:r w:rsidRPr="00ED0D6F">
        <w:rPr>
          <w:rFonts w:asciiTheme="majorHAnsi" w:hAnsiTheme="majorHAnsi"/>
          <w:i/>
          <w:iCs/>
          <w:sz w:val="20"/>
          <w:szCs w:val="20"/>
          <w:lang w:val="es-ES_tradnl" w:eastAsia="es-ES"/>
        </w:rPr>
        <w:t>higiene y la prestación del servicio</w:t>
      </w:r>
      <w:r w:rsidRPr="00ED0D6F">
        <w:rPr>
          <w:rFonts w:asciiTheme="majorHAnsi" w:hAnsiTheme="majorHAnsi"/>
          <w:sz w:val="20"/>
          <w:szCs w:val="20"/>
          <w:lang w:val="es-ES_tradnl" w:eastAsia="es-ES"/>
        </w:rPr>
        <w:t xml:space="preserve">”. Esa entidad también explicó a los tribunales que luego de que la concesionaria terminara la elevación de los andenes le realizó varias intimaciones para que adecuara sus formaciones; siendo los incumplimientos reiterados de la empresa lo que motivó al Estado a terminar su relación contractual con ella siete meses </w:t>
      </w:r>
      <w:r w:rsidR="00FF4BAE" w:rsidRPr="00ED0D6F">
        <w:rPr>
          <w:rFonts w:asciiTheme="majorHAnsi" w:hAnsiTheme="majorHAnsi"/>
          <w:sz w:val="20"/>
          <w:szCs w:val="20"/>
          <w:lang w:val="es-ES_tradnl" w:eastAsia="es-ES"/>
        </w:rPr>
        <w:t>después</w:t>
      </w:r>
      <w:r w:rsidRPr="00ED0D6F">
        <w:rPr>
          <w:rFonts w:asciiTheme="majorHAnsi" w:hAnsiTheme="majorHAnsi"/>
          <w:sz w:val="20"/>
          <w:szCs w:val="20"/>
          <w:lang w:val="es-ES_tradnl" w:eastAsia="es-ES"/>
        </w:rPr>
        <w:t xml:space="preserve"> de ocurrido el accidente de la presunta víctima. </w:t>
      </w:r>
      <w:r w:rsidR="00FF4BAE" w:rsidRPr="00ED0D6F">
        <w:rPr>
          <w:rFonts w:asciiTheme="majorHAnsi" w:hAnsiTheme="majorHAnsi"/>
          <w:sz w:val="20"/>
          <w:szCs w:val="20"/>
          <w:lang w:val="es-ES_tradnl" w:eastAsia="es-ES"/>
        </w:rPr>
        <w:t xml:space="preserve">Además, la </w:t>
      </w:r>
      <w:r w:rsidR="00FF4BAE" w:rsidRPr="00ED0D6F">
        <w:rPr>
          <w:rFonts w:asciiTheme="majorHAnsi" w:hAnsiTheme="majorHAnsi"/>
          <w:sz w:val="20"/>
          <w:szCs w:val="20"/>
          <w:lang w:val="es-ES_tradnl"/>
        </w:rPr>
        <w:t>Comisión Nacional de Regulación de Transporte</w:t>
      </w:r>
      <w:r w:rsidR="00FF4BAE" w:rsidRPr="00ED0D6F">
        <w:rPr>
          <w:rFonts w:asciiTheme="majorHAnsi" w:hAnsiTheme="majorHAnsi"/>
          <w:sz w:val="20"/>
          <w:szCs w:val="20"/>
          <w:lang w:val="es-ES_tradnl" w:eastAsia="es-ES"/>
        </w:rPr>
        <w:t xml:space="preserve"> </w:t>
      </w:r>
      <w:r w:rsidRPr="00ED0D6F">
        <w:rPr>
          <w:rFonts w:asciiTheme="majorHAnsi" w:hAnsiTheme="majorHAnsi"/>
          <w:sz w:val="20"/>
          <w:szCs w:val="20"/>
          <w:lang w:val="es-ES_tradnl" w:eastAsia="es-ES"/>
        </w:rPr>
        <w:t xml:space="preserve">explicó que a partir del 13 de diciembre de 2008 </w:t>
      </w:r>
      <w:r w:rsidR="004F5D41" w:rsidRPr="00ED0D6F">
        <w:rPr>
          <w:rFonts w:asciiTheme="majorHAnsi" w:hAnsiTheme="majorHAnsi"/>
          <w:sz w:val="20"/>
          <w:szCs w:val="20"/>
          <w:lang w:val="es-ES_tradnl" w:eastAsia="es-ES"/>
        </w:rPr>
        <w:t xml:space="preserve">(dos años después del hecho que sufrió la presunta víctima) </w:t>
      </w:r>
      <w:r w:rsidRPr="00ED0D6F">
        <w:rPr>
          <w:rFonts w:asciiTheme="majorHAnsi" w:hAnsiTheme="majorHAnsi"/>
          <w:sz w:val="20"/>
          <w:szCs w:val="20"/>
          <w:lang w:val="es-ES_tradnl" w:eastAsia="es-ES"/>
        </w:rPr>
        <w:t xml:space="preserve">se implementó un servicio de trenes remolcados con puertas que quedaron al nivel de los andenes. </w:t>
      </w:r>
    </w:p>
    <w:p w14:paraId="2F0DE71A" w14:textId="64065C6A" w:rsidR="00097F34" w:rsidRPr="00ED0D6F" w:rsidRDefault="00097F3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También explica el Estado que el juez que conoció la demanda en primera instancia determinó la responsabilidad de la empresa concesionaria</w:t>
      </w:r>
      <w:r w:rsidR="004F5D41"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así como que podría haber existido un actuar negligente por parte del maquinista y el guarda del tren </w:t>
      </w:r>
      <w:r w:rsidR="004F5D41" w:rsidRPr="00ED0D6F">
        <w:rPr>
          <w:rFonts w:asciiTheme="majorHAnsi" w:hAnsiTheme="majorHAnsi"/>
          <w:sz w:val="20"/>
          <w:szCs w:val="20"/>
          <w:lang w:val="es-ES_tradnl"/>
        </w:rPr>
        <w:t>–</w:t>
      </w:r>
      <w:r w:rsidRPr="00ED0D6F">
        <w:rPr>
          <w:rFonts w:asciiTheme="majorHAnsi" w:hAnsiTheme="majorHAnsi"/>
          <w:sz w:val="20"/>
          <w:szCs w:val="20"/>
          <w:lang w:val="es-ES_tradnl"/>
        </w:rPr>
        <w:t>quienes no fueron demandados por la presunta víctima</w:t>
      </w:r>
      <w:r w:rsidR="004F5D41"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El juez además descartó toda posibilidad de atribuirle a la presunta </w:t>
      </w:r>
      <w:r w:rsidR="002101B1" w:rsidRPr="00ED0D6F">
        <w:rPr>
          <w:rFonts w:asciiTheme="majorHAnsi" w:hAnsiTheme="majorHAnsi"/>
          <w:sz w:val="20"/>
          <w:szCs w:val="20"/>
          <w:lang w:val="es-ES_tradnl"/>
        </w:rPr>
        <w:t xml:space="preserve">víctima </w:t>
      </w:r>
      <w:r w:rsidRPr="00ED0D6F">
        <w:rPr>
          <w:rFonts w:asciiTheme="majorHAnsi" w:hAnsiTheme="majorHAnsi"/>
          <w:sz w:val="20"/>
          <w:szCs w:val="20"/>
          <w:lang w:val="es-ES_tradnl"/>
        </w:rPr>
        <w:t>responsabilidad por el accidente</w:t>
      </w:r>
      <w:r w:rsidR="002101B1"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y determinó que el Estado debía responder a la presunta víctima</w:t>
      </w:r>
      <w:r w:rsidR="002101B1"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pues si bien realizó las intimaciones y penalizaciones pertinentes a la concesionaria, ello no se tradujo en una acción efectiva que disminuyera el riesgo para </w:t>
      </w:r>
      <w:r w:rsidR="002101B1" w:rsidRPr="00ED0D6F">
        <w:rPr>
          <w:rFonts w:asciiTheme="majorHAnsi" w:hAnsiTheme="majorHAnsi"/>
          <w:sz w:val="20"/>
          <w:szCs w:val="20"/>
          <w:lang w:val="es-ES_tradnl"/>
        </w:rPr>
        <w:t>los</w:t>
      </w:r>
      <w:r w:rsidRPr="00ED0D6F">
        <w:rPr>
          <w:rFonts w:asciiTheme="majorHAnsi" w:hAnsiTheme="majorHAnsi"/>
          <w:sz w:val="20"/>
          <w:szCs w:val="20"/>
          <w:lang w:val="es-ES_tradnl"/>
        </w:rPr>
        <w:t xml:space="preserve"> pasajer</w:t>
      </w:r>
      <w:r w:rsidR="002101B1" w:rsidRPr="00ED0D6F">
        <w:rPr>
          <w:rFonts w:asciiTheme="majorHAnsi" w:hAnsiTheme="majorHAnsi"/>
          <w:sz w:val="20"/>
          <w:szCs w:val="20"/>
          <w:lang w:val="es-ES_tradnl"/>
        </w:rPr>
        <w:t>o</w:t>
      </w:r>
      <w:r w:rsidRPr="00ED0D6F">
        <w:rPr>
          <w:rFonts w:asciiTheme="majorHAnsi" w:hAnsiTheme="majorHAnsi"/>
          <w:sz w:val="20"/>
          <w:szCs w:val="20"/>
          <w:lang w:val="es-ES_tradnl"/>
        </w:rPr>
        <w:t xml:space="preserve">s, siendo esta la razón por la cual el accidente finalmente no pudo evitarse. </w:t>
      </w:r>
    </w:p>
    <w:p w14:paraId="5280B043" w14:textId="46097E5F" w:rsidR="00097F34" w:rsidRPr="00ED0D6F" w:rsidRDefault="00097F3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Según continúa el relato del Estado, la decisión del juez de </w:t>
      </w:r>
      <w:r w:rsidR="00ED0D6F" w:rsidRPr="00ED0D6F">
        <w:rPr>
          <w:rFonts w:asciiTheme="majorHAnsi" w:hAnsiTheme="majorHAnsi"/>
          <w:sz w:val="20"/>
          <w:szCs w:val="20"/>
          <w:lang w:val="es-ES_tradnl"/>
        </w:rPr>
        <w:t>primera</w:t>
      </w:r>
      <w:r w:rsidRPr="00ED0D6F">
        <w:rPr>
          <w:rFonts w:asciiTheme="majorHAnsi" w:hAnsiTheme="majorHAnsi"/>
          <w:sz w:val="20"/>
          <w:szCs w:val="20"/>
          <w:lang w:val="es-ES_tradnl"/>
        </w:rPr>
        <w:t xml:space="preserve"> instancia fue revocada, en lo referente a la responsabilidad del Estado, por la Sala I de la Cámara Nacional de Apelaciones en lo Civil de la Capital Federal. </w:t>
      </w:r>
      <w:r w:rsidR="002101B1" w:rsidRPr="00ED0D6F">
        <w:rPr>
          <w:rFonts w:asciiTheme="majorHAnsi" w:hAnsiTheme="majorHAnsi"/>
          <w:sz w:val="20"/>
          <w:szCs w:val="20"/>
          <w:lang w:val="es-ES_tradnl"/>
        </w:rPr>
        <w:t>La</w:t>
      </w:r>
      <w:r w:rsidRPr="00ED0D6F">
        <w:rPr>
          <w:rFonts w:asciiTheme="majorHAnsi" w:hAnsiTheme="majorHAnsi"/>
          <w:sz w:val="20"/>
          <w:szCs w:val="20"/>
          <w:lang w:val="es-ES_tradnl"/>
        </w:rPr>
        <w:t xml:space="preserve"> </w:t>
      </w:r>
      <w:r w:rsidR="002101B1" w:rsidRPr="00ED0D6F">
        <w:rPr>
          <w:rFonts w:asciiTheme="majorHAnsi" w:hAnsiTheme="majorHAnsi"/>
          <w:sz w:val="20"/>
          <w:szCs w:val="20"/>
          <w:lang w:val="es-ES_tradnl"/>
        </w:rPr>
        <w:t>sa</w:t>
      </w:r>
      <w:r w:rsidRPr="00ED0D6F">
        <w:rPr>
          <w:rFonts w:asciiTheme="majorHAnsi" w:hAnsiTheme="majorHAnsi"/>
          <w:sz w:val="20"/>
          <w:szCs w:val="20"/>
          <w:lang w:val="es-ES_tradnl"/>
        </w:rPr>
        <w:t>la determinó que la Comisión Nacional de Regulación de Transporte “</w:t>
      </w:r>
      <w:r w:rsidRPr="00ED0D6F">
        <w:rPr>
          <w:rFonts w:asciiTheme="majorHAnsi" w:hAnsiTheme="majorHAnsi"/>
          <w:i/>
          <w:iCs/>
          <w:sz w:val="20"/>
          <w:szCs w:val="20"/>
          <w:lang w:val="es-ES_tradnl"/>
        </w:rPr>
        <w:t>puso en conocimiento de la demandada respecto de las irregularidades que presentaban los coches remolcados en estaciones con andenes elevados y, sin embargo, la empresa no tomó las medidas necesarias a fin de cumplir con el requerimiento toda vez que , de haberse satisfecho, el accidente no hubiera ocurrido</w:t>
      </w:r>
      <w:r w:rsidRPr="00ED0D6F">
        <w:rPr>
          <w:rFonts w:asciiTheme="majorHAnsi" w:hAnsiTheme="majorHAnsi"/>
          <w:sz w:val="20"/>
          <w:szCs w:val="20"/>
          <w:lang w:val="es-ES_tradnl"/>
        </w:rPr>
        <w:t>”</w:t>
      </w:r>
      <w:r w:rsidR="009C5F7E"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y que “</w:t>
      </w:r>
      <w:r w:rsidRPr="00ED0D6F">
        <w:rPr>
          <w:rFonts w:asciiTheme="majorHAnsi" w:hAnsiTheme="majorHAnsi"/>
          <w:i/>
          <w:iCs/>
          <w:sz w:val="20"/>
          <w:szCs w:val="20"/>
          <w:lang w:val="es-ES_tradnl"/>
        </w:rPr>
        <w:t>el deber de seguridad de vigilancia sobre el accionar de los empleados de la concesionaria demandada a través de su personal escapó al razonable control del Estado Nacional por lo que éste resultó ajeno al evento dañoso y no resulta incumplimiento de su parte al deber de seguridad del pasaje</w:t>
      </w:r>
      <w:r w:rsidRPr="00ED0D6F">
        <w:rPr>
          <w:rFonts w:asciiTheme="majorHAnsi" w:hAnsiTheme="majorHAnsi"/>
          <w:sz w:val="20"/>
          <w:szCs w:val="20"/>
          <w:lang w:val="es-ES_tradnl"/>
        </w:rPr>
        <w:t xml:space="preserve">”. En este sentido, la </w:t>
      </w:r>
      <w:r w:rsidR="0083617A" w:rsidRPr="00ED0D6F">
        <w:rPr>
          <w:rFonts w:asciiTheme="majorHAnsi" w:hAnsiTheme="majorHAnsi"/>
          <w:sz w:val="20"/>
          <w:szCs w:val="20"/>
          <w:lang w:val="es-ES_tradnl"/>
        </w:rPr>
        <w:t>s</w:t>
      </w:r>
      <w:r w:rsidRPr="00ED0D6F">
        <w:rPr>
          <w:rFonts w:asciiTheme="majorHAnsi" w:hAnsiTheme="majorHAnsi"/>
          <w:sz w:val="20"/>
          <w:szCs w:val="20"/>
          <w:lang w:val="es-ES_tradnl"/>
        </w:rPr>
        <w:t xml:space="preserve">ala consideró que el accidente era atribuible al accionar de la empresa a través de sus dependientes, el cual había escapado el control razonable del Estado, quien fue ajeno al evento dañoso. </w:t>
      </w:r>
    </w:p>
    <w:p w14:paraId="480BF14B" w14:textId="7BE2CC87" w:rsidR="000310AB" w:rsidRPr="00ED0D6F" w:rsidRDefault="000310AB"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lastRenderedPageBreak/>
        <w:t xml:space="preserve">El Estado destaca que en el desarrollo del litigio por daños y perjuicios la presunta </w:t>
      </w:r>
      <w:r w:rsidR="00ED0D6F" w:rsidRPr="00ED0D6F">
        <w:rPr>
          <w:rFonts w:asciiTheme="majorHAnsi" w:hAnsiTheme="majorHAnsi"/>
          <w:sz w:val="20"/>
          <w:szCs w:val="20"/>
          <w:lang w:val="es-ES_tradnl"/>
        </w:rPr>
        <w:t>víctima</w:t>
      </w:r>
      <w:r w:rsidRPr="00ED0D6F">
        <w:rPr>
          <w:rFonts w:asciiTheme="majorHAnsi" w:hAnsiTheme="majorHAnsi"/>
          <w:sz w:val="20"/>
          <w:szCs w:val="20"/>
          <w:lang w:val="es-ES_tradnl"/>
        </w:rPr>
        <w:t xml:space="preserve"> tuvo pleno acceso a los recursos internos, siendo sus acciones resueltas por tribunales competentes e imparciales, quienes reconocieron su derecho a indemnización y dieron respuesta oportuna a todos sus </w:t>
      </w:r>
      <w:r w:rsidR="00654412" w:rsidRPr="00ED0D6F">
        <w:rPr>
          <w:rFonts w:asciiTheme="majorHAnsi" w:hAnsiTheme="majorHAnsi"/>
          <w:sz w:val="20"/>
          <w:szCs w:val="20"/>
          <w:lang w:val="es-ES_tradnl"/>
        </w:rPr>
        <w:t>alegatos,</w:t>
      </w:r>
      <w:r w:rsidRPr="00ED0D6F">
        <w:rPr>
          <w:rFonts w:asciiTheme="majorHAnsi" w:hAnsiTheme="majorHAnsi"/>
          <w:sz w:val="20"/>
          <w:szCs w:val="20"/>
          <w:lang w:val="es-ES_tradnl"/>
        </w:rPr>
        <w:t xml:space="preserve"> en el marco de sus competencias y en respeto al debido proceso. Por esta razón, el Estado considera que la petición pretende colocar a la Comisión como una cuarta instancia para la revisión de los hechos, pruebas y el derecho interno; sin acreditar violación algún a derechos consagrados en la Convención Americana. </w:t>
      </w:r>
    </w:p>
    <w:p w14:paraId="54873B96" w14:textId="3C3CF1EB" w:rsidR="000310AB" w:rsidRPr="00ED0D6F" w:rsidRDefault="000310AB"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Por otra parte, </w:t>
      </w:r>
      <w:r w:rsidR="00654412" w:rsidRPr="00ED0D6F">
        <w:rPr>
          <w:rFonts w:asciiTheme="majorHAnsi" w:hAnsiTheme="majorHAnsi"/>
          <w:sz w:val="20"/>
          <w:szCs w:val="20"/>
          <w:lang w:val="es-ES_tradnl"/>
        </w:rPr>
        <w:t>Argentina</w:t>
      </w:r>
      <w:r w:rsidRPr="00ED0D6F">
        <w:rPr>
          <w:rFonts w:asciiTheme="majorHAnsi" w:hAnsiTheme="majorHAnsi"/>
          <w:sz w:val="20"/>
          <w:szCs w:val="20"/>
          <w:lang w:val="es-ES_tradnl"/>
        </w:rPr>
        <w:t xml:space="preserve"> </w:t>
      </w:r>
      <w:r w:rsidR="003E5C76" w:rsidRPr="00ED0D6F">
        <w:rPr>
          <w:rFonts w:asciiTheme="majorHAnsi" w:hAnsiTheme="majorHAnsi"/>
          <w:sz w:val="20"/>
          <w:szCs w:val="20"/>
          <w:lang w:val="es-ES_tradnl"/>
        </w:rPr>
        <w:t>aduce</w:t>
      </w:r>
      <w:r w:rsidRPr="00ED0D6F">
        <w:rPr>
          <w:rFonts w:asciiTheme="majorHAnsi" w:hAnsiTheme="majorHAnsi"/>
          <w:sz w:val="20"/>
          <w:szCs w:val="20"/>
          <w:lang w:val="es-ES_tradnl"/>
        </w:rPr>
        <w:t xml:space="preserve"> que la petición no cumple con el requisito de agotamiento de los recursos internos</w:t>
      </w:r>
      <w:r w:rsidR="003E5C76"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puesto que la presunta víctima no ejerció acciones judiciales para procurar al pago de las indemnizaciones que le fueron reconocidas judicialmente. Así, en su escrito del 25 de marzo de 2021 el Estado explicó que existía un proceso judicial abierto para la liquidación de la empresa concesionaria y otro para la de su aseguradora; y que la presunta víctima podía recurrir dentro de estos procesos para ejercer su derecho al cobro de la indemnización que le adeudan estas empresas. El Estado </w:t>
      </w:r>
      <w:r w:rsidR="003E5C76" w:rsidRPr="00ED0D6F">
        <w:rPr>
          <w:rFonts w:asciiTheme="majorHAnsi" w:hAnsiTheme="majorHAnsi"/>
          <w:sz w:val="20"/>
          <w:szCs w:val="20"/>
          <w:lang w:val="es-ES_tradnl"/>
        </w:rPr>
        <w:t>alega</w:t>
      </w:r>
      <w:r w:rsidRPr="00ED0D6F">
        <w:rPr>
          <w:rFonts w:asciiTheme="majorHAnsi" w:hAnsiTheme="majorHAnsi"/>
          <w:sz w:val="20"/>
          <w:szCs w:val="20"/>
          <w:lang w:val="es-ES_tradnl"/>
        </w:rPr>
        <w:t xml:space="preserve"> que no basta la mera afirmación de la parte peticionaria respecto a que las empresas eran insolventes o que las indemnizaciones son “</w:t>
      </w:r>
      <w:r w:rsidRPr="00ED0D6F">
        <w:rPr>
          <w:rFonts w:asciiTheme="majorHAnsi" w:hAnsiTheme="majorHAnsi"/>
          <w:i/>
          <w:iCs/>
          <w:sz w:val="20"/>
          <w:szCs w:val="20"/>
          <w:lang w:val="es-ES_tradnl"/>
        </w:rPr>
        <w:t>incobrables</w:t>
      </w:r>
      <w:r w:rsidRPr="00ED0D6F">
        <w:rPr>
          <w:rFonts w:asciiTheme="majorHAnsi" w:hAnsiTheme="majorHAnsi"/>
          <w:sz w:val="20"/>
          <w:szCs w:val="20"/>
          <w:lang w:val="es-ES_tradnl"/>
        </w:rPr>
        <w:t>”. A esto, el Estado añade que la presunta víctima no ha acreditado haber solicitado la pensión no contributiva por invalidez que la normativa doméstica prevé para toda persona en situación de vulnerabilidad e imposibilidad laboral</w:t>
      </w:r>
      <w:r w:rsidR="000D479B"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y a la que esta podría acceder luego de una evaluación médico.</w:t>
      </w:r>
    </w:p>
    <w:p w14:paraId="216813A4" w14:textId="6DC95D29" w:rsidR="00097F34" w:rsidRPr="00ED0D6F" w:rsidRDefault="000310AB"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 xml:space="preserve"> También argumenta el Estado que no sería jurídicamente razonable admitir la petición por el simple hecho de estimar el eventual estado de insolvencia de las empresas. Esto, pues ello implicaría que el Estado terminaría siempre siendo el sujeto de derecho responsable y solvente por al accionar de empresas que hubieran contratado con él</w:t>
      </w:r>
      <w:r w:rsidR="00A23DCF"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y que resultaren insolventes tras ser condenadas por los tribunales</w:t>
      </w:r>
      <w:r w:rsidR="00A23DCF" w:rsidRPr="00ED0D6F">
        <w:rPr>
          <w:rFonts w:asciiTheme="majorHAnsi" w:hAnsiTheme="majorHAnsi"/>
          <w:sz w:val="20"/>
          <w:szCs w:val="20"/>
          <w:lang w:val="es-ES_tradnl"/>
        </w:rPr>
        <w:t xml:space="preserve">. </w:t>
      </w:r>
    </w:p>
    <w:p w14:paraId="3FE6F5AE" w14:textId="545CDE9C" w:rsidR="004C616A" w:rsidRPr="00ED0D6F" w:rsidRDefault="004C616A" w:rsidP="00C978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ED0D6F">
        <w:rPr>
          <w:rFonts w:asciiTheme="majorHAnsi" w:hAnsiTheme="majorHAnsi"/>
          <w:b/>
          <w:bCs/>
          <w:sz w:val="20"/>
          <w:szCs w:val="20"/>
          <w:lang w:val="es-ES_tradnl"/>
        </w:rPr>
        <w:t xml:space="preserve">VI. </w:t>
      </w:r>
      <w:r w:rsidR="00464346" w:rsidRPr="00ED0D6F">
        <w:rPr>
          <w:rFonts w:asciiTheme="majorHAnsi" w:hAnsiTheme="majorHAnsi"/>
          <w:b/>
          <w:bCs/>
          <w:sz w:val="20"/>
          <w:szCs w:val="20"/>
          <w:lang w:val="es-ES_tradnl"/>
        </w:rPr>
        <w:t xml:space="preserve">  </w:t>
      </w:r>
      <w:r w:rsidR="00095655" w:rsidRPr="00ED0D6F">
        <w:rPr>
          <w:rFonts w:asciiTheme="majorHAnsi" w:hAnsiTheme="majorHAnsi"/>
          <w:b/>
          <w:bCs/>
          <w:sz w:val="20"/>
          <w:szCs w:val="20"/>
          <w:lang w:val="es-ES_tradnl"/>
        </w:rPr>
        <w:tab/>
      </w:r>
      <w:r w:rsidR="007471D7" w:rsidRPr="00ED0D6F">
        <w:rPr>
          <w:rFonts w:asciiTheme="majorHAnsi" w:hAnsiTheme="majorHAnsi"/>
          <w:b/>
          <w:bCs/>
          <w:sz w:val="20"/>
          <w:szCs w:val="20"/>
          <w:lang w:val="es-ES_tradnl"/>
        </w:rPr>
        <w:t xml:space="preserve">ANÁLISIS DE </w:t>
      </w:r>
      <w:r w:rsidRPr="00ED0D6F">
        <w:rPr>
          <w:rFonts w:asciiTheme="majorHAnsi" w:hAnsiTheme="majorHAnsi"/>
          <w:b/>
          <w:bCs/>
          <w:sz w:val="20"/>
          <w:szCs w:val="20"/>
          <w:lang w:val="es-ES_tradnl"/>
        </w:rPr>
        <w:t>AGOTAMIENTO DE LOS RECURSOS INTERNOS Y PLAZO DE PRESENTACIÓN</w:t>
      </w:r>
    </w:p>
    <w:p w14:paraId="69DFAC88" w14:textId="09B00C27" w:rsidR="004D1711" w:rsidRPr="00ED0D6F" w:rsidRDefault="001425C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ED0D6F">
        <w:rPr>
          <w:rFonts w:asciiTheme="majorHAnsi" w:hAnsiTheme="majorHAnsi"/>
          <w:bCs/>
          <w:sz w:val="20"/>
          <w:szCs w:val="20"/>
          <w:lang w:val="es-ES_tradnl"/>
        </w:rPr>
        <w:t>La parte peticionaria sostiene haber agotado los recursos internos</w:t>
      </w:r>
      <w:r w:rsidR="00BE7487" w:rsidRPr="00ED0D6F">
        <w:rPr>
          <w:rFonts w:asciiTheme="majorHAnsi" w:hAnsiTheme="majorHAnsi"/>
          <w:bCs/>
          <w:sz w:val="20"/>
          <w:szCs w:val="20"/>
          <w:lang w:val="es-ES_tradnl"/>
        </w:rPr>
        <w:t>, con la decisión de la Corte Suprema de Justicia que inadmitió su recurso extraordinario</w:t>
      </w:r>
      <w:r w:rsidRPr="00ED0D6F">
        <w:rPr>
          <w:rFonts w:asciiTheme="majorHAnsi" w:hAnsiTheme="majorHAnsi"/>
          <w:bCs/>
          <w:sz w:val="20"/>
          <w:szCs w:val="20"/>
          <w:lang w:val="es-ES_tradnl"/>
        </w:rPr>
        <w:t xml:space="preserve">. A su vez, el Estado considera que la presunta víctima no ha cumplido con este requisito dado que no intervino en los procesos de liquidación de la concesionaria y su aseguradora para solicitar judicialmente el pago de las indemnizaciones que estas empresas privadas le adeudan. El Estado además ha indicado que la presunta víctima no ha solicitado la pensión no contributiva a la que podría tener derecho conforme al </w:t>
      </w:r>
      <w:r w:rsidR="00BE7487" w:rsidRPr="00ED0D6F">
        <w:rPr>
          <w:rFonts w:asciiTheme="majorHAnsi" w:hAnsiTheme="majorHAnsi"/>
          <w:bCs/>
          <w:sz w:val="20"/>
          <w:szCs w:val="20"/>
          <w:lang w:val="es-ES_tradnl"/>
        </w:rPr>
        <w:t>derecho interno</w:t>
      </w:r>
      <w:r w:rsidRPr="00ED0D6F">
        <w:rPr>
          <w:rFonts w:asciiTheme="majorHAnsi" w:hAnsiTheme="majorHAnsi"/>
          <w:bCs/>
          <w:sz w:val="20"/>
          <w:szCs w:val="20"/>
          <w:lang w:val="es-ES_tradnl"/>
        </w:rPr>
        <w:t xml:space="preserve">. </w:t>
      </w:r>
    </w:p>
    <w:p w14:paraId="7E16F308" w14:textId="1BEA78B7" w:rsidR="001425C4" w:rsidRPr="00ED0D6F" w:rsidRDefault="001425C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ED0D6F">
        <w:rPr>
          <w:rFonts w:asciiTheme="majorHAnsi" w:hAnsiTheme="majorHAnsi"/>
          <w:bCs/>
          <w:sz w:val="20"/>
          <w:szCs w:val="20"/>
          <w:lang w:val="es-ES_tradnl"/>
        </w:rPr>
        <w:t xml:space="preserve">Según su práctica </w:t>
      </w:r>
      <w:r w:rsidR="006A4250" w:rsidRPr="00ED0D6F">
        <w:rPr>
          <w:rFonts w:asciiTheme="majorHAnsi" w:hAnsiTheme="majorHAnsi"/>
          <w:bCs/>
          <w:sz w:val="20"/>
          <w:szCs w:val="20"/>
          <w:lang w:val="es-ES_tradnl"/>
        </w:rPr>
        <w:t>consolidada</w:t>
      </w:r>
      <w:r w:rsidRPr="00ED0D6F">
        <w:rPr>
          <w:rFonts w:asciiTheme="majorHAnsi" w:hAnsiTheme="majorHAnsi"/>
          <w:bCs/>
          <w:sz w:val="20"/>
          <w:szCs w:val="20"/>
          <w:lang w:val="es-ES_tradnl"/>
        </w:rPr>
        <w:t>, la Comisión debe identificar preliminarmente el objeto de la petición a fines de determinar la vía procesal adecuada que debía ser agotada a nivel doméstico para dar cumplimiento al requisito del artículo 46.1(a) de la Convención Americana</w:t>
      </w:r>
      <w:r w:rsidRPr="00ED0D6F">
        <w:rPr>
          <w:rStyle w:val="FootnoteReference"/>
          <w:rFonts w:asciiTheme="majorHAnsi" w:hAnsiTheme="majorHAnsi" w:cs="Calibri"/>
          <w:sz w:val="20"/>
          <w:szCs w:val="20"/>
          <w:lang w:val="es-ES_tradnl"/>
        </w:rPr>
        <w:footnoteReference w:id="6"/>
      </w:r>
      <w:r w:rsidRPr="00ED0D6F">
        <w:rPr>
          <w:rFonts w:asciiTheme="majorHAnsi" w:hAnsiTheme="majorHAnsi" w:cs="Calibri"/>
          <w:sz w:val="20"/>
          <w:szCs w:val="20"/>
          <w:lang w:val="es-ES_tradnl"/>
        </w:rPr>
        <w:t>.</w:t>
      </w:r>
      <w:r w:rsidRPr="00ED0D6F">
        <w:rPr>
          <w:rFonts w:asciiTheme="majorHAnsi" w:hAnsiTheme="majorHAnsi"/>
          <w:bCs/>
          <w:sz w:val="20"/>
          <w:szCs w:val="20"/>
          <w:lang w:val="es-ES_tradnl"/>
        </w:rPr>
        <w:t xml:space="preserve"> En el presente caso, la Comisión entiende que el objeto de la petición es reclamar al Estado por su responsabilidad en el accidente ocurrido a la presunta víctima y por el desconocimiento de esa responsabilidad por parte de los tribunales domésticos. En este sentido, los recursos relevantes para el análisis sobre el requisito de agotamiento de los recursos internos son aquellos que guardan relación con ese objeto.</w:t>
      </w:r>
      <w:r w:rsidRPr="00ED0D6F">
        <w:rPr>
          <w:rFonts w:asciiTheme="majorHAnsi" w:hAnsiTheme="majorHAnsi"/>
          <w:b/>
          <w:sz w:val="20"/>
          <w:szCs w:val="20"/>
          <w:lang w:val="es-ES_tradnl"/>
        </w:rPr>
        <w:t xml:space="preserve"> </w:t>
      </w:r>
    </w:p>
    <w:p w14:paraId="5953425A" w14:textId="19D2615E" w:rsidR="001425C4" w:rsidRPr="00ED0D6F" w:rsidRDefault="00A36D2F"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ED0D6F">
        <w:rPr>
          <w:rFonts w:asciiTheme="majorHAnsi" w:hAnsiTheme="majorHAnsi"/>
          <w:bCs/>
          <w:sz w:val="20"/>
          <w:szCs w:val="20"/>
          <w:lang w:val="es-ES_tradnl"/>
        </w:rPr>
        <w:t>El peticionario</w:t>
      </w:r>
      <w:r w:rsidR="001425C4" w:rsidRPr="00ED0D6F">
        <w:rPr>
          <w:rFonts w:asciiTheme="majorHAnsi" w:hAnsiTheme="majorHAnsi"/>
          <w:bCs/>
          <w:sz w:val="20"/>
          <w:szCs w:val="20"/>
          <w:lang w:val="es-ES_tradnl"/>
        </w:rPr>
        <w:t xml:space="preserve"> </w:t>
      </w:r>
      <w:r w:rsidRPr="00ED0D6F">
        <w:rPr>
          <w:rFonts w:asciiTheme="majorHAnsi" w:hAnsiTheme="majorHAnsi"/>
          <w:bCs/>
          <w:sz w:val="20"/>
          <w:szCs w:val="20"/>
          <w:lang w:val="es-ES_tradnl"/>
        </w:rPr>
        <w:t>aduce</w:t>
      </w:r>
      <w:r w:rsidR="001425C4" w:rsidRPr="00ED0D6F">
        <w:rPr>
          <w:rFonts w:asciiTheme="majorHAnsi" w:hAnsiTheme="majorHAnsi"/>
          <w:bCs/>
          <w:sz w:val="20"/>
          <w:szCs w:val="20"/>
          <w:lang w:val="es-ES_tradnl"/>
        </w:rPr>
        <w:t xml:space="preserve"> que el desconocimiento de la responsabilidad del Estado coloca </w:t>
      </w:r>
      <w:r w:rsidRPr="00ED0D6F">
        <w:rPr>
          <w:rFonts w:asciiTheme="majorHAnsi" w:hAnsiTheme="majorHAnsi"/>
          <w:bCs/>
          <w:sz w:val="20"/>
          <w:szCs w:val="20"/>
          <w:lang w:val="es-ES_tradnl"/>
        </w:rPr>
        <w:t xml:space="preserve">a la presunta víctima </w:t>
      </w:r>
      <w:r w:rsidR="001425C4" w:rsidRPr="00ED0D6F">
        <w:rPr>
          <w:rFonts w:asciiTheme="majorHAnsi" w:hAnsiTheme="majorHAnsi"/>
          <w:bCs/>
          <w:sz w:val="20"/>
          <w:szCs w:val="20"/>
          <w:lang w:val="es-ES_tradnl"/>
        </w:rPr>
        <w:t xml:space="preserve">en una situación de especial desprotección porque las empresas que comparten responsabilidad con este son insolventes. No obstante, el reclamo que da objeto a la petición </w:t>
      </w:r>
      <w:r w:rsidRPr="00ED0D6F">
        <w:rPr>
          <w:rFonts w:asciiTheme="majorHAnsi" w:hAnsiTheme="majorHAnsi"/>
          <w:bCs/>
          <w:sz w:val="20"/>
          <w:szCs w:val="20"/>
          <w:lang w:val="es-ES_tradnl"/>
        </w:rPr>
        <w:t>–alegada</w:t>
      </w:r>
      <w:r w:rsidR="001425C4" w:rsidRPr="00ED0D6F">
        <w:rPr>
          <w:rFonts w:asciiTheme="majorHAnsi" w:hAnsiTheme="majorHAnsi"/>
          <w:bCs/>
          <w:sz w:val="20"/>
          <w:szCs w:val="20"/>
          <w:lang w:val="es-ES_tradnl"/>
        </w:rPr>
        <w:t xml:space="preserve"> responsabilidad del Estado por el accidente y desconocimiento de ella por las autoridades</w:t>
      </w:r>
      <w:r w:rsidRPr="00ED0D6F">
        <w:rPr>
          <w:rFonts w:asciiTheme="majorHAnsi" w:hAnsiTheme="majorHAnsi"/>
          <w:bCs/>
          <w:sz w:val="20"/>
          <w:szCs w:val="20"/>
          <w:lang w:val="es-ES_tradnl"/>
        </w:rPr>
        <w:t>–</w:t>
      </w:r>
      <w:r w:rsidR="001425C4" w:rsidRPr="00ED0D6F">
        <w:rPr>
          <w:rFonts w:asciiTheme="majorHAnsi" w:hAnsiTheme="majorHAnsi"/>
          <w:bCs/>
          <w:sz w:val="20"/>
          <w:szCs w:val="20"/>
          <w:lang w:val="es-ES_tradnl"/>
        </w:rPr>
        <w:t xml:space="preserve"> es un asunto separado e independiente de la capacidad económica de las empresas para indemnizar a la presunta víctima. Por lo tanto, no resulta necesario para el presente análisis de admisibilidad determinar si las empresas son o no insolventes o si la presunta víctima agotó o no recursos para </w:t>
      </w:r>
      <w:r w:rsidRPr="00ED0D6F">
        <w:rPr>
          <w:rFonts w:asciiTheme="majorHAnsi" w:hAnsiTheme="majorHAnsi"/>
          <w:bCs/>
          <w:sz w:val="20"/>
          <w:szCs w:val="20"/>
          <w:lang w:val="es-ES_tradnl"/>
        </w:rPr>
        <w:t>intentar hacer valer</w:t>
      </w:r>
      <w:r w:rsidR="001425C4" w:rsidRPr="00ED0D6F">
        <w:rPr>
          <w:rFonts w:asciiTheme="majorHAnsi" w:hAnsiTheme="majorHAnsi"/>
          <w:bCs/>
          <w:sz w:val="20"/>
          <w:szCs w:val="20"/>
          <w:lang w:val="es-ES_tradnl"/>
        </w:rPr>
        <w:t xml:space="preserve"> sus créditos en los procesos de liquidación de estas empresas. En cuanto a la pensión a la que </w:t>
      </w:r>
      <w:r w:rsidRPr="00ED0D6F">
        <w:rPr>
          <w:rFonts w:asciiTheme="majorHAnsi" w:hAnsiTheme="majorHAnsi"/>
          <w:bCs/>
          <w:sz w:val="20"/>
          <w:szCs w:val="20"/>
          <w:lang w:val="es-ES_tradnl"/>
        </w:rPr>
        <w:t>se ha referido</w:t>
      </w:r>
      <w:r w:rsidR="001425C4" w:rsidRPr="00ED0D6F">
        <w:rPr>
          <w:rFonts w:asciiTheme="majorHAnsi" w:hAnsiTheme="majorHAnsi"/>
          <w:bCs/>
          <w:sz w:val="20"/>
          <w:szCs w:val="20"/>
          <w:lang w:val="es-ES_tradnl"/>
        </w:rPr>
        <w:t xml:space="preserve"> el Estado, la Comisión observa que se trata de una pensión general</w:t>
      </w:r>
      <w:r w:rsidRPr="00ED0D6F">
        <w:rPr>
          <w:rFonts w:asciiTheme="majorHAnsi" w:hAnsiTheme="majorHAnsi"/>
          <w:bCs/>
          <w:sz w:val="20"/>
          <w:szCs w:val="20"/>
          <w:lang w:val="es-ES_tradnl"/>
        </w:rPr>
        <w:t>,</w:t>
      </w:r>
      <w:r w:rsidR="001425C4" w:rsidRPr="00ED0D6F">
        <w:rPr>
          <w:rFonts w:asciiTheme="majorHAnsi" w:hAnsiTheme="majorHAnsi"/>
          <w:bCs/>
          <w:sz w:val="20"/>
          <w:szCs w:val="20"/>
          <w:lang w:val="es-ES_tradnl"/>
        </w:rPr>
        <w:t xml:space="preserve"> que el ordenamiento interno prevé como parte de su sistema de protección para las personas con discapacidad.</w:t>
      </w:r>
      <w:r w:rsidRPr="00ED0D6F">
        <w:rPr>
          <w:rFonts w:asciiTheme="majorHAnsi" w:hAnsiTheme="majorHAnsi"/>
          <w:bCs/>
          <w:sz w:val="20"/>
          <w:szCs w:val="20"/>
          <w:lang w:val="es-ES_tradnl"/>
        </w:rPr>
        <w:t xml:space="preserve"> Es </w:t>
      </w:r>
      <w:r w:rsidR="000F70D7" w:rsidRPr="00ED0D6F">
        <w:rPr>
          <w:rFonts w:asciiTheme="majorHAnsi" w:hAnsiTheme="majorHAnsi"/>
          <w:bCs/>
          <w:sz w:val="20"/>
          <w:szCs w:val="20"/>
          <w:lang w:val="es-ES_tradnl"/>
        </w:rPr>
        <w:t>decir,</w:t>
      </w:r>
      <w:r w:rsidRPr="00ED0D6F">
        <w:rPr>
          <w:rFonts w:asciiTheme="majorHAnsi" w:hAnsiTheme="majorHAnsi"/>
          <w:bCs/>
          <w:sz w:val="20"/>
          <w:szCs w:val="20"/>
          <w:lang w:val="es-ES_tradnl"/>
        </w:rPr>
        <w:t xml:space="preserve"> un mero paliativo que no atiende el objeto de la presente petición.</w:t>
      </w:r>
      <w:r w:rsidR="001425C4" w:rsidRPr="00ED0D6F">
        <w:rPr>
          <w:rFonts w:asciiTheme="majorHAnsi" w:hAnsiTheme="majorHAnsi"/>
          <w:bCs/>
          <w:sz w:val="20"/>
          <w:szCs w:val="20"/>
          <w:lang w:val="es-ES_tradnl"/>
        </w:rPr>
        <w:t xml:space="preserve"> </w:t>
      </w:r>
      <w:r w:rsidR="001425C4" w:rsidRPr="00ED0D6F">
        <w:rPr>
          <w:rFonts w:asciiTheme="majorHAnsi" w:hAnsiTheme="majorHAnsi"/>
          <w:bCs/>
          <w:sz w:val="20"/>
          <w:szCs w:val="20"/>
          <w:lang w:val="es-ES_tradnl"/>
        </w:rPr>
        <w:lastRenderedPageBreak/>
        <w:t>En consecuencia, si la presunta víctima solicitó o no la referida pensión tampoco resulta relevante para el análisis del requisito de agotamiento de los recursos internos.</w:t>
      </w:r>
    </w:p>
    <w:p w14:paraId="360DBCA4" w14:textId="5081E642" w:rsidR="001425C4" w:rsidRPr="00ED0D6F" w:rsidRDefault="001425C4"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ED0D6F">
        <w:rPr>
          <w:rFonts w:asciiTheme="majorHAnsi" w:hAnsiTheme="majorHAnsi"/>
          <w:bCs/>
          <w:sz w:val="20"/>
          <w:szCs w:val="20"/>
          <w:lang w:val="es-ES_tradnl"/>
        </w:rPr>
        <w:t xml:space="preserve">En lo que respecta a la responsabilidad del Estado </w:t>
      </w:r>
      <w:r w:rsidR="00A36D2F" w:rsidRPr="00ED0D6F">
        <w:rPr>
          <w:rFonts w:asciiTheme="majorHAnsi" w:hAnsiTheme="majorHAnsi"/>
          <w:bCs/>
          <w:sz w:val="20"/>
          <w:szCs w:val="20"/>
          <w:lang w:val="es-ES_tradnl"/>
        </w:rPr>
        <w:t>por</w:t>
      </w:r>
      <w:r w:rsidRPr="00ED0D6F">
        <w:rPr>
          <w:rFonts w:asciiTheme="majorHAnsi" w:hAnsiTheme="majorHAnsi"/>
          <w:bCs/>
          <w:sz w:val="20"/>
          <w:szCs w:val="20"/>
          <w:lang w:val="es-ES_tradnl"/>
        </w:rPr>
        <w:t xml:space="preserve"> </w:t>
      </w:r>
      <w:r w:rsidR="00A36D2F" w:rsidRPr="00ED0D6F">
        <w:rPr>
          <w:rFonts w:asciiTheme="majorHAnsi" w:hAnsiTheme="majorHAnsi"/>
          <w:bCs/>
          <w:sz w:val="20"/>
          <w:szCs w:val="20"/>
          <w:lang w:val="es-ES_tradnl"/>
        </w:rPr>
        <w:t>el hecho mismo del</w:t>
      </w:r>
      <w:r w:rsidRPr="00ED0D6F">
        <w:rPr>
          <w:rFonts w:asciiTheme="majorHAnsi" w:hAnsiTheme="majorHAnsi"/>
          <w:bCs/>
          <w:sz w:val="20"/>
          <w:szCs w:val="20"/>
          <w:lang w:val="es-ES_tradnl"/>
        </w:rPr>
        <w:t xml:space="preserve"> accidente, </w:t>
      </w:r>
      <w:r w:rsidR="00DD2C5A" w:rsidRPr="00ED0D6F">
        <w:rPr>
          <w:rFonts w:asciiTheme="majorHAnsi" w:hAnsiTheme="majorHAnsi"/>
          <w:bCs/>
          <w:sz w:val="20"/>
          <w:szCs w:val="20"/>
          <w:lang w:val="es-ES_tradnl"/>
        </w:rPr>
        <w:t xml:space="preserve">–objeto central de la presente petición– </w:t>
      </w:r>
      <w:r w:rsidRPr="00ED0D6F">
        <w:rPr>
          <w:rFonts w:asciiTheme="majorHAnsi" w:hAnsiTheme="majorHAnsi"/>
          <w:bCs/>
          <w:sz w:val="20"/>
          <w:szCs w:val="20"/>
          <w:lang w:val="es-ES_tradnl"/>
        </w:rPr>
        <w:t xml:space="preserve">la </w:t>
      </w:r>
      <w:r w:rsidR="00A36D2F" w:rsidRPr="00ED0D6F">
        <w:rPr>
          <w:rFonts w:asciiTheme="majorHAnsi" w:hAnsiTheme="majorHAnsi"/>
          <w:bCs/>
          <w:sz w:val="20"/>
          <w:szCs w:val="20"/>
          <w:lang w:val="es-ES_tradnl"/>
        </w:rPr>
        <w:t>CIDH</w:t>
      </w:r>
      <w:r w:rsidRPr="00ED0D6F">
        <w:rPr>
          <w:rFonts w:asciiTheme="majorHAnsi" w:hAnsiTheme="majorHAnsi"/>
          <w:bCs/>
          <w:sz w:val="20"/>
          <w:szCs w:val="20"/>
          <w:lang w:val="es-ES_tradnl"/>
        </w:rPr>
        <w:t xml:space="preserve"> observa que la presunta víctima </w:t>
      </w:r>
      <w:r w:rsidR="00DD2C5A" w:rsidRPr="00ED0D6F">
        <w:rPr>
          <w:rFonts w:asciiTheme="majorHAnsi" w:hAnsiTheme="majorHAnsi"/>
          <w:bCs/>
          <w:sz w:val="20"/>
          <w:szCs w:val="20"/>
          <w:lang w:val="es-ES_tradnl"/>
        </w:rPr>
        <w:t>planteó este reclamo</w:t>
      </w:r>
      <w:r w:rsidRPr="00ED0D6F">
        <w:rPr>
          <w:rFonts w:asciiTheme="majorHAnsi" w:hAnsiTheme="majorHAnsi"/>
          <w:bCs/>
          <w:sz w:val="20"/>
          <w:szCs w:val="20"/>
          <w:lang w:val="es-ES_tradnl"/>
        </w:rPr>
        <w:t xml:space="preserve"> a través de su demanda de reparación de daños y perjuicios. </w:t>
      </w:r>
      <w:r w:rsidRPr="00ED0D6F">
        <w:rPr>
          <w:rFonts w:asciiTheme="majorHAnsi" w:hAnsiTheme="majorHAnsi"/>
          <w:sz w:val="20"/>
          <w:szCs w:val="20"/>
          <w:lang w:val="es-ES_tradnl"/>
        </w:rPr>
        <w:t>En primera instancia, el Juzgado Nacional de Primera Instancia en los Civil No. 1 de la Capital Federal reconoció la responsabilidad del Estado. Sin embargo, la decisión fue modificada en segunda instancia por la Sala I de la Cámara Nacional de Apelaciones en lo Civil</w:t>
      </w:r>
      <w:r w:rsidR="00DD2C5A" w:rsidRPr="00ED0D6F">
        <w:rPr>
          <w:rFonts w:asciiTheme="majorHAnsi" w:hAnsiTheme="majorHAnsi"/>
          <w:sz w:val="20"/>
          <w:szCs w:val="20"/>
          <w:lang w:val="es-ES_tradnl"/>
        </w:rPr>
        <w:t>,</w:t>
      </w:r>
      <w:r w:rsidRPr="00ED0D6F">
        <w:rPr>
          <w:rFonts w:asciiTheme="majorHAnsi" w:hAnsiTheme="majorHAnsi"/>
          <w:sz w:val="20"/>
          <w:szCs w:val="20"/>
          <w:lang w:val="es-ES_tradnl"/>
        </w:rPr>
        <w:t xml:space="preserve"> qu</w:t>
      </w:r>
      <w:r w:rsidR="00DD2C5A" w:rsidRPr="00ED0D6F">
        <w:rPr>
          <w:rFonts w:asciiTheme="majorHAnsi" w:hAnsiTheme="majorHAnsi"/>
          <w:sz w:val="20"/>
          <w:szCs w:val="20"/>
          <w:lang w:val="es-ES_tradnl"/>
        </w:rPr>
        <w:t>e</w:t>
      </w:r>
      <w:r w:rsidRPr="00ED0D6F">
        <w:rPr>
          <w:rFonts w:asciiTheme="majorHAnsi" w:hAnsiTheme="majorHAnsi"/>
          <w:sz w:val="20"/>
          <w:szCs w:val="20"/>
          <w:lang w:val="es-ES_tradnl"/>
        </w:rPr>
        <w:t xml:space="preserve"> </w:t>
      </w:r>
      <w:r w:rsidR="00DD2C5A" w:rsidRPr="00ED0D6F">
        <w:rPr>
          <w:rFonts w:asciiTheme="majorHAnsi" w:hAnsiTheme="majorHAnsi"/>
          <w:sz w:val="20"/>
          <w:szCs w:val="20"/>
          <w:lang w:val="es-ES_tradnl"/>
        </w:rPr>
        <w:t>consideró</w:t>
      </w:r>
      <w:r w:rsidRPr="00ED0D6F">
        <w:rPr>
          <w:rFonts w:asciiTheme="majorHAnsi" w:hAnsiTheme="majorHAnsi"/>
          <w:sz w:val="20"/>
          <w:szCs w:val="20"/>
          <w:lang w:val="es-ES_tradnl"/>
        </w:rPr>
        <w:t xml:space="preserve"> la ausencia de responsabilidad por parte del Estado. La presunta víctima impugnó esa conclusión mediante un recurso extraordinario federal que le fue rechazado por misma </w:t>
      </w:r>
      <w:r w:rsidR="00DD2C5A" w:rsidRPr="00ED0D6F">
        <w:rPr>
          <w:rFonts w:asciiTheme="majorHAnsi" w:hAnsiTheme="majorHAnsi"/>
          <w:sz w:val="20"/>
          <w:szCs w:val="20"/>
          <w:lang w:val="es-ES_tradnl"/>
        </w:rPr>
        <w:t>s</w:t>
      </w:r>
      <w:r w:rsidRPr="00ED0D6F">
        <w:rPr>
          <w:rFonts w:asciiTheme="majorHAnsi" w:hAnsiTheme="majorHAnsi"/>
          <w:sz w:val="20"/>
          <w:szCs w:val="20"/>
          <w:lang w:val="es-ES_tradnl"/>
        </w:rPr>
        <w:t>ala. Finalmente, la presunta víctima interpuso un recurso de queja contra la denegatoria de su recurso extraordinario federal, el cual fue inadmitido por la Corte Suprema de Justicia de la Nación.</w:t>
      </w:r>
      <w:r w:rsidRPr="00ED0D6F">
        <w:rPr>
          <w:rFonts w:asciiTheme="majorHAnsi" w:hAnsiTheme="majorHAnsi"/>
          <w:b/>
          <w:sz w:val="20"/>
          <w:szCs w:val="20"/>
          <w:lang w:val="es-ES_tradnl"/>
        </w:rPr>
        <w:t xml:space="preserve"> </w:t>
      </w:r>
      <w:r w:rsidRPr="00ED0D6F">
        <w:rPr>
          <w:rFonts w:asciiTheme="majorHAnsi" w:hAnsiTheme="majorHAnsi"/>
          <w:bCs/>
          <w:sz w:val="20"/>
          <w:szCs w:val="20"/>
          <w:lang w:val="es-ES_tradnl"/>
        </w:rPr>
        <w:t>El Estado no ha indicado ni surge del expediente que, luego de la inadmisión del recurso de queja, restaran recursos adicionales no agotados que pudieran haber sido idóneos para que la presunta víctima reclamara a nivel doméstico el reconocimiento de la responsabilidad del Estado por su accidente. En consecuencia, la Comisión concluye que la presente petición cumple con el requisito del artículo 46.1</w:t>
      </w:r>
      <w:r w:rsidR="00DD2C5A" w:rsidRPr="00ED0D6F">
        <w:rPr>
          <w:rFonts w:asciiTheme="majorHAnsi" w:hAnsiTheme="majorHAnsi"/>
          <w:bCs/>
          <w:sz w:val="20"/>
          <w:szCs w:val="20"/>
          <w:lang w:val="es-ES_tradnl"/>
        </w:rPr>
        <w:t>.</w:t>
      </w:r>
      <w:r w:rsidRPr="00ED0D6F">
        <w:rPr>
          <w:rFonts w:asciiTheme="majorHAnsi" w:hAnsiTheme="majorHAnsi"/>
          <w:bCs/>
          <w:sz w:val="20"/>
          <w:szCs w:val="20"/>
          <w:lang w:val="es-ES_tradnl"/>
        </w:rPr>
        <w:t xml:space="preserve">a) de la Convención Americana. </w:t>
      </w:r>
    </w:p>
    <w:p w14:paraId="3D34BD4A" w14:textId="328C3535" w:rsidR="001425C4" w:rsidRPr="00ED0D6F" w:rsidRDefault="00E816DF" w:rsidP="00C978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ED0D6F">
        <w:rPr>
          <w:rFonts w:asciiTheme="majorHAnsi" w:hAnsiTheme="majorHAnsi"/>
          <w:sz w:val="20"/>
          <w:szCs w:val="20"/>
          <w:lang w:val="es-ES_tradnl"/>
        </w:rPr>
        <w:t>C</w:t>
      </w:r>
      <w:r w:rsidR="001425C4" w:rsidRPr="00ED0D6F">
        <w:rPr>
          <w:rFonts w:asciiTheme="majorHAnsi" w:hAnsiTheme="majorHAnsi" w:cs="Calibri"/>
          <w:sz w:val="20"/>
          <w:szCs w:val="20"/>
          <w:lang w:val="es-ES_tradnl"/>
        </w:rPr>
        <w:t>on respecto a la presente petición, la decisión definitiva de la jurisdicción doméstica para los efectos del cálculo del plazo previsto en artículo 46.1</w:t>
      </w:r>
      <w:r w:rsidR="00C77F1F" w:rsidRPr="00ED0D6F">
        <w:rPr>
          <w:rFonts w:asciiTheme="majorHAnsi" w:hAnsiTheme="majorHAnsi" w:cs="Calibri"/>
          <w:sz w:val="20"/>
          <w:szCs w:val="20"/>
          <w:lang w:val="es-ES_tradnl"/>
        </w:rPr>
        <w:t>.</w:t>
      </w:r>
      <w:r w:rsidR="001425C4" w:rsidRPr="00ED0D6F">
        <w:rPr>
          <w:rFonts w:asciiTheme="majorHAnsi" w:hAnsiTheme="majorHAnsi" w:cs="Calibri"/>
          <w:sz w:val="20"/>
          <w:szCs w:val="20"/>
          <w:lang w:val="es-ES_tradnl"/>
        </w:rPr>
        <w:t xml:space="preserve">b) de la Convención Americana fue aquella por la que la Corte Suprema de Justicia de la Nación inadmitió el recurso de queja interpuesto por la presunta víctima contra el rechazo de su recurso extraordinario federal. Según lo expuesto por el peticionario y no controvertido por el Estado, </w:t>
      </w:r>
      <w:r w:rsidR="001425C4" w:rsidRPr="00ED0D6F">
        <w:rPr>
          <w:rFonts w:asciiTheme="majorHAnsi" w:hAnsiTheme="majorHAnsi"/>
          <w:sz w:val="20"/>
          <w:szCs w:val="20"/>
          <w:lang w:val="es-ES_tradnl"/>
        </w:rPr>
        <w:t>esa decisión fue notificada a la presunta víctima el 4 de noviembre de 2014. En consecuencia</w:t>
      </w:r>
      <w:r w:rsidR="00C77F1F" w:rsidRPr="00ED0D6F">
        <w:rPr>
          <w:rFonts w:asciiTheme="majorHAnsi" w:hAnsiTheme="majorHAnsi"/>
          <w:sz w:val="20"/>
          <w:szCs w:val="20"/>
          <w:lang w:val="es-ES_tradnl"/>
        </w:rPr>
        <w:t>,</w:t>
      </w:r>
      <w:r w:rsidR="001425C4" w:rsidRPr="00ED0D6F">
        <w:rPr>
          <w:rFonts w:asciiTheme="majorHAnsi" w:hAnsiTheme="majorHAnsi"/>
          <w:sz w:val="20"/>
          <w:szCs w:val="20"/>
          <w:lang w:val="es-ES_tradnl"/>
        </w:rPr>
        <w:t xml:space="preserve"> y dado que la petición fue presentada el 14 de abril de 2015, la Comisión concluye que la presente petición también cumple con el requisito del artículo 46.1</w:t>
      </w:r>
      <w:r w:rsidR="00C77F1F" w:rsidRPr="00ED0D6F">
        <w:rPr>
          <w:rFonts w:asciiTheme="majorHAnsi" w:hAnsiTheme="majorHAnsi"/>
          <w:sz w:val="20"/>
          <w:szCs w:val="20"/>
          <w:lang w:val="es-ES_tradnl"/>
        </w:rPr>
        <w:t>.</w:t>
      </w:r>
      <w:r w:rsidR="001425C4" w:rsidRPr="00ED0D6F">
        <w:rPr>
          <w:rFonts w:asciiTheme="majorHAnsi" w:hAnsiTheme="majorHAnsi"/>
          <w:sz w:val="20"/>
          <w:szCs w:val="20"/>
          <w:lang w:val="es-ES_tradnl"/>
        </w:rPr>
        <w:t>b) de la Convención Americana.</w:t>
      </w:r>
    </w:p>
    <w:p w14:paraId="48E7769C" w14:textId="6A911661" w:rsidR="00BC6C79" w:rsidRPr="00ED0D6F" w:rsidRDefault="00F04591" w:rsidP="00C97887">
      <w:pPr>
        <w:pStyle w:val="ListParagraph"/>
        <w:spacing w:after="240"/>
        <w:ind w:left="0" w:firstLine="720"/>
        <w:contextualSpacing/>
        <w:jc w:val="both"/>
        <w:rPr>
          <w:rFonts w:asciiTheme="majorHAnsi" w:hAnsiTheme="majorHAnsi"/>
          <w:b/>
          <w:bCs/>
          <w:sz w:val="20"/>
          <w:szCs w:val="20"/>
          <w:lang w:val="es-ES_tradnl"/>
        </w:rPr>
      </w:pPr>
      <w:r w:rsidRPr="00ED0D6F">
        <w:rPr>
          <w:rFonts w:asciiTheme="majorHAnsi" w:hAnsiTheme="majorHAnsi"/>
          <w:b/>
          <w:bCs/>
          <w:sz w:val="20"/>
          <w:szCs w:val="20"/>
          <w:lang w:val="es-ES_tradnl"/>
        </w:rPr>
        <w:t>V</w:t>
      </w:r>
      <w:r w:rsidR="000E2789" w:rsidRPr="00ED0D6F">
        <w:rPr>
          <w:rFonts w:asciiTheme="majorHAnsi" w:hAnsiTheme="majorHAnsi"/>
          <w:b/>
          <w:bCs/>
          <w:sz w:val="20"/>
          <w:szCs w:val="20"/>
          <w:lang w:val="es-ES_tradnl"/>
        </w:rPr>
        <w:t>I</w:t>
      </w:r>
      <w:r w:rsidRPr="00ED0D6F">
        <w:rPr>
          <w:rFonts w:asciiTheme="majorHAnsi" w:hAnsiTheme="majorHAnsi"/>
          <w:b/>
          <w:bCs/>
          <w:sz w:val="20"/>
          <w:szCs w:val="20"/>
          <w:lang w:val="es-ES_tradnl"/>
        </w:rPr>
        <w:t xml:space="preserve">I. </w:t>
      </w:r>
      <w:r w:rsidRPr="00ED0D6F">
        <w:rPr>
          <w:rFonts w:asciiTheme="majorHAnsi" w:hAnsiTheme="majorHAnsi"/>
          <w:b/>
          <w:bCs/>
          <w:sz w:val="20"/>
          <w:szCs w:val="20"/>
          <w:lang w:val="es-ES_tradnl"/>
        </w:rPr>
        <w:tab/>
      </w:r>
      <w:r w:rsidR="007471D7" w:rsidRPr="00ED0D6F">
        <w:rPr>
          <w:rFonts w:asciiTheme="majorHAnsi" w:hAnsiTheme="majorHAnsi"/>
          <w:b/>
          <w:bCs/>
          <w:sz w:val="20"/>
          <w:szCs w:val="20"/>
          <w:lang w:val="es-ES_tradnl"/>
        </w:rPr>
        <w:t xml:space="preserve">ANÁLISIS DE </w:t>
      </w:r>
      <w:r w:rsidRPr="00ED0D6F">
        <w:rPr>
          <w:rFonts w:asciiTheme="majorHAnsi" w:hAnsiTheme="majorHAnsi"/>
          <w:b/>
          <w:bCs/>
          <w:sz w:val="20"/>
          <w:szCs w:val="20"/>
          <w:lang w:val="es-ES_tradnl"/>
        </w:rPr>
        <w:t>CARACTERIZACIÓN</w:t>
      </w:r>
    </w:p>
    <w:p w14:paraId="6FF75D7B" w14:textId="77777777" w:rsidR="001425C4" w:rsidRPr="00ED0D6F" w:rsidRDefault="001425C4" w:rsidP="00C97887">
      <w:pPr>
        <w:pStyle w:val="ListParagraph"/>
        <w:spacing w:after="240"/>
        <w:ind w:left="0" w:firstLine="720"/>
        <w:contextualSpacing/>
        <w:jc w:val="both"/>
        <w:rPr>
          <w:rFonts w:asciiTheme="majorHAnsi" w:hAnsiTheme="majorHAnsi"/>
          <w:b/>
          <w:bCs/>
          <w:sz w:val="20"/>
          <w:szCs w:val="20"/>
          <w:lang w:val="es-ES_tradnl"/>
        </w:rPr>
      </w:pPr>
    </w:p>
    <w:p w14:paraId="3E2A0672" w14:textId="2E723C87" w:rsidR="002C3D4C" w:rsidRPr="00ED0D6F" w:rsidRDefault="001425C4" w:rsidP="00C9788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D0D6F">
        <w:rPr>
          <w:rFonts w:asciiTheme="majorHAnsi" w:hAnsiTheme="majorHAnsi"/>
          <w:sz w:val="20"/>
          <w:szCs w:val="20"/>
          <w:lang w:val="es-ES_tradnl"/>
        </w:rPr>
        <w:t>Preliminarmente y dado que el Estado ha presentado argumentos relacionados con la denominada fórmula de la “cuarta instancia”, la Comisión</w:t>
      </w:r>
      <w:r w:rsidR="002C3D4C" w:rsidRPr="00ED0D6F">
        <w:rPr>
          <w:rFonts w:asciiTheme="majorHAnsi" w:hAnsiTheme="majorHAnsi"/>
          <w:sz w:val="20"/>
          <w:szCs w:val="20"/>
          <w:lang w:val="es-ES_tradnl"/>
        </w:rPr>
        <w:t xml:space="preserve"> reitera que, para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2C3D4C" w:rsidRPr="00ED0D6F">
        <w:rPr>
          <w:rFonts w:asciiTheme="majorHAnsi" w:hAnsiTheme="majorHAnsi"/>
          <w:i/>
          <w:iCs/>
          <w:sz w:val="20"/>
          <w:szCs w:val="20"/>
          <w:lang w:val="es-ES_tradnl"/>
        </w:rPr>
        <w:t>prima facie</w:t>
      </w:r>
      <w:r w:rsidR="002C3D4C" w:rsidRPr="00ED0D6F">
        <w:rPr>
          <w:rFonts w:asciiTheme="majorHAnsi" w:hAnsiTheme="majorHAnsi"/>
          <w:sz w:val="20"/>
          <w:szCs w:val="20"/>
          <w:lang w:val="es-ES_tradnl"/>
        </w:rPr>
        <w:t xml:space="preserve"> violaciones a la Convención Americana”</w:t>
      </w:r>
      <w:r w:rsidR="002C3D4C" w:rsidRPr="00ED0D6F">
        <w:rPr>
          <w:rStyle w:val="FootnoteReference"/>
          <w:rFonts w:asciiTheme="majorHAnsi" w:hAnsiTheme="majorHAnsi" w:cs="Calibri"/>
          <w:sz w:val="20"/>
          <w:szCs w:val="20"/>
          <w:lang w:val="es-ES_tradnl"/>
        </w:rPr>
        <w:footnoteReference w:id="7"/>
      </w:r>
      <w:r w:rsidR="002C3D4C" w:rsidRPr="00ED0D6F">
        <w:rPr>
          <w:rFonts w:asciiTheme="majorHAnsi" w:hAnsiTheme="majorHAnsi"/>
          <w:sz w:val="20"/>
          <w:szCs w:val="20"/>
          <w:lang w:val="es-ES_tradnl"/>
        </w:rPr>
        <w:t>.</w:t>
      </w:r>
    </w:p>
    <w:p w14:paraId="2AF24AFE" w14:textId="41485111" w:rsidR="001425C4" w:rsidRPr="00ED0D6F" w:rsidRDefault="001425C4" w:rsidP="00BA037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sidRPr="00ED0D6F">
        <w:rPr>
          <w:rFonts w:asciiTheme="majorHAnsi" w:hAnsiTheme="majorHAnsi"/>
          <w:sz w:val="20"/>
          <w:szCs w:val="20"/>
          <w:lang w:val="es-ES_tradnl"/>
        </w:rPr>
        <w:t>En el presente caso las partes concuerdan en que la presunta víctima sufrió un accidente con consecuencias graves a raíz de que el servicio ferroviario prestado por una empresa concesionada por el Estado</w:t>
      </w:r>
      <w:r w:rsidR="009575DE" w:rsidRPr="00ED0D6F">
        <w:rPr>
          <w:rFonts w:asciiTheme="majorHAnsi" w:hAnsiTheme="majorHAnsi"/>
          <w:sz w:val="20"/>
          <w:szCs w:val="20"/>
          <w:lang w:val="es-ES_tradnl"/>
        </w:rPr>
        <w:t xml:space="preserve"> no cumplió</w:t>
      </w:r>
      <w:r w:rsidRPr="00ED0D6F">
        <w:rPr>
          <w:rFonts w:asciiTheme="majorHAnsi" w:hAnsiTheme="majorHAnsi"/>
          <w:sz w:val="20"/>
          <w:szCs w:val="20"/>
          <w:lang w:val="es-ES_tradnl"/>
        </w:rPr>
        <w:t xml:space="preserve"> con las condiciones adecuadas para garantizar la seguridad de </w:t>
      </w:r>
      <w:r w:rsidR="00BA037D" w:rsidRPr="00ED0D6F">
        <w:rPr>
          <w:rFonts w:asciiTheme="majorHAnsi" w:hAnsiTheme="majorHAnsi"/>
          <w:sz w:val="20"/>
          <w:szCs w:val="20"/>
          <w:lang w:val="es-ES_tradnl"/>
        </w:rPr>
        <w:t>los</w:t>
      </w:r>
      <w:r w:rsidRPr="00ED0D6F">
        <w:rPr>
          <w:rFonts w:asciiTheme="majorHAnsi" w:hAnsiTheme="majorHAnsi"/>
          <w:sz w:val="20"/>
          <w:szCs w:val="20"/>
          <w:lang w:val="es-ES_tradnl"/>
        </w:rPr>
        <w:t xml:space="preserve"> pasajer</w:t>
      </w:r>
      <w:r w:rsidR="00BA037D" w:rsidRPr="00ED0D6F">
        <w:rPr>
          <w:rFonts w:asciiTheme="majorHAnsi" w:hAnsiTheme="majorHAnsi"/>
          <w:sz w:val="20"/>
          <w:szCs w:val="20"/>
          <w:lang w:val="es-ES_tradnl"/>
        </w:rPr>
        <w:t>o</w:t>
      </w:r>
      <w:r w:rsidRPr="00ED0D6F">
        <w:rPr>
          <w:rFonts w:asciiTheme="majorHAnsi" w:hAnsiTheme="majorHAnsi"/>
          <w:sz w:val="20"/>
          <w:szCs w:val="20"/>
          <w:lang w:val="es-ES_tradnl"/>
        </w:rPr>
        <w:t xml:space="preserve">s. La controversia recae en que la parte peticionaria sostiene que el Estado también tuvo responsabilidad en el accidente mientras que el Estado, a través de sus tribunales domésticos, rechazó tal responsabilidad. La petición imputa responsabilidad </w:t>
      </w:r>
      <w:r w:rsidR="009575DE" w:rsidRPr="00ED0D6F">
        <w:rPr>
          <w:rFonts w:asciiTheme="majorHAnsi" w:hAnsiTheme="majorHAnsi"/>
          <w:sz w:val="20"/>
          <w:szCs w:val="20"/>
          <w:lang w:val="es-ES_tradnl"/>
        </w:rPr>
        <w:t>al</w:t>
      </w:r>
      <w:r w:rsidRPr="00ED0D6F">
        <w:rPr>
          <w:rFonts w:asciiTheme="majorHAnsi" w:hAnsiTheme="majorHAnsi"/>
          <w:sz w:val="20"/>
          <w:szCs w:val="20"/>
          <w:lang w:val="es-ES_tradnl"/>
        </w:rPr>
        <w:t xml:space="preserve"> Estado por ser propietario de los ferrocarriles y por omisiones en su deber de protección para con la presunta víctima. En este sentido, </w:t>
      </w:r>
      <w:r w:rsidR="00BA037D" w:rsidRPr="00ED0D6F">
        <w:rPr>
          <w:rFonts w:asciiTheme="majorHAnsi" w:hAnsiTheme="majorHAnsi"/>
          <w:sz w:val="20"/>
          <w:szCs w:val="20"/>
          <w:lang w:val="es-ES_tradnl"/>
        </w:rPr>
        <w:t xml:space="preserve">el peticionario </w:t>
      </w:r>
      <w:r w:rsidRPr="00ED0D6F">
        <w:rPr>
          <w:rFonts w:asciiTheme="majorHAnsi" w:hAnsiTheme="majorHAnsi"/>
          <w:sz w:val="20"/>
          <w:szCs w:val="20"/>
          <w:lang w:val="es-ES_tradnl"/>
        </w:rPr>
        <w:t>alega que el Estado tenía conocimiento de las deficiencias del servicio y que, pese a ello, no ejerció oportunamente su facultad de rescindir el contrato</w:t>
      </w:r>
      <w:r w:rsidR="009575DE" w:rsidRPr="00ED0D6F">
        <w:rPr>
          <w:rFonts w:asciiTheme="majorHAnsi" w:hAnsiTheme="majorHAnsi"/>
          <w:sz w:val="20"/>
          <w:szCs w:val="20"/>
          <w:lang w:val="es-ES_tradnl"/>
        </w:rPr>
        <w:t xml:space="preserve"> ni aseguró que la empresa concesionaria adoptara las medidas requeridas</w:t>
      </w:r>
      <w:r w:rsidRPr="00ED0D6F">
        <w:rPr>
          <w:rFonts w:asciiTheme="majorHAnsi" w:hAnsiTheme="majorHAnsi"/>
          <w:sz w:val="20"/>
          <w:szCs w:val="20"/>
          <w:lang w:val="es-ES_tradnl"/>
        </w:rPr>
        <w:t>; permitiendo</w:t>
      </w:r>
      <w:r w:rsidR="009575DE" w:rsidRPr="00ED0D6F">
        <w:rPr>
          <w:rFonts w:asciiTheme="majorHAnsi" w:hAnsiTheme="majorHAnsi"/>
          <w:sz w:val="20"/>
          <w:szCs w:val="20"/>
          <w:lang w:val="es-ES_tradnl"/>
        </w:rPr>
        <w:t xml:space="preserve"> así</w:t>
      </w:r>
      <w:r w:rsidRPr="00ED0D6F">
        <w:rPr>
          <w:rFonts w:asciiTheme="majorHAnsi" w:hAnsiTheme="majorHAnsi"/>
          <w:sz w:val="20"/>
          <w:szCs w:val="20"/>
          <w:lang w:val="es-ES_tradnl"/>
        </w:rPr>
        <w:t xml:space="preserve"> que la concesionaria siguiera operando el servicio y exponiendo </w:t>
      </w:r>
      <w:r w:rsidR="00BA037D" w:rsidRPr="00ED0D6F">
        <w:rPr>
          <w:rFonts w:asciiTheme="majorHAnsi" w:hAnsiTheme="majorHAnsi"/>
          <w:sz w:val="20"/>
          <w:szCs w:val="20"/>
          <w:lang w:val="es-ES_tradnl"/>
        </w:rPr>
        <w:t>al público</w:t>
      </w:r>
      <w:r w:rsidRPr="00ED0D6F">
        <w:rPr>
          <w:rFonts w:asciiTheme="majorHAnsi" w:hAnsiTheme="majorHAnsi"/>
          <w:sz w:val="20"/>
          <w:szCs w:val="20"/>
          <w:lang w:val="es-ES_tradnl"/>
        </w:rPr>
        <w:t xml:space="preserve"> a riesgos como el que conllevó al accidente sufrido por la presunta víctima. </w:t>
      </w:r>
    </w:p>
    <w:p w14:paraId="6E1766E7" w14:textId="21C8344C" w:rsidR="001425C4" w:rsidRPr="00ED0D6F" w:rsidRDefault="001425C4" w:rsidP="007471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sidRPr="00ED0D6F">
        <w:rPr>
          <w:rFonts w:asciiTheme="majorHAnsi" w:hAnsiTheme="majorHAnsi"/>
          <w:sz w:val="20"/>
          <w:szCs w:val="20"/>
          <w:lang w:val="es-ES_tradnl"/>
        </w:rPr>
        <w:lastRenderedPageBreak/>
        <w:t xml:space="preserve">En el presente caso, la Comisión considera que la parte peticionaria ha presentado argumentos concretos respecto a </w:t>
      </w:r>
      <w:r w:rsidR="009575DE" w:rsidRPr="00ED0D6F">
        <w:rPr>
          <w:rFonts w:asciiTheme="majorHAnsi" w:hAnsiTheme="majorHAnsi"/>
          <w:sz w:val="20"/>
          <w:szCs w:val="20"/>
          <w:lang w:val="es-ES_tradnl"/>
        </w:rPr>
        <w:t>las razones por las que</w:t>
      </w:r>
      <w:r w:rsidRPr="00ED0D6F">
        <w:rPr>
          <w:rFonts w:asciiTheme="majorHAnsi" w:hAnsiTheme="majorHAnsi"/>
          <w:sz w:val="20"/>
          <w:szCs w:val="20"/>
          <w:lang w:val="es-ES_tradnl"/>
        </w:rPr>
        <w:t xml:space="preserve"> el Estado tendría responsabilidad en el accidente ocurrido a la presunta víctima. La Comisión estima que estos argumentos no pueden ser tachados </w:t>
      </w:r>
      <w:r w:rsidRPr="00ED0D6F">
        <w:rPr>
          <w:rFonts w:asciiTheme="majorHAnsi" w:hAnsiTheme="majorHAnsi"/>
          <w:i/>
          <w:iCs/>
          <w:sz w:val="20"/>
          <w:szCs w:val="20"/>
          <w:lang w:val="es-ES_tradnl"/>
        </w:rPr>
        <w:t>prima facie</w:t>
      </w:r>
      <w:r w:rsidRPr="00ED0D6F">
        <w:rPr>
          <w:rFonts w:asciiTheme="majorHAnsi" w:hAnsiTheme="majorHAnsi"/>
          <w:sz w:val="20"/>
          <w:szCs w:val="20"/>
          <w:lang w:val="es-ES_tradnl"/>
        </w:rPr>
        <w:t xml:space="preserve"> de manifiestamente infundados. En este sentido, la Comisión valora que de la información aportada por el Estado surge que una autoridad estatal tenía conocimiento de que existía un problema con la elevación de los andenes e intimó a la concesionaria para que los adecuara, pero sin poder lograrlo. Por estas razones la Comisión estima que la presente petición presenta un asunto complejo que requiere un análisis de fondo a fines de determinar si el Estado incurrió o no en responsabilidad internacional en perjuicio de la presunta víctima.</w:t>
      </w:r>
    </w:p>
    <w:p w14:paraId="26F648FE" w14:textId="3CE9DCFD" w:rsidR="001425C4" w:rsidRPr="00ED0D6F" w:rsidRDefault="001425C4" w:rsidP="007471D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sidRPr="00ED0D6F">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ED0D6F">
        <w:rPr>
          <w:rFonts w:asciiTheme="majorHAnsi" w:hAnsiTheme="majorHAnsi"/>
          <w:bCs/>
          <w:sz w:val="20"/>
          <w:szCs w:val="20"/>
          <w:lang w:val="es-ES_tradnl"/>
        </w:rPr>
        <w:t>artículos 5 (integridad personal), 8 (garantías judiciales) y 25 (protección judicial) de la Convención Americana</w:t>
      </w:r>
      <w:r w:rsidR="00BA037D" w:rsidRPr="00ED0D6F">
        <w:rPr>
          <w:rFonts w:asciiTheme="majorHAnsi" w:hAnsiTheme="majorHAnsi"/>
          <w:bCs/>
          <w:sz w:val="20"/>
          <w:szCs w:val="20"/>
          <w:lang w:val="es-ES_tradnl"/>
        </w:rPr>
        <w:t>,</w:t>
      </w:r>
      <w:r w:rsidRPr="00ED0D6F">
        <w:rPr>
          <w:rFonts w:asciiTheme="majorHAnsi" w:hAnsiTheme="majorHAnsi"/>
          <w:bCs/>
          <w:sz w:val="20"/>
          <w:szCs w:val="20"/>
          <w:lang w:val="es-ES_tradnl"/>
        </w:rPr>
        <w:t xml:space="preserve"> en relación con sus artículos 1.1. (obligación de respetar los derechos) y 2 (deber de adoptar disposiciones de derecho interno)</w:t>
      </w:r>
      <w:r w:rsidR="007471D7" w:rsidRPr="00ED0D6F">
        <w:rPr>
          <w:rFonts w:asciiTheme="majorHAnsi" w:hAnsiTheme="majorHAnsi"/>
          <w:bCs/>
          <w:sz w:val="20"/>
          <w:szCs w:val="20"/>
          <w:lang w:val="es-ES_tradnl"/>
        </w:rPr>
        <w:t xml:space="preserve">, en perjuicio </w:t>
      </w:r>
      <w:r w:rsidR="00BA037D" w:rsidRPr="00ED0D6F">
        <w:rPr>
          <w:rFonts w:asciiTheme="majorHAnsi" w:hAnsiTheme="majorHAnsi"/>
          <w:bCs/>
          <w:sz w:val="20"/>
          <w:szCs w:val="20"/>
          <w:lang w:val="es-ES_tradnl"/>
        </w:rPr>
        <w:t xml:space="preserve">de la Sra. María Gabriela </w:t>
      </w:r>
      <w:r w:rsidR="000F70D7" w:rsidRPr="00ED0D6F">
        <w:rPr>
          <w:rFonts w:asciiTheme="majorHAnsi" w:hAnsiTheme="majorHAnsi"/>
          <w:bCs/>
          <w:sz w:val="20"/>
          <w:szCs w:val="20"/>
          <w:lang w:val="es-ES_tradnl"/>
        </w:rPr>
        <w:t>Gonzalez,</w:t>
      </w:r>
      <w:r w:rsidR="007471D7" w:rsidRPr="00ED0D6F">
        <w:rPr>
          <w:rFonts w:asciiTheme="majorHAnsi" w:hAnsiTheme="majorHAnsi"/>
          <w:bCs/>
          <w:sz w:val="20"/>
          <w:szCs w:val="20"/>
          <w:lang w:val="es-ES_tradnl"/>
        </w:rPr>
        <w:t xml:space="preserve"> en los términos del presente informe.</w:t>
      </w:r>
    </w:p>
    <w:p w14:paraId="29BB41F5" w14:textId="2851F5F9" w:rsidR="003239B8" w:rsidRPr="00ED0D6F" w:rsidRDefault="00EC72AB" w:rsidP="00C978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ED0D6F">
        <w:rPr>
          <w:rFonts w:asciiTheme="majorHAnsi" w:hAnsiTheme="majorHAnsi"/>
          <w:b/>
          <w:bCs/>
          <w:sz w:val="20"/>
          <w:szCs w:val="20"/>
          <w:lang w:val="es-ES_tradnl"/>
        </w:rPr>
        <w:t>VI</w:t>
      </w:r>
      <w:r w:rsidR="00F04591" w:rsidRPr="00ED0D6F">
        <w:rPr>
          <w:rFonts w:asciiTheme="majorHAnsi" w:hAnsiTheme="majorHAnsi"/>
          <w:b/>
          <w:bCs/>
          <w:sz w:val="20"/>
          <w:szCs w:val="20"/>
          <w:lang w:val="es-ES_tradnl"/>
        </w:rPr>
        <w:t>II</w:t>
      </w:r>
      <w:r w:rsidR="003239B8" w:rsidRPr="00ED0D6F">
        <w:rPr>
          <w:rFonts w:asciiTheme="majorHAnsi" w:hAnsiTheme="majorHAnsi"/>
          <w:b/>
          <w:bCs/>
          <w:sz w:val="20"/>
          <w:szCs w:val="20"/>
          <w:lang w:val="es-ES_tradnl"/>
        </w:rPr>
        <w:t xml:space="preserve">. </w:t>
      </w:r>
      <w:r w:rsidR="003239B8" w:rsidRPr="00ED0D6F">
        <w:rPr>
          <w:rFonts w:asciiTheme="majorHAnsi" w:hAnsiTheme="majorHAnsi"/>
          <w:b/>
          <w:bCs/>
          <w:sz w:val="20"/>
          <w:szCs w:val="20"/>
          <w:lang w:val="es-ES_tradnl"/>
        </w:rPr>
        <w:tab/>
        <w:t>DECISIÓN</w:t>
      </w:r>
    </w:p>
    <w:p w14:paraId="0FDE1D10" w14:textId="08910BD5" w:rsidR="003239B8" w:rsidRPr="00ED0D6F" w:rsidRDefault="003239B8" w:rsidP="00C978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D0D6F">
        <w:rPr>
          <w:rFonts w:asciiTheme="majorHAnsi" w:hAnsiTheme="majorHAnsi"/>
          <w:sz w:val="20"/>
          <w:szCs w:val="20"/>
          <w:lang w:val="es-ES_tradnl"/>
        </w:rPr>
        <w:t xml:space="preserve">Declarar </w:t>
      </w:r>
      <w:r w:rsidR="00586230" w:rsidRPr="00ED0D6F">
        <w:rPr>
          <w:rFonts w:asciiTheme="majorHAnsi" w:hAnsiTheme="majorHAnsi"/>
          <w:sz w:val="20"/>
          <w:szCs w:val="20"/>
          <w:lang w:val="es-ES_tradnl"/>
        </w:rPr>
        <w:t xml:space="preserve">admisible la presente petición </w:t>
      </w:r>
      <w:r w:rsidR="00CB6F93" w:rsidRPr="00ED0D6F">
        <w:rPr>
          <w:rFonts w:asciiTheme="majorHAnsi" w:hAnsiTheme="majorHAnsi"/>
          <w:sz w:val="20"/>
          <w:szCs w:val="20"/>
          <w:lang w:val="es-ES_tradnl"/>
        </w:rPr>
        <w:t xml:space="preserve">en relación con los artículos </w:t>
      </w:r>
      <w:r w:rsidR="00E2709B" w:rsidRPr="00ED0D6F">
        <w:rPr>
          <w:rFonts w:asciiTheme="majorHAnsi" w:hAnsiTheme="majorHAnsi"/>
          <w:sz w:val="20"/>
          <w:szCs w:val="20"/>
          <w:lang w:val="es-ES_tradnl"/>
        </w:rPr>
        <w:t>5, 8 y 25</w:t>
      </w:r>
      <w:r w:rsidR="009F7410" w:rsidRPr="00ED0D6F">
        <w:rPr>
          <w:rFonts w:asciiTheme="majorHAnsi" w:hAnsiTheme="majorHAnsi"/>
          <w:sz w:val="20"/>
          <w:szCs w:val="20"/>
          <w:lang w:val="es-ES_tradnl"/>
        </w:rPr>
        <w:t xml:space="preserve"> de la Convención Americana en relación con su</w:t>
      </w:r>
      <w:r w:rsidR="001425C4" w:rsidRPr="00ED0D6F">
        <w:rPr>
          <w:rFonts w:asciiTheme="majorHAnsi" w:hAnsiTheme="majorHAnsi"/>
          <w:sz w:val="20"/>
          <w:szCs w:val="20"/>
          <w:lang w:val="es-ES_tradnl"/>
        </w:rPr>
        <w:t>s</w:t>
      </w:r>
      <w:r w:rsidR="009F7410" w:rsidRPr="00ED0D6F">
        <w:rPr>
          <w:rFonts w:asciiTheme="majorHAnsi" w:hAnsiTheme="majorHAnsi"/>
          <w:sz w:val="20"/>
          <w:szCs w:val="20"/>
          <w:lang w:val="es-ES_tradnl"/>
        </w:rPr>
        <w:t xml:space="preserve"> artículo</w:t>
      </w:r>
      <w:r w:rsidR="001425C4" w:rsidRPr="00ED0D6F">
        <w:rPr>
          <w:rFonts w:asciiTheme="majorHAnsi" w:hAnsiTheme="majorHAnsi"/>
          <w:sz w:val="20"/>
          <w:szCs w:val="20"/>
          <w:lang w:val="es-ES_tradnl"/>
        </w:rPr>
        <w:t>s</w:t>
      </w:r>
      <w:r w:rsidR="009F7410" w:rsidRPr="00ED0D6F">
        <w:rPr>
          <w:rFonts w:asciiTheme="majorHAnsi" w:hAnsiTheme="majorHAnsi"/>
          <w:sz w:val="20"/>
          <w:szCs w:val="20"/>
          <w:lang w:val="es-ES_tradnl"/>
        </w:rPr>
        <w:t xml:space="preserve"> 1.1 </w:t>
      </w:r>
      <w:r w:rsidR="001425C4" w:rsidRPr="00ED0D6F">
        <w:rPr>
          <w:rFonts w:asciiTheme="majorHAnsi" w:hAnsiTheme="majorHAnsi"/>
          <w:sz w:val="20"/>
          <w:szCs w:val="20"/>
          <w:lang w:val="es-ES_tradnl"/>
        </w:rPr>
        <w:t>y 2</w:t>
      </w:r>
      <w:r w:rsidR="009C1A62">
        <w:rPr>
          <w:rFonts w:asciiTheme="majorHAnsi" w:hAnsiTheme="majorHAnsi"/>
          <w:sz w:val="20"/>
          <w:szCs w:val="20"/>
          <w:lang w:val="es-ES_tradnl"/>
        </w:rPr>
        <w:t>; y</w:t>
      </w:r>
    </w:p>
    <w:p w14:paraId="4157390F" w14:textId="50224F14" w:rsidR="00D93A90" w:rsidRPr="00ED0D6F" w:rsidRDefault="004A6A54" w:rsidP="00C978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_tradnl"/>
        </w:rPr>
      </w:pPr>
      <w:r w:rsidRPr="00ED0D6F">
        <w:rPr>
          <w:rFonts w:asciiTheme="majorHAnsi" w:hAnsiTheme="majorHAnsi"/>
          <w:sz w:val="20"/>
          <w:szCs w:val="20"/>
          <w:lang w:val="es-ES_tradnl"/>
        </w:rPr>
        <w:t>Notificar a las partes la presente decisión;</w:t>
      </w:r>
      <w:r w:rsidR="00CB6F93" w:rsidRPr="00ED0D6F">
        <w:rPr>
          <w:rFonts w:asciiTheme="majorHAnsi" w:hAnsiTheme="majorHAnsi"/>
          <w:sz w:val="20"/>
          <w:szCs w:val="20"/>
          <w:lang w:val="es-ES_tradnl"/>
        </w:rPr>
        <w:t xml:space="preserve"> proceder al análisis del fondo del asunto;</w:t>
      </w:r>
      <w:r w:rsidRPr="00ED0D6F">
        <w:rPr>
          <w:rFonts w:asciiTheme="majorHAnsi" w:hAnsiTheme="majorHAnsi"/>
          <w:sz w:val="20"/>
          <w:szCs w:val="20"/>
          <w:lang w:val="es-ES_tradnl"/>
        </w:rPr>
        <w:t xml:space="preserve"> y publicar esta decisión e incluirla en su Informe Anual a la Asamblea General de la Organización de los Estados Americanos.</w:t>
      </w:r>
    </w:p>
    <w:p w14:paraId="0D597464" w14:textId="3863968A" w:rsidR="00CB6F93" w:rsidRPr="000F70D7" w:rsidRDefault="00D2344E" w:rsidP="000F70D7">
      <w:pPr>
        <w:ind w:firstLine="720"/>
        <w:jc w:val="both"/>
        <w:rPr>
          <w:rFonts w:asciiTheme="majorHAnsi" w:hAnsiTheme="majorHAnsi" w:cs="Arial"/>
          <w:noProof/>
          <w:spacing w:val="-2"/>
          <w:sz w:val="20"/>
          <w:szCs w:val="20"/>
          <w:lang w:val="es-CL"/>
        </w:rPr>
      </w:pPr>
      <w:bookmarkStart w:id="3"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0F70D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3"/>
    </w:p>
    <w:sectPr w:rsidR="00CB6F93" w:rsidRPr="000F70D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052B" w14:textId="77777777" w:rsidR="003E021F" w:rsidRDefault="003E021F">
      <w:r>
        <w:separator/>
      </w:r>
    </w:p>
  </w:endnote>
  <w:endnote w:type="continuationSeparator" w:id="0">
    <w:p w14:paraId="32B28328" w14:textId="77777777" w:rsidR="003E021F" w:rsidRDefault="003E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C46E" w14:textId="77777777" w:rsidR="003E021F" w:rsidRPr="000F35ED" w:rsidRDefault="003E021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16DA15" w14:textId="77777777" w:rsidR="003E021F" w:rsidRPr="000F35ED" w:rsidRDefault="003E021F" w:rsidP="000F35ED">
      <w:pPr>
        <w:rPr>
          <w:rFonts w:asciiTheme="majorHAnsi" w:hAnsiTheme="majorHAnsi"/>
          <w:sz w:val="16"/>
          <w:szCs w:val="16"/>
        </w:rPr>
      </w:pPr>
      <w:r w:rsidRPr="000F35ED">
        <w:rPr>
          <w:rFonts w:asciiTheme="majorHAnsi" w:hAnsiTheme="majorHAnsi"/>
          <w:sz w:val="16"/>
          <w:szCs w:val="16"/>
        </w:rPr>
        <w:separator/>
      </w:r>
    </w:p>
    <w:p w14:paraId="4CB91D16" w14:textId="77777777" w:rsidR="003E021F" w:rsidRPr="000F35ED" w:rsidRDefault="003E021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7979D5" w14:textId="77777777" w:rsidR="003E021F" w:rsidRPr="000F35ED" w:rsidRDefault="003E021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7DF9BCF" w14:textId="1B683910" w:rsidR="00BB517C" w:rsidRPr="00C97887" w:rsidRDefault="00BB517C" w:rsidP="00BB517C">
      <w:pPr>
        <w:pStyle w:val="FootnoteText"/>
        <w:ind w:firstLine="720"/>
        <w:jc w:val="both"/>
        <w:rPr>
          <w:rFonts w:asciiTheme="majorHAnsi" w:hAnsiTheme="majorHAnsi"/>
          <w:sz w:val="16"/>
          <w:szCs w:val="16"/>
          <w:lang w:val="es-PA"/>
        </w:rPr>
      </w:pPr>
      <w:r w:rsidRPr="00C97887">
        <w:rPr>
          <w:rStyle w:val="FootnoteReference"/>
          <w:rFonts w:asciiTheme="majorHAnsi" w:hAnsiTheme="majorHAnsi"/>
          <w:sz w:val="16"/>
          <w:szCs w:val="16"/>
        </w:rPr>
        <w:footnoteRef/>
      </w:r>
      <w:r w:rsidRPr="00C97887">
        <w:rPr>
          <w:rFonts w:asciiTheme="majorHAnsi" w:hAnsiTheme="majorHAnsi"/>
          <w:sz w:val="16"/>
          <w:szCs w:val="16"/>
          <w:lang w:val="es-PA"/>
        </w:rPr>
        <w:t xml:space="preserve"> En adelante “la Convención Americana”.</w:t>
      </w:r>
    </w:p>
  </w:footnote>
  <w:footnote w:id="3">
    <w:p w14:paraId="79F07139" w14:textId="77777777" w:rsidR="008E3BFE" w:rsidRPr="00C97887" w:rsidRDefault="008E3BFE" w:rsidP="00BC6A2C">
      <w:pPr>
        <w:pStyle w:val="FootnoteText"/>
        <w:ind w:firstLine="720"/>
        <w:jc w:val="both"/>
        <w:rPr>
          <w:rFonts w:asciiTheme="majorHAnsi" w:hAnsiTheme="majorHAnsi"/>
          <w:sz w:val="16"/>
          <w:szCs w:val="16"/>
          <w:lang w:val="es-ES"/>
        </w:rPr>
      </w:pPr>
      <w:r w:rsidRPr="00C97887">
        <w:rPr>
          <w:rStyle w:val="FootnoteReference"/>
          <w:rFonts w:asciiTheme="majorHAnsi" w:hAnsiTheme="majorHAnsi"/>
          <w:sz w:val="16"/>
          <w:szCs w:val="16"/>
        </w:rPr>
        <w:footnoteRef/>
      </w:r>
      <w:r w:rsidRPr="00C97887">
        <w:rPr>
          <w:rFonts w:asciiTheme="majorHAnsi" w:hAnsiTheme="majorHAnsi"/>
          <w:sz w:val="16"/>
          <w:szCs w:val="16"/>
          <w:lang w:val="es-ES"/>
        </w:rPr>
        <w:t xml:space="preserve"> Las observaciones de cada parte fueron debidamente trasladadas a la parte contraria.</w:t>
      </w:r>
    </w:p>
  </w:footnote>
  <w:footnote w:id="4">
    <w:p w14:paraId="63F7B946" w14:textId="0D78DC5C" w:rsidR="00013B5B" w:rsidRPr="00C97887" w:rsidRDefault="00013B5B" w:rsidP="006E48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Arial"/>
          <w:sz w:val="16"/>
          <w:szCs w:val="16"/>
          <w:lang w:val="es-PA" w:eastAsia="es-ES"/>
        </w:rPr>
      </w:pPr>
      <w:r w:rsidRPr="00C97887">
        <w:rPr>
          <w:rStyle w:val="FootnoteReference"/>
          <w:rFonts w:asciiTheme="majorHAnsi" w:hAnsiTheme="majorHAnsi"/>
          <w:sz w:val="16"/>
          <w:szCs w:val="16"/>
        </w:rPr>
        <w:footnoteRef/>
      </w:r>
      <w:r w:rsidRPr="00C97887">
        <w:rPr>
          <w:rFonts w:asciiTheme="majorHAnsi" w:hAnsiTheme="majorHAnsi"/>
          <w:sz w:val="16"/>
          <w:szCs w:val="16"/>
          <w:lang w:val="es-PA"/>
        </w:rPr>
        <w:t xml:space="preserve"> Según explica la petición las lesiones incluyeron: </w:t>
      </w:r>
      <w:r w:rsidR="006E48BD" w:rsidRPr="00C97887">
        <w:rPr>
          <w:rFonts w:asciiTheme="majorHAnsi" w:hAnsiTheme="majorHAnsi" w:cs="Arial"/>
          <w:sz w:val="16"/>
          <w:szCs w:val="16"/>
          <w:lang w:val="es-PA" w:eastAsia="es-ES"/>
        </w:rPr>
        <w:t>s</w:t>
      </w:r>
      <w:r w:rsidRPr="00C97887">
        <w:rPr>
          <w:rFonts w:asciiTheme="majorHAnsi" w:hAnsiTheme="majorHAnsi" w:cs="Arial"/>
          <w:sz w:val="16"/>
          <w:szCs w:val="16"/>
          <w:lang w:val="es-PA" w:eastAsia="es-ES"/>
        </w:rPr>
        <w:t>ecuela de fractura de rama isquio pubiana bilateral</w:t>
      </w:r>
      <w:r w:rsidRPr="00C97887">
        <w:rPr>
          <w:rFonts w:asciiTheme="majorHAnsi" w:hAnsiTheme="majorHAnsi" w:cs="Arial"/>
          <w:sz w:val="16"/>
          <w:szCs w:val="16"/>
          <w:lang w:val="es-PA"/>
        </w:rPr>
        <w:t xml:space="preserve">, </w:t>
      </w:r>
      <w:r w:rsidR="006E48BD" w:rsidRPr="00C97887">
        <w:rPr>
          <w:rFonts w:asciiTheme="majorHAnsi" w:hAnsiTheme="majorHAnsi" w:cs="Arial"/>
          <w:sz w:val="16"/>
          <w:szCs w:val="16"/>
          <w:lang w:val="es-PA" w:eastAsia="es-ES"/>
        </w:rPr>
        <w:t>d</w:t>
      </w:r>
      <w:r w:rsidRPr="00C97887">
        <w:rPr>
          <w:rFonts w:asciiTheme="majorHAnsi" w:hAnsiTheme="majorHAnsi" w:cs="Arial"/>
          <w:sz w:val="16"/>
          <w:szCs w:val="16"/>
          <w:lang w:val="es-PA" w:eastAsia="es-ES"/>
        </w:rPr>
        <w:t>iástasis de sínfisis pubiana (25 cm.)</w:t>
      </w:r>
      <w:r w:rsidRPr="00C97887">
        <w:rPr>
          <w:rFonts w:asciiTheme="majorHAnsi" w:hAnsiTheme="majorHAnsi" w:cs="Arial"/>
          <w:sz w:val="16"/>
          <w:szCs w:val="16"/>
          <w:lang w:val="es-PA"/>
        </w:rPr>
        <w:t xml:space="preserve">, </w:t>
      </w:r>
      <w:r w:rsidR="006E48BD" w:rsidRPr="00C97887">
        <w:rPr>
          <w:rFonts w:asciiTheme="majorHAnsi" w:hAnsiTheme="majorHAnsi" w:cs="Arial"/>
          <w:sz w:val="16"/>
          <w:szCs w:val="16"/>
          <w:lang w:val="es-PA" w:eastAsia="es-ES"/>
        </w:rPr>
        <w:t>l</w:t>
      </w:r>
      <w:r w:rsidRPr="00C97887">
        <w:rPr>
          <w:rFonts w:asciiTheme="majorHAnsi" w:hAnsiTheme="majorHAnsi" w:cs="Arial"/>
          <w:sz w:val="16"/>
          <w:szCs w:val="16"/>
          <w:lang w:val="es-PA" w:eastAsia="es-ES"/>
        </w:rPr>
        <w:t>uxación sacro ilíaca izquierda</w:t>
      </w:r>
      <w:r w:rsidR="006E48BD" w:rsidRPr="00C97887">
        <w:rPr>
          <w:rFonts w:asciiTheme="majorHAnsi" w:hAnsiTheme="majorHAnsi" w:cs="Arial"/>
          <w:sz w:val="16"/>
          <w:szCs w:val="16"/>
          <w:lang w:val="es-PA"/>
        </w:rPr>
        <w:t xml:space="preserve">, </w:t>
      </w:r>
      <w:r w:rsidR="006E48BD" w:rsidRPr="00C97887">
        <w:rPr>
          <w:rFonts w:asciiTheme="majorHAnsi" w:hAnsiTheme="majorHAnsi" w:cs="Arial"/>
          <w:sz w:val="16"/>
          <w:szCs w:val="16"/>
          <w:lang w:val="es-PA" w:eastAsia="es-ES"/>
        </w:rPr>
        <w:t xml:space="preserve">daño estético a nivel de: región lumbosacra y glúteos y rostro. parálisis del nervio ciático poplíteo izquierdo con alteración grave en la marcha a expensas del miembro inferior izquierdo que ha sufrido </w:t>
      </w:r>
      <w:r w:rsidR="000F70D7" w:rsidRPr="00C97887">
        <w:rPr>
          <w:rFonts w:asciiTheme="majorHAnsi" w:hAnsiTheme="majorHAnsi" w:cs="Arial"/>
          <w:sz w:val="16"/>
          <w:szCs w:val="16"/>
          <w:lang w:val="es-PA" w:eastAsia="es-ES"/>
        </w:rPr>
        <w:t>deformación</w:t>
      </w:r>
      <w:r w:rsidR="000F70D7">
        <w:rPr>
          <w:rFonts w:asciiTheme="majorHAnsi" w:hAnsiTheme="majorHAnsi" w:cs="Arial"/>
          <w:sz w:val="16"/>
          <w:szCs w:val="16"/>
          <w:lang w:val="es-PA" w:eastAsia="es-ES"/>
        </w:rPr>
        <w:t xml:space="preserve"> </w:t>
      </w:r>
      <w:r w:rsidR="000F70D7" w:rsidRPr="00C97887">
        <w:rPr>
          <w:rFonts w:asciiTheme="majorHAnsi" w:hAnsiTheme="majorHAnsi" w:cs="Arial"/>
          <w:sz w:val="16"/>
          <w:szCs w:val="16"/>
          <w:lang w:val="es-PA" w:eastAsia="es-ES"/>
        </w:rPr>
        <w:t>“pie</w:t>
      </w:r>
      <w:r w:rsidR="006E48BD" w:rsidRPr="00C97887">
        <w:rPr>
          <w:rFonts w:asciiTheme="majorHAnsi" w:hAnsiTheme="majorHAnsi" w:cs="Arial"/>
          <w:sz w:val="16"/>
          <w:szCs w:val="16"/>
          <w:lang w:val="es-PA" w:eastAsia="es-ES"/>
        </w:rPr>
        <w:t xml:space="preserve"> de garra”.</w:t>
      </w:r>
      <w:r w:rsidR="006E48BD" w:rsidRPr="00C97887">
        <w:rPr>
          <w:rFonts w:asciiTheme="majorHAnsi" w:hAnsiTheme="majorHAnsi" w:cs="Arial"/>
          <w:sz w:val="16"/>
          <w:szCs w:val="16"/>
          <w:lang w:val="es-PA"/>
        </w:rPr>
        <w:t xml:space="preserve"> </w:t>
      </w:r>
      <w:r w:rsidR="006E48BD" w:rsidRPr="00C97887">
        <w:rPr>
          <w:rFonts w:asciiTheme="majorHAnsi" w:hAnsiTheme="majorHAnsi" w:cs="Arial"/>
          <w:sz w:val="16"/>
          <w:szCs w:val="16"/>
          <w:lang w:val="es-PA" w:eastAsia="es-ES"/>
        </w:rPr>
        <w:t>Cicatriz abdominal secundaria a laparotomía explorador</w:t>
      </w:r>
      <w:r w:rsidR="006E48BD" w:rsidRPr="00C97887">
        <w:rPr>
          <w:rFonts w:asciiTheme="majorHAnsi" w:hAnsiTheme="majorHAnsi" w:cs="Arial"/>
          <w:sz w:val="16"/>
          <w:szCs w:val="16"/>
          <w:lang w:val="es-PA"/>
        </w:rPr>
        <w:t xml:space="preserve">a y </w:t>
      </w:r>
      <w:r w:rsidR="006E48BD" w:rsidRPr="00C97887">
        <w:rPr>
          <w:rFonts w:asciiTheme="majorHAnsi" w:hAnsiTheme="majorHAnsi" w:cs="Arial"/>
          <w:sz w:val="16"/>
          <w:szCs w:val="16"/>
          <w:lang w:val="es-PA" w:eastAsia="es-ES"/>
        </w:rPr>
        <w:t>Pérdida de sensibilidad en la piel en la zona de la cadera y en el pie izquierdo.</w:t>
      </w:r>
    </w:p>
  </w:footnote>
  <w:footnote w:id="5">
    <w:p w14:paraId="43769748" w14:textId="2EFAD961" w:rsidR="00C17D26" w:rsidRPr="00C97887" w:rsidRDefault="00C17D26" w:rsidP="00C17D26">
      <w:pPr>
        <w:pStyle w:val="FootnoteText"/>
        <w:ind w:firstLine="720"/>
        <w:jc w:val="both"/>
        <w:rPr>
          <w:rFonts w:asciiTheme="majorHAnsi" w:hAnsiTheme="majorHAnsi"/>
          <w:sz w:val="16"/>
          <w:szCs w:val="16"/>
          <w:lang w:val="es-PA"/>
        </w:rPr>
      </w:pPr>
      <w:r w:rsidRPr="00C97887">
        <w:rPr>
          <w:rStyle w:val="FootnoteReference"/>
          <w:rFonts w:asciiTheme="majorHAnsi" w:hAnsiTheme="majorHAnsi"/>
          <w:sz w:val="16"/>
          <w:szCs w:val="16"/>
        </w:rPr>
        <w:footnoteRef/>
      </w:r>
      <w:r w:rsidRPr="00C97887">
        <w:rPr>
          <w:rFonts w:asciiTheme="majorHAnsi" w:hAnsiTheme="majorHAnsi"/>
          <w:sz w:val="16"/>
          <w:szCs w:val="16"/>
          <w:lang w:val="es-PA"/>
        </w:rPr>
        <w:t xml:space="preserve"> Según registro histórico del Banco Nacional de Argentina (disponible en http://bna.com.ar).</w:t>
      </w:r>
    </w:p>
  </w:footnote>
  <w:footnote w:id="6">
    <w:p w14:paraId="7422B589" w14:textId="77777777" w:rsidR="001425C4" w:rsidRPr="00C97887" w:rsidRDefault="001425C4" w:rsidP="001425C4">
      <w:pPr>
        <w:ind w:firstLine="720"/>
        <w:contextualSpacing/>
        <w:jc w:val="both"/>
        <w:rPr>
          <w:rFonts w:asciiTheme="majorHAnsi" w:hAnsiTheme="majorHAnsi" w:cs="Calibri"/>
          <w:sz w:val="16"/>
          <w:szCs w:val="16"/>
          <w:lang w:val="es-ES_tradnl"/>
        </w:rPr>
      </w:pPr>
      <w:r w:rsidRPr="00C97887">
        <w:rPr>
          <w:rStyle w:val="FootnoteReference"/>
          <w:rFonts w:asciiTheme="majorHAnsi" w:hAnsiTheme="majorHAnsi" w:cs="Calibri"/>
          <w:sz w:val="16"/>
          <w:szCs w:val="16"/>
        </w:rPr>
        <w:footnoteRef/>
      </w:r>
      <w:r w:rsidRPr="00C97887">
        <w:rPr>
          <w:rFonts w:asciiTheme="majorHAnsi" w:hAnsiTheme="majorHAnsi" w:cs="Calibri"/>
          <w:sz w:val="16"/>
          <w:szCs w:val="16"/>
          <w:lang w:val="es-ES"/>
        </w:rPr>
        <w:t xml:space="preserve">  </w:t>
      </w:r>
      <w:r w:rsidRPr="00C97887">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7">
    <w:p w14:paraId="20E06F07" w14:textId="77777777" w:rsidR="002C3D4C" w:rsidRPr="00C97887" w:rsidRDefault="002C3D4C" w:rsidP="002C3D4C">
      <w:pPr>
        <w:pStyle w:val="FootnoteText"/>
        <w:ind w:firstLine="720"/>
        <w:jc w:val="both"/>
        <w:rPr>
          <w:rFonts w:asciiTheme="majorHAnsi" w:hAnsiTheme="majorHAnsi"/>
          <w:sz w:val="16"/>
          <w:szCs w:val="16"/>
          <w:lang w:val="es-ES"/>
        </w:rPr>
      </w:pPr>
      <w:r w:rsidRPr="00C97887">
        <w:rPr>
          <w:rStyle w:val="FootnoteReference"/>
          <w:rFonts w:asciiTheme="majorHAnsi" w:hAnsiTheme="majorHAnsi"/>
          <w:sz w:val="16"/>
          <w:szCs w:val="16"/>
        </w:rPr>
        <w:footnoteRef/>
      </w:r>
      <w:r w:rsidRPr="00C97887">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20311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36A5B0C"/>
    <w:lvl w:ilvl="0" w:tplc="89145DAC">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E523BF"/>
    <w:multiLevelType w:val="hybridMultilevel"/>
    <w:tmpl w:val="F7ECB35E"/>
    <w:lvl w:ilvl="0" w:tplc="FFFFFFFF">
      <w:start w:val="1"/>
      <w:numFmt w:val="decimal"/>
      <w:lvlText w:val="%1."/>
      <w:lvlJc w:val="left"/>
      <w:pPr>
        <w:tabs>
          <w:tab w:val="num" w:pos="720"/>
        </w:tabs>
        <w:ind w:left="0" w:firstLine="720"/>
      </w:pPr>
      <w:rPr>
        <w:rFonts w:hint="default"/>
        <w:b w:val="0"/>
        <w:bCs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EB02B3"/>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15654393">
    <w:abstractNumId w:val="4"/>
  </w:num>
  <w:num w:numId="2" w16cid:durableId="1948267509">
    <w:abstractNumId w:val="6"/>
  </w:num>
  <w:num w:numId="3" w16cid:durableId="2042169300">
    <w:abstractNumId w:val="57"/>
  </w:num>
  <w:num w:numId="4" w16cid:durableId="2081751321">
    <w:abstractNumId w:val="22"/>
  </w:num>
  <w:num w:numId="5" w16cid:durableId="617369668">
    <w:abstractNumId w:val="49"/>
  </w:num>
  <w:num w:numId="6" w16cid:durableId="1435319903">
    <w:abstractNumId w:val="27"/>
  </w:num>
  <w:num w:numId="7" w16cid:durableId="1016464111">
    <w:abstractNumId w:val="7"/>
  </w:num>
  <w:num w:numId="8" w16cid:durableId="325936840">
    <w:abstractNumId w:val="17"/>
  </w:num>
  <w:num w:numId="9" w16cid:durableId="1310787238">
    <w:abstractNumId w:val="43"/>
  </w:num>
  <w:num w:numId="10" w16cid:durableId="1904291897">
    <w:abstractNumId w:val="0"/>
  </w:num>
  <w:num w:numId="11" w16cid:durableId="800000705">
    <w:abstractNumId w:val="37"/>
  </w:num>
  <w:num w:numId="12" w16cid:durableId="511191143">
    <w:abstractNumId w:val="39"/>
  </w:num>
  <w:num w:numId="13" w16cid:durableId="1907448570">
    <w:abstractNumId w:val="45"/>
  </w:num>
  <w:num w:numId="14" w16cid:durableId="901797852">
    <w:abstractNumId w:val="1"/>
  </w:num>
  <w:num w:numId="15" w16cid:durableId="672996403">
    <w:abstractNumId w:val="2"/>
  </w:num>
  <w:num w:numId="16" w16cid:durableId="1626816730">
    <w:abstractNumId w:val="8"/>
  </w:num>
  <w:num w:numId="17" w16cid:durableId="15424217">
    <w:abstractNumId w:val="9"/>
  </w:num>
  <w:num w:numId="18" w16cid:durableId="1140419614">
    <w:abstractNumId w:val="10"/>
  </w:num>
  <w:num w:numId="19" w16cid:durableId="108741750">
    <w:abstractNumId w:val="11"/>
  </w:num>
  <w:num w:numId="20" w16cid:durableId="529883342">
    <w:abstractNumId w:val="12"/>
  </w:num>
  <w:num w:numId="21" w16cid:durableId="1064527465">
    <w:abstractNumId w:val="13"/>
  </w:num>
  <w:num w:numId="22" w16cid:durableId="1648782067">
    <w:abstractNumId w:val="14"/>
  </w:num>
  <w:num w:numId="23" w16cid:durableId="1825193912">
    <w:abstractNumId w:val="15"/>
  </w:num>
  <w:num w:numId="24" w16cid:durableId="522016473">
    <w:abstractNumId w:val="16"/>
  </w:num>
  <w:num w:numId="25" w16cid:durableId="811363136">
    <w:abstractNumId w:val="18"/>
  </w:num>
  <w:num w:numId="26" w16cid:durableId="1307710805">
    <w:abstractNumId w:val="19"/>
  </w:num>
  <w:num w:numId="27" w16cid:durableId="1234655963">
    <w:abstractNumId w:val="23"/>
  </w:num>
  <w:num w:numId="28" w16cid:durableId="1302077829">
    <w:abstractNumId w:val="24"/>
  </w:num>
  <w:num w:numId="29" w16cid:durableId="1970939787">
    <w:abstractNumId w:val="25"/>
  </w:num>
  <w:num w:numId="30" w16cid:durableId="1681732047">
    <w:abstractNumId w:val="26"/>
  </w:num>
  <w:num w:numId="31" w16cid:durableId="452985349">
    <w:abstractNumId w:val="28"/>
  </w:num>
  <w:num w:numId="32" w16cid:durableId="1879779462">
    <w:abstractNumId w:val="29"/>
  </w:num>
  <w:num w:numId="33" w16cid:durableId="193815096">
    <w:abstractNumId w:val="30"/>
  </w:num>
  <w:num w:numId="34" w16cid:durableId="1806196473">
    <w:abstractNumId w:val="31"/>
  </w:num>
  <w:num w:numId="35" w16cid:durableId="1743866719">
    <w:abstractNumId w:val="32"/>
  </w:num>
  <w:num w:numId="36" w16cid:durableId="1440641741">
    <w:abstractNumId w:val="34"/>
  </w:num>
  <w:num w:numId="37" w16cid:durableId="1243637343">
    <w:abstractNumId w:val="35"/>
  </w:num>
  <w:num w:numId="38" w16cid:durableId="1379351787">
    <w:abstractNumId w:val="36"/>
  </w:num>
  <w:num w:numId="39" w16cid:durableId="1042751994">
    <w:abstractNumId w:val="40"/>
  </w:num>
  <w:num w:numId="40" w16cid:durableId="323123107">
    <w:abstractNumId w:val="41"/>
  </w:num>
  <w:num w:numId="41" w16cid:durableId="139345263">
    <w:abstractNumId w:val="47"/>
  </w:num>
  <w:num w:numId="42" w16cid:durableId="1009672986">
    <w:abstractNumId w:val="50"/>
  </w:num>
  <w:num w:numId="43" w16cid:durableId="894003201">
    <w:abstractNumId w:val="52"/>
  </w:num>
  <w:num w:numId="44" w16cid:durableId="1030491620">
    <w:abstractNumId w:val="54"/>
  </w:num>
  <w:num w:numId="45" w16cid:durableId="650790366">
    <w:abstractNumId w:val="56"/>
  </w:num>
  <w:num w:numId="46" w16cid:durableId="138349522">
    <w:abstractNumId w:val="58"/>
  </w:num>
  <w:num w:numId="47" w16cid:durableId="852302220">
    <w:abstractNumId w:val="59"/>
  </w:num>
  <w:num w:numId="48" w16cid:durableId="243606966">
    <w:abstractNumId w:val="60"/>
  </w:num>
  <w:num w:numId="49" w16cid:durableId="866724595">
    <w:abstractNumId w:val="61"/>
  </w:num>
  <w:num w:numId="50" w16cid:durableId="2106226057">
    <w:abstractNumId w:val="63"/>
  </w:num>
  <w:num w:numId="51" w16cid:durableId="224461746">
    <w:abstractNumId w:val="21"/>
  </w:num>
  <w:num w:numId="52" w16cid:durableId="1365709920">
    <w:abstractNumId w:val="42"/>
  </w:num>
  <w:num w:numId="53" w16cid:durableId="1290670131">
    <w:abstractNumId w:val="53"/>
  </w:num>
  <w:num w:numId="54" w16cid:durableId="1723282897">
    <w:abstractNumId w:val="46"/>
  </w:num>
  <w:num w:numId="55" w16cid:durableId="1424834864">
    <w:abstractNumId w:val="5"/>
  </w:num>
  <w:num w:numId="56" w16cid:durableId="86387856">
    <w:abstractNumId w:val="44"/>
  </w:num>
  <w:num w:numId="57" w16cid:durableId="1751080088">
    <w:abstractNumId w:val="62"/>
  </w:num>
  <w:num w:numId="58" w16cid:durableId="1855609994">
    <w:abstractNumId w:val="20"/>
  </w:num>
  <w:num w:numId="59" w16cid:durableId="2078817425">
    <w:abstractNumId w:val="3"/>
  </w:num>
  <w:num w:numId="60" w16cid:durableId="2030181424">
    <w:abstractNumId w:val="48"/>
  </w:num>
  <w:num w:numId="61" w16cid:durableId="820996807">
    <w:abstractNumId w:val="55"/>
  </w:num>
  <w:num w:numId="62" w16cid:durableId="1482891979">
    <w:abstractNumId w:val="33"/>
  </w:num>
  <w:num w:numId="63" w16cid:durableId="250820053">
    <w:abstractNumId w:val="51"/>
  </w:num>
  <w:num w:numId="64" w16cid:durableId="787161502">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3B5B"/>
    <w:rsid w:val="00015701"/>
    <w:rsid w:val="0001788C"/>
    <w:rsid w:val="0002186F"/>
    <w:rsid w:val="000220A4"/>
    <w:rsid w:val="00026DF5"/>
    <w:rsid w:val="0002733D"/>
    <w:rsid w:val="000310AB"/>
    <w:rsid w:val="000337EF"/>
    <w:rsid w:val="000409D6"/>
    <w:rsid w:val="00040C3A"/>
    <w:rsid w:val="00040E33"/>
    <w:rsid w:val="000419AD"/>
    <w:rsid w:val="000642AD"/>
    <w:rsid w:val="000716C5"/>
    <w:rsid w:val="000733A3"/>
    <w:rsid w:val="00075E23"/>
    <w:rsid w:val="00081014"/>
    <w:rsid w:val="0009006E"/>
    <w:rsid w:val="0009344A"/>
    <w:rsid w:val="000939F4"/>
    <w:rsid w:val="00095655"/>
    <w:rsid w:val="00096FA4"/>
    <w:rsid w:val="00097F34"/>
    <w:rsid w:val="000A19F8"/>
    <w:rsid w:val="000A3254"/>
    <w:rsid w:val="000A392E"/>
    <w:rsid w:val="000A575F"/>
    <w:rsid w:val="000A63D0"/>
    <w:rsid w:val="000B0579"/>
    <w:rsid w:val="000B188C"/>
    <w:rsid w:val="000C1C69"/>
    <w:rsid w:val="000C3A31"/>
    <w:rsid w:val="000C5E36"/>
    <w:rsid w:val="000D10DB"/>
    <w:rsid w:val="000D130B"/>
    <w:rsid w:val="000D2A85"/>
    <w:rsid w:val="000D479B"/>
    <w:rsid w:val="000E2789"/>
    <w:rsid w:val="000E5EB5"/>
    <w:rsid w:val="000F023C"/>
    <w:rsid w:val="000F1C7E"/>
    <w:rsid w:val="000F35ED"/>
    <w:rsid w:val="000F4F84"/>
    <w:rsid w:val="000F6EDB"/>
    <w:rsid w:val="000F70D7"/>
    <w:rsid w:val="001061D7"/>
    <w:rsid w:val="00107131"/>
    <w:rsid w:val="0010736F"/>
    <w:rsid w:val="00111A8A"/>
    <w:rsid w:val="00112398"/>
    <w:rsid w:val="001124F3"/>
    <w:rsid w:val="00113B28"/>
    <w:rsid w:val="00113F73"/>
    <w:rsid w:val="001143D8"/>
    <w:rsid w:val="00117AE2"/>
    <w:rsid w:val="00121CC2"/>
    <w:rsid w:val="00125F72"/>
    <w:rsid w:val="00131663"/>
    <w:rsid w:val="00131D8B"/>
    <w:rsid w:val="00133EE5"/>
    <w:rsid w:val="001342BD"/>
    <w:rsid w:val="001366AA"/>
    <w:rsid w:val="001367B7"/>
    <w:rsid w:val="00136E3D"/>
    <w:rsid w:val="001425C4"/>
    <w:rsid w:val="00143EFE"/>
    <w:rsid w:val="001479C0"/>
    <w:rsid w:val="0015330B"/>
    <w:rsid w:val="00153B50"/>
    <w:rsid w:val="00167A34"/>
    <w:rsid w:val="00172FCD"/>
    <w:rsid w:val="0017377F"/>
    <w:rsid w:val="001749F8"/>
    <w:rsid w:val="00176BB3"/>
    <w:rsid w:val="00177883"/>
    <w:rsid w:val="001779C6"/>
    <w:rsid w:val="00177EEF"/>
    <w:rsid w:val="00191C89"/>
    <w:rsid w:val="0019667E"/>
    <w:rsid w:val="001A1172"/>
    <w:rsid w:val="001A7870"/>
    <w:rsid w:val="001B3A00"/>
    <w:rsid w:val="001B490A"/>
    <w:rsid w:val="001B4C00"/>
    <w:rsid w:val="001C0589"/>
    <w:rsid w:val="001C0932"/>
    <w:rsid w:val="001C1B41"/>
    <w:rsid w:val="001C3FDF"/>
    <w:rsid w:val="001D3523"/>
    <w:rsid w:val="001D5DEC"/>
    <w:rsid w:val="001D65EF"/>
    <w:rsid w:val="001D6768"/>
    <w:rsid w:val="001E3CBA"/>
    <w:rsid w:val="001E49E7"/>
    <w:rsid w:val="001E5DB2"/>
    <w:rsid w:val="001F1FA3"/>
    <w:rsid w:val="001F271B"/>
    <w:rsid w:val="001F7201"/>
    <w:rsid w:val="00203113"/>
    <w:rsid w:val="00203B4D"/>
    <w:rsid w:val="00204931"/>
    <w:rsid w:val="002101B1"/>
    <w:rsid w:val="002123C0"/>
    <w:rsid w:val="00214EB2"/>
    <w:rsid w:val="00216075"/>
    <w:rsid w:val="00216A99"/>
    <w:rsid w:val="00217E3F"/>
    <w:rsid w:val="00223711"/>
    <w:rsid w:val="00223A29"/>
    <w:rsid w:val="00223DB4"/>
    <w:rsid w:val="0022402B"/>
    <w:rsid w:val="002250A3"/>
    <w:rsid w:val="002274A2"/>
    <w:rsid w:val="00231294"/>
    <w:rsid w:val="00235217"/>
    <w:rsid w:val="002355A9"/>
    <w:rsid w:val="002421DA"/>
    <w:rsid w:val="00245650"/>
    <w:rsid w:val="00246D1F"/>
    <w:rsid w:val="00247403"/>
    <w:rsid w:val="00247542"/>
    <w:rsid w:val="00253195"/>
    <w:rsid w:val="00253769"/>
    <w:rsid w:val="002561FD"/>
    <w:rsid w:val="00257104"/>
    <w:rsid w:val="00262864"/>
    <w:rsid w:val="002636E9"/>
    <w:rsid w:val="002646C1"/>
    <w:rsid w:val="00264CC1"/>
    <w:rsid w:val="00266B61"/>
    <w:rsid w:val="0026712A"/>
    <w:rsid w:val="002704DB"/>
    <w:rsid w:val="00275874"/>
    <w:rsid w:val="00277BDA"/>
    <w:rsid w:val="00277DE6"/>
    <w:rsid w:val="00281020"/>
    <w:rsid w:val="00292855"/>
    <w:rsid w:val="00294BD9"/>
    <w:rsid w:val="0029575A"/>
    <w:rsid w:val="00295932"/>
    <w:rsid w:val="00295F56"/>
    <w:rsid w:val="00296E14"/>
    <w:rsid w:val="002A0AAE"/>
    <w:rsid w:val="002A5820"/>
    <w:rsid w:val="002B6FFB"/>
    <w:rsid w:val="002C0D2D"/>
    <w:rsid w:val="002C3350"/>
    <w:rsid w:val="002C3D4C"/>
    <w:rsid w:val="002D1527"/>
    <w:rsid w:val="002D2B26"/>
    <w:rsid w:val="002D74DA"/>
    <w:rsid w:val="002D778E"/>
    <w:rsid w:val="002D7EA2"/>
    <w:rsid w:val="002E187C"/>
    <w:rsid w:val="002E7512"/>
    <w:rsid w:val="002F3724"/>
    <w:rsid w:val="002F3A0A"/>
    <w:rsid w:val="002F4C6A"/>
    <w:rsid w:val="002F7C78"/>
    <w:rsid w:val="00302733"/>
    <w:rsid w:val="003119C5"/>
    <w:rsid w:val="003121D5"/>
    <w:rsid w:val="003130A5"/>
    <w:rsid w:val="00314078"/>
    <w:rsid w:val="0031535D"/>
    <w:rsid w:val="003239B8"/>
    <w:rsid w:val="00323B2C"/>
    <w:rsid w:val="0033169F"/>
    <w:rsid w:val="00333A9E"/>
    <w:rsid w:val="00341A40"/>
    <w:rsid w:val="0034224A"/>
    <w:rsid w:val="00342A93"/>
    <w:rsid w:val="00343438"/>
    <w:rsid w:val="00343D9F"/>
    <w:rsid w:val="00344977"/>
    <w:rsid w:val="00346C95"/>
    <w:rsid w:val="0034788B"/>
    <w:rsid w:val="00351155"/>
    <w:rsid w:val="0035443B"/>
    <w:rsid w:val="00356185"/>
    <w:rsid w:val="00360380"/>
    <w:rsid w:val="00360A58"/>
    <w:rsid w:val="00361DF2"/>
    <w:rsid w:val="003713D8"/>
    <w:rsid w:val="0037519E"/>
    <w:rsid w:val="00380080"/>
    <w:rsid w:val="003812CB"/>
    <w:rsid w:val="00386C6C"/>
    <w:rsid w:val="00386CF0"/>
    <w:rsid w:val="003878F2"/>
    <w:rsid w:val="003911F7"/>
    <w:rsid w:val="003921D8"/>
    <w:rsid w:val="003942EC"/>
    <w:rsid w:val="003A129A"/>
    <w:rsid w:val="003A4FC1"/>
    <w:rsid w:val="003A6337"/>
    <w:rsid w:val="003A72B3"/>
    <w:rsid w:val="003B4FF6"/>
    <w:rsid w:val="003B70FB"/>
    <w:rsid w:val="003C0C03"/>
    <w:rsid w:val="003C18E3"/>
    <w:rsid w:val="003C44D1"/>
    <w:rsid w:val="003C45DC"/>
    <w:rsid w:val="003C6112"/>
    <w:rsid w:val="003C676B"/>
    <w:rsid w:val="003D0A55"/>
    <w:rsid w:val="003D3BC2"/>
    <w:rsid w:val="003D58C6"/>
    <w:rsid w:val="003E021F"/>
    <w:rsid w:val="003E5C76"/>
    <w:rsid w:val="003E614F"/>
    <w:rsid w:val="003E6C0C"/>
    <w:rsid w:val="003E6CA1"/>
    <w:rsid w:val="003F3BA0"/>
    <w:rsid w:val="00404974"/>
    <w:rsid w:val="004065A8"/>
    <w:rsid w:val="004153F5"/>
    <w:rsid w:val="004165C2"/>
    <w:rsid w:val="00427118"/>
    <w:rsid w:val="004304AD"/>
    <w:rsid w:val="0043404F"/>
    <w:rsid w:val="004359B5"/>
    <w:rsid w:val="00440C8A"/>
    <w:rsid w:val="00441ECB"/>
    <w:rsid w:val="00445193"/>
    <w:rsid w:val="00446B84"/>
    <w:rsid w:val="00447C6E"/>
    <w:rsid w:val="00447CCF"/>
    <w:rsid w:val="0045329F"/>
    <w:rsid w:val="00453C30"/>
    <w:rsid w:val="00453C75"/>
    <w:rsid w:val="004565BA"/>
    <w:rsid w:val="00462C1B"/>
    <w:rsid w:val="00464346"/>
    <w:rsid w:val="004660CD"/>
    <w:rsid w:val="00467B7E"/>
    <w:rsid w:val="0047080D"/>
    <w:rsid w:val="00473BB4"/>
    <w:rsid w:val="00476211"/>
    <w:rsid w:val="00477592"/>
    <w:rsid w:val="004866EA"/>
    <w:rsid w:val="00486F1C"/>
    <w:rsid w:val="00487A48"/>
    <w:rsid w:val="0049419D"/>
    <w:rsid w:val="00495908"/>
    <w:rsid w:val="004A05E6"/>
    <w:rsid w:val="004A59CC"/>
    <w:rsid w:val="004A6A54"/>
    <w:rsid w:val="004A7B33"/>
    <w:rsid w:val="004C20D2"/>
    <w:rsid w:val="004C2312"/>
    <w:rsid w:val="004C3D96"/>
    <w:rsid w:val="004C4B62"/>
    <w:rsid w:val="004C54C9"/>
    <w:rsid w:val="004C616A"/>
    <w:rsid w:val="004D1458"/>
    <w:rsid w:val="004D1711"/>
    <w:rsid w:val="004D2959"/>
    <w:rsid w:val="004D3926"/>
    <w:rsid w:val="004D4ABA"/>
    <w:rsid w:val="004D6025"/>
    <w:rsid w:val="004E0000"/>
    <w:rsid w:val="004E19B1"/>
    <w:rsid w:val="004E1F2C"/>
    <w:rsid w:val="004E2649"/>
    <w:rsid w:val="004E34FA"/>
    <w:rsid w:val="004F5D41"/>
    <w:rsid w:val="00501399"/>
    <w:rsid w:val="00501652"/>
    <w:rsid w:val="0050633D"/>
    <w:rsid w:val="00507BC4"/>
    <w:rsid w:val="005128E4"/>
    <w:rsid w:val="005133DB"/>
    <w:rsid w:val="0052331C"/>
    <w:rsid w:val="005237ED"/>
    <w:rsid w:val="00525413"/>
    <w:rsid w:val="00525560"/>
    <w:rsid w:val="0054032A"/>
    <w:rsid w:val="005415E6"/>
    <w:rsid w:val="00542156"/>
    <w:rsid w:val="00544216"/>
    <w:rsid w:val="00544C49"/>
    <w:rsid w:val="005516A1"/>
    <w:rsid w:val="0055230B"/>
    <w:rsid w:val="0055234F"/>
    <w:rsid w:val="005604CB"/>
    <w:rsid w:val="00563557"/>
    <w:rsid w:val="00572826"/>
    <w:rsid w:val="005732A7"/>
    <w:rsid w:val="0057402A"/>
    <w:rsid w:val="00574CB7"/>
    <w:rsid w:val="005771D0"/>
    <w:rsid w:val="0058187C"/>
    <w:rsid w:val="00583784"/>
    <w:rsid w:val="00584F6A"/>
    <w:rsid w:val="00586230"/>
    <w:rsid w:val="00586EEF"/>
    <w:rsid w:val="0059191A"/>
    <w:rsid w:val="0059195F"/>
    <w:rsid w:val="005921FF"/>
    <w:rsid w:val="00592921"/>
    <w:rsid w:val="00594707"/>
    <w:rsid w:val="00595290"/>
    <w:rsid w:val="005A1099"/>
    <w:rsid w:val="005A24ED"/>
    <w:rsid w:val="005A5DD7"/>
    <w:rsid w:val="005A6D0E"/>
    <w:rsid w:val="005B37CC"/>
    <w:rsid w:val="005B40C8"/>
    <w:rsid w:val="005B52B0"/>
    <w:rsid w:val="005B6806"/>
    <w:rsid w:val="005B6D22"/>
    <w:rsid w:val="005C1BD0"/>
    <w:rsid w:val="005C261A"/>
    <w:rsid w:val="005C4225"/>
    <w:rsid w:val="005C7773"/>
    <w:rsid w:val="005C7989"/>
    <w:rsid w:val="005D194F"/>
    <w:rsid w:val="005D53B3"/>
    <w:rsid w:val="005D66AD"/>
    <w:rsid w:val="005E0B65"/>
    <w:rsid w:val="005E11B2"/>
    <w:rsid w:val="005F0A4D"/>
    <w:rsid w:val="005F0DAD"/>
    <w:rsid w:val="005F0F33"/>
    <w:rsid w:val="005F24A8"/>
    <w:rsid w:val="005F42BF"/>
    <w:rsid w:val="005F46F8"/>
    <w:rsid w:val="00600DEB"/>
    <w:rsid w:val="00602A84"/>
    <w:rsid w:val="00605B59"/>
    <w:rsid w:val="006068B7"/>
    <w:rsid w:val="00610A4C"/>
    <w:rsid w:val="00610BF4"/>
    <w:rsid w:val="00611CA5"/>
    <w:rsid w:val="00614C16"/>
    <w:rsid w:val="00620631"/>
    <w:rsid w:val="00620A74"/>
    <w:rsid w:val="00625770"/>
    <w:rsid w:val="006261F3"/>
    <w:rsid w:val="0062656A"/>
    <w:rsid w:val="006277DE"/>
    <w:rsid w:val="00627C9F"/>
    <w:rsid w:val="006311E9"/>
    <w:rsid w:val="00631390"/>
    <w:rsid w:val="00631549"/>
    <w:rsid w:val="00632354"/>
    <w:rsid w:val="0063324A"/>
    <w:rsid w:val="00642664"/>
    <w:rsid w:val="00642810"/>
    <w:rsid w:val="00647756"/>
    <w:rsid w:val="006509DA"/>
    <w:rsid w:val="00651B63"/>
    <w:rsid w:val="00652333"/>
    <w:rsid w:val="0065274C"/>
    <w:rsid w:val="006532BB"/>
    <w:rsid w:val="00653C7C"/>
    <w:rsid w:val="00654412"/>
    <w:rsid w:val="006561F8"/>
    <w:rsid w:val="00666941"/>
    <w:rsid w:val="006775AB"/>
    <w:rsid w:val="0068009E"/>
    <w:rsid w:val="006819E9"/>
    <w:rsid w:val="0068210D"/>
    <w:rsid w:val="006824B2"/>
    <w:rsid w:val="0068288D"/>
    <w:rsid w:val="00684DD7"/>
    <w:rsid w:val="00686471"/>
    <w:rsid w:val="0068794B"/>
    <w:rsid w:val="0069072E"/>
    <w:rsid w:val="00691BBE"/>
    <w:rsid w:val="00692219"/>
    <w:rsid w:val="00692DA1"/>
    <w:rsid w:val="0069402E"/>
    <w:rsid w:val="00696688"/>
    <w:rsid w:val="006A17D2"/>
    <w:rsid w:val="006A4250"/>
    <w:rsid w:val="006A548D"/>
    <w:rsid w:val="006A73E6"/>
    <w:rsid w:val="006B2515"/>
    <w:rsid w:val="006B2D5C"/>
    <w:rsid w:val="006B2EE8"/>
    <w:rsid w:val="006B5ECC"/>
    <w:rsid w:val="006C4EB1"/>
    <w:rsid w:val="006C75FE"/>
    <w:rsid w:val="006D09BF"/>
    <w:rsid w:val="006D5A2C"/>
    <w:rsid w:val="006D6BD4"/>
    <w:rsid w:val="006E0166"/>
    <w:rsid w:val="006E48BD"/>
    <w:rsid w:val="006E772A"/>
    <w:rsid w:val="006E7B34"/>
    <w:rsid w:val="006F04C9"/>
    <w:rsid w:val="006F1367"/>
    <w:rsid w:val="006F1D32"/>
    <w:rsid w:val="00700435"/>
    <w:rsid w:val="00701300"/>
    <w:rsid w:val="007034AD"/>
    <w:rsid w:val="0070697F"/>
    <w:rsid w:val="007153C1"/>
    <w:rsid w:val="00717132"/>
    <w:rsid w:val="00717A08"/>
    <w:rsid w:val="0072199C"/>
    <w:rsid w:val="00722C9F"/>
    <w:rsid w:val="0072463A"/>
    <w:rsid w:val="007248CD"/>
    <w:rsid w:val="00724F4A"/>
    <w:rsid w:val="007253B8"/>
    <w:rsid w:val="00727B0E"/>
    <w:rsid w:val="007333D4"/>
    <w:rsid w:val="0073598C"/>
    <w:rsid w:val="0073741F"/>
    <w:rsid w:val="007416F4"/>
    <w:rsid w:val="00741CC2"/>
    <w:rsid w:val="00746C24"/>
    <w:rsid w:val="007471D7"/>
    <w:rsid w:val="00747E3D"/>
    <w:rsid w:val="007547F5"/>
    <w:rsid w:val="00756485"/>
    <w:rsid w:val="00757AEB"/>
    <w:rsid w:val="00763D0D"/>
    <w:rsid w:val="00765AB4"/>
    <w:rsid w:val="0076643F"/>
    <w:rsid w:val="00767FF0"/>
    <w:rsid w:val="00772E5F"/>
    <w:rsid w:val="00775276"/>
    <w:rsid w:val="007753FC"/>
    <w:rsid w:val="00776B37"/>
    <w:rsid w:val="00777567"/>
    <w:rsid w:val="00777D4A"/>
    <w:rsid w:val="00777F63"/>
    <w:rsid w:val="007801A6"/>
    <w:rsid w:val="00782139"/>
    <w:rsid w:val="0078378A"/>
    <w:rsid w:val="007852B5"/>
    <w:rsid w:val="00793824"/>
    <w:rsid w:val="0079556D"/>
    <w:rsid w:val="00795CF5"/>
    <w:rsid w:val="00796A37"/>
    <w:rsid w:val="007A030F"/>
    <w:rsid w:val="007A4B70"/>
    <w:rsid w:val="007A5817"/>
    <w:rsid w:val="007B05C4"/>
    <w:rsid w:val="007B361D"/>
    <w:rsid w:val="007B60E9"/>
    <w:rsid w:val="007B6CC3"/>
    <w:rsid w:val="007B7C9F"/>
    <w:rsid w:val="007C3334"/>
    <w:rsid w:val="007C36C1"/>
    <w:rsid w:val="007C402A"/>
    <w:rsid w:val="007D0761"/>
    <w:rsid w:val="007D07C3"/>
    <w:rsid w:val="007D1A3B"/>
    <w:rsid w:val="007D2B98"/>
    <w:rsid w:val="007D7C02"/>
    <w:rsid w:val="007E21BC"/>
    <w:rsid w:val="007E58FE"/>
    <w:rsid w:val="007E6D53"/>
    <w:rsid w:val="007E7C82"/>
    <w:rsid w:val="007F588D"/>
    <w:rsid w:val="007F7867"/>
    <w:rsid w:val="00802748"/>
    <w:rsid w:val="00803F1C"/>
    <w:rsid w:val="00804F6F"/>
    <w:rsid w:val="0080600E"/>
    <w:rsid w:val="008168D8"/>
    <w:rsid w:val="00817612"/>
    <w:rsid w:val="00817948"/>
    <w:rsid w:val="00832331"/>
    <w:rsid w:val="008338A4"/>
    <w:rsid w:val="00834D49"/>
    <w:rsid w:val="00835D0D"/>
    <w:rsid w:val="0083617A"/>
    <w:rsid w:val="00837C45"/>
    <w:rsid w:val="008411F0"/>
    <w:rsid w:val="008439BC"/>
    <w:rsid w:val="00844544"/>
    <w:rsid w:val="00844730"/>
    <w:rsid w:val="008453B1"/>
    <w:rsid w:val="008457C2"/>
    <w:rsid w:val="00853E84"/>
    <w:rsid w:val="008576E8"/>
    <w:rsid w:val="00857A82"/>
    <w:rsid w:val="008603C0"/>
    <w:rsid w:val="00860490"/>
    <w:rsid w:val="00871526"/>
    <w:rsid w:val="00873836"/>
    <w:rsid w:val="00875668"/>
    <w:rsid w:val="00885737"/>
    <w:rsid w:val="00890650"/>
    <w:rsid w:val="00892CA4"/>
    <w:rsid w:val="00897E12"/>
    <w:rsid w:val="008A0F81"/>
    <w:rsid w:val="008A310C"/>
    <w:rsid w:val="008A3EF9"/>
    <w:rsid w:val="008A5E22"/>
    <w:rsid w:val="008A7E0F"/>
    <w:rsid w:val="008B12F5"/>
    <w:rsid w:val="008B5932"/>
    <w:rsid w:val="008C32FE"/>
    <w:rsid w:val="008C5751"/>
    <w:rsid w:val="008D0F50"/>
    <w:rsid w:val="008D6978"/>
    <w:rsid w:val="008D768D"/>
    <w:rsid w:val="008E0FD8"/>
    <w:rsid w:val="008E1D4F"/>
    <w:rsid w:val="008E328A"/>
    <w:rsid w:val="008E3759"/>
    <w:rsid w:val="008E3BFE"/>
    <w:rsid w:val="008E74F7"/>
    <w:rsid w:val="008E7900"/>
    <w:rsid w:val="008F10AE"/>
    <w:rsid w:val="008F1912"/>
    <w:rsid w:val="008F3148"/>
    <w:rsid w:val="008F4E24"/>
    <w:rsid w:val="009026D0"/>
    <w:rsid w:val="0090270B"/>
    <w:rsid w:val="009041DC"/>
    <w:rsid w:val="00917B5A"/>
    <w:rsid w:val="00920A58"/>
    <w:rsid w:val="00920A8C"/>
    <w:rsid w:val="00932B0D"/>
    <w:rsid w:val="00934A2C"/>
    <w:rsid w:val="00935F06"/>
    <w:rsid w:val="00937B3A"/>
    <w:rsid w:val="00943B19"/>
    <w:rsid w:val="00944EBD"/>
    <w:rsid w:val="009462BF"/>
    <w:rsid w:val="00947A09"/>
    <w:rsid w:val="00952834"/>
    <w:rsid w:val="00954B82"/>
    <w:rsid w:val="009564AE"/>
    <w:rsid w:val="00957000"/>
    <w:rsid w:val="009575DE"/>
    <w:rsid w:val="00962436"/>
    <w:rsid w:val="00966771"/>
    <w:rsid w:val="0096706E"/>
    <w:rsid w:val="0097099B"/>
    <w:rsid w:val="00974491"/>
    <w:rsid w:val="00975C4E"/>
    <w:rsid w:val="00976B70"/>
    <w:rsid w:val="0098113F"/>
    <w:rsid w:val="00981FBA"/>
    <w:rsid w:val="00985E94"/>
    <w:rsid w:val="009931B7"/>
    <w:rsid w:val="00997BC5"/>
    <w:rsid w:val="009A3C44"/>
    <w:rsid w:val="009A4F41"/>
    <w:rsid w:val="009B381B"/>
    <w:rsid w:val="009C1A62"/>
    <w:rsid w:val="009C2FC5"/>
    <w:rsid w:val="009C4DD2"/>
    <w:rsid w:val="009C5F7E"/>
    <w:rsid w:val="009C787B"/>
    <w:rsid w:val="009D1753"/>
    <w:rsid w:val="009D2BC1"/>
    <w:rsid w:val="009D3E90"/>
    <w:rsid w:val="009D6502"/>
    <w:rsid w:val="009D66DD"/>
    <w:rsid w:val="009D7611"/>
    <w:rsid w:val="009D78A5"/>
    <w:rsid w:val="009E08DD"/>
    <w:rsid w:val="009E0B61"/>
    <w:rsid w:val="009E4F65"/>
    <w:rsid w:val="009E53DE"/>
    <w:rsid w:val="009E7C00"/>
    <w:rsid w:val="009F1414"/>
    <w:rsid w:val="009F5FB3"/>
    <w:rsid w:val="009F7410"/>
    <w:rsid w:val="00A01212"/>
    <w:rsid w:val="00A04336"/>
    <w:rsid w:val="00A0691C"/>
    <w:rsid w:val="00A07620"/>
    <w:rsid w:val="00A11E44"/>
    <w:rsid w:val="00A154C8"/>
    <w:rsid w:val="00A22397"/>
    <w:rsid w:val="00A23DCF"/>
    <w:rsid w:val="00A30DC2"/>
    <w:rsid w:val="00A32313"/>
    <w:rsid w:val="00A328B3"/>
    <w:rsid w:val="00A36D2F"/>
    <w:rsid w:val="00A37EEC"/>
    <w:rsid w:val="00A44CCC"/>
    <w:rsid w:val="00A47A43"/>
    <w:rsid w:val="00A50FCF"/>
    <w:rsid w:val="00A528D1"/>
    <w:rsid w:val="00A55672"/>
    <w:rsid w:val="00A610CD"/>
    <w:rsid w:val="00A625E0"/>
    <w:rsid w:val="00A70059"/>
    <w:rsid w:val="00A74947"/>
    <w:rsid w:val="00A74CBD"/>
    <w:rsid w:val="00A74D9B"/>
    <w:rsid w:val="00A758AA"/>
    <w:rsid w:val="00A76E30"/>
    <w:rsid w:val="00A777B4"/>
    <w:rsid w:val="00A833B4"/>
    <w:rsid w:val="00A83E02"/>
    <w:rsid w:val="00A92093"/>
    <w:rsid w:val="00A92169"/>
    <w:rsid w:val="00A94503"/>
    <w:rsid w:val="00AA09A2"/>
    <w:rsid w:val="00AA3A15"/>
    <w:rsid w:val="00AA7996"/>
    <w:rsid w:val="00AB1103"/>
    <w:rsid w:val="00AB203F"/>
    <w:rsid w:val="00AB4E59"/>
    <w:rsid w:val="00AC19CB"/>
    <w:rsid w:val="00AC33BC"/>
    <w:rsid w:val="00AC4B78"/>
    <w:rsid w:val="00AD1886"/>
    <w:rsid w:val="00AD2315"/>
    <w:rsid w:val="00AD31EE"/>
    <w:rsid w:val="00AD3294"/>
    <w:rsid w:val="00AE5488"/>
    <w:rsid w:val="00AE6EC7"/>
    <w:rsid w:val="00AE6F91"/>
    <w:rsid w:val="00AF1744"/>
    <w:rsid w:val="00AF2153"/>
    <w:rsid w:val="00AF2C7E"/>
    <w:rsid w:val="00AF475D"/>
    <w:rsid w:val="00AF5571"/>
    <w:rsid w:val="00B0497B"/>
    <w:rsid w:val="00B06B4E"/>
    <w:rsid w:val="00B07341"/>
    <w:rsid w:val="00B14CBD"/>
    <w:rsid w:val="00B202B5"/>
    <w:rsid w:val="00B21F67"/>
    <w:rsid w:val="00B23907"/>
    <w:rsid w:val="00B30539"/>
    <w:rsid w:val="00B314DB"/>
    <w:rsid w:val="00B33385"/>
    <w:rsid w:val="00B361F2"/>
    <w:rsid w:val="00B3718B"/>
    <w:rsid w:val="00B4334B"/>
    <w:rsid w:val="00B4632A"/>
    <w:rsid w:val="00B5067D"/>
    <w:rsid w:val="00B530F1"/>
    <w:rsid w:val="00B55F14"/>
    <w:rsid w:val="00B57297"/>
    <w:rsid w:val="00B642E6"/>
    <w:rsid w:val="00B66990"/>
    <w:rsid w:val="00B70A85"/>
    <w:rsid w:val="00B71422"/>
    <w:rsid w:val="00B736AF"/>
    <w:rsid w:val="00B742BE"/>
    <w:rsid w:val="00B8086E"/>
    <w:rsid w:val="00B815B3"/>
    <w:rsid w:val="00B84C70"/>
    <w:rsid w:val="00B87359"/>
    <w:rsid w:val="00B909E7"/>
    <w:rsid w:val="00B90C48"/>
    <w:rsid w:val="00B92B2D"/>
    <w:rsid w:val="00B97946"/>
    <w:rsid w:val="00B97AAE"/>
    <w:rsid w:val="00BA037D"/>
    <w:rsid w:val="00BA0F4A"/>
    <w:rsid w:val="00BA220A"/>
    <w:rsid w:val="00BA276C"/>
    <w:rsid w:val="00BA307D"/>
    <w:rsid w:val="00BA5544"/>
    <w:rsid w:val="00BB0ED7"/>
    <w:rsid w:val="00BB151B"/>
    <w:rsid w:val="00BB1E43"/>
    <w:rsid w:val="00BB306F"/>
    <w:rsid w:val="00BB3FBD"/>
    <w:rsid w:val="00BB517C"/>
    <w:rsid w:val="00BC02F4"/>
    <w:rsid w:val="00BC0F07"/>
    <w:rsid w:val="00BC24EF"/>
    <w:rsid w:val="00BC6A2C"/>
    <w:rsid w:val="00BC6C79"/>
    <w:rsid w:val="00BC6CD0"/>
    <w:rsid w:val="00BC796E"/>
    <w:rsid w:val="00BD4B89"/>
    <w:rsid w:val="00BD5573"/>
    <w:rsid w:val="00BD5922"/>
    <w:rsid w:val="00BD76D9"/>
    <w:rsid w:val="00BE26FE"/>
    <w:rsid w:val="00BE7155"/>
    <w:rsid w:val="00BE7487"/>
    <w:rsid w:val="00BF02CB"/>
    <w:rsid w:val="00BF4E0F"/>
    <w:rsid w:val="00BF514A"/>
    <w:rsid w:val="00BF6FD8"/>
    <w:rsid w:val="00BF6FFB"/>
    <w:rsid w:val="00BF775D"/>
    <w:rsid w:val="00C031F0"/>
    <w:rsid w:val="00C03680"/>
    <w:rsid w:val="00C054DF"/>
    <w:rsid w:val="00C07000"/>
    <w:rsid w:val="00C10AFC"/>
    <w:rsid w:val="00C17D26"/>
    <w:rsid w:val="00C21562"/>
    <w:rsid w:val="00C21762"/>
    <w:rsid w:val="00C21FEF"/>
    <w:rsid w:val="00C24543"/>
    <w:rsid w:val="00C256A2"/>
    <w:rsid w:val="00C33915"/>
    <w:rsid w:val="00C34A9A"/>
    <w:rsid w:val="00C35A26"/>
    <w:rsid w:val="00C51515"/>
    <w:rsid w:val="00C53910"/>
    <w:rsid w:val="00C5660B"/>
    <w:rsid w:val="00C56854"/>
    <w:rsid w:val="00C56F75"/>
    <w:rsid w:val="00C5788A"/>
    <w:rsid w:val="00C57C67"/>
    <w:rsid w:val="00C631B4"/>
    <w:rsid w:val="00C66B72"/>
    <w:rsid w:val="00C77F1F"/>
    <w:rsid w:val="00C80E8A"/>
    <w:rsid w:val="00C87AC4"/>
    <w:rsid w:val="00C93233"/>
    <w:rsid w:val="00C9533E"/>
    <w:rsid w:val="00C9567A"/>
    <w:rsid w:val="00C97887"/>
    <w:rsid w:val="00CA3C5F"/>
    <w:rsid w:val="00CA3C71"/>
    <w:rsid w:val="00CA48A3"/>
    <w:rsid w:val="00CA519C"/>
    <w:rsid w:val="00CB212D"/>
    <w:rsid w:val="00CB2660"/>
    <w:rsid w:val="00CB53B4"/>
    <w:rsid w:val="00CB6F93"/>
    <w:rsid w:val="00CB7335"/>
    <w:rsid w:val="00CC0BFD"/>
    <w:rsid w:val="00CC395D"/>
    <w:rsid w:val="00CC5E90"/>
    <w:rsid w:val="00CD046C"/>
    <w:rsid w:val="00CD063F"/>
    <w:rsid w:val="00CD186A"/>
    <w:rsid w:val="00CD1EBA"/>
    <w:rsid w:val="00CD232B"/>
    <w:rsid w:val="00CD240E"/>
    <w:rsid w:val="00CE076C"/>
    <w:rsid w:val="00CE45CF"/>
    <w:rsid w:val="00CE5199"/>
    <w:rsid w:val="00CE66D5"/>
    <w:rsid w:val="00CF3984"/>
    <w:rsid w:val="00CF637A"/>
    <w:rsid w:val="00D0051F"/>
    <w:rsid w:val="00D0423A"/>
    <w:rsid w:val="00D059DE"/>
    <w:rsid w:val="00D05ABD"/>
    <w:rsid w:val="00D11130"/>
    <w:rsid w:val="00D13FCE"/>
    <w:rsid w:val="00D16651"/>
    <w:rsid w:val="00D17E8C"/>
    <w:rsid w:val="00D2344E"/>
    <w:rsid w:val="00D306D1"/>
    <w:rsid w:val="00D30800"/>
    <w:rsid w:val="00D314F3"/>
    <w:rsid w:val="00D34786"/>
    <w:rsid w:val="00D365D9"/>
    <w:rsid w:val="00D37BFC"/>
    <w:rsid w:val="00D42822"/>
    <w:rsid w:val="00D436CA"/>
    <w:rsid w:val="00D47A8E"/>
    <w:rsid w:val="00D52D14"/>
    <w:rsid w:val="00D55256"/>
    <w:rsid w:val="00D56D93"/>
    <w:rsid w:val="00D62FC5"/>
    <w:rsid w:val="00D70C4F"/>
    <w:rsid w:val="00D712D3"/>
    <w:rsid w:val="00D71422"/>
    <w:rsid w:val="00D725CF"/>
    <w:rsid w:val="00D72DC6"/>
    <w:rsid w:val="00D73F5E"/>
    <w:rsid w:val="00D7558D"/>
    <w:rsid w:val="00D77503"/>
    <w:rsid w:val="00D81D92"/>
    <w:rsid w:val="00D876F9"/>
    <w:rsid w:val="00D877B6"/>
    <w:rsid w:val="00D937C9"/>
    <w:rsid w:val="00D93A90"/>
    <w:rsid w:val="00DA28B1"/>
    <w:rsid w:val="00DA7B5F"/>
    <w:rsid w:val="00DB1A35"/>
    <w:rsid w:val="00DC11E7"/>
    <w:rsid w:val="00DC7023"/>
    <w:rsid w:val="00DC769A"/>
    <w:rsid w:val="00DD061E"/>
    <w:rsid w:val="00DD2C5A"/>
    <w:rsid w:val="00DD3D86"/>
    <w:rsid w:val="00DD4D8F"/>
    <w:rsid w:val="00DE12F0"/>
    <w:rsid w:val="00DE4071"/>
    <w:rsid w:val="00DE6D97"/>
    <w:rsid w:val="00DF1115"/>
    <w:rsid w:val="00DF1EC4"/>
    <w:rsid w:val="00DF51E9"/>
    <w:rsid w:val="00DF694C"/>
    <w:rsid w:val="00E01943"/>
    <w:rsid w:val="00E0340B"/>
    <w:rsid w:val="00E04A90"/>
    <w:rsid w:val="00E0551F"/>
    <w:rsid w:val="00E1148A"/>
    <w:rsid w:val="00E20FDE"/>
    <w:rsid w:val="00E219C7"/>
    <w:rsid w:val="00E256DA"/>
    <w:rsid w:val="00E26CCA"/>
    <w:rsid w:val="00E2709B"/>
    <w:rsid w:val="00E27F56"/>
    <w:rsid w:val="00E3582A"/>
    <w:rsid w:val="00E37026"/>
    <w:rsid w:val="00E40792"/>
    <w:rsid w:val="00E4118C"/>
    <w:rsid w:val="00E411F8"/>
    <w:rsid w:val="00E43157"/>
    <w:rsid w:val="00E43ED7"/>
    <w:rsid w:val="00E461CE"/>
    <w:rsid w:val="00E62F9E"/>
    <w:rsid w:val="00E720CA"/>
    <w:rsid w:val="00E727B3"/>
    <w:rsid w:val="00E7309B"/>
    <w:rsid w:val="00E74975"/>
    <w:rsid w:val="00E75525"/>
    <w:rsid w:val="00E80B88"/>
    <w:rsid w:val="00E816DF"/>
    <w:rsid w:val="00E84EB5"/>
    <w:rsid w:val="00E85662"/>
    <w:rsid w:val="00E8789F"/>
    <w:rsid w:val="00E902E1"/>
    <w:rsid w:val="00E92747"/>
    <w:rsid w:val="00E97B71"/>
    <w:rsid w:val="00EA1519"/>
    <w:rsid w:val="00EA2CD7"/>
    <w:rsid w:val="00EA3D34"/>
    <w:rsid w:val="00EA43E8"/>
    <w:rsid w:val="00EB3B87"/>
    <w:rsid w:val="00EB454D"/>
    <w:rsid w:val="00EB5E6D"/>
    <w:rsid w:val="00EC095B"/>
    <w:rsid w:val="00EC1605"/>
    <w:rsid w:val="00EC26E9"/>
    <w:rsid w:val="00EC3828"/>
    <w:rsid w:val="00EC5840"/>
    <w:rsid w:val="00EC72AB"/>
    <w:rsid w:val="00ED0D6F"/>
    <w:rsid w:val="00ED2F03"/>
    <w:rsid w:val="00ED549D"/>
    <w:rsid w:val="00ED76BE"/>
    <w:rsid w:val="00ED7F05"/>
    <w:rsid w:val="00EE00E9"/>
    <w:rsid w:val="00EE014D"/>
    <w:rsid w:val="00EE10B1"/>
    <w:rsid w:val="00EE4CBD"/>
    <w:rsid w:val="00EE4D21"/>
    <w:rsid w:val="00EE5B7B"/>
    <w:rsid w:val="00EF35AB"/>
    <w:rsid w:val="00EF4A76"/>
    <w:rsid w:val="00EF4C44"/>
    <w:rsid w:val="00EF5DC8"/>
    <w:rsid w:val="00EF619B"/>
    <w:rsid w:val="00F0073C"/>
    <w:rsid w:val="00F00B55"/>
    <w:rsid w:val="00F02AD1"/>
    <w:rsid w:val="00F04591"/>
    <w:rsid w:val="00F06354"/>
    <w:rsid w:val="00F10C7E"/>
    <w:rsid w:val="00F11423"/>
    <w:rsid w:val="00F13BBC"/>
    <w:rsid w:val="00F1457D"/>
    <w:rsid w:val="00F1614B"/>
    <w:rsid w:val="00F2032D"/>
    <w:rsid w:val="00F23377"/>
    <w:rsid w:val="00F24C9B"/>
    <w:rsid w:val="00F253CC"/>
    <w:rsid w:val="00F279F1"/>
    <w:rsid w:val="00F303CF"/>
    <w:rsid w:val="00F30AE2"/>
    <w:rsid w:val="00F332EF"/>
    <w:rsid w:val="00F37106"/>
    <w:rsid w:val="00F41953"/>
    <w:rsid w:val="00F44829"/>
    <w:rsid w:val="00F501FB"/>
    <w:rsid w:val="00F519CF"/>
    <w:rsid w:val="00F53168"/>
    <w:rsid w:val="00F533A2"/>
    <w:rsid w:val="00F53676"/>
    <w:rsid w:val="00F56BA5"/>
    <w:rsid w:val="00F5759A"/>
    <w:rsid w:val="00F60E22"/>
    <w:rsid w:val="00F63B39"/>
    <w:rsid w:val="00F73E9F"/>
    <w:rsid w:val="00F7700E"/>
    <w:rsid w:val="00F81395"/>
    <w:rsid w:val="00F81457"/>
    <w:rsid w:val="00F81887"/>
    <w:rsid w:val="00F81BB8"/>
    <w:rsid w:val="00F82AE4"/>
    <w:rsid w:val="00F902B4"/>
    <w:rsid w:val="00F917D1"/>
    <w:rsid w:val="00F924F8"/>
    <w:rsid w:val="00F9342C"/>
    <w:rsid w:val="00F93B0D"/>
    <w:rsid w:val="00F9653B"/>
    <w:rsid w:val="00FA3048"/>
    <w:rsid w:val="00FA56EA"/>
    <w:rsid w:val="00FB62CF"/>
    <w:rsid w:val="00FB6727"/>
    <w:rsid w:val="00FB71F2"/>
    <w:rsid w:val="00FC0F4A"/>
    <w:rsid w:val="00FC3330"/>
    <w:rsid w:val="00FD0695"/>
    <w:rsid w:val="00FD09A6"/>
    <w:rsid w:val="00FD0D9D"/>
    <w:rsid w:val="00FD3C3B"/>
    <w:rsid w:val="00FD7087"/>
    <w:rsid w:val="00FD7F50"/>
    <w:rsid w:val="00FE07DD"/>
    <w:rsid w:val="00FE3245"/>
    <w:rsid w:val="00FE4ED3"/>
    <w:rsid w:val="00FE6353"/>
    <w:rsid w:val="00FE6B45"/>
    <w:rsid w:val="00FF0AB5"/>
    <w:rsid w:val="00FF4BA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19937</Characters>
  <Application>Microsoft Office Word</Application>
  <DocSecurity>0</DocSecurity>
  <Lines>166</Lines>
  <Paragraphs>46</Paragraphs>
  <ScaleCrop>false</ScaleCrop>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2022-11-19T13:40:00Z</dcterms:created>
  <dcterms:modified xsi:type="dcterms:W3CDTF">2022-11-19T13:40:00Z</dcterms:modified>
</cp:coreProperties>
</file>