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006B74" w:rsidRDefault="00D306D1" w:rsidP="00627C9F">
      <w:pPr>
        <w:jc w:val="both"/>
        <w:rPr>
          <w:rFonts w:asciiTheme="majorHAnsi" w:hAnsiTheme="majorHAnsi" w:cs="Univers"/>
          <w:b/>
          <w:bCs/>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841E2"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006B7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006B74" w:rsidRDefault="005128E4" w:rsidP="00040C3A">
      <w:pPr>
        <w:tabs>
          <w:tab w:val="center" w:pos="5400"/>
        </w:tabs>
        <w:suppressAutoHyphens/>
        <w:rPr>
          <w:rFonts w:asciiTheme="majorHAnsi" w:hAnsiTheme="majorHAnsi"/>
          <w:sz w:val="22"/>
          <w:szCs w:val="22"/>
          <w:lang w:val="es-ES"/>
        </w:rPr>
      </w:pPr>
    </w:p>
    <w:p w14:paraId="12A36B24" w14:textId="77777777" w:rsidR="005128E4" w:rsidRPr="00006B74" w:rsidRDefault="005128E4" w:rsidP="00040C3A">
      <w:pPr>
        <w:tabs>
          <w:tab w:val="center" w:pos="5400"/>
        </w:tabs>
        <w:suppressAutoHyphens/>
        <w:rPr>
          <w:rFonts w:asciiTheme="majorHAnsi" w:hAnsiTheme="majorHAnsi"/>
          <w:sz w:val="22"/>
          <w:szCs w:val="22"/>
          <w:lang w:val="es-ES"/>
        </w:rPr>
      </w:pPr>
    </w:p>
    <w:p w14:paraId="2252093D" w14:textId="77777777" w:rsidR="005128E4" w:rsidRPr="00006B74" w:rsidRDefault="005128E4" w:rsidP="00040C3A">
      <w:pPr>
        <w:tabs>
          <w:tab w:val="center" w:pos="5400"/>
        </w:tabs>
        <w:suppressAutoHyphens/>
        <w:rPr>
          <w:rFonts w:asciiTheme="majorHAnsi" w:hAnsiTheme="majorHAnsi"/>
          <w:sz w:val="22"/>
          <w:szCs w:val="22"/>
          <w:lang w:val="es-ES"/>
        </w:rPr>
      </w:pPr>
    </w:p>
    <w:p w14:paraId="403935BD"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006B74" w:rsidRDefault="003D3BC2" w:rsidP="00040C3A">
      <w:pPr>
        <w:tabs>
          <w:tab w:val="center" w:pos="5400"/>
        </w:tabs>
        <w:suppressAutoHyphens/>
        <w:jc w:val="center"/>
        <w:rPr>
          <w:rFonts w:asciiTheme="majorHAnsi" w:hAnsiTheme="majorHAnsi"/>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3EFA0B43"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FC0655">
                              <w:rPr>
                                <w:rFonts w:asciiTheme="majorHAnsi" w:hAnsiTheme="majorHAnsi" w:cs="Arial"/>
                                <w:b/>
                                <w:bCs/>
                                <w:color w:val="0D0D0D" w:themeColor="text1" w:themeTint="F2"/>
                                <w:sz w:val="36"/>
                                <w:szCs w:val="22"/>
                                <w:lang w:val="es-ES_tradnl"/>
                              </w:rPr>
                              <w:t>257</w:t>
                            </w:r>
                            <w:r w:rsidR="007B05C4">
                              <w:rPr>
                                <w:rFonts w:asciiTheme="majorHAnsi" w:hAnsiTheme="majorHAnsi" w:cs="Arial"/>
                                <w:b/>
                                <w:bCs/>
                                <w:color w:val="0D0D0D" w:themeColor="text1" w:themeTint="F2"/>
                                <w:sz w:val="36"/>
                                <w:szCs w:val="22"/>
                                <w:lang w:val="es-ES_tradnl"/>
                              </w:rPr>
                              <w:t>/</w:t>
                            </w:r>
                            <w:r w:rsidR="00A777B4">
                              <w:rPr>
                                <w:rFonts w:asciiTheme="majorHAnsi" w:hAnsiTheme="majorHAnsi" w:cs="Arial"/>
                                <w:b/>
                                <w:bCs/>
                                <w:color w:val="0D0D0D" w:themeColor="text1" w:themeTint="F2"/>
                                <w:sz w:val="36"/>
                                <w:szCs w:val="22"/>
                                <w:lang w:val="es-ES_tradnl"/>
                              </w:rPr>
                              <w:t>2</w:t>
                            </w:r>
                            <w:r w:rsidR="00F354BA">
                              <w:rPr>
                                <w:rFonts w:asciiTheme="majorHAnsi" w:hAnsiTheme="majorHAnsi" w:cs="Arial"/>
                                <w:b/>
                                <w:bCs/>
                                <w:color w:val="0D0D0D" w:themeColor="text1" w:themeTint="F2"/>
                                <w:sz w:val="36"/>
                                <w:szCs w:val="22"/>
                                <w:lang w:val="es-ES_tradnl"/>
                              </w:rPr>
                              <w:t>2</w:t>
                            </w:r>
                            <w:r w:rsidR="00A777B4">
                              <w:rPr>
                                <w:rFonts w:asciiTheme="majorHAnsi" w:hAnsiTheme="majorHAnsi" w:cs="Arial"/>
                                <w:b/>
                                <w:bCs/>
                                <w:color w:val="0D0D0D" w:themeColor="text1" w:themeTint="F2"/>
                                <w:sz w:val="36"/>
                                <w:szCs w:val="22"/>
                                <w:lang w:val="es-ES_tradnl"/>
                              </w:rPr>
                              <w:tab/>
                            </w:r>
                          </w:p>
                          <w:p w14:paraId="7E880A8B" w14:textId="7A88FDD3" w:rsidR="00CC395D" w:rsidRDefault="00CC395D" w:rsidP="00CC395D">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3396C">
                              <w:rPr>
                                <w:rFonts w:asciiTheme="majorHAnsi" w:hAnsiTheme="majorHAnsi" w:cs="Arial"/>
                                <w:b/>
                                <w:color w:val="0D0D0D" w:themeColor="text1" w:themeTint="F2"/>
                                <w:sz w:val="36"/>
                                <w:szCs w:val="22"/>
                                <w:lang w:val="es-ES_tradnl"/>
                              </w:rPr>
                              <w:t>350</w:t>
                            </w:r>
                            <w:r w:rsidR="00F5759A">
                              <w:rPr>
                                <w:rFonts w:asciiTheme="majorHAnsi" w:hAnsiTheme="majorHAnsi" w:cs="Arial"/>
                                <w:b/>
                                <w:color w:val="0D0D0D" w:themeColor="text1" w:themeTint="F2"/>
                                <w:sz w:val="36"/>
                                <w:szCs w:val="22"/>
                                <w:lang w:val="es-ES_tradnl"/>
                              </w:rPr>
                              <w:t>-15</w:t>
                            </w:r>
                          </w:p>
                          <w:p w14:paraId="44097965" w14:textId="3021C8C5" w:rsidR="00CC395D" w:rsidRPr="0010736F" w:rsidRDefault="00CC395D" w:rsidP="00CC395D">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2636E9">
                              <w:rPr>
                                <w:rFonts w:asciiTheme="majorHAnsi" w:hAnsiTheme="majorHAnsi" w:cs="Arial"/>
                                <w:color w:val="0D0D0D" w:themeColor="text1" w:themeTint="F2"/>
                                <w:szCs w:val="22"/>
                                <w:lang w:val="es-ES_tradnl"/>
                              </w:rPr>
                              <w:t xml:space="preserve">ADMISIBILIDAD </w:t>
                            </w:r>
                            <w:r w:rsidRPr="0010736F">
                              <w:rPr>
                                <w:rFonts w:asciiTheme="majorHAnsi" w:hAnsiTheme="majorHAnsi" w:cs="Arial"/>
                                <w:color w:val="0D0D0D" w:themeColor="text1" w:themeTint="F2"/>
                                <w:szCs w:val="22"/>
                                <w:lang w:val="es-ES_tradnl"/>
                              </w:rPr>
                              <w:t xml:space="preserve"> </w:t>
                            </w:r>
                          </w:p>
                          <w:p w14:paraId="3A82FE1E" w14:textId="77777777" w:rsidR="00CC395D" w:rsidRPr="0010736F" w:rsidRDefault="00CC395D" w:rsidP="00CC395D">
                            <w:pPr>
                              <w:spacing w:line="276" w:lineRule="auto"/>
                              <w:rPr>
                                <w:rFonts w:asciiTheme="majorHAnsi" w:hAnsiTheme="majorHAnsi" w:cs="Arial"/>
                                <w:color w:val="0D0D0D" w:themeColor="text1" w:themeTint="F2"/>
                                <w:szCs w:val="22"/>
                                <w:lang w:val="es-ES_tradnl"/>
                              </w:rPr>
                            </w:pPr>
                            <w:bookmarkStart w:id="0" w:name="_ftnref1"/>
                          </w:p>
                          <w:p w14:paraId="4E5BAA5A" w14:textId="1DB6B4ED" w:rsidR="00CC395D" w:rsidRPr="00A01212" w:rsidRDefault="00571203" w:rsidP="00CC395D">
                            <w:pPr>
                              <w:spacing w:line="276" w:lineRule="auto"/>
                              <w:rPr>
                                <w:rFonts w:asciiTheme="majorHAnsi" w:hAnsiTheme="majorHAnsi" w:cs="Arial"/>
                                <w:color w:val="0D0D0D" w:themeColor="text1" w:themeTint="F2"/>
                                <w:szCs w:val="22"/>
                                <w:lang w:val="es-PA"/>
                              </w:rPr>
                            </w:pPr>
                            <w:r>
                              <w:rPr>
                                <w:rFonts w:asciiTheme="majorHAnsi" w:hAnsiTheme="majorHAnsi" w:cs="Arial"/>
                                <w:color w:val="0D0D0D" w:themeColor="text1" w:themeTint="F2"/>
                                <w:szCs w:val="22"/>
                                <w:lang w:val="es-ES_tradnl"/>
                              </w:rPr>
                              <w:t>FAMILIARES DE CARLOS ARANCIBIA</w:t>
                            </w:r>
                          </w:p>
                          <w:bookmarkEnd w:id="0"/>
                          <w:p w14:paraId="575DFD52" w14:textId="445125B6" w:rsidR="005B52B0" w:rsidRPr="00AE5488" w:rsidRDefault="00026DF5" w:rsidP="007A5817">
                            <w:pPr>
                              <w:rPr>
                                <w:color w:val="0D0D0D" w:themeColor="text1" w:themeTint="F2"/>
                                <w:lang w:val="es-ES_tradnl"/>
                              </w:rPr>
                            </w:pPr>
                            <w:r>
                              <w:rPr>
                                <w:rFonts w:asciiTheme="majorHAnsi" w:hAnsiTheme="majorHAnsi" w:cs="Arial"/>
                                <w:color w:val="0D0D0D" w:themeColor="text1" w:themeTint="F2"/>
                                <w:szCs w:val="22"/>
                                <w:lang w:val="es-ES_tradnl"/>
                              </w:rPr>
                              <w:t>ARGENTINA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3EFA0B43"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FC0655">
                        <w:rPr>
                          <w:rFonts w:asciiTheme="majorHAnsi" w:hAnsiTheme="majorHAnsi" w:cs="Arial"/>
                          <w:b/>
                          <w:bCs/>
                          <w:color w:val="0D0D0D" w:themeColor="text1" w:themeTint="F2"/>
                          <w:sz w:val="36"/>
                          <w:szCs w:val="22"/>
                          <w:lang w:val="es-ES_tradnl"/>
                        </w:rPr>
                        <w:t>257</w:t>
                      </w:r>
                      <w:r w:rsidR="007B05C4">
                        <w:rPr>
                          <w:rFonts w:asciiTheme="majorHAnsi" w:hAnsiTheme="majorHAnsi" w:cs="Arial"/>
                          <w:b/>
                          <w:bCs/>
                          <w:color w:val="0D0D0D" w:themeColor="text1" w:themeTint="F2"/>
                          <w:sz w:val="36"/>
                          <w:szCs w:val="22"/>
                          <w:lang w:val="es-ES_tradnl"/>
                        </w:rPr>
                        <w:t>/</w:t>
                      </w:r>
                      <w:r w:rsidR="00A777B4">
                        <w:rPr>
                          <w:rFonts w:asciiTheme="majorHAnsi" w:hAnsiTheme="majorHAnsi" w:cs="Arial"/>
                          <w:b/>
                          <w:bCs/>
                          <w:color w:val="0D0D0D" w:themeColor="text1" w:themeTint="F2"/>
                          <w:sz w:val="36"/>
                          <w:szCs w:val="22"/>
                          <w:lang w:val="es-ES_tradnl"/>
                        </w:rPr>
                        <w:t>2</w:t>
                      </w:r>
                      <w:r w:rsidR="00F354BA">
                        <w:rPr>
                          <w:rFonts w:asciiTheme="majorHAnsi" w:hAnsiTheme="majorHAnsi" w:cs="Arial"/>
                          <w:b/>
                          <w:bCs/>
                          <w:color w:val="0D0D0D" w:themeColor="text1" w:themeTint="F2"/>
                          <w:sz w:val="36"/>
                          <w:szCs w:val="22"/>
                          <w:lang w:val="es-ES_tradnl"/>
                        </w:rPr>
                        <w:t>2</w:t>
                      </w:r>
                      <w:r w:rsidR="00A777B4">
                        <w:rPr>
                          <w:rFonts w:asciiTheme="majorHAnsi" w:hAnsiTheme="majorHAnsi" w:cs="Arial"/>
                          <w:b/>
                          <w:bCs/>
                          <w:color w:val="0D0D0D" w:themeColor="text1" w:themeTint="F2"/>
                          <w:sz w:val="36"/>
                          <w:szCs w:val="22"/>
                          <w:lang w:val="es-ES_tradnl"/>
                        </w:rPr>
                        <w:tab/>
                      </w:r>
                    </w:p>
                    <w:p w14:paraId="7E880A8B" w14:textId="7A88FDD3" w:rsidR="00CC395D" w:rsidRDefault="00CC395D" w:rsidP="00CC395D">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3396C">
                        <w:rPr>
                          <w:rFonts w:asciiTheme="majorHAnsi" w:hAnsiTheme="majorHAnsi" w:cs="Arial"/>
                          <w:b/>
                          <w:color w:val="0D0D0D" w:themeColor="text1" w:themeTint="F2"/>
                          <w:sz w:val="36"/>
                          <w:szCs w:val="22"/>
                          <w:lang w:val="es-ES_tradnl"/>
                        </w:rPr>
                        <w:t>350</w:t>
                      </w:r>
                      <w:r w:rsidR="00F5759A">
                        <w:rPr>
                          <w:rFonts w:asciiTheme="majorHAnsi" w:hAnsiTheme="majorHAnsi" w:cs="Arial"/>
                          <w:b/>
                          <w:color w:val="0D0D0D" w:themeColor="text1" w:themeTint="F2"/>
                          <w:sz w:val="36"/>
                          <w:szCs w:val="22"/>
                          <w:lang w:val="es-ES_tradnl"/>
                        </w:rPr>
                        <w:t>-15</w:t>
                      </w:r>
                    </w:p>
                    <w:p w14:paraId="44097965" w14:textId="3021C8C5" w:rsidR="00CC395D" w:rsidRPr="0010736F" w:rsidRDefault="00CC395D" w:rsidP="00CC395D">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2636E9">
                        <w:rPr>
                          <w:rFonts w:asciiTheme="majorHAnsi" w:hAnsiTheme="majorHAnsi" w:cs="Arial"/>
                          <w:color w:val="0D0D0D" w:themeColor="text1" w:themeTint="F2"/>
                          <w:szCs w:val="22"/>
                          <w:lang w:val="es-ES_tradnl"/>
                        </w:rPr>
                        <w:t xml:space="preserve">ADMISIBILIDAD </w:t>
                      </w:r>
                      <w:r w:rsidRPr="0010736F">
                        <w:rPr>
                          <w:rFonts w:asciiTheme="majorHAnsi" w:hAnsiTheme="majorHAnsi" w:cs="Arial"/>
                          <w:color w:val="0D0D0D" w:themeColor="text1" w:themeTint="F2"/>
                          <w:szCs w:val="22"/>
                          <w:lang w:val="es-ES_tradnl"/>
                        </w:rPr>
                        <w:t xml:space="preserve"> </w:t>
                      </w:r>
                    </w:p>
                    <w:p w14:paraId="3A82FE1E" w14:textId="77777777" w:rsidR="00CC395D" w:rsidRPr="0010736F" w:rsidRDefault="00CC395D" w:rsidP="00CC395D">
                      <w:pPr>
                        <w:spacing w:line="276" w:lineRule="auto"/>
                        <w:rPr>
                          <w:rFonts w:asciiTheme="majorHAnsi" w:hAnsiTheme="majorHAnsi" w:cs="Arial"/>
                          <w:color w:val="0D0D0D" w:themeColor="text1" w:themeTint="F2"/>
                          <w:szCs w:val="22"/>
                          <w:lang w:val="es-ES_tradnl"/>
                        </w:rPr>
                      </w:pPr>
                      <w:bookmarkStart w:id="1" w:name="_ftnref1"/>
                    </w:p>
                    <w:p w14:paraId="4E5BAA5A" w14:textId="1DB6B4ED" w:rsidR="00CC395D" w:rsidRPr="00A01212" w:rsidRDefault="00571203" w:rsidP="00CC395D">
                      <w:pPr>
                        <w:spacing w:line="276" w:lineRule="auto"/>
                        <w:rPr>
                          <w:rFonts w:asciiTheme="majorHAnsi" w:hAnsiTheme="majorHAnsi" w:cs="Arial"/>
                          <w:color w:val="0D0D0D" w:themeColor="text1" w:themeTint="F2"/>
                          <w:szCs w:val="22"/>
                          <w:lang w:val="es-PA"/>
                        </w:rPr>
                      </w:pPr>
                      <w:r>
                        <w:rPr>
                          <w:rFonts w:asciiTheme="majorHAnsi" w:hAnsiTheme="majorHAnsi" w:cs="Arial"/>
                          <w:color w:val="0D0D0D" w:themeColor="text1" w:themeTint="F2"/>
                          <w:szCs w:val="22"/>
                          <w:lang w:val="es-ES_tradnl"/>
                        </w:rPr>
                        <w:t>FAMILIARES DE CARLOS ARANCIBIA</w:t>
                      </w:r>
                    </w:p>
                    <w:bookmarkEnd w:id="1"/>
                    <w:p w14:paraId="575DFD52" w14:textId="445125B6" w:rsidR="005B52B0" w:rsidRPr="00AE5488" w:rsidRDefault="00026DF5" w:rsidP="007A5817">
                      <w:pPr>
                        <w:rPr>
                          <w:color w:val="0D0D0D" w:themeColor="text1" w:themeTint="F2"/>
                          <w:lang w:val="es-ES_tradnl"/>
                        </w:rPr>
                      </w:pPr>
                      <w:r>
                        <w:rPr>
                          <w:rFonts w:asciiTheme="majorHAnsi" w:hAnsiTheme="majorHAnsi" w:cs="Arial"/>
                          <w:color w:val="0D0D0D" w:themeColor="text1" w:themeTint="F2"/>
                          <w:szCs w:val="22"/>
                          <w:lang w:val="es-ES_tradnl"/>
                        </w:rPr>
                        <w:t>ARGENTINA</w:t>
                      </w:r>
                    </w:p>
                  </w:txbxContent>
                </v:textbox>
              </v:shape>
            </w:pict>
          </mc:Fallback>
        </mc:AlternateContent>
      </w:r>
      <w:r w:rsidR="004E2649" w:rsidRPr="00006B7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1915D43D" w:rsidR="00627C9F" w:rsidRPr="00CB39B3" w:rsidRDefault="00834D49" w:rsidP="007A5817">
                            <w:pPr>
                              <w:spacing w:line="276" w:lineRule="auto"/>
                              <w:jc w:val="right"/>
                              <w:rPr>
                                <w:rFonts w:asciiTheme="minorHAnsi" w:hAnsiTheme="minorHAnsi"/>
                                <w:color w:val="FFFFFF" w:themeColor="background1"/>
                                <w:sz w:val="22"/>
                                <w:lang w:val="es-419"/>
                              </w:rPr>
                            </w:pPr>
                            <w:r w:rsidRPr="00CB39B3">
                              <w:rPr>
                                <w:rFonts w:asciiTheme="minorHAnsi" w:hAnsiTheme="minorHAnsi"/>
                                <w:color w:val="FFFFFF" w:themeColor="background1"/>
                                <w:sz w:val="22"/>
                                <w:lang w:val="es-419"/>
                              </w:rPr>
                              <w:t>OEA/Ser.L/V/II</w:t>
                            </w:r>
                          </w:p>
                          <w:p w14:paraId="6A41611B" w14:textId="653D3971" w:rsidR="00627C9F" w:rsidRPr="00CB39B3" w:rsidRDefault="00627C9F" w:rsidP="007A5817">
                            <w:pPr>
                              <w:spacing w:line="276" w:lineRule="auto"/>
                              <w:jc w:val="right"/>
                              <w:rPr>
                                <w:rFonts w:asciiTheme="minorHAnsi" w:hAnsiTheme="minorHAnsi"/>
                                <w:color w:val="FFFFFF" w:themeColor="background1"/>
                                <w:sz w:val="22"/>
                                <w:lang w:val="es-419"/>
                              </w:rPr>
                            </w:pPr>
                            <w:r w:rsidRPr="00CB39B3">
                              <w:rPr>
                                <w:rFonts w:asciiTheme="minorHAnsi" w:hAnsiTheme="minorHAnsi"/>
                                <w:color w:val="FFFFFF" w:themeColor="background1"/>
                                <w:sz w:val="22"/>
                                <w:lang w:val="es-419"/>
                              </w:rPr>
                              <w:t xml:space="preserve">Doc. </w:t>
                            </w:r>
                            <w:r w:rsidR="00FC0655" w:rsidRPr="00CB39B3">
                              <w:rPr>
                                <w:rFonts w:asciiTheme="minorHAnsi" w:hAnsiTheme="minorHAnsi"/>
                                <w:color w:val="FFFFFF" w:themeColor="background1"/>
                                <w:sz w:val="22"/>
                                <w:lang w:val="es-419"/>
                              </w:rPr>
                              <w:t>261</w:t>
                            </w:r>
                          </w:p>
                          <w:p w14:paraId="69373ED2" w14:textId="17BB85F2" w:rsidR="00627C9F" w:rsidRPr="001B4C00" w:rsidRDefault="00FC0655"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3 octubre</w:t>
                            </w:r>
                            <w:r w:rsidR="00627C9F" w:rsidRPr="001B4C00">
                              <w:rPr>
                                <w:rFonts w:asciiTheme="minorHAnsi" w:hAnsiTheme="minorHAnsi"/>
                                <w:color w:val="FFFFFF" w:themeColor="background1"/>
                                <w:sz w:val="22"/>
                                <w:lang w:val="es-ES"/>
                              </w:rPr>
                              <w:t xml:space="preserve"> 20</w:t>
                            </w:r>
                            <w:r w:rsidR="0073396C">
                              <w:rPr>
                                <w:rFonts w:asciiTheme="minorHAnsi" w:hAnsiTheme="minorHAnsi"/>
                                <w:color w:val="FFFFFF" w:themeColor="background1"/>
                                <w:sz w:val="22"/>
                                <w:lang w:val="es-ES"/>
                              </w:rPr>
                              <w:t>2</w:t>
                            </w:r>
                            <w:r w:rsidR="00F354BA">
                              <w:rPr>
                                <w:rFonts w:asciiTheme="minorHAnsi" w:hAnsiTheme="minorHAnsi"/>
                                <w:color w:val="FFFFFF" w:themeColor="background1"/>
                                <w:sz w:val="22"/>
                                <w:lang w:val="es-ES"/>
                              </w:rPr>
                              <w:t>2</w:t>
                            </w:r>
                          </w:p>
                          <w:p w14:paraId="0771DB5B" w14:textId="77777777" w:rsidR="00627C9F" w:rsidRPr="001B4C00" w:rsidRDefault="00E0340B"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 xml:space="preserve">Original: </w:t>
                            </w:r>
                            <w:r w:rsidR="008B12F5" w:rsidRPr="001B4C00">
                              <w:rPr>
                                <w:rFonts w:asciiTheme="minorHAnsi" w:hAnsiTheme="minorHAnsi"/>
                                <w:color w:val="FFFFFF" w:themeColor="background1"/>
                                <w:sz w:val="22"/>
                                <w:lang w:val="es-ES"/>
                              </w:rPr>
                              <w:t>e</w:t>
                            </w:r>
                            <w:r w:rsidR="00627C9F" w:rsidRPr="001B4C00">
                              <w:rPr>
                                <w:rFonts w:asciiTheme="minorHAnsi" w:hAnsiTheme="minorHAnsi"/>
                                <w:color w:val="FFFFFF" w:themeColor="background1"/>
                                <w:sz w:val="22"/>
                                <w:lang w:val="es-E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1915D43D" w:rsidR="00627C9F" w:rsidRPr="00CB39B3" w:rsidRDefault="00834D49" w:rsidP="007A5817">
                      <w:pPr>
                        <w:spacing w:line="276" w:lineRule="auto"/>
                        <w:jc w:val="right"/>
                        <w:rPr>
                          <w:rFonts w:asciiTheme="minorHAnsi" w:hAnsiTheme="minorHAnsi"/>
                          <w:color w:val="FFFFFF" w:themeColor="background1"/>
                          <w:sz w:val="22"/>
                          <w:lang w:val="es-419"/>
                        </w:rPr>
                      </w:pPr>
                      <w:r w:rsidRPr="00CB39B3">
                        <w:rPr>
                          <w:rFonts w:asciiTheme="minorHAnsi" w:hAnsiTheme="minorHAnsi"/>
                          <w:color w:val="FFFFFF" w:themeColor="background1"/>
                          <w:sz w:val="22"/>
                          <w:lang w:val="es-419"/>
                        </w:rPr>
                        <w:t>OEA/Ser.L/V/II</w:t>
                      </w:r>
                    </w:p>
                    <w:p w14:paraId="6A41611B" w14:textId="653D3971" w:rsidR="00627C9F" w:rsidRPr="00CB39B3" w:rsidRDefault="00627C9F" w:rsidP="007A5817">
                      <w:pPr>
                        <w:spacing w:line="276" w:lineRule="auto"/>
                        <w:jc w:val="right"/>
                        <w:rPr>
                          <w:rFonts w:asciiTheme="minorHAnsi" w:hAnsiTheme="minorHAnsi"/>
                          <w:color w:val="FFFFFF" w:themeColor="background1"/>
                          <w:sz w:val="22"/>
                          <w:lang w:val="es-419"/>
                        </w:rPr>
                      </w:pPr>
                      <w:r w:rsidRPr="00CB39B3">
                        <w:rPr>
                          <w:rFonts w:asciiTheme="minorHAnsi" w:hAnsiTheme="minorHAnsi"/>
                          <w:color w:val="FFFFFF" w:themeColor="background1"/>
                          <w:sz w:val="22"/>
                          <w:lang w:val="es-419"/>
                        </w:rPr>
                        <w:t xml:space="preserve">Doc. </w:t>
                      </w:r>
                      <w:r w:rsidR="00FC0655" w:rsidRPr="00CB39B3">
                        <w:rPr>
                          <w:rFonts w:asciiTheme="minorHAnsi" w:hAnsiTheme="minorHAnsi"/>
                          <w:color w:val="FFFFFF" w:themeColor="background1"/>
                          <w:sz w:val="22"/>
                          <w:lang w:val="es-419"/>
                        </w:rPr>
                        <w:t>261</w:t>
                      </w:r>
                    </w:p>
                    <w:p w14:paraId="69373ED2" w14:textId="17BB85F2" w:rsidR="00627C9F" w:rsidRPr="001B4C00" w:rsidRDefault="00FC0655"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3 octubre</w:t>
                      </w:r>
                      <w:r w:rsidR="00627C9F" w:rsidRPr="001B4C00">
                        <w:rPr>
                          <w:rFonts w:asciiTheme="minorHAnsi" w:hAnsiTheme="minorHAnsi"/>
                          <w:color w:val="FFFFFF" w:themeColor="background1"/>
                          <w:sz w:val="22"/>
                          <w:lang w:val="es-ES"/>
                        </w:rPr>
                        <w:t xml:space="preserve"> 20</w:t>
                      </w:r>
                      <w:r w:rsidR="0073396C">
                        <w:rPr>
                          <w:rFonts w:asciiTheme="minorHAnsi" w:hAnsiTheme="minorHAnsi"/>
                          <w:color w:val="FFFFFF" w:themeColor="background1"/>
                          <w:sz w:val="22"/>
                          <w:lang w:val="es-ES"/>
                        </w:rPr>
                        <w:t>2</w:t>
                      </w:r>
                      <w:r w:rsidR="00F354BA">
                        <w:rPr>
                          <w:rFonts w:asciiTheme="minorHAnsi" w:hAnsiTheme="minorHAnsi"/>
                          <w:color w:val="FFFFFF" w:themeColor="background1"/>
                          <w:sz w:val="22"/>
                          <w:lang w:val="es-ES"/>
                        </w:rPr>
                        <w:t>2</w:t>
                      </w:r>
                    </w:p>
                    <w:p w14:paraId="0771DB5B" w14:textId="77777777" w:rsidR="00627C9F" w:rsidRPr="001B4C00" w:rsidRDefault="00E0340B"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 xml:space="preserve">Original: </w:t>
                      </w:r>
                      <w:r w:rsidR="008B12F5" w:rsidRPr="001B4C00">
                        <w:rPr>
                          <w:rFonts w:asciiTheme="minorHAnsi" w:hAnsiTheme="minorHAnsi"/>
                          <w:color w:val="FFFFFF" w:themeColor="background1"/>
                          <w:sz w:val="22"/>
                          <w:lang w:val="es-ES"/>
                        </w:rPr>
                        <w:t>e</w:t>
                      </w:r>
                      <w:r w:rsidR="00627C9F" w:rsidRPr="001B4C00">
                        <w:rPr>
                          <w:rFonts w:asciiTheme="minorHAnsi" w:hAnsiTheme="minorHAnsi"/>
                          <w:color w:val="FFFFFF" w:themeColor="background1"/>
                          <w:sz w:val="22"/>
                          <w:lang w:val="es-ES"/>
                        </w:rPr>
                        <w:t>spañol</w:t>
                      </w:r>
                    </w:p>
                  </w:txbxContent>
                </v:textbox>
              </v:shape>
            </w:pict>
          </mc:Fallback>
        </mc:AlternateContent>
      </w:r>
    </w:p>
    <w:p w14:paraId="155B053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006B74"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545A068A"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F22A99">
                              <w:rPr>
                                <w:rFonts w:asciiTheme="majorHAnsi" w:hAnsiTheme="majorHAnsi"/>
                                <w:color w:val="0D0D0D" w:themeColor="text1" w:themeTint="F2"/>
                                <w:sz w:val="18"/>
                                <w:szCs w:val="22"/>
                                <w:lang w:val="es-ES"/>
                              </w:rPr>
                              <w:t>3</w:t>
                            </w:r>
                            <w:r w:rsidRPr="00890650">
                              <w:rPr>
                                <w:rFonts w:asciiTheme="majorHAnsi" w:hAnsiTheme="majorHAnsi"/>
                                <w:color w:val="0D0D0D" w:themeColor="text1" w:themeTint="F2"/>
                                <w:sz w:val="18"/>
                                <w:szCs w:val="22"/>
                                <w:lang w:val="es-ES"/>
                              </w:rPr>
                              <w:t xml:space="preserve"> de </w:t>
                            </w:r>
                            <w:r w:rsidR="00F22A99">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A777B4">
                              <w:rPr>
                                <w:rFonts w:asciiTheme="majorHAnsi" w:hAnsiTheme="majorHAnsi"/>
                                <w:color w:val="0D0D0D" w:themeColor="text1" w:themeTint="F2"/>
                                <w:sz w:val="18"/>
                                <w:szCs w:val="22"/>
                                <w:lang w:val="es-ES"/>
                              </w:rPr>
                              <w:t>2</w:t>
                            </w:r>
                            <w:r w:rsidR="00F354BA">
                              <w:rPr>
                                <w:rFonts w:asciiTheme="majorHAnsi" w:hAnsiTheme="majorHAnsi"/>
                                <w:color w:val="0D0D0D" w:themeColor="text1" w:themeTint="F2"/>
                                <w:sz w:val="18"/>
                                <w:szCs w:val="22"/>
                                <w:lang w:val="es-ES"/>
                              </w:rPr>
                              <w:t>2</w:t>
                            </w:r>
                            <w:r w:rsidR="00F22A99">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545A068A"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F22A99">
                        <w:rPr>
                          <w:rFonts w:asciiTheme="majorHAnsi" w:hAnsiTheme="majorHAnsi"/>
                          <w:color w:val="0D0D0D" w:themeColor="text1" w:themeTint="F2"/>
                          <w:sz w:val="18"/>
                          <w:szCs w:val="22"/>
                          <w:lang w:val="es-ES"/>
                        </w:rPr>
                        <w:t>3</w:t>
                      </w:r>
                      <w:r w:rsidRPr="00890650">
                        <w:rPr>
                          <w:rFonts w:asciiTheme="majorHAnsi" w:hAnsiTheme="majorHAnsi"/>
                          <w:color w:val="0D0D0D" w:themeColor="text1" w:themeTint="F2"/>
                          <w:sz w:val="18"/>
                          <w:szCs w:val="22"/>
                          <w:lang w:val="es-ES"/>
                        </w:rPr>
                        <w:t xml:space="preserve"> de </w:t>
                      </w:r>
                      <w:r w:rsidR="00F22A99">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A777B4">
                        <w:rPr>
                          <w:rFonts w:asciiTheme="majorHAnsi" w:hAnsiTheme="majorHAnsi"/>
                          <w:color w:val="0D0D0D" w:themeColor="text1" w:themeTint="F2"/>
                          <w:sz w:val="18"/>
                          <w:szCs w:val="22"/>
                          <w:lang w:val="es-ES"/>
                        </w:rPr>
                        <w:t>2</w:t>
                      </w:r>
                      <w:r w:rsidR="00F354BA">
                        <w:rPr>
                          <w:rFonts w:asciiTheme="majorHAnsi" w:hAnsiTheme="majorHAnsi"/>
                          <w:color w:val="0D0D0D" w:themeColor="text1" w:themeTint="F2"/>
                          <w:sz w:val="18"/>
                          <w:szCs w:val="22"/>
                          <w:lang w:val="es-ES"/>
                        </w:rPr>
                        <w:t>2</w:t>
                      </w:r>
                      <w:r w:rsidR="00F22A99">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A76E02" w14:textId="77777777" w:rsidR="00F22A99"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22A99" w:rsidRPr="00F22A99">
                              <w:rPr>
                                <w:rFonts w:asciiTheme="majorHAnsi" w:hAnsiTheme="majorHAnsi"/>
                                <w:color w:val="595959" w:themeColor="text1" w:themeTint="A6"/>
                                <w:sz w:val="18"/>
                                <w:szCs w:val="18"/>
                                <w:lang w:val="pt-BR"/>
                              </w:rPr>
                              <w:t>257</w:t>
                            </w:r>
                            <w:r w:rsidR="007B05C4" w:rsidRPr="00F22A99">
                              <w:rPr>
                                <w:rFonts w:asciiTheme="majorHAnsi" w:hAnsiTheme="majorHAnsi"/>
                                <w:color w:val="595959" w:themeColor="text1" w:themeTint="A6"/>
                                <w:sz w:val="18"/>
                                <w:szCs w:val="18"/>
                                <w:lang w:val="pt-BR"/>
                              </w:rPr>
                              <w:t>/</w:t>
                            </w:r>
                            <w:r w:rsidR="00A777B4" w:rsidRPr="00F22A99">
                              <w:rPr>
                                <w:rFonts w:asciiTheme="majorHAnsi" w:hAnsiTheme="majorHAnsi"/>
                                <w:color w:val="595959" w:themeColor="text1" w:themeTint="A6"/>
                                <w:sz w:val="18"/>
                                <w:szCs w:val="18"/>
                                <w:lang w:val="pt-BR"/>
                              </w:rPr>
                              <w:t>2</w:t>
                            </w:r>
                            <w:r w:rsidR="00F354BA" w:rsidRPr="00F22A99">
                              <w:rPr>
                                <w:rFonts w:asciiTheme="majorHAnsi" w:hAnsiTheme="majorHAnsi"/>
                                <w:color w:val="595959" w:themeColor="text1" w:themeTint="A6"/>
                                <w:sz w:val="18"/>
                                <w:szCs w:val="18"/>
                                <w:lang w:val="pt-BR"/>
                              </w:rPr>
                              <w:t>2</w:t>
                            </w:r>
                            <w:r w:rsidRPr="00F22A99">
                              <w:rPr>
                                <w:rFonts w:asciiTheme="majorHAnsi" w:hAnsiTheme="majorHAnsi"/>
                                <w:color w:val="595959" w:themeColor="text1" w:themeTint="A6"/>
                                <w:sz w:val="18"/>
                                <w:szCs w:val="18"/>
                                <w:lang w:val="pt-BR"/>
                              </w:rPr>
                              <w:t xml:space="preserve">. </w:t>
                            </w:r>
                            <w:r w:rsidR="00F354BA">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r w:rsidR="00571203" w:rsidRPr="00F43DEF">
                              <w:rPr>
                                <w:rFonts w:asciiTheme="majorHAnsi" w:hAnsiTheme="majorHAnsi"/>
                                <w:color w:val="595959" w:themeColor="text1" w:themeTint="A6"/>
                                <w:sz w:val="18"/>
                                <w:szCs w:val="18"/>
                                <w:lang w:val="es-ES_tradnl"/>
                              </w:rPr>
                              <w:t>Familiares de Carlos Arancibia</w:t>
                            </w:r>
                            <w:r w:rsidRPr="00F43DEF">
                              <w:rPr>
                                <w:rFonts w:asciiTheme="majorHAnsi" w:hAnsiTheme="majorHAnsi"/>
                                <w:color w:val="595959" w:themeColor="text1" w:themeTint="A6"/>
                                <w:sz w:val="18"/>
                                <w:szCs w:val="18"/>
                                <w:lang w:val="es-ES_tradnl"/>
                              </w:rPr>
                              <w:t xml:space="preserve">. </w:t>
                            </w:r>
                          </w:p>
                          <w:p w14:paraId="0D1B22CF" w14:textId="0E055A98" w:rsidR="00113F73" w:rsidRPr="007B05C4" w:rsidRDefault="00416848"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 xml:space="preserve">Argentina. </w:t>
                            </w:r>
                            <w:r>
                              <w:rPr>
                                <w:rFonts w:asciiTheme="majorHAnsi" w:hAnsiTheme="majorHAnsi"/>
                                <w:color w:val="595959" w:themeColor="text1" w:themeTint="A6"/>
                                <w:sz w:val="18"/>
                                <w:szCs w:val="18"/>
                                <w:lang w:val="es-ES"/>
                              </w:rPr>
                              <w:t>3 de octubre de 2022</w:t>
                            </w:r>
                            <w:r w:rsidR="00113F73" w:rsidRPr="00F43DEF">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9A76E02" w14:textId="77777777" w:rsidR="00F22A99"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22A99" w:rsidRPr="00F22A99">
                        <w:rPr>
                          <w:rFonts w:asciiTheme="majorHAnsi" w:hAnsiTheme="majorHAnsi"/>
                          <w:color w:val="595959" w:themeColor="text1" w:themeTint="A6"/>
                          <w:sz w:val="18"/>
                          <w:szCs w:val="18"/>
                          <w:lang w:val="pt-BR"/>
                        </w:rPr>
                        <w:t>257</w:t>
                      </w:r>
                      <w:r w:rsidR="007B05C4" w:rsidRPr="00F22A99">
                        <w:rPr>
                          <w:rFonts w:asciiTheme="majorHAnsi" w:hAnsiTheme="majorHAnsi"/>
                          <w:color w:val="595959" w:themeColor="text1" w:themeTint="A6"/>
                          <w:sz w:val="18"/>
                          <w:szCs w:val="18"/>
                          <w:lang w:val="pt-BR"/>
                        </w:rPr>
                        <w:t>/</w:t>
                      </w:r>
                      <w:r w:rsidR="00A777B4" w:rsidRPr="00F22A99">
                        <w:rPr>
                          <w:rFonts w:asciiTheme="majorHAnsi" w:hAnsiTheme="majorHAnsi"/>
                          <w:color w:val="595959" w:themeColor="text1" w:themeTint="A6"/>
                          <w:sz w:val="18"/>
                          <w:szCs w:val="18"/>
                          <w:lang w:val="pt-BR"/>
                        </w:rPr>
                        <w:t>2</w:t>
                      </w:r>
                      <w:r w:rsidR="00F354BA" w:rsidRPr="00F22A99">
                        <w:rPr>
                          <w:rFonts w:asciiTheme="majorHAnsi" w:hAnsiTheme="majorHAnsi"/>
                          <w:color w:val="595959" w:themeColor="text1" w:themeTint="A6"/>
                          <w:sz w:val="18"/>
                          <w:szCs w:val="18"/>
                          <w:lang w:val="pt-BR"/>
                        </w:rPr>
                        <w:t>2</w:t>
                      </w:r>
                      <w:r w:rsidRPr="00F22A99">
                        <w:rPr>
                          <w:rFonts w:asciiTheme="majorHAnsi" w:hAnsiTheme="majorHAnsi"/>
                          <w:color w:val="595959" w:themeColor="text1" w:themeTint="A6"/>
                          <w:sz w:val="18"/>
                          <w:szCs w:val="18"/>
                          <w:lang w:val="pt-BR"/>
                        </w:rPr>
                        <w:t xml:space="preserve">. </w:t>
                      </w:r>
                      <w:r w:rsidR="00F354BA">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r w:rsidR="00571203" w:rsidRPr="00F43DEF">
                        <w:rPr>
                          <w:rFonts w:asciiTheme="majorHAnsi" w:hAnsiTheme="majorHAnsi"/>
                          <w:color w:val="595959" w:themeColor="text1" w:themeTint="A6"/>
                          <w:sz w:val="18"/>
                          <w:szCs w:val="18"/>
                          <w:lang w:val="es-ES_tradnl"/>
                        </w:rPr>
                        <w:t>Familiares de Carlos Arancibia</w:t>
                      </w:r>
                      <w:r w:rsidRPr="00F43DEF">
                        <w:rPr>
                          <w:rFonts w:asciiTheme="majorHAnsi" w:hAnsiTheme="majorHAnsi"/>
                          <w:color w:val="595959" w:themeColor="text1" w:themeTint="A6"/>
                          <w:sz w:val="18"/>
                          <w:szCs w:val="18"/>
                          <w:lang w:val="es-ES_tradnl"/>
                        </w:rPr>
                        <w:t xml:space="preserve">. </w:t>
                      </w:r>
                    </w:p>
                    <w:p w14:paraId="0D1B22CF" w14:textId="0E055A98" w:rsidR="00113F73" w:rsidRPr="007B05C4" w:rsidRDefault="00416848"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 xml:space="preserve">Argentina. </w:t>
                      </w:r>
                      <w:r>
                        <w:rPr>
                          <w:rFonts w:asciiTheme="majorHAnsi" w:hAnsiTheme="majorHAnsi"/>
                          <w:color w:val="595959" w:themeColor="text1" w:themeTint="A6"/>
                          <w:sz w:val="18"/>
                          <w:szCs w:val="18"/>
                          <w:lang w:val="es-ES"/>
                        </w:rPr>
                        <w:t>3 de octubre de 2022</w:t>
                      </w:r>
                      <w:r w:rsidR="00113F73" w:rsidRPr="00F43DEF">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DA07629" w14:textId="526C4FFF" w:rsidR="0090270B" w:rsidRPr="00006B74" w:rsidRDefault="00D306D1" w:rsidP="005516A1">
      <w:pPr>
        <w:tabs>
          <w:tab w:val="center" w:pos="5400"/>
        </w:tabs>
        <w:suppressAutoHyphens/>
        <w:jc w:val="center"/>
        <w:rPr>
          <w:rFonts w:asciiTheme="majorHAnsi" w:hAnsiTheme="majorHAnsi"/>
          <w:b/>
          <w:sz w:val="20"/>
          <w:lang w:val="es-ES"/>
        </w:rPr>
      </w:pPr>
      <w:r w:rsidRPr="00006B7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5DD0655E">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2045C1D4" w:rsidR="0070697F" w:rsidRPr="00006B74" w:rsidRDefault="00416848" w:rsidP="005516A1">
      <w:pPr>
        <w:tabs>
          <w:tab w:val="center" w:pos="5400"/>
        </w:tabs>
        <w:suppressAutoHyphens/>
        <w:jc w:val="center"/>
        <w:rPr>
          <w:rFonts w:asciiTheme="majorHAnsi" w:hAnsiTheme="majorHAnsi"/>
          <w:b/>
          <w:sz w:val="20"/>
          <w:lang w:val="es-ES"/>
        </w:rPr>
        <w:sectPr w:rsidR="0070697F" w:rsidRPr="00006B74"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006B7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1BEF4BE6">
                <wp:simplePos x="0" y="0"/>
                <wp:positionH relativeFrom="column">
                  <wp:posOffset>1322614</wp:posOffset>
                </wp:positionH>
                <wp:positionV relativeFrom="paragraph">
                  <wp:posOffset>490220</wp:posOffset>
                </wp:positionV>
                <wp:extent cx="4096385" cy="674914"/>
                <wp:effectExtent l="0" t="0" r="0" b="0"/>
                <wp:wrapNone/>
                <wp:docPr id="9" name="Text Box 9"/>
                <wp:cNvGraphicFramePr/>
                <a:graphic xmlns:a="http://schemas.openxmlformats.org/drawingml/2006/main">
                  <a:graphicData uri="http://schemas.microsoft.com/office/word/2010/wordprocessingShape">
                    <wps:wsp>
                      <wps:cNvSpPr txBox="1"/>
                      <wps:spPr>
                        <a:xfrm>
                          <a:off x="0" y="0"/>
                          <a:ext cx="4096385" cy="67491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72AC5E93">
                                  <wp:extent cx="2036446" cy="523875"/>
                                  <wp:effectExtent l="0" t="0" r="190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038988" cy="52452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4.15pt;margin-top:38.6pt;width:322.55pt;height:53.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LddwIAAGwFAAAOAAAAZHJzL2Uyb0RvYy54bWysVEtPGzEQvlfqf7B8L5uE8IrYoBREVQkB&#10;KlScHa+dWPV6XHuS3fTXd+zdPEq5UPWyO/a8P38zl1dtbdlahWjAlXx4NOBMOQmVcYuSf3++/XTO&#10;WUThKmHBqZJvVORX048fLhs/USNYgq1UYBTExUnjS75E9JOiiHKpahGPwCtHSg2hFkjHsCiqIBqK&#10;XttiNBicFg2EygeQKka6vemUfJrja60kPmgdFTJbcqoN8zfk7zx9i+mlmCyC8Esj+zLEP1RRC+Mo&#10;6S7UjUDBVsH8Fao2MkAEjUcS6gK0NlLlHqib4eBVN09L4VXuhcCJfgdT/H9h5f36yT8Ghu1naOkB&#10;EyCNj5NIl6mfVoc6/alSRnqCcLODTbXIJF2OBxenx+cnnEnSnZ6NL4bjFKbYe/sQ8YuCmiWh5IGe&#10;JaMl1ncRO9OtSUoWwZrq1libD4kK6toGthb0iBZzjRT8DyvrWEPJj08GObCD5N5Fti6FUZkMfbp9&#10;h1nCjVXJxrpvSjNT5UbfyC2kVG6XP1snK02p3uPY2++reo9z1wd55MzgcOdcGwchd5+nZw9Z9WML&#10;me7s6W0O+k4itvOWGicEtwSYQ7UhXgToRiZ6eWvo8e5ExEcRaEaICjT3+EAfbYHAh17ibAnh11v3&#10;yZ6oS1rOGpq5ksefKxEUZ/arI1ITccZpSPNhfHI2okM41MwPNW5VXwMxYkgbxsssJnu0W1EHqF9o&#10;PcxSVlIJJyl3yXErXmO3CWi9SDWbZSMaSy/wzj15mUInlBM1n9sXEXzPXyTm38N2OsXkFY072+Tp&#10;YLZC0CZzPOHcodrjTyOdp6RfP2lnHJ6z1X5JTn8DAAD//wMAUEsDBBQABgAIAAAAIQAeeNjt4AAA&#10;AAoBAAAPAAAAZHJzL2Rvd25yZXYueG1sTI/LToRAEEX3Jv5Dp0zcGKcRRAjSTIzxkbhz8BF3PXQJ&#10;RLqa0D2Af2+50mXlntx7qtyudhAzTr53pOBiE4FAapzpqVXwUt+f5yB80GT04AgVfKOHbXV8VOrC&#10;uIWecd6FVnAJ+UIr6EIYCyl906HVfuNGJM4+3WR14HNqpZn0wuV2kHEUXUmre+KFTo9422HztTtY&#10;BR9n7fuTXx9elyRNxrvHuc7eTK3U6cl6cw0i4Br+YPjVZ3Wo2GnvDmS8GBTEUZ4wqiDLYhAM5Gly&#10;CWLPZJ6kIKtS/n+h+gEAAP//AwBQSwECLQAUAAYACAAAACEAtoM4kv4AAADhAQAAEwAAAAAAAAAA&#10;AAAAAAAAAAAAW0NvbnRlbnRfVHlwZXNdLnhtbFBLAQItABQABgAIAAAAIQA4/SH/1gAAAJQBAAAL&#10;AAAAAAAAAAAAAAAAAC8BAABfcmVscy8ucmVsc1BLAQItABQABgAIAAAAIQDTT/LddwIAAGwFAAAO&#10;AAAAAAAAAAAAAAAAAC4CAABkcnMvZTJvRG9jLnhtbFBLAQItABQABgAIAAAAIQAeeNjt4AAAAAoB&#10;AAAPAAAAAAAAAAAAAAAAANEEAABkcnMvZG93bnJldi54bWxQSwUGAAAAAAQABADzAAAA3gU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72AC5E93">
                            <wp:extent cx="2036446" cy="523875"/>
                            <wp:effectExtent l="0" t="0" r="190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038988" cy="524529"/>
                                    </a:xfrm>
                                    <a:prstGeom prst="rect">
                                      <a:avLst/>
                                    </a:prstGeom>
                                    <a:noFill/>
                                    <a:ln>
                                      <a:noFill/>
                                    </a:ln>
                                  </pic:spPr>
                                </pic:pic>
                              </a:graphicData>
                            </a:graphic>
                          </wp:inline>
                        </w:drawing>
                      </w:r>
                    </w:p>
                  </w:txbxContent>
                </v:textbox>
              </v:shape>
            </w:pict>
          </mc:Fallback>
        </mc:AlternateContent>
      </w:r>
      <w:r w:rsidR="004A6A54" w:rsidRPr="00006B74">
        <w:rPr>
          <w:rFonts w:asciiTheme="majorHAnsi" w:hAnsiTheme="majorHAnsi"/>
          <w:b/>
          <w:sz w:val="20"/>
          <w:lang w:val="es-ES"/>
        </w:rPr>
        <w:tab/>
      </w:r>
    </w:p>
    <w:p w14:paraId="376DDC8B" w14:textId="77777777" w:rsidR="003239B8" w:rsidRPr="00E40792" w:rsidRDefault="003239B8" w:rsidP="007C402A">
      <w:pPr>
        <w:spacing w:after="120"/>
        <w:ind w:firstLine="720"/>
        <w:jc w:val="both"/>
        <w:rPr>
          <w:rFonts w:asciiTheme="majorHAnsi" w:hAnsiTheme="majorHAnsi"/>
          <w:b/>
          <w:bCs/>
          <w:sz w:val="20"/>
          <w:szCs w:val="20"/>
          <w:lang w:val="es-ES"/>
        </w:rPr>
      </w:pPr>
      <w:r w:rsidRPr="00E40792">
        <w:rPr>
          <w:rFonts w:asciiTheme="majorHAnsi" w:hAnsiTheme="majorHAnsi"/>
          <w:b/>
          <w:bCs/>
          <w:sz w:val="20"/>
          <w:szCs w:val="20"/>
          <w:lang w:val="es-ES"/>
        </w:rPr>
        <w:lastRenderedPageBreak/>
        <w:t>I.</w:t>
      </w:r>
      <w:r w:rsidRPr="00E40792">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487"/>
        <w:gridCol w:w="5873"/>
      </w:tblGrid>
      <w:tr w:rsidR="003239B8" w:rsidRPr="00F5759A" w14:paraId="5A79D1F7" w14:textId="77777777" w:rsidTr="00E40792">
        <w:tc>
          <w:tcPr>
            <w:tcW w:w="3487" w:type="dxa"/>
            <w:tcBorders>
              <w:top w:val="single" w:sz="4" w:space="0" w:color="auto"/>
              <w:bottom w:val="single" w:sz="6" w:space="0" w:color="auto"/>
            </w:tcBorders>
            <w:shd w:val="clear" w:color="auto" w:fill="386294"/>
            <w:vAlign w:val="center"/>
          </w:tcPr>
          <w:p w14:paraId="0CB2A43B" w14:textId="6FB89BFC" w:rsidR="003239B8" w:rsidRPr="00E40792" w:rsidRDefault="00D77503" w:rsidP="008D2290">
            <w:pPr>
              <w:jc w:val="center"/>
              <w:rPr>
                <w:rFonts w:asciiTheme="majorHAnsi" w:hAnsiTheme="majorHAnsi"/>
                <w:b/>
                <w:color w:val="FFFFFF" w:themeColor="background1"/>
                <w:sz w:val="20"/>
                <w:szCs w:val="20"/>
                <w:lang w:val="es-ES"/>
              </w:rPr>
            </w:pPr>
            <w:r w:rsidRPr="00E40792">
              <w:rPr>
                <w:rFonts w:asciiTheme="majorHAnsi" w:hAnsiTheme="majorHAnsi"/>
                <w:b/>
                <w:color w:val="FFFFFF" w:themeColor="background1"/>
                <w:sz w:val="20"/>
                <w:szCs w:val="20"/>
                <w:lang w:val="es-ES"/>
              </w:rPr>
              <w:t>Parte peticionaria</w:t>
            </w:r>
          </w:p>
        </w:tc>
        <w:tc>
          <w:tcPr>
            <w:tcW w:w="5873" w:type="dxa"/>
            <w:vAlign w:val="center"/>
          </w:tcPr>
          <w:p w14:paraId="3C5315D8" w14:textId="77C120C4" w:rsidR="003239B8" w:rsidRPr="00E40792" w:rsidRDefault="0073396C" w:rsidP="008D2290">
            <w:pPr>
              <w:jc w:val="both"/>
              <w:rPr>
                <w:rFonts w:asciiTheme="majorHAnsi" w:hAnsiTheme="majorHAnsi"/>
                <w:bCs/>
                <w:sz w:val="20"/>
                <w:szCs w:val="20"/>
                <w:lang w:val="es-PA"/>
              </w:rPr>
            </w:pPr>
            <w:r>
              <w:rPr>
                <w:rFonts w:asciiTheme="majorHAnsi" w:hAnsiTheme="majorHAnsi"/>
                <w:bCs/>
                <w:sz w:val="20"/>
                <w:szCs w:val="20"/>
                <w:lang w:val="es-PA"/>
              </w:rPr>
              <w:t>Julián Portela</w:t>
            </w:r>
            <w:r w:rsidR="00F5759A">
              <w:rPr>
                <w:rFonts w:asciiTheme="majorHAnsi" w:hAnsiTheme="majorHAnsi"/>
                <w:bCs/>
                <w:sz w:val="20"/>
                <w:szCs w:val="20"/>
                <w:lang w:val="es-PA"/>
              </w:rPr>
              <w:t xml:space="preserve"> </w:t>
            </w:r>
          </w:p>
        </w:tc>
      </w:tr>
      <w:tr w:rsidR="003239B8" w:rsidRPr="00865F79" w14:paraId="593A7E45" w14:textId="77777777" w:rsidTr="00E40792">
        <w:tc>
          <w:tcPr>
            <w:tcW w:w="3487" w:type="dxa"/>
            <w:tcBorders>
              <w:top w:val="single" w:sz="6" w:space="0" w:color="auto"/>
              <w:bottom w:val="single" w:sz="6" w:space="0" w:color="auto"/>
            </w:tcBorders>
            <w:shd w:val="clear" w:color="auto" w:fill="386294"/>
            <w:vAlign w:val="center"/>
          </w:tcPr>
          <w:p w14:paraId="0E78CA0C" w14:textId="6191E4A1" w:rsidR="003239B8" w:rsidRPr="00E40792" w:rsidRDefault="002355A9" w:rsidP="008D2290">
            <w:pPr>
              <w:jc w:val="center"/>
              <w:rPr>
                <w:rFonts w:asciiTheme="majorHAnsi" w:hAnsiTheme="majorHAnsi"/>
                <w:b/>
                <w:color w:val="FFFFFF" w:themeColor="background1"/>
                <w:sz w:val="20"/>
                <w:szCs w:val="20"/>
                <w:lang w:val="es-ES"/>
              </w:rPr>
            </w:pPr>
            <w:r w:rsidRPr="00E40792">
              <w:rPr>
                <w:rFonts w:asciiTheme="majorHAnsi" w:hAnsiTheme="majorHAnsi"/>
                <w:b/>
                <w:color w:val="FFFFFF" w:themeColor="background1"/>
                <w:sz w:val="20"/>
                <w:szCs w:val="20"/>
                <w:lang w:val="es-ES"/>
              </w:rPr>
              <w:t>Presunta víctima</w:t>
            </w:r>
          </w:p>
        </w:tc>
        <w:tc>
          <w:tcPr>
            <w:tcW w:w="5873" w:type="dxa"/>
            <w:vAlign w:val="center"/>
          </w:tcPr>
          <w:p w14:paraId="4AEBF59E" w14:textId="0D428571" w:rsidR="003239B8" w:rsidRPr="007C1BCC" w:rsidRDefault="005D5FCE" w:rsidP="005B6D22">
            <w:pPr>
              <w:jc w:val="both"/>
              <w:rPr>
                <w:rFonts w:asciiTheme="majorHAnsi" w:hAnsiTheme="majorHAnsi"/>
                <w:bCs/>
                <w:sz w:val="20"/>
                <w:szCs w:val="20"/>
                <w:highlight w:val="yellow"/>
                <w:lang w:val="es-ES"/>
              </w:rPr>
            </w:pPr>
            <w:r w:rsidRPr="00F43DEF">
              <w:rPr>
                <w:rFonts w:asciiTheme="majorHAnsi" w:hAnsiTheme="majorHAnsi"/>
                <w:bCs/>
                <w:sz w:val="20"/>
                <w:szCs w:val="20"/>
                <w:lang w:val="es-ES"/>
              </w:rPr>
              <w:t>Familiares de Carlos Arancibia</w:t>
            </w:r>
            <w:r w:rsidR="0073396C" w:rsidRPr="00F43DEF">
              <w:rPr>
                <w:rStyle w:val="FootnoteReference"/>
                <w:rFonts w:asciiTheme="majorHAnsi" w:hAnsiTheme="majorHAnsi"/>
                <w:bCs/>
                <w:sz w:val="20"/>
                <w:szCs w:val="20"/>
                <w:lang w:val="es-ES"/>
              </w:rPr>
              <w:footnoteReference w:id="2"/>
            </w:r>
            <w:r w:rsidR="00CD232B" w:rsidRPr="00F43DEF">
              <w:rPr>
                <w:rFonts w:asciiTheme="majorHAnsi" w:hAnsiTheme="majorHAnsi"/>
                <w:bCs/>
                <w:sz w:val="20"/>
                <w:szCs w:val="20"/>
                <w:lang w:val="es-ES"/>
              </w:rPr>
              <w:t xml:space="preserve"> </w:t>
            </w:r>
          </w:p>
        </w:tc>
      </w:tr>
      <w:tr w:rsidR="003239B8" w:rsidRPr="00E40792" w14:paraId="3E62E1D3" w14:textId="77777777" w:rsidTr="00E40792">
        <w:tc>
          <w:tcPr>
            <w:tcW w:w="3487" w:type="dxa"/>
            <w:tcBorders>
              <w:top w:val="single" w:sz="6" w:space="0" w:color="auto"/>
              <w:bottom w:val="single" w:sz="6" w:space="0" w:color="auto"/>
            </w:tcBorders>
            <w:shd w:val="clear" w:color="auto" w:fill="386294"/>
            <w:vAlign w:val="center"/>
          </w:tcPr>
          <w:p w14:paraId="340B0F09" w14:textId="16C11299" w:rsidR="003239B8" w:rsidRPr="00E40792" w:rsidRDefault="00D77503" w:rsidP="008D2290">
            <w:pPr>
              <w:jc w:val="center"/>
              <w:rPr>
                <w:rFonts w:asciiTheme="majorHAnsi" w:hAnsiTheme="majorHAnsi"/>
                <w:b/>
                <w:color w:val="FFFFFF" w:themeColor="background1"/>
                <w:sz w:val="20"/>
                <w:szCs w:val="20"/>
                <w:lang w:val="es-ES"/>
              </w:rPr>
            </w:pPr>
            <w:r w:rsidRPr="00E40792">
              <w:rPr>
                <w:rFonts w:asciiTheme="majorHAnsi" w:hAnsiTheme="majorHAnsi"/>
                <w:b/>
                <w:color w:val="FFFFFF" w:themeColor="background1"/>
                <w:sz w:val="20"/>
                <w:szCs w:val="20"/>
                <w:lang w:val="es-ES"/>
              </w:rPr>
              <w:t>Estado denunciado</w:t>
            </w:r>
          </w:p>
        </w:tc>
        <w:tc>
          <w:tcPr>
            <w:tcW w:w="5873" w:type="dxa"/>
            <w:vAlign w:val="center"/>
          </w:tcPr>
          <w:p w14:paraId="274C8A50" w14:textId="364C85B2" w:rsidR="003239B8" w:rsidRPr="00E40792" w:rsidRDefault="00026DF5" w:rsidP="008D2290">
            <w:pPr>
              <w:jc w:val="both"/>
              <w:rPr>
                <w:rFonts w:asciiTheme="majorHAnsi" w:hAnsiTheme="majorHAnsi"/>
                <w:bCs/>
                <w:sz w:val="20"/>
                <w:szCs w:val="20"/>
                <w:lang w:val="es-ES"/>
              </w:rPr>
            </w:pPr>
            <w:r>
              <w:rPr>
                <w:rFonts w:asciiTheme="majorHAnsi" w:hAnsiTheme="majorHAnsi"/>
                <w:bCs/>
                <w:sz w:val="20"/>
                <w:szCs w:val="20"/>
                <w:lang w:val="es-ES"/>
              </w:rPr>
              <w:t>Argentina</w:t>
            </w:r>
          </w:p>
        </w:tc>
      </w:tr>
      <w:tr w:rsidR="00223A29" w:rsidRPr="004C1EC8" w14:paraId="632511BC" w14:textId="77777777" w:rsidTr="00333A9E">
        <w:trPr>
          <w:trHeight w:val="408"/>
        </w:trPr>
        <w:tc>
          <w:tcPr>
            <w:tcW w:w="3487" w:type="dxa"/>
            <w:tcBorders>
              <w:top w:val="single" w:sz="6" w:space="0" w:color="auto"/>
              <w:bottom w:val="single" w:sz="6" w:space="0" w:color="auto"/>
            </w:tcBorders>
            <w:shd w:val="clear" w:color="auto" w:fill="386294"/>
            <w:vAlign w:val="center"/>
          </w:tcPr>
          <w:p w14:paraId="727E2F6B" w14:textId="1D86EADA" w:rsidR="00223A29" w:rsidRPr="00E40792" w:rsidRDefault="001B3A00" w:rsidP="00E4118C">
            <w:pPr>
              <w:jc w:val="center"/>
              <w:rPr>
                <w:rFonts w:asciiTheme="majorHAnsi" w:hAnsiTheme="majorHAnsi"/>
                <w:b/>
                <w:color w:val="FFFFFF" w:themeColor="background1"/>
                <w:sz w:val="20"/>
                <w:szCs w:val="20"/>
                <w:lang w:val="es-ES"/>
              </w:rPr>
            </w:pPr>
            <w:r w:rsidRPr="00E40792">
              <w:rPr>
                <w:rFonts w:asciiTheme="majorHAnsi" w:hAnsiTheme="majorHAnsi"/>
                <w:b/>
                <w:color w:val="FFFFFF" w:themeColor="background1"/>
                <w:sz w:val="20"/>
                <w:szCs w:val="20"/>
                <w:lang w:val="es-ES"/>
              </w:rPr>
              <w:t xml:space="preserve">Derechos </w:t>
            </w:r>
            <w:r w:rsidR="00E4118C" w:rsidRPr="00E40792">
              <w:rPr>
                <w:rFonts w:asciiTheme="majorHAnsi" w:hAnsiTheme="majorHAnsi"/>
                <w:b/>
                <w:color w:val="FFFFFF" w:themeColor="background1"/>
                <w:sz w:val="20"/>
                <w:szCs w:val="20"/>
                <w:lang w:val="es-ES"/>
              </w:rPr>
              <w:t>invocados</w:t>
            </w:r>
          </w:p>
        </w:tc>
        <w:tc>
          <w:tcPr>
            <w:tcW w:w="5873" w:type="dxa"/>
            <w:vAlign w:val="center"/>
          </w:tcPr>
          <w:p w14:paraId="6DEE1EEB" w14:textId="794A0260" w:rsidR="00223A29" w:rsidRPr="00E40792" w:rsidRDefault="00591A96" w:rsidP="0034224A">
            <w:pPr>
              <w:jc w:val="both"/>
              <w:rPr>
                <w:rFonts w:asciiTheme="majorHAnsi" w:hAnsiTheme="majorHAnsi"/>
                <w:bCs/>
                <w:sz w:val="20"/>
                <w:szCs w:val="20"/>
                <w:lang w:val="es-ES"/>
              </w:rPr>
            </w:pPr>
            <w:r>
              <w:rPr>
                <w:rFonts w:asciiTheme="majorHAnsi" w:hAnsiTheme="majorHAnsi"/>
                <w:bCs/>
                <w:sz w:val="20"/>
                <w:szCs w:val="20"/>
                <w:lang w:val="es-PA"/>
              </w:rPr>
              <w:t xml:space="preserve">La petición no </w:t>
            </w:r>
            <w:r w:rsidR="00BC7A41">
              <w:rPr>
                <w:rFonts w:asciiTheme="majorHAnsi" w:hAnsiTheme="majorHAnsi"/>
                <w:bCs/>
                <w:sz w:val="20"/>
                <w:szCs w:val="20"/>
                <w:lang w:val="es-PA"/>
              </w:rPr>
              <w:t>especifica</w:t>
            </w:r>
            <w:r w:rsidR="00724340">
              <w:rPr>
                <w:rFonts w:asciiTheme="majorHAnsi" w:hAnsiTheme="majorHAnsi"/>
                <w:bCs/>
                <w:sz w:val="20"/>
                <w:szCs w:val="20"/>
                <w:lang w:val="es-PA"/>
              </w:rPr>
              <w:t xml:space="preserve"> ningún artículo o </w:t>
            </w:r>
            <w:r w:rsidR="004C1EC8">
              <w:rPr>
                <w:rFonts w:asciiTheme="majorHAnsi" w:hAnsiTheme="majorHAnsi"/>
                <w:bCs/>
                <w:sz w:val="20"/>
                <w:szCs w:val="20"/>
                <w:lang w:val="es-PA"/>
              </w:rPr>
              <w:t>instrumento,</w:t>
            </w:r>
            <w:r w:rsidR="00724340">
              <w:rPr>
                <w:rFonts w:asciiTheme="majorHAnsi" w:hAnsiTheme="majorHAnsi"/>
                <w:bCs/>
                <w:sz w:val="20"/>
                <w:szCs w:val="20"/>
                <w:lang w:val="es-PA"/>
              </w:rPr>
              <w:t xml:space="preserve"> pero denuncia violaciones a los derechos de “acceso a la justicia, tutela judicial efectiva, igualdad de oportunidades, debido proceso, derecho de defensa, derecho al trabajo, entre tantos otros”</w:t>
            </w:r>
          </w:p>
        </w:tc>
      </w:tr>
    </w:tbl>
    <w:p w14:paraId="20263696" w14:textId="4C873868" w:rsidR="003239B8" w:rsidRPr="00E40792" w:rsidRDefault="002636E9" w:rsidP="007C402A">
      <w:pPr>
        <w:spacing w:before="120" w:after="120"/>
        <w:ind w:firstLine="720"/>
        <w:jc w:val="both"/>
        <w:rPr>
          <w:rFonts w:asciiTheme="majorHAnsi" w:hAnsiTheme="majorHAnsi"/>
          <w:b/>
          <w:bCs/>
          <w:sz w:val="20"/>
          <w:szCs w:val="20"/>
          <w:lang w:val="es-ES"/>
        </w:rPr>
      </w:pPr>
      <w:r w:rsidRPr="00E40792">
        <w:rPr>
          <w:rFonts w:asciiTheme="majorHAnsi" w:hAnsiTheme="majorHAnsi"/>
          <w:b/>
          <w:bCs/>
          <w:sz w:val="20"/>
          <w:szCs w:val="20"/>
          <w:lang w:val="es-ES"/>
        </w:rPr>
        <w:t xml:space="preserve"> </w:t>
      </w:r>
      <w:r w:rsidR="003239B8" w:rsidRPr="00E40792">
        <w:rPr>
          <w:rFonts w:asciiTheme="majorHAnsi" w:hAnsiTheme="majorHAnsi"/>
          <w:b/>
          <w:bCs/>
          <w:sz w:val="20"/>
          <w:szCs w:val="20"/>
          <w:lang w:val="es-ES"/>
        </w:rPr>
        <w:t>II.</w:t>
      </w:r>
      <w:r w:rsidR="003239B8" w:rsidRPr="00E40792">
        <w:rPr>
          <w:rFonts w:asciiTheme="majorHAnsi" w:hAnsiTheme="majorHAnsi"/>
          <w:b/>
          <w:bCs/>
          <w:sz w:val="20"/>
          <w:szCs w:val="20"/>
          <w:lang w:val="es-ES"/>
        </w:rPr>
        <w:tab/>
        <w:t>TRÁMITE ANTE LA CIDH</w:t>
      </w:r>
      <w:r w:rsidR="008E3BFE" w:rsidRPr="00E40792">
        <w:rPr>
          <w:rStyle w:val="FootnoteReference"/>
          <w:rFonts w:asciiTheme="majorHAnsi" w:hAnsiTheme="majorHAnsi"/>
          <w:b/>
          <w:sz w:val="20"/>
          <w:szCs w:val="20"/>
          <w:lang w:val="es-ES"/>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487"/>
        <w:gridCol w:w="5873"/>
      </w:tblGrid>
      <w:tr w:rsidR="004C2312" w:rsidRPr="00E40792" w14:paraId="306EFCB0" w14:textId="77777777" w:rsidTr="00E40792">
        <w:tc>
          <w:tcPr>
            <w:tcW w:w="3487" w:type="dxa"/>
            <w:tcBorders>
              <w:top w:val="single" w:sz="6" w:space="0" w:color="auto"/>
              <w:bottom w:val="single" w:sz="6" w:space="0" w:color="auto"/>
            </w:tcBorders>
            <w:shd w:val="clear" w:color="auto" w:fill="386294"/>
            <w:vAlign w:val="center"/>
          </w:tcPr>
          <w:p w14:paraId="7508D16F" w14:textId="2A4C7FC3" w:rsidR="004C2312" w:rsidRPr="00E40792" w:rsidRDefault="000C1C69" w:rsidP="004A6A54">
            <w:pPr>
              <w:jc w:val="center"/>
              <w:rPr>
                <w:rFonts w:asciiTheme="majorHAnsi" w:hAnsiTheme="majorHAnsi"/>
                <w:b/>
                <w:color w:val="FFFFFF" w:themeColor="background1"/>
                <w:sz w:val="20"/>
                <w:szCs w:val="20"/>
                <w:lang w:val="es-ES"/>
              </w:rPr>
            </w:pPr>
            <w:r w:rsidRPr="00E40792">
              <w:rPr>
                <w:rFonts w:asciiTheme="majorHAnsi" w:hAnsiTheme="majorHAnsi"/>
                <w:b/>
                <w:color w:val="FFFFFF" w:themeColor="background1"/>
                <w:sz w:val="20"/>
                <w:szCs w:val="20"/>
                <w:lang w:val="es-ES"/>
              </w:rPr>
              <w:t>Recepción</w:t>
            </w:r>
            <w:r w:rsidR="00D77503" w:rsidRPr="00E40792">
              <w:rPr>
                <w:rFonts w:asciiTheme="majorHAnsi" w:hAnsiTheme="majorHAnsi"/>
                <w:b/>
                <w:color w:val="FFFFFF" w:themeColor="background1"/>
                <w:sz w:val="20"/>
                <w:szCs w:val="20"/>
                <w:lang w:val="es-ES"/>
              </w:rPr>
              <w:t xml:space="preserve"> de la petición</w:t>
            </w:r>
          </w:p>
        </w:tc>
        <w:tc>
          <w:tcPr>
            <w:tcW w:w="5873" w:type="dxa"/>
            <w:vAlign w:val="center"/>
          </w:tcPr>
          <w:p w14:paraId="6E579153" w14:textId="504468CA" w:rsidR="004C2312" w:rsidRPr="00E40792" w:rsidRDefault="00724340" w:rsidP="002625EA">
            <w:pPr>
              <w:jc w:val="both"/>
              <w:rPr>
                <w:rFonts w:asciiTheme="majorHAnsi" w:hAnsiTheme="majorHAnsi"/>
                <w:bCs/>
                <w:sz w:val="20"/>
                <w:szCs w:val="20"/>
                <w:lang w:val="es-ES"/>
              </w:rPr>
            </w:pPr>
            <w:r>
              <w:rPr>
                <w:rFonts w:asciiTheme="majorHAnsi" w:hAnsiTheme="majorHAnsi"/>
                <w:bCs/>
                <w:sz w:val="20"/>
                <w:szCs w:val="20"/>
                <w:lang w:val="es-ES"/>
              </w:rPr>
              <w:t>21 de enero de 2015</w:t>
            </w:r>
            <w:r w:rsidR="002636E9" w:rsidRPr="00E40792">
              <w:rPr>
                <w:rFonts w:asciiTheme="majorHAnsi" w:hAnsiTheme="majorHAnsi"/>
                <w:bCs/>
                <w:sz w:val="20"/>
                <w:szCs w:val="20"/>
                <w:lang w:val="es-ES"/>
              </w:rPr>
              <w:t xml:space="preserve"> </w:t>
            </w:r>
          </w:p>
        </w:tc>
      </w:tr>
      <w:tr w:rsidR="006E772A" w:rsidRPr="0073396C" w14:paraId="68F509DA" w14:textId="77777777" w:rsidTr="00E40792">
        <w:tc>
          <w:tcPr>
            <w:tcW w:w="3487" w:type="dxa"/>
            <w:tcBorders>
              <w:top w:val="single" w:sz="6" w:space="0" w:color="auto"/>
              <w:bottom w:val="single" w:sz="6" w:space="0" w:color="auto"/>
            </w:tcBorders>
            <w:shd w:val="clear" w:color="auto" w:fill="386294"/>
            <w:vAlign w:val="center"/>
          </w:tcPr>
          <w:p w14:paraId="62C9F91B" w14:textId="65F3AB1A" w:rsidR="006E772A" w:rsidRPr="00E40792" w:rsidRDefault="006E772A" w:rsidP="004A6A54">
            <w:pPr>
              <w:jc w:val="center"/>
              <w:rPr>
                <w:rFonts w:asciiTheme="majorHAnsi" w:hAnsiTheme="majorHAnsi"/>
                <w:b/>
                <w:color w:val="FFFFFF" w:themeColor="background1"/>
                <w:sz w:val="20"/>
                <w:szCs w:val="20"/>
                <w:lang w:val="es-ES"/>
              </w:rPr>
            </w:pPr>
            <w:r w:rsidRPr="00E40792">
              <w:rPr>
                <w:rFonts w:asciiTheme="majorHAnsi" w:hAnsiTheme="majorHAnsi"/>
                <w:b/>
                <w:color w:val="FFFFFF" w:themeColor="background1"/>
                <w:sz w:val="20"/>
                <w:szCs w:val="20"/>
                <w:lang w:val="es-ES"/>
              </w:rPr>
              <w:t xml:space="preserve">Información adicional </w:t>
            </w:r>
            <w:r w:rsidR="002355A9" w:rsidRPr="00E40792">
              <w:rPr>
                <w:rFonts w:asciiTheme="majorHAnsi" w:hAnsiTheme="majorHAnsi"/>
                <w:b/>
                <w:color w:val="FFFFFF" w:themeColor="background1"/>
                <w:sz w:val="20"/>
                <w:szCs w:val="20"/>
                <w:lang w:val="es-ES"/>
              </w:rPr>
              <w:t>recibida en la etapa de estudio</w:t>
            </w:r>
          </w:p>
        </w:tc>
        <w:tc>
          <w:tcPr>
            <w:tcW w:w="5873" w:type="dxa"/>
            <w:vAlign w:val="center"/>
          </w:tcPr>
          <w:p w14:paraId="796669C8" w14:textId="7655BA94" w:rsidR="006E772A" w:rsidRPr="00E40792" w:rsidRDefault="00724340" w:rsidP="002625EA">
            <w:pPr>
              <w:jc w:val="both"/>
              <w:rPr>
                <w:rFonts w:asciiTheme="majorHAnsi" w:hAnsiTheme="majorHAnsi"/>
                <w:bCs/>
                <w:sz w:val="20"/>
                <w:szCs w:val="20"/>
                <w:lang w:val="es-ES"/>
              </w:rPr>
            </w:pPr>
            <w:r>
              <w:rPr>
                <w:rFonts w:asciiTheme="majorHAnsi" w:hAnsiTheme="majorHAnsi"/>
                <w:bCs/>
                <w:sz w:val="20"/>
                <w:szCs w:val="20"/>
                <w:lang w:val="es-ES"/>
              </w:rPr>
              <w:t>3 de noviembre de 2015</w:t>
            </w:r>
          </w:p>
        </w:tc>
      </w:tr>
      <w:tr w:rsidR="004C2312" w:rsidRPr="00E40792" w14:paraId="1BDCD5C6" w14:textId="77777777" w:rsidTr="00E40792">
        <w:tc>
          <w:tcPr>
            <w:tcW w:w="3487" w:type="dxa"/>
            <w:tcBorders>
              <w:top w:val="single" w:sz="6" w:space="0" w:color="auto"/>
              <w:bottom w:val="single" w:sz="6" w:space="0" w:color="auto"/>
            </w:tcBorders>
            <w:shd w:val="clear" w:color="auto" w:fill="386294"/>
            <w:vAlign w:val="center"/>
          </w:tcPr>
          <w:p w14:paraId="7A18664F" w14:textId="53CE1B14" w:rsidR="004C2312" w:rsidRPr="00E40792" w:rsidRDefault="004A6A54" w:rsidP="000C1C69">
            <w:pPr>
              <w:jc w:val="center"/>
              <w:rPr>
                <w:rFonts w:asciiTheme="majorHAnsi" w:hAnsiTheme="majorHAnsi"/>
                <w:b/>
                <w:color w:val="FFFFFF" w:themeColor="background1"/>
                <w:sz w:val="20"/>
                <w:szCs w:val="20"/>
                <w:lang w:val="es-ES"/>
              </w:rPr>
            </w:pPr>
            <w:r w:rsidRPr="00E40792">
              <w:rPr>
                <w:rFonts w:asciiTheme="majorHAnsi" w:hAnsiTheme="majorHAnsi"/>
                <w:b/>
                <w:color w:val="FFFFFF" w:themeColor="background1"/>
                <w:sz w:val="20"/>
                <w:szCs w:val="20"/>
                <w:lang w:val="es-ES"/>
              </w:rPr>
              <w:t>N</w:t>
            </w:r>
            <w:r w:rsidR="004C2312" w:rsidRPr="00E40792">
              <w:rPr>
                <w:rFonts w:asciiTheme="majorHAnsi" w:hAnsiTheme="majorHAnsi"/>
                <w:b/>
                <w:color w:val="FFFFFF" w:themeColor="background1"/>
                <w:sz w:val="20"/>
                <w:szCs w:val="20"/>
                <w:lang w:val="es-ES"/>
              </w:rPr>
              <w:t>otificación de la petición</w:t>
            </w:r>
          </w:p>
        </w:tc>
        <w:tc>
          <w:tcPr>
            <w:tcW w:w="5873" w:type="dxa"/>
            <w:vAlign w:val="center"/>
          </w:tcPr>
          <w:p w14:paraId="1519DA6A" w14:textId="3BED87C4" w:rsidR="004C2312" w:rsidRPr="00E40792" w:rsidRDefault="00724340" w:rsidP="008D2290">
            <w:pPr>
              <w:jc w:val="both"/>
              <w:rPr>
                <w:rFonts w:asciiTheme="majorHAnsi" w:hAnsiTheme="majorHAnsi"/>
                <w:bCs/>
                <w:sz w:val="20"/>
                <w:szCs w:val="20"/>
                <w:lang w:val="es-ES"/>
              </w:rPr>
            </w:pPr>
            <w:r>
              <w:rPr>
                <w:rFonts w:asciiTheme="majorHAnsi" w:hAnsiTheme="majorHAnsi"/>
                <w:bCs/>
                <w:sz w:val="20"/>
                <w:szCs w:val="20"/>
                <w:lang w:val="es-ES"/>
              </w:rPr>
              <w:t>1 de agosto de 2019</w:t>
            </w:r>
          </w:p>
        </w:tc>
      </w:tr>
      <w:tr w:rsidR="00F06354" w:rsidRPr="00E40792" w14:paraId="6147A8D5" w14:textId="77777777" w:rsidTr="00E40792">
        <w:tc>
          <w:tcPr>
            <w:tcW w:w="3487" w:type="dxa"/>
            <w:tcBorders>
              <w:top w:val="single" w:sz="6" w:space="0" w:color="auto"/>
              <w:bottom w:val="single" w:sz="6" w:space="0" w:color="auto"/>
            </w:tcBorders>
            <w:shd w:val="clear" w:color="auto" w:fill="386294"/>
            <w:vAlign w:val="center"/>
          </w:tcPr>
          <w:p w14:paraId="0201C86D" w14:textId="678B514E" w:rsidR="00F06354" w:rsidRPr="00E40792" w:rsidRDefault="00D77503" w:rsidP="00F06354">
            <w:pPr>
              <w:jc w:val="center"/>
              <w:rPr>
                <w:rFonts w:asciiTheme="majorHAnsi" w:hAnsiTheme="majorHAnsi"/>
                <w:b/>
                <w:color w:val="FFFFFF" w:themeColor="background1"/>
                <w:sz w:val="20"/>
                <w:szCs w:val="20"/>
                <w:lang w:val="es-ES"/>
              </w:rPr>
            </w:pPr>
            <w:r w:rsidRPr="00E40792">
              <w:rPr>
                <w:rFonts w:asciiTheme="majorHAnsi" w:hAnsiTheme="majorHAnsi"/>
                <w:b/>
                <w:color w:val="FFFFFF" w:themeColor="background1"/>
                <w:sz w:val="20"/>
                <w:szCs w:val="20"/>
                <w:lang w:val="es-ES"/>
              </w:rPr>
              <w:t>Primera respuesta del Estado</w:t>
            </w:r>
          </w:p>
        </w:tc>
        <w:tc>
          <w:tcPr>
            <w:tcW w:w="5873" w:type="dxa"/>
            <w:vAlign w:val="center"/>
          </w:tcPr>
          <w:p w14:paraId="1972B99E" w14:textId="152BEAFC" w:rsidR="00F06354" w:rsidRPr="00E40792" w:rsidRDefault="0002595D" w:rsidP="00F06354">
            <w:pPr>
              <w:jc w:val="both"/>
              <w:rPr>
                <w:rFonts w:asciiTheme="majorHAnsi" w:hAnsiTheme="majorHAnsi"/>
                <w:bCs/>
                <w:sz w:val="20"/>
                <w:szCs w:val="20"/>
                <w:lang w:val="es-ES"/>
              </w:rPr>
            </w:pPr>
            <w:r>
              <w:rPr>
                <w:rFonts w:asciiTheme="majorHAnsi" w:hAnsiTheme="majorHAnsi"/>
                <w:bCs/>
                <w:sz w:val="20"/>
                <w:szCs w:val="20"/>
                <w:lang w:val="es-ES"/>
              </w:rPr>
              <w:t>6 de diciembre de 2019</w:t>
            </w:r>
          </w:p>
        </w:tc>
      </w:tr>
      <w:tr w:rsidR="001C0932" w:rsidRPr="004C1EC8" w14:paraId="67850AB8" w14:textId="77777777" w:rsidTr="00E40792">
        <w:tc>
          <w:tcPr>
            <w:tcW w:w="3487" w:type="dxa"/>
            <w:tcBorders>
              <w:top w:val="single" w:sz="6" w:space="0" w:color="auto"/>
              <w:bottom w:val="single" w:sz="6" w:space="0" w:color="auto"/>
            </w:tcBorders>
            <w:shd w:val="clear" w:color="auto" w:fill="386294"/>
            <w:vAlign w:val="center"/>
          </w:tcPr>
          <w:p w14:paraId="5CC0A955" w14:textId="4680A8B5" w:rsidR="001C0932" w:rsidRPr="00E40792" w:rsidRDefault="001C0932" w:rsidP="00F06354">
            <w:pPr>
              <w:jc w:val="center"/>
              <w:rPr>
                <w:rFonts w:asciiTheme="majorHAnsi" w:hAnsiTheme="majorHAnsi"/>
                <w:b/>
                <w:color w:val="FFFFFF" w:themeColor="background1"/>
                <w:sz w:val="20"/>
                <w:szCs w:val="20"/>
                <w:lang w:val="es-ES"/>
              </w:rPr>
            </w:pPr>
            <w:r>
              <w:rPr>
                <w:rFonts w:asciiTheme="majorHAnsi" w:hAnsiTheme="majorHAnsi"/>
                <w:b/>
                <w:color w:val="FFFFFF" w:themeColor="background1"/>
                <w:sz w:val="20"/>
                <w:szCs w:val="20"/>
                <w:lang w:val="es-ES"/>
              </w:rPr>
              <w:t>Observaciones adicionales de la parte peticionaria</w:t>
            </w:r>
          </w:p>
        </w:tc>
        <w:tc>
          <w:tcPr>
            <w:tcW w:w="5873" w:type="dxa"/>
            <w:vAlign w:val="center"/>
          </w:tcPr>
          <w:p w14:paraId="662D00D0" w14:textId="35E6483D" w:rsidR="001C0932" w:rsidRDefault="0002595D" w:rsidP="00F06354">
            <w:pPr>
              <w:jc w:val="both"/>
              <w:rPr>
                <w:rFonts w:asciiTheme="majorHAnsi" w:hAnsiTheme="majorHAnsi"/>
                <w:bCs/>
                <w:sz w:val="20"/>
                <w:szCs w:val="20"/>
                <w:lang w:val="es-ES"/>
              </w:rPr>
            </w:pPr>
            <w:r>
              <w:rPr>
                <w:rFonts w:asciiTheme="majorHAnsi" w:hAnsiTheme="majorHAnsi"/>
                <w:bCs/>
                <w:sz w:val="20"/>
                <w:szCs w:val="20"/>
                <w:lang w:val="es-ES"/>
              </w:rPr>
              <w:t xml:space="preserve">25 de febrero </w:t>
            </w:r>
            <w:r w:rsidR="0026181B">
              <w:rPr>
                <w:rFonts w:asciiTheme="majorHAnsi" w:hAnsiTheme="majorHAnsi"/>
                <w:bCs/>
                <w:sz w:val="20"/>
                <w:szCs w:val="20"/>
                <w:lang w:val="es-ES"/>
              </w:rPr>
              <w:t xml:space="preserve">y 17 </w:t>
            </w:r>
            <w:r>
              <w:rPr>
                <w:rFonts w:asciiTheme="majorHAnsi" w:hAnsiTheme="majorHAnsi"/>
                <w:bCs/>
                <w:sz w:val="20"/>
                <w:szCs w:val="20"/>
                <w:lang w:val="es-ES"/>
              </w:rPr>
              <w:t>de</w:t>
            </w:r>
            <w:r w:rsidR="0026181B">
              <w:rPr>
                <w:rFonts w:asciiTheme="majorHAnsi" w:hAnsiTheme="majorHAnsi"/>
                <w:bCs/>
                <w:sz w:val="20"/>
                <w:szCs w:val="20"/>
                <w:lang w:val="es-ES"/>
              </w:rPr>
              <w:t xml:space="preserve"> agosto</w:t>
            </w:r>
            <w:r>
              <w:rPr>
                <w:rFonts w:asciiTheme="majorHAnsi" w:hAnsiTheme="majorHAnsi"/>
                <w:bCs/>
                <w:sz w:val="20"/>
                <w:szCs w:val="20"/>
                <w:lang w:val="es-ES"/>
              </w:rPr>
              <w:t xml:space="preserve"> 2021</w:t>
            </w:r>
            <w:r w:rsidR="0026181B">
              <w:rPr>
                <w:rFonts w:asciiTheme="majorHAnsi" w:hAnsiTheme="majorHAnsi"/>
                <w:bCs/>
                <w:sz w:val="20"/>
                <w:szCs w:val="20"/>
                <w:lang w:val="es-ES"/>
              </w:rPr>
              <w:t xml:space="preserve"> </w:t>
            </w:r>
          </w:p>
        </w:tc>
      </w:tr>
      <w:tr w:rsidR="001C0932" w:rsidRPr="004C1EC8" w14:paraId="37B5DEFA" w14:textId="77777777" w:rsidTr="00E40792">
        <w:tc>
          <w:tcPr>
            <w:tcW w:w="3487" w:type="dxa"/>
            <w:tcBorders>
              <w:top w:val="single" w:sz="6" w:space="0" w:color="auto"/>
              <w:bottom w:val="single" w:sz="6" w:space="0" w:color="auto"/>
            </w:tcBorders>
            <w:shd w:val="clear" w:color="auto" w:fill="386294"/>
            <w:vAlign w:val="center"/>
          </w:tcPr>
          <w:p w14:paraId="4D1A0D12" w14:textId="49A127CC" w:rsidR="001C0932" w:rsidRDefault="001C0932" w:rsidP="00F06354">
            <w:pPr>
              <w:jc w:val="center"/>
              <w:rPr>
                <w:rFonts w:asciiTheme="majorHAnsi" w:hAnsiTheme="majorHAnsi"/>
                <w:b/>
                <w:color w:val="FFFFFF" w:themeColor="background1"/>
                <w:sz w:val="20"/>
                <w:szCs w:val="20"/>
                <w:lang w:val="es-ES"/>
              </w:rPr>
            </w:pPr>
            <w:r>
              <w:rPr>
                <w:rFonts w:asciiTheme="majorHAnsi" w:hAnsiTheme="majorHAnsi"/>
                <w:b/>
                <w:color w:val="FFFFFF" w:themeColor="background1"/>
                <w:sz w:val="20"/>
                <w:szCs w:val="20"/>
                <w:lang w:val="es-ES"/>
              </w:rPr>
              <w:t>Observaciones adicionales del Estado</w:t>
            </w:r>
          </w:p>
        </w:tc>
        <w:tc>
          <w:tcPr>
            <w:tcW w:w="5873" w:type="dxa"/>
            <w:vAlign w:val="center"/>
          </w:tcPr>
          <w:p w14:paraId="7B744CDE" w14:textId="2F68980E" w:rsidR="001C0932" w:rsidRDefault="0002595D" w:rsidP="00F06354">
            <w:pPr>
              <w:jc w:val="both"/>
              <w:rPr>
                <w:rFonts w:asciiTheme="majorHAnsi" w:hAnsiTheme="majorHAnsi"/>
                <w:bCs/>
                <w:sz w:val="20"/>
                <w:szCs w:val="20"/>
                <w:lang w:val="es-ES"/>
              </w:rPr>
            </w:pPr>
            <w:r>
              <w:rPr>
                <w:rFonts w:asciiTheme="majorHAnsi" w:hAnsiTheme="majorHAnsi"/>
                <w:bCs/>
                <w:sz w:val="20"/>
                <w:szCs w:val="20"/>
                <w:lang w:val="es-ES"/>
              </w:rPr>
              <w:t>19 de mayo de 2021</w:t>
            </w:r>
            <w:r w:rsidR="00F354BA">
              <w:rPr>
                <w:rFonts w:asciiTheme="majorHAnsi" w:hAnsiTheme="majorHAnsi"/>
                <w:bCs/>
                <w:sz w:val="20"/>
                <w:szCs w:val="20"/>
                <w:lang w:val="es-ES"/>
              </w:rPr>
              <w:t xml:space="preserve"> y 15 de marzo de 2022</w:t>
            </w:r>
          </w:p>
        </w:tc>
      </w:tr>
    </w:tbl>
    <w:p w14:paraId="21DAA666" w14:textId="5065046E" w:rsidR="003239B8" w:rsidRPr="00E40792" w:rsidRDefault="003239B8" w:rsidP="007C402A">
      <w:pPr>
        <w:spacing w:before="120" w:after="120"/>
        <w:ind w:firstLine="720"/>
        <w:jc w:val="both"/>
        <w:rPr>
          <w:rFonts w:asciiTheme="majorHAnsi" w:hAnsiTheme="majorHAnsi"/>
          <w:b/>
          <w:bCs/>
          <w:sz w:val="20"/>
          <w:szCs w:val="20"/>
          <w:lang w:val="es-ES"/>
        </w:rPr>
      </w:pPr>
      <w:r w:rsidRPr="00E40792">
        <w:rPr>
          <w:rFonts w:asciiTheme="majorHAnsi" w:hAnsiTheme="majorHAnsi"/>
          <w:b/>
          <w:bCs/>
          <w:sz w:val="20"/>
          <w:szCs w:val="20"/>
          <w:lang w:val="es-ES"/>
        </w:rPr>
        <w:t xml:space="preserve">III. </w:t>
      </w:r>
      <w:r w:rsidRPr="00E40792">
        <w:rPr>
          <w:rFonts w:asciiTheme="majorHAnsi" w:hAnsiTheme="majorHAnsi"/>
          <w:b/>
          <w:bCs/>
          <w:sz w:val="20"/>
          <w:szCs w:val="20"/>
          <w:lang w:val="es-ES"/>
        </w:rPr>
        <w:tab/>
        <w:t>COMPETENCIA</w:t>
      </w:r>
      <w:r w:rsidR="00EE00E9" w:rsidRPr="00E40792">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487"/>
        <w:gridCol w:w="5850"/>
      </w:tblGrid>
      <w:tr w:rsidR="003239B8" w:rsidRPr="00E40792" w14:paraId="072532AD" w14:textId="77777777" w:rsidTr="00B629F2">
        <w:trPr>
          <w:cantSplit/>
        </w:trPr>
        <w:tc>
          <w:tcPr>
            <w:tcW w:w="3487" w:type="dxa"/>
            <w:tcBorders>
              <w:top w:val="single" w:sz="4" w:space="0" w:color="auto"/>
              <w:bottom w:val="single" w:sz="6" w:space="0" w:color="auto"/>
            </w:tcBorders>
            <w:shd w:val="clear" w:color="auto" w:fill="386294"/>
            <w:vAlign w:val="center"/>
          </w:tcPr>
          <w:p w14:paraId="5C2E4B34" w14:textId="7281AAF8" w:rsidR="003239B8" w:rsidRPr="00E40792" w:rsidRDefault="00D77503" w:rsidP="008D2290">
            <w:pPr>
              <w:jc w:val="center"/>
              <w:rPr>
                <w:rFonts w:asciiTheme="majorHAnsi" w:hAnsiTheme="majorHAnsi"/>
                <w:b/>
                <w:i/>
                <w:color w:val="FFFFFF" w:themeColor="background1"/>
                <w:sz w:val="20"/>
                <w:szCs w:val="20"/>
                <w:lang w:val="es-ES"/>
              </w:rPr>
            </w:pPr>
            <w:r w:rsidRPr="00E40792">
              <w:rPr>
                <w:rFonts w:asciiTheme="majorHAnsi" w:hAnsiTheme="majorHAnsi"/>
                <w:b/>
                <w:i/>
                <w:color w:val="FFFFFF" w:themeColor="background1"/>
                <w:sz w:val="20"/>
                <w:szCs w:val="20"/>
                <w:lang w:val="es-ES"/>
              </w:rPr>
              <w:t>Ratione personae</w:t>
            </w:r>
          </w:p>
        </w:tc>
        <w:tc>
          <w:tcPr>
            <w:tcW w:w="5850" w:type="dxa"/>
            <w:vAlign w:val="center"/>
          </w:tcPr>
          <w:p w14:paraId="7707F3E9" w14:textId="5413C97E" w:rsidR="003239B8" w:rsidRPr="00E40792" w:rsidRDefault="00253195" w:rsidP="008D2290">
            <w:pPr>
              <w:rPr>
                <w:rFonts w:asciiTheme="majorHAnsi" w:hAnsiTheme="majorHAnsi"/>
                <w:bCs/>
                <w:sz w:val="20"/>
                <w:szCs w:val="20"/>
                <w:lang w:val="es-ES"/>
              </w:rPr>
            </w:pPr>
            <w:r w:rsidRPr="00E40792">
              <w:rPr>
                <w:rFonts w:asciiTheme="majorHAnsi" w:hAnsiTheme="majorHAnsi"/>
                <w:bCs/>
                <w:sz w:val="20"/>
                <w:szCs w:val="20"/>
                <w:lang w:val="es-ES"/>
              </w:rPr>
              <w:t>Sí</w:t>
            </w:r>
          </w:p>
        </w:tc>
      </w:tr>
      <w:tr w:rsidR="003239B8" w:rsidRPr="00E40792" w14:paraId="4B8802DA" w14:textId="77777777" w:rsidTr="00B629F2">
        <w:trPr>
          <w:cantSplit/>
        </w:trPr>
        <w:tc>
          <w:tcPr>
            <w:tcW w:w="3487" w:type="dxa"/>
            <w:tcBorders>
              <w:top w:val="single" w:sz="6" w:space="0" w:color="auto"/>
              <w:bottom w:val="single" w:sz="6" w:space="0" w:color="auto"/>
            </w:tcBorders>
            <w:shd w:val="clear" w:color="auto" w:fill="386294"/>
            <w:vAlign w:val="center"/>
          </w:tcPr>
          <w:p w14:paraId="3915C23B" w14:textId="629F623D" w:rsidR="003239B8" w:rsidRPr="00E40792" w:rsidRDefault="003239B8" w:rsidP="00D77503">
            <w:pPr>
              <w:jc w:val="center"/>
              <w:rPr>
                <w:rFonts w:asciiTheme="majorHAnsi" w:hAnsiTheme="majorHAnsi"/>
                <w:b/>
                <w:color w:val="FFFFFF" w:themeColor="background1"/>
                <w:sz w:val="20"/>
                <w:szCs w:val="20"/>
                <w:lang w:val="es-ES"/>
              </w:rPr>
            </w:pPr>
            <w:r w:rsidRPr="00E40792">
              <w:rPr>
                <w:rFonts w:asciiTheme="majorHAnsi" w:hAnsiTheme="majorHAnsi"/>
                <w:b/>
                <w:i/>
                <w:color w:val="FFFFFF" w:themeColor="background1"/>
                <w:sz w:val="20"/>
                <w:szCs w:val="20"/>
                <w:lang w:val="es-ES"/>
              </w:rPr>
              <w:t>Ratione loci</w:t>
            </w:r>
          </w:p>
        </w:tc>
        <w:tc>
          <w:tcPr>
            <w:tcW w:w="5850" w:type="dxa"/>
            <w:vAlign w:val="center"/>
          </w:tcPr>
          <w:p w14:paraId="12C931CB" w14:textId="40C87F4E" w:rsidR="003239B8" w:rsidRPr="00E40792" w:rsidRDefault="00253195" w:rsidP="008D2290">
            <w:pPr>
              <w:rPr>
                <w:rFonts w:asciiTheme="majorHAnsi" w:hAnsiTheme="majorHAnsi"/>
                <w:bCs/>
                <w:sz w:val="20"/>
                <w:szCs w:val="20"/>
                <w:lang w:val="es-ES"/>
              </w:rPr>
            </w:pPr>
            <w:r w:rsidRPr="00E40792">
              <w:rPr>
                <w:rFonts w:asciiTheme="majorHAnsi" w:hAnsiTheme="majorHAnsi"/>
                <w:bCs/>
                <w:sz w:val="20"/>
                <w:szCs w:val="20"/>
                <w:lang w:val="es-ES"/>
              </w:rPr>
              <w:t>Sí</w:t>
            </w:r>
          </w:p>
        </w:tc>
      </w:tr>
      <w:tr w:rsidR="003239B8" w:rsidRPr="00E40792" w14:paraId="4362FDF3" w14:textId="77777777" w:rsidTr="00B629F2">
        <w:trPr>
          <w:cantSplit/>
        </w:trPr>
        <w:tc>
          <w:tcPr>
            <w:tcW w:w="3487" w:type="dxa"/>
            <w:tcBorders>
              <w:top w:val="single" w:sz="6" w:space="0" w:color="auto"/>
              <w:bottom w:val="single" w:sz="6" w:space="0" w:color="auto"/>
            </w:tcBorders>
            <w:shd w:val="clear" w:color="auto" w:fill="386294"/>
            <w:vAlign w:val="center"/>
          </w:tcPr>
          <w:p w14:paraId="3BE23153" w14:textId="1788B5D3" w:rsidR="003239B8" w:rsidRPr="00E40792" w:rsidRDefault="003239B8" w:rsidP="008D2290">
            <w:pPr>
              <w:jc w:val="center"/>
              <w:rPr>
                <w:rFonts w:asciiTheme="majorHAnsi" w:hAnsiTheme="majorHAnsi"/>
                <w:b/>
                <w:color w:val="FFFFFF" w:themeColor="background1"/>
                <w:sz w:val="20"/>
                <w:szCs w:val="20"/>
                <w:lang w:val="es-ES"/>
              </w:rPr>
            </w:pPr>
            <w:r w:rsidRPr="00E40792">
              <w:rPr>
                <w:rFonts w:asciiTheme="majorHAnsi" w:hAnsiTheme="majorHAnsi"/>
                <w:b/>
                <w:i/>
                <w:color w:val="FFFFFF" w:themeColor="background1"/>
                <w:sz w:val="20"/>
                <w:szCs w:val="20"/>
                <w:lang w:val="es-ES"/>
              </w:rPr>
              <w:t>Ratione temporis</w:t>
            </w:r>
          </w:p>
        </w:tc>
        <w:tc>
          <w:tcPr>
            <w:tcW w:w="5850" w:type="dxa"/>
            <w:vAlign w:val="center"/>
          </w:tcPr>
          <w:p w14:paraId="6F8B059B" w14:textId="3897AC54" w:rsidR="003239B8" w:rsidRPr="00E40792" w:rsidRDefault="00253195" w:rsidP="008D2290">
            <w:pPr>
              <w:rPr>
                <w:rFonts w:asciiTheme="majorHAnsi" w:hAnsiTheme="majorHAnsi"/>
                <w:bCs/>
                <w:sz w:val="20"/>
                <w:szCs w:val="20"/>
                <w:lang w:val="es-ES"/>
              </w:rPr>
            </w:pPr>
            <w:r w:rsidRPr="00E40792">
              <w:rPr>
                <w:rFonts w:asciiTheme="majorHAnsi" w:hAnsiTheme="majorHAnsi"/>
                <w:bCs/>
                <w:sz w:val="20"/>
                <w:szCs w:val="20"/>
                <w:lang w:val="es-ES"/>
              </w:rPr>
              <w:t>Sí</w:t>
            </w:r>
          </w:p>
        </w:tc>
      </w:tr>
      <w:tr w:rsidR="003239B8" w:rsidRPr="004C1EC8" w14:paraId="30ABEC3E" w14:textId="77777777" w:rsidTr="00B629F2">
        <w:trPr>
          <w:cantSplit/>
        </w:trPr>
        <w:tc>
          <w:tcPr>
            <w:tcW w:w="3487" w:type="dxa"/>
            <w:tcBorders>
              <w:top w:val="single" w:sz="6" w:space="0" w:color="auto"/>
              <w:bottom w:val="single" w:sz="6" w:space="0" w:color="auto"/>
            </w:tcBorders>
            <w:shd w:val="clear" w:color="auto" w:fill="386294"/>
            <w:vAlign w:val="center"/>
          </w:tcPr>
          <w:p w14:paraId="47B529D2" w14:textId="72B41633" w:rsidR="003239B8" w:rsidRPr="00E40792" w:rsidRDefault="003239B8" w:rsidP="008D2290">
            <w:pPr>
              <w:jc w:val="center"/>
              <w:rPr>
                <w:rFonts w:asciiTheme="majorHAnsi" w:hAnsiTheme="majorHAnsi"/>
                <w:b/>
                <w:color w:val="FFFFFF" w:themeColor="background1"/>
                <w:sz w:val="20"/>
                <w:szCs w:val="20"/>
                <w:lang w:val="es-ES"/>
              </w:rPr>
            </w:pPr>
            <w:r w:rsidRPr="00E40792">
              <w:rPr>
                <w:rFonts w:asciiTheme="majorHAnsi" w:hAnsiTheme="majorHAnsi"/>
                <w:b/>
                <w:i/>
                <w:color w:val="FFFFFF" w:themeColor="background1"/>
                <w:sz w:val="20"/>
                <w:szCs w:val="20"/>
                <w:lang w:val="es-ES"/>
              </w:rPr>
              <w:t>Ratione materia</w:t>
            </w:r>
            <w:r w:rsidR="00EE00E9" w:rsidRPr="00E40792">
              <w:rPr>
                <w:rFonts w:asciiTheme="majorHAnsi" w:hAnsiTheme="majorHAnsi"/>
                <w:b/>
                <w:i/>
                <w:color w:val="FFFFFF" w:themeColor="background1"/>
                <w:sz w:val="20"/>
                <w:szCs w:val="20"/>
                <w:lang w:val="es-ES"/>
              </w:rPr>
              <w:t>e</w:t>
            </w:r>
          </w:p>
        </w:tc>
        <w:tc>
          <w:tcPr>
            <w:tcW w:w="5850" w:type="dxa"/>
            <w:vAlign w:val="center"/>
          </w:tcPr>
          <w:p w14:paraId="0C122F44" w14:textId="0F82B629" w:rsidR="003239B8" w:rsidRPr="00E40792" w:rsidRDefault="00253195" w:rsidP="008D2290">
            <w:pPr>
              <w:jc w:val="both"/>
              <w:rPr>
                <w:rFonts w:asciiTheme="majorHAnsi" w:hAnsiTheme="majorHAnsi"/>
                <w:bCs/>
                <w:sz w:val="20"/>
                <w:szCs w:val="20"/>
                <w:lang w:val="es-ES"/>
              </w:rPr>
            </w:pPr>
            <w:r w:rsidRPr="00E40792">
              <w:rPr>
                <w:rFonts w:asciiTheme="majorHAnsi" w:hAnsiTheme="majorHAnsi"/>
                <w:bCs/>
                <w:sz w:val="20"/>
                <w:szCs w:val="20"/>
                <w:lang w:val="es-ES"/>
              </w:rPr>
              <w:t>Sí, Convención Americana</w:t>
            </w:r>
            <w:r w:rsidR="008C5F83">
              <w:rPr>
                <w:rFonts w:asciiTheme="majorHAnsi" w:hAnsiTheme="majorHAnsi"/>
                <w:bCs/>
                <w:sz w:val="20"/>
                <w:szCs w:val="20"/>
                <w:lang w:val="es-ES"/>
              </w:rPr>
              <w:t xml:space="preserve"> sobre Derechos Humanos</w:t>
            </w:r>
            <w:r w:rsidR="008C5F83">
              <w:rPr>
                <w:rStyle w:val="FootnoteReference"/>
                <w:rFonts w:asciiTheme="majorHAnsi" w:hAnsiTheme="majorHAnsi"/>
                <w:bCs/>
                <w:sz w:val="20"/>
                <w:szCs w:val="20"/>
                <w:lang w:val="es-ES"/>
              </w:rPr>
              <w:footnoteReference w:id="4"/>
            </w:r>
            <w:r w:rsidRPr="00E40792">
              <w:rPr>
                <w:rFonts w:asciiTheme="majorHAnsi" w:hAnsiTheme="majorHAnsi"/>
                <w:bCs/>
                <w:sz w:val="20"/>
                <w:szCs w:val="20"/>
                <w:lang w:val="es-ES"/>
              </w:rPr>
              <w:t xml:space="preserve"> (depósito del instrumento realizado el </w:t>
            </w:r>
            <w:r w:rsidR="00D314F3">
              <w:rPr>
                <w:rFonts w:asciiTheme="majorHAnsi" w:hAnsiTheme="majorHAnsi"/>
                <w:bCs/>
                <w:sz w:val="20"/>
                <w:szCs w:val="20"/>
                <w:lang w:val="es-ES"/>
              </w:rPr>
              <w:t>5 de septiembre de 1984)</w:t>
            </w:r>
          </w:p>
        </w:tc>
      </w:tr>
    </w:tbl>
    <w:p w14:paraId="4E92C444" w14:textId="44A3FC3C" w:rsidR="003239B8" w:rsidRPr="00E40792" w:rsidRDefault="003239B8" w:rsidP="007C402A">
      <w:pPr>
        <w:spacing w:before="120" w:after="120"/>
        <w:ind w:firstLine="720"/>
        <w:jc w:val="both"/>
        <w:rPr>
          <w:rFonts w:asciiTheme="majorHAnsi" w:hAnsiTheme="majorHAnsi"/>
          <w:b/>
          <w:bCs/>
          <w:sz w:val="20"/>
          <w:szCs w:val="20"/>
          <w:lang w:val="es-ES"/>
        </w:rPr>
      </w:pPr>
      <w:r w:rsidRPr="00E40792">
        <w:rPr>
          <w:rFonts w:asciiTheme="majorHAnsi" w:hAnsiTheme="majorHAnsi"/>
          <w:b/>
          <w:bCs/>
          <w:sz w:val="20"/>
          <w:szCs w:val="20"/>
          <w:lang w:val="es-ES"/>
        </w:rPr>
        <w:t xml:space="preserve">IV. </w:t>
      </w:r>
      <w:r w:rsidRPr="00E40792">
        <w:rPr>
          <w:rFonts w:asciiTheme="majorHAnsi" w:hAnsiTheme="majorHAnsi"/>
          <w:b/>
          <w:bCs/>
          <w:sz w:val="20"/>
          <w:szCs w:val="20"/>
          <w:lang w:val="es-ES"/>
        </w:rPr>
        <w:tab/>
      </w:r>
      <w:r w:rsidR="00EE00E9" w:rsidRPr="00E40792">
        <w:rPr>
          <w:rFonts w:asciiTheme="majorHAnsi" w:hAnsiTheme="majorHAnsi"/>
          <w:b/>
          <w:bCs/>
          <w:sz w:val="20"/>
          <w:szCs w:val="20"/>
          <w:lang w:val="es-ES"/>
        </w:rPr>
        <w:t>DUPLICACIÓN</w:t>
      </w:r>
      <w:r w:rsidR="00EE00E9" w:rsidRPr="00E40792">
        <w:rPr>
          <w:rFonts w:asciiTheme="majorHAnsi" w:hAnsiTheme="majorHAnsi"/>
          <w:b/>
          <w:bCs/>
          <w:color w:val="FFFFFF" w:themeColor="background1"/>
          <w:sz w:val="20"/>
          <w:szCs w:val="20"/>
          <w:lang w:val="es-ES"/>
        </w:rPr>
        <w:t xml:space="preserve"> </w:t>
      </w:r>
      <w:r w:rsidR="00EE00E9" w:rsidRPr="00E40792">
        <w:rPr>
          <w:rFonts w:asciiTheme="majorHAnsi" w:hAnsiTheme="majorHAnsi"/>
          <w:b/>
          <w:bCs/>
          <w:sz w:val="20"/>
          <w:szCs w:val="20"/>
          <w:lang w:val="es-ES"/>
        </w:rPr>
        <w:t>DE PROCEDIMIENTOS Y COSA JUZGADA</w:t>
      </w:r>
      <w:r w:rsidR="00EE00E9" w:rsidRPr="00E40792">
        <w:rPr>
          <w:rFonts w:asciiTheme="majorHAnsi" w:hAnsiTheme="majorHAnsi"/>
          <w:b/>
          <w:bCs/>
          <w:i/>
          <w:sz w:val="20"/>
          <w:szCs w:val="20"/>
          <w:lang w:val="es-ES"/>
        </w:rPr>
        <w:t xml:space="preserve"> </w:t>
      </w:r>
      <w:r w:rsidR="00E40792" w:rsidRPr="00E40792">
        <w:rPr>
          <w:rFonts w:asciiTheme="majorHAnsi" w:hAnsiTheme="majorHAnsi"/>
          <w:b/>
          <w:bCs/>
          <w:sz w:val="20"/>
          <w:szCs w:val="20"/>
          <w:lang w:val="es-ES"/>
        </w:rPr>
        <w:t>INTERNACIONAL, CARACTERIZACIÓN</w:t>
      </w:r>
      <w:r w:rsidRPr="00E40792">
        <w:rPr>
          <w:rFonts w:asciiTheme="majorHAnsi" w:hAnsiTheme="majorHAnsi"/>
          <w:b/>
          <w:bCs/>
          <w:sz w:val="20"/>
          <w:szCs w:val="20"/>
          <w:lang w:val="es-ES"/>
        </w:rPr>
        <w:t xml:space="preserve">, </w:t>
      </w:r>
      <w:r w:rsidRPr="00E40792">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487"/>
        <w:gridCol w:w="5755"/>
      </w:tblGrid>
      <w:tr w:rsidR="00EE00E9" w:rsidRPr="00E40792" w14:paraId="1231C988" w14:textId="77777777" w:rsidTr="00E40792">
        <w:trPr>
          <w:cantSplit/>
        </w:trPr>
        <w:tc>
          <w:tcPr>
            <w:tcW w:w="3487" w:type="dxa"/>
            <w:tcBorders>
              <w:top w:val="single" w:sz="4" w:space="0" w:color="auto"/>
              <w:bottom w:val="single" w:sz="6" w:space="0" w:color="auto"/>
            </w:tcBorders>
            <w:shd w:val="clear" w:color="auto" w:fill="386294"/>
            <w:vAlign w:val="center"/>
          </w:tcPr>
          <w:p w14:paraId="6F8031F4" w14:textId="03D8D2D1" w:rsidR="00EE00E9" w:rsidRPr="00E40792" w:rsidRDefault="00EE00E9" w:rsidP="00954B82">
            <w:pPr>
              <w:jc w:val="center"/>
              <w:rPr>
                <w:rFonts w:asciiTheme="majorHAnsi" w:hAnsiTheme="majorHAnsi"/>
                <w:b/>
                <w:color w:val="FFFFFF" w:themeColor="background1"/>
                <w:sz w:val="20"/>
                <w:szCs w:val="20"/>
                <w:lang w:val="es-ES"/>
              </w:rPr>
            </w:pPr>
            <w:r w:rsidRPr="00E40792">
              <w:rPr>
                <w:rFonts w:asciiTheme="majorHAnsi" w:hAnsiTheme="majorHAnsi"/>
                <w:b/>
                <w:color w:val="FFFFFF" w:themeColor="background1"/>
                <w:sz w:val="20"/>
                <w:szCs w:val="20"/>
                <w:lang w:val="es-ES"/>
              </w:rPr>
              <w:t xml:space="preserve">Duplicación </w:t>
            </w:r>
            <w:r w:rsidR="00D77503" w:rsidRPr="00E40792">
              <w:rPr>
                <w:rFonts w:asciiTheme="majorHAnsi" w:hAnsiTheme="majorHAnsi"/>
                <w:b/>
                <w:color w:val="FFFFFF" w:themeColor="background1"/>
                <w:sz w:val="20"/>
                <w:szCs w:val="20"/>
                <w:lang w:val="es-ES"/>
              </w:rPr>
              <w:t>y cosa juzgada internacional</w:t>
            </w:r>
          </w:p>
        </w:tc>
        <w:tc>
          <w:tcPr>
            <w:tcW w:w="5755" w:type="dxa"/>
            <w:vAlign w:val="center"/>
          </w:tcPr>
          <w:p w14:paraId="240941E6" w14:textId="6C8799BB" w:rsidR="00EE00E9" w:rsidRPr="00E40792" w:rsidRDefault="00B84C70" w:rsidP="008D2290">
            <w:pPr>
              <w:jc w:val="both"/>
              <w:rPr>
                <w:rFonts w:asciiTheme="majorHAnsi" w:hAnsiTheme="majorHAnsi"/>
                <w:bCs/>
                <w:sz w:val="20"/>
                <w:szCs w:val="20"/>
                <w:lang w:val="es-ES"/>
              </w:rPr>
            </w:pPr>
            <w:r w:rsidRPr="00E40792">
              <w:rPr>
                <w:rFonts w:asciiTheme="majorHAnsi" w:hAnsiTheme="majorHAnsi"/>
                <w:bCs/>
                <w:sz w:val="20"/>
                <w:szCs w:val="20"/>
                <w:lang w:val="es-ES"/>
              </w:rPr>
              <w:t>No</w:t>
            </w:r>
          </w:p>
        </w:tc>
      </w:tr>
      <w:tr w:rsidR="003239B8" w:rsidRPr="004C1EC8" w14:paraId="15FAA7D1" w14:textId="77777777" w:rsidTr="00E40792">
        <w:trPr>
          <w:cantSplit/>
        </w:trPr>
        <w:tc>
          <w:tcPr>
            <w:tcW w:w="3487" w:type="dxa"/>
            <w:tcBorders>
              <w:top w:val="single" w:sz="4" w:space="0" w:color="auto"/>
              <w:bottom w:val="single" w:sz="6" w:space="0" w:color="auto"/>
            </w:tcBorders>
            <w:shd w:val="clear" w:color="auto" w:fill="386294"/>
            <w:vAlign w:val="center"/>
          </w:tcPr>
          <w:p w14:paraId="1B0D29FF" w14:textId="4FE01870" w:rsidR="003239B8" w:rsidRPr="00E40792" w:rsidRDefault="003239B8" w:rsidP="00954B82">
            <w:pPr>
              <w:jc w:val="center"/>
              <w:rPr>
                <w:rFonts w:asciiTheme="majorHAnsi" w:hAnsiTheme="majorHAnsi"/>
                <w:b/>
                <w:i/>
                <w:color w:val="FFFFFF" w:themeColor="background1"/>
                <w:sz w:val="20"/>
                <w:szCs w:val="20"/>
                <w:lang w:val="es-ES"/>
              </w:rPr>
            </w:pPr>
            <w:r w:rsidRPr="00E40792">
              <w:rPr>
                <w:rFonts w:asciiTheme="majorHAnsi" w:hAnsiTheme="majorHAnsi"/>
                <w:b/>
                <w:color w:val="FFFFFF" w:themeColor="background1"/>
                <w:sz w:val="20"/>
                <w:szCs w:val="20"/>
                <w:lang w:val="es-ES"/>
              </w:rPr>
              <w:t>Derechos admi</w:t>
            </w:r>
            <w:r w:rsidR="00954B82" w:rsidRPr="00E40792">
              <w:rPr>
                <w:rFonts w:asciiTheme="majorHAnsi" w:hAnsiTheme="majorHAnsi"/>
                <w:b/>
                <w:color w:val="FFFFFF" w:themeColor="background1"/>
                <w:sz w:val="20"/>
                <w:szCs w:val="20"/>
                <w:lang w:val="es-ES"/>
              </w:rPr>
              <w:t>tidos</w:t>
            </w:r>
          </w:p>
        </w:tc>
        <w:tc>
          <w:tcPr>
            <w:tcW w:w="5755" w:type="dxa"/>
            <w:vAlign w:val="center"/>
          </w:tcPr>
          <w:p w14:paraId="6310C8F7" w14:textId="5107B14B" w:rsidR="003239B8" w:rsidRPr="00E40792" w:rsidRDefault="00E37026" w:rsidP="001479C0">
            <w:pPr>
              <w:jc w:val="both"/>
              <w:rPr>
                <w:rFonts w:asciiTheme="majorHAnsi" w:hAnsiTheme="majorHAnsi"/>
                <w:bCs/>
                <w:sz w:val="20"/>
                <w:szCs w:val="20"/>
                <w:lang w:val="es-ES"/>
              </w:rPr>
            </w:pPr>
            <w:r w:rsidRPr="00E40792">
              <w:rPr>
                <w:rFonts w:asciiTheme="majorHAnsi" w:hAnsiTheme="majorHAnsi"/>
                <w:bCs/>
                <w:sz w:val="20"/>
                <w:szCs w:val="20"/>
                <w:lang w:val="es-ES"/>
              </w:rPr>
              <w:t>Artículo</w:t>
            </w:r>
            <w:r w:rsidR="001C0932">
              <w:rPr>
                <w:rFonts w:asciiTheme="majorHAnsi" w:hAnsiTheme="majorHAnsi"/>
                <w:bCs/>
                <w:sz w:val="20"/>
                <w:szCs w:val="20"/>
                <w:lang w:val="es-ES"/>
              </w:rPr>
              <w:t xml:space="preserve">s </w:t>
            </w:r>
            <w:r w:rsidR="0026181B">
              <w:rPr>
                <w:rFonts w:asciiTheme="majorHAnsi" w:hAnsiTheme="majorHAnsi"/>
                <w:bCs/>
                <w:sz w:val="20"/>
                <w:szCs w:val="20"/>
                <w:lang w:val="es-ES"/>
              </w:rPr>
              <w:t>8 (garantías judiciales)</w:t>
            </w:r>
            <w:r w:rsidR="00B629F2">
              <w:rPr>
                <w:rFonts w:asciiTheme="majorHAnsi" w:hAnsiTheme="majorHAnsi"/>
                <w:bCs/>
                <w:sz w:val="20"/>
                <w:szCs w:val="20"/>
                <w:lang w:val="es-ES"/>
              </w:rPr>
              <w:t>,</w:t>
            </w:r>
            <w:r w:rsidR="0026181B">
              <w:rPr>
                <w:rFonts w:asciiTheme="majorHAnsi" w:hAnsiTheme="majorHAnsi"/>
                <w:bCs/>
                <w:sz w:val="20"/>
                <w:szCs w:val="20"/>
                <w:lang w:val="es-ES"/>
              </w:rPr>
              <w:t xml:space="preserve"> 25 (protección judicial) </w:t>
            </w:r>
            <w:r w:rsidR="00B629F2">
              <w:rPr>
                <w:rFonts w:asciiTheme="majorHAnsi" w:hAnsiTheme="majorHAnsi"/>
                <w:bCs/>
                <w:sz w:val="20"/>
                <w:szCs w:val="20"/>
                <w:lang w:val="es-ES"/>
              </w:rPr>
              <w:t xml:space="preserve">y 26 (derechos económicos, sociales y culturales) </w:t>
            </w:r>
            <w:r w:rsidR="0026181B">
              <w:rPr>
                <w:rFonts w:asciiTheme="majorHAnsi" w:hAnsiTheme="majorHAnsi"/>
                <w:bCs/>
                <w:sz w:val="20"/>
                <w:szCs w:val="20"/>
                <w:lang w:val="es-ES"/>
              </w:rPr>
              <w:t>de la Convención Americana</w:t>
            </w:r>
            <w:r w:rsidR="00B629F2">
              <w:rPr>
                <w:rFonts w:asciiTheme="majorHAnsi" w:hAnsiTheme="majorHAnsi"/>
                <w:bCs/>
                <w:sz w:val="20"/>
                <w:szCs w:val="20"/>
                <w:lang w:val="es-ES"/>
              </w:rPr>
              <w:t>,</w:t>
            </w:r>
            <w:r w:rsidR="008C5F83">
              <w:rPr>
                <w:rFonts w:asciiTheme="majorHAnsi" w:hAnsiTheme="majorHAnsi"/>
                <w:bCs/>
                <w:sz w:val="20"/>
                <w:szCs w:val="20"/>
                <w:lang w:val="es-ES"/>
              </w:rPr>
              <w:t xml:space="preserve"> en relación con sus artículos 1.1 (obligación de respetar los derechos)</w:t>
            </w:r>
            <w:r w:rsidR="00B629F2">
              <w:rPr>
                <w:rFonts w:asciiTheme="majorHAnsi" w:hAnsiTheme="majorHAnsi"/>
                <w:bCs/>
                <w:sz w:val="20"/>
                <w:szCs w:val="20"/>
                <w:lang w:val="es-ES"/>
              </w:rPr>
              <w:t xml:space="preserve"> y</w:t>
            </w:r>
            <w:r w:rsidR="008C5F83">
              <w:rPr>
                <w:rFonts w:asciiTheme="majorHAnsi" w:hAnsiTheme="majorHAnsi"/>
                <w:bCs/>
                <w:sz w:val="20"/>
                <w:szCs w:val="20"/>
                <w:lang w:val="es-ES"/>
              </w:rPr>
              <w:t xml:space="preserve"> 2 (deber de adoptar disposiciones de derecho interno)</w:t>
            </w:r>
          </w:p>
        </w:tc>
      </w:tr>
      <w:tr w:rsidR="003239B8" w:rsidRPr="0073396C" w14:paraId="4EFD141E" w14:textId="77777777" w:rsidTr="00E40792">
        <w:trPr>
          <w:cantSplit/>
        </w:trPr>
        <w:tc>
          <w:tcPr>
            <w:tcW w:w="3487" w:type="dxa"/>
            <w:tcBorders>
              <w:top w:val="single" w:sz="6" w:space="0" w:color="auto"/>
              <w:bottom w:val="single" w:sz="6" w:space="0" w:color="auto"/>
            </w:tcBorders>
            <w:shd w:val="clear" w:color="auto" w:fill="386294"/>
            <w:vAlign w:val="center"/>
          </w:tcPr>
          <w:p w14:paraId="4C04A89C" w14:textId="058482B9" w:rsidR="003239B8" w:rsidRPr="00E40792" w:rsidRDefault="003239B8" w:rsidP="006775AB">
            <w:pPr>
              <w:jc w:val="center"/>
              <w:rPr>
                <w:rFonts w:asciiTheme="majorHAnsi" w:hAnsiTheme="majorHAnsi"/>
                <w:b/>
                <w:color w:val="FFFFFF" w:themeColor="background1"/>
                <w:sz w:val="20"/>
                <w:szCs w:val="20"/>
                <w:lang w:val="es-ES"/>
              </w:rPr>
            </w:pPr>
            <w:r w:rsidRPr="00E40792">
              <w:rPr>
                <w:rFonts w:asciiTheme="majorHAnsi" w:hAnsiTheme="majorHAnsi"/>
                <w:b/>
                <w:color w:val="FFFFFF" w:themeColor="background1"/>
                <w:sz w:val="20"/>
                <w:szCs w:val="20"/>
                <w:lang w:val="es-ES"/>
              </w:rPr>
              <w:t>Agotamiento de</w:t>
            </w:r>
            <w:r w:rsidR="0069402E" w:rsidRPr="00E40792">
              <w:rPr>
                <w:rFonts w:asciiTheme="majorHAnsi" w:hAnsiTheme="majorHAnsi"/>
                <w:b/>
                <w:color w:val="FFFFFF" w:themeColor="background1"/>
                <w:sz w:val="20"/>
                <w:szCs w:val="20"/>
                <w:lang w:val="es-ES"/>
              </w:rPr>
              <w:t xml:space="preserve"> </w:t>
            </w:r>
            <w:r w:rsidRPr="00E40792">
              <w:rPr>
                <w:rFonts w:asciiTheme="majorHAnsi" w:hAnsiTheme="majorHAnsi"/>
                <w:b/>
                <w:color w:val="FFFFFF" w:themeColor="background1"/>
                <w:sz w:val="20"/>
                <w:szCs w:val="20"/>
                <w:lang w:val="es-ES"/>
              </w:rPr>
              <w:t xml:space="preserve">recursos </w:t>
            </w:r>
            <w:r w:rsidR="00D77503" w:rsidRPr="00E40792">
              <w:rPr>
                <w:rFonts w:asciiTheme="majorHAnsi" w:hAnsiTheme="majorHAnsi"/>
                <w:b/>
                <w:color w:val="FFFFFF" w:themeColor="background1"/>
                <w:sz w:val="20"/>
                <w:szCs w:val="20"/>
                <w:lang w:val="es-ES"/>
              </w:rPr>
              <w:t>o procedencia de una excepción</w:t>
            </w:r>
          </w:p>
        </w:tc>
        <w:tc>
          <w:tcPr>
            <w:tcW w:w="5755" w:type="dxa"/>
            <w:vAlign w:val="center"/>
          </w:tcPr>
          <w:p w14:paraId="69C53E8A" w14:textId="54167454" w:rsidR="003239B8" w:rsidRPr="00E40792" w:rsidRDefault="00E37026" w:rsidP="00BB3FBD">
            <w:pPr>
              <w:rPr>
                <w:rFonts w:asciiTheme="majorHAnsi" w:hAnsiTheme="majorHAnsi"/>
                <w:bCs/>
                <w:sz w:val="20"/>
                <w:szCs w:val="20"/>
                <w:lang w:val="es-ES"/>
              </w:rPr>
            </w:pPr>
            <w:r w:rsidRPr="00E40792">
              <w:rPr>
                <w:rFonts w:asciiTheme="majorHAnsi" w:hAnsiTheme="majorHAnsi"/>
                <w:bCs/>
                <w:sz w:val="20"/>
                <w:szCs w:val="20"/>
                <w:lang w:val="es-ES"/>
              </w:rPr>
              <w:t>Sí,</w:t>
            </w:r>
            <w:r w:rsidR="007034AD">
              <w:rPr>
                <w:rFonts w:asciiTheme="majorHAnsi" w:hAnsiTheme="majorHAnsi"/>
                <w:bCs/>
                <w:sz w:val="20"/>
                <w:szCs w:val="20"/>
                <w:lang w:val="es-ES"/>
              </w:rPr>
              <w:t xml:space="preserve"> </w:t>
            </w:r>
            <w:r w:rsidR="008C5F83">
              <w:rPr>
                <w:rFonts w:asciiTheme="majorHAnsi" w:hAnsiTheme="majorHAnsi"/>
                <w:bCs/>
                <w:sz w:val="20"/>
                <w:szCs w:val="20"/>
                <w:lang w:val="es-ES"/>
              </w:rPr>
              <w:t>8 de noviembre de 2014</w:t>
            </w:r>
          </w:p>
        </w:tc>
      </w:tr>
      <w:tr w:rsidR="003239B8" w:rsidRPr="0073396C" w14:paraId="52B5BA17" w14:textId="77777777" w:rsidTr="00E40792">
        <w:trPr>
          <w:cantSplit/>
        </w:trPr>
        <w:tc>
          <w:tcPr>
            <w:tcW w:w="3487" w:type="dxa"/>
            <w:tcBorders>
              <w:top w:val="single" w:sz="6" w:space="0" w:color="auto"/>
              <w:bottom w:val="single" w:sz="6" w:space="0" w:color="auto"/>
            </w:tcBorders>
            <w:shd w:val="clear" w:color="auto" w:fill="386294"/>
            <w:vAlign w:val="center"/>
          </w:tcPr>
          <w:p w14:paraId="5DF99086" w14:textId="392A0ECF" w:rsidR="003239B8" w:rsidRPr="00E40792" w:rsidRDefault="00D77503" w:rsidP="008D2290">
            <w:pPr>
              <w:jc w:val="center"/>
              <w:rPr>
                <w:rFonts w:asciiTheme="majorHAnsi" w:hAnsiTheme="majorHAnsi"/>
                <w:b/>
                <w:color w:val="FFFFFF" w:themeColor="background1"/>
                <w:sz w:val="20"/>
                <w:szCs w:val="20"/>
                <w:lang w:val="es-ES"/>
              </w:rPr>
            </w:pPr>
            <w:r w:rsidRPr="00E40792">
              <w:rPr>
                <w:rFonts w:asciiTheme="majorHAnsi" w:hAnsiTheme="majorHAnsi"/>
                <w:b/>
                <w:color w:val="FFFFFF" w:themeColor="background1"/>
                <w:sz w:val="20"/>
                <w:szCs w:val="20"/>
                <w:lang w:val="es-ES"/>
              </w:rPr>
              <w:t>Presentación dentro de plazo</w:t>
            </w:r>
          </w:p>
        </w:tc>
        <w:tc>
          <w:tcPr>
            <w:tcW w:w="5755" w:type="dxa"/>
            <w:vAlign w:val="center"/>
          </w:tcPr>
          <w:p w14:paraId="4A2A4569" w14:textId="256281BB" w:rsidR="003239B8" w:rsidRPr="00E40792" w:rsidRDefault="00E37026" w:rsidP="008D2290">
            <w:pPr>
              <w:rPr>
                <w:rFonts w:asciiTheme="majorHAnsi" w:hAnsiTheme="majorHAnsi"/>
                <w:bCs/>
                <w:sz w:val="20"/>
                <w:szCs w:val="20"/>
                <w:lang w:val="es-US"/>
              </w:rPr>
            </w:pPr>
            <w:r w:rsidRPr="00E40792">
              <w:rPr>
                <w:rFonts w:asciiTheme="majorHAnsi" w:hAnsiTheme="majorHAnsi"/>
                <w:bCs/>
                <w:sz w:val="20"/>
                <w:szCs w:val="20"/>
                <w:lang w:val="es-ES"/>
              </w:rPr>
              <w:t>Sí</w:t>
            </w:r>
          </w:p>
        </w:tc>
      </w:tr>
    </w:tbl>
    <w:p w14:paraId="53D91403" w14:textId="77777777" w:rsidR="00E40792" w:rsidRPr="00E40792" w:rsidRDefault="00E40792" w:rsidP="00314331">
      <w:pPr>
        <w:ind w:firstLine="720"/>
        <w:jc w:val="both"/>
        <w:rPr>
          <w:rFonts w:asciiTheme="majorHAnsi" w:hAnsiTheme="majorHAnsi"/>
          <w:b/>
          <w:sz w:val="20"/>
          <w:szCs w:val="20"/>
          <w:lang w:val="es-ES"/>
        </w:rPr>
      </w:pPr>
    </w:p>
    <w:p w14:paraId="18E6423B" w14:textId="452D16B7" w:rsidR="003239B8" w:rsidRPr="00150244" w:rsidRDefault="00223A29" w:rsidP="00B11735">
      <w:pPr>
        <w:spacing w:after="120"/>
        <w:ind w:firstLine="720"/>
        <w:jc w:val="both"/>
        <w:rPr>
          <w:rFonts w:asciiTheme="majorHAnsi" w:hAnsiTheme="majorHAnsi"/>
          <w:b/>
          <w:sz w:val="20"/>
          <w:szCs w:val="20"/>
          <w:lang w:val="es-ES_tradnl"/>
        </w:rPr>
      </w:pPr>
      <w:r w:rsidRPr="00150244">
        <w:rPr>
          <w:rFonts w:asciiTheme="majorHAnsi" w:hAnsiTheme="majorHAnsi"/>
          <w:b/>
          <w:sz w:val="20"/>
          <w:szCs w:val="20"/>
          <w:lang w:val="es-ES_tradnl"/>
        </w:rPr>
        <w:t xml:space="preserve">V. </w:t>
      </w:r>
      <w:r w:rsidRPr="00150244">
        <w:rPr>
          <w:rFonts w:asciiTheme="majorHAnsi" w:hAnsiTheme="majorHAnsi"/>
          <w:b/>
          <w:sz w:val="20"/>
          <w:szCs w:val="20"/>
          <w:lang w:val="es-ES_tradnl"/>
        </w:rPr>
        <w:tab/>
      </w:r>
      <w:r w:rsidR="00B629F2" w:rsidRPr="00150244">
        <w:rPr>
          <w:rFonts w:asciiTheme="majorHAnsi" w:hAnsiTheme="majorHAnsi"/>
          <w:b/>
          <w:sz w:val="20"/>
          <w:szCs w:val="20"/>
          <w:lang w:val="es-ES_tradnl"/>
        </w:rPr>
        <w:t>POSICIÓN DE LAS PARTES</w:t>
      </w:r>
    </w:p>
    <w:p w14:paraId="609F9B68" w14:textId="73AC4ECC" w:rsidR="007D1A3B" w:rsidRPr="00150244" w:rsidRDefault="008C5F83" w:rsidP="00B117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b/>
          <w:bCs/>
          <w:sz w:val="20"/>
          <w:szCs w:val="20"/>
          <w:lang w:val="es-ES_tradnl"/>
        </w:rPr>
      </w:pPr>
      <w:r w:rsidRPr="00150244">
        <w:rPr>
          <w:rFonts w:asciiTheme="majorHAnsi" w:hAnsiTheme="majorHAnsi"/>
          <w:sz w:val="20"/>
          <w:szCs w:val="20"/>
          <w:lang w:val="es-ES_tradnl"/>
        </w:rPr>
        <w:t xml:space="preserve">La petición denuncia que </w:t>
      </w:r>
      <w:r w:rsidR="00C2138F" w:rsidRPr="00150244">
        <w:rPr>
          <w:rFonts w:asciiTheme="majorHAnsi" w:hAnsiTheme="majorHAnsi"/>
          <w:sz w:val="20"/>
          <w:szCs w:val="20"/>
          <w:lang w:val="es-ES_tradnl"/>
        </w:rPr>
        <w:t xml:space="preserve">las presuntas víctimas recurrieron a la justicia para tratar de </w:t>
      </w:r>
      <w:r w:rsidR="00CA06CF" w:rsidRPr="00150244">
        <w:rPr>
          <w:rFonts w:asciiTheme="majorHAnsi" w:hAnsiTheme="majorHAnsi"/>
          <w:sz w:val="20"/>
          <w:szCs w:val="20"/>
          <w:lang w:val="es-ES_tradnl"/>
        </w:rPr>
        <w:t>invalidar una renuncia que había sido firmada por un familiar suyo y que adolecía de graves vicios de la voluntad. Su demanda fue rechazada y luego se</w:t>
      </w:r>
      <w:r w:rsidR="00C2138F" w:rsidRPr="00150244">
        <w:rPr>
          <w:rFonts w:asciiTheme="majorHAnsi" w:hAnsiTheme="majorHAnsi"/>
          <w:sz w:val="20"/>
          <w:szCs w:val="20"/>
          <w:lang w:val="es-ES_tradnl"/>
        </w:rPr>
        <w:t xml:space="preserve"> les impidió </w:t>
      </w:r>
      <w:r w:rsidR="00E43C58" w:rsidRPr="00150244">
        <w:rPr>
          <w:rFonts w:asciiTheme="majorHAnsi" w:hAnsiTheme="majorHAnsi"/>
          <w:sz w:val="20"/>
          <w:szCs w:val="20"/>
          <w:lang w:val="es-ES_tradnl"/>
        </w:rPr>
        <w:t>acceder a la justicia para impugnar el rechazo. Esto, pues</w:t>
      </w:r>
      <w:r w:rsidR="00C2138F" w:rsidRPr="00150244">
        <w:rPr>
          <w:rFonts w:asciiTheme="majorHAnsi" w:hAnsiTheme="majorHAnsi"/>
          <w:sz w:val="20"/>
          <w:szCs w:val="20"/>
          <w:lang w:val="es-ES_tradnl"/>
        </w:rPr>
        <w:t xml:space="preserve"> primero </w:t>
      </w:r>
      <w:r w:rsidR="00E43C58" w:rsidRPr="00150244">
        <w:rPr>
          <w:rFonts w:asciiTheme="majorHAnsi" w:hAnsiTheme="majorHAnsi"/>
          <w:sz w:val="20"/>
          <w:szCs w:val="20"/>
          <w:lang w:val="es-ES_tradnl"/>
        </w:rPr>
        <w:t>se les exigió</w:t>
      </w:r>
      <w:r w:rsidR="00C2138F" w:rsidRPr="00150244">
        <w:rPr>
          <w:rFonts w:asciiTheme="majorHAnsi" w:hAnsiTheme="majorHAnsi"/>
          <w:sz w:val="20"/>
          <w:szCs w:val="20"/>
          <w:lang w:val="es-ES_tradnl"/>
        </w:rPr>
        <w:t xml:space="preserve"> un depósito monetario fuera de sus posibilidades y luego </w:t>
      </w:r>
      <w:r w:rsidR="00E43C58" w:rsidRPr="00150244">
        <w:rPr>
          <w:rFonts w:asciiTheme="majorHAnsi" w:hAnsiTheme="majorHAnsi"/>
          <w:sz w:val="20"/>
          <w:szCs w:val="20"/>
          <w:lang w:val="es-ES_tradnl"/>
        </w:rPr>
        <w:t>se les desestimó un</w:t>
      </w:r>
      <w:r w:rsidR="00C2138F" w:rsidRPr="00150244">
        <w:rPr>
          <w:rFonts w:asciiTheme="majorHAnsi" w:hAnsiTheme="majorHAnsi"/>
          <w:sz w:val="20"/>
          <w:szCs w:val="20"/>
          <w:lang w:val="es-ES_tradnl"/>
        </w:rPr>
        <w:t xml:space="preserve"> recurso en base al incumplimiento de un requisito de forma trivial y arbitrario. </w:t>
      </w:r>
    </w:p>
    <w:p w14:paraId="4E2872E3" w14:textId="3E4F40E9" w:rsidR="009B3775" w:rsidRPr="00150244" w:rsidRDefault="00E43C58" w:rsidP="00B117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b/>
          <w:bCs/>
          <w:sz w:val="20"/>
          <w:szCs w:val="20"/>
          <w:lang w:val="es-ES_tradnl"/>
        </w:rPr>
      </w:pPr>
      <w:r w:rsidRPr="00150244">
        <w:rPr>
          <w:rFonts w:asciiTheme="majorHAnsi" w:hAnsiTheme="majorHAnsi"/>
          <w:sz w:val="20"/>
          <w:szCs w:val="20"/>
          <w:lang w:val="es-ES_tradnl"/>
        </w:rPr>
        <w:lastRenderedPageBreak/>
        <w:t xml:space="preserve">Según la petición y </w:t>
      </w:r>
      <w:r w:rsidR="00946F1F" w:rsidRPr="00150244">
        <w:rPr>
          <w:rFonts w:asciiTheme="majorHAnsi" w:hAnsiTheme="majorHAnsi"/>
          <w:sz w:val="20"/>
          <w:szCs w:val="20"/>
          <w:lang w:val="es-ES_tradnl"/>
        </w:rPr>
        <w:t>la</w:t>
      </w:r>
      <w:r w:rsidRPr="00150244">
        <w:rPr>
          <w:rFonts w:asciiTheme="majorHAnsi" w:hAnsiTheme="majorHAnsi"/>
          <w:sz w:val="20"/>
          <w:szCs w:val="20"/>
          <w:lang w:val="es-ES_tradnl"/>
        </w:rPr>
        <w:t xml:space="preserve"> documentación aportada junto con esta, el señor Carlos Arancibia era esposo de la señora Mirta Raquel Echeverría y padre de las demás presuntas víctimas. El señor Arancibia laboraba para la Municipalidad de Rivadavia </w:t>
      </w:r>
      <w:r w:rsidR="000F5F0C" w:rsidRPr="00150244">
        <w:rPr>
          <w:rFonts w:asciiTheme="majorHAnsi" w:hAnsiTheme="majorHAnsi"/>
          <w:sz w:val="20"/>
          <w:szCs w:val="20"/>
          <w:lang w:val="es-ES_tradnl"/>
        </w:rPr>
        <w:t>y en 1995 había ingresado a la planta permanente en el cargo de auxiliar administrativo clase 3, categoría 2</w:t>
      </w:r>
      <w:r w:rsidR="006527F6" w:rsidRPr="00150244">
        <w:rPr>
          <w:rFonts w:asciiTheme="majorHAnsi" w:hAnsiTheme="majorHAnsi"/>
          <w:sz w:val="20"/>
          <w:szCs w:val="20"/>
          <w:lang w:val="es-ES_tradnl"/>
        </w:rPr>
        <w:t>;</w:t>
      </w:r>
      <w:r w:rsidR="000F5F0C" w:rsidRPr="00150244">
        <w:rPr>
          <w:rFonts w:asciiTheme="majorHAnsi" w:hAnsiTheme="majorHAnsi"/>
          <w:sz w:val="20"/>
          <w:szCs w:val="20"/>
          <w:lang w:val="es-ES_tradnl"/>
        </w:rPr>
        <w:t xml:space="preserve"> </w:t>
      </w:r>
      <w:r w:rsidR="006527F6" w:rsidRPr="00150244">
        <w:rPr>
          <w:rFonts w:asciiTheme="majorHAnsi" w:hAnsiTheme="majorHAnsi"/>
          <w:sz w:val="20"/>
          <w:szCs w:val="20"/>
          <w:lang w:val="es-ES_tradnl"/>
        </w:rPr>
        <w:t>en el que</w:t>
      </w:r>
      <w:r w:rsidR="000F5F0C" w:rsidRPr="00150244">
        <w:rPr>
          <w:rFonts w:asciiTheme="majorHAnsi" w:hAnsiTheme="majorHAnsi"/>
          <w:sz w:val="20"/>
          <w:szCs w:val="20"/>
          <w:lang w:val="es-ES_tradnl"/>
        </w:rPr>
        <w:t xml:space="preserve"> desarrolló diversas tareas para la institución siendo las últimas las de “placero o parquero”. </w:t>
      </w:r>
      <w:r w:rsidR="006075CC" w:rsidRPr="00150244">
        <w:rPr>
          <w:rFonts w:asciiTheme="majorHAnsi" w:hAnsiTheme="majorHAnsi"/>
          <w:sz w:val="20"/>
          <w:szCs w:val="20"/>
          <w:lang w:val="es-ES_tradnl"/>
        </w:rPr>
        <w:t>El</w:t>
      </w:r>
      <w:r w:rsidR="00442531" w:rsidRPr="00150244">
        <w:rPr>
          <w:rFonts w:asciiTheme="majorHAnsi" w:hAnsiTheme="majorHAnsi"/>
          <w:sz w:val="20"/>
          <w:szCs w:val="20"/>
          <w:lang w:val="es-ES_tradnl"/>
        </w:rPr>
        <w:t xml:space="preserve"> señor Arancibia padecería de adicción al alcohol y una lesión lumbar</w:t>
      </w:r>
      <w:r w:rsidR="006527F6" w:rsidRPr="00150244">
        <w:rPr>
          <w:rFonts w:asciiTheme="majorHAnsi" w:hAnsiTheme="majorHAnsi"/>
          <w:sz w:val="20"/>
          <w:szCs w:val="20"/>
          <w:lang w:val="es-ES_tradnl"/>
        </w:rPr>
        <w:t>,</w:t>
      </w:r>
      <w:r w:rsidR="00442531" w:rsidRPr="00150244">
        <w:rPr>
          <w:rFonts w:asciiTheme="majorHAnsi" w:hAnsiTheme="majorHAnsi"/>
          <w:sz w:val="20"/>
          <w:szCs w:val="20"/>
          <w:lang w:val="es-ES_tradnl"/>
        </w:rPr>
        <w:t xml:space="preserve"> y en 2004 habría recibido una suspensión por conductas propias de </w:t>
      </w:r>
      <w:r w:rsidR="00045E61">
        <w:rPr>
          <w:rFonts w:asciiTheme="majorHAnsi" w:hAnsiTheme="majorHAnsi"/>
          <w:sz w:val="20"/>
          <w:szCs w:val="20"/>
          <w:lang w:val="es-ES_tradnl"/>
        </w:rPr>
        <w:t>quienes</w:t>
      </w:r>
      <w:r w:rsidR="00442531" w:rsidRPr="00150244">
        <w:rPr>
          <w:rFonts w:asciiTheme="majorHAnsi" w:hAnsiTheme="majorHAnsi"/>
          <w:sz w:val="20"/>
          <w:szCs w:val="20"/>
          <w:lang w:val="es-ES_tradnl"/>
        </w:rPr>
        <w:t xml:space="preserve"> padecen estas enfermedades crónicas. </w:t>
      </w:r>
    </w:p>
    <w:p w14:paraId="3457CC11" w14:textId="7B007BEA" w:rsidR="00E43C58" w:rsidRPr="00150244" w:rsidRDefault="000F5F0C" w:rsidP="00B117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b/>
          <w:bCs/>
          <w:sz w:val="20"/>
          <w:szCs w:val="20"/>
          <w:lang w:val="es-ES_tradnl"/>
        </w:rPr>
      </w:pPr>
      <w:r w:rsidRPr="00150244">
        <w:rPr>
          <w:rFonts w:asciiTheme="majorHAnsi" w:hAnsiTheme="majorHAnsi"/>
          <w:sz w:val="20"/>
          <w:szCs w:val="20"/>
          <w:lang w:val="es-ES_tradnl"/>
        </w:rPr>
        <w:t>El 11 de noviembre de 2004</w:t>
      </w:r>
      <w:r w:rsidR="00442531" w:rsidRPr="00150244">
        <w:rPr>
          <w:rFonts w:asciiTheme="majorHAnsi" w:hAnsiTheme="majorHAnsi"/>
          <w:sz w:val="20"/>
          <w:szCs w:val="20"/>
          <w:lang w:val="es-ES_tradnl"/>
        </w:rPr>
        <w:t xml:space="preserve">, un mes </w:t>
      </w:r>
      <w:r w:rsidR="003544C2" w:rsidRPr="00150244">
        <w:rPr>
          <w:rFonts w:asciiTheme="majorHAnsi" w:hAnsiTheme="majorHAnsi"/>
          <w:sz w:val="20"/>
          <w:szCs w:val="20"/>
          <w:lang w:val="es-ES_tradnl"/>
        </w:rPr>
        <w:t>después</w:t>
      </w:r>
      <w:r w:rsidR="00442531" w:rsidRPr="00150244">
        <w:rPr>
          <w:rFonts w:asciiTheme="majorHAnsi" w:hAnsiTheme="majorHAnsi"/>
          <w:sz w:val="20"/>
          <w:szCs w:val="20"/>
          <w:lang w:val="es-ES_tradnl"/>
        </w:rPr>
        <w:t xml:space="preserve"> de su suspensión,</w:t>
      </w:r>
      <w:r w:rsidRPr="00150244">
        <w:rPr>
          <w:rFonts w:asciiTheme="majorHAnsi" w:hAnsiTheme="majorHAnsi"/>
          <w:sz w:val="20"/>
          <w:szCs w:val="20"/>
          <w:lang w:val="es-ES_tradnl"/>
        </w:rPr>
        <w:t xml:space="preserve"> el </w:t>
      </w:r>
      <w:r w:rsidR="003544C2" w:rsidRPr="00150244">
        <w:rPr>
          <w:rFonts w:asciiTheme="majorHAnsi" w:hAnsiTheme="majorHAnsi"/>
          <w:sz w:val="20"/>
          <w:szCs w:val="20"/>
          <w:lang w:val="es-ES_tradnl"/>
        </w:rPr>
        <w:t>Sr.</w:t>
      </w:r>
      <w:r w:rsidRPr="00150244">
        <w:rPr>
          <w:rFonts w:asciiTheme="majorHAnsi" w:hAnsiTheme="majorHAnsi"/>
          <w:sz w:val="20"/>
          <w:szCs w:val="20"/>
          <w:lang w:val="es-ES_tradnl"/>
        </w:rPr>
        <w:t xml:space="preserve"> Arancibia firmó un telegrama y una nota de renuncia a su cargo en el Municipio</w:t>
      </w:r>
      <w:r w:rsidR="003544C2" w:rsidRPr="00150244">
        <w:rPr>
          <w:rFonts w:asciiTheme="majorHAnsi" w:hAnsiTheme="majorHAnsi"/>
          <w:sz w:val="20"/>
          <w:szCs w:val="20"/>
          <w:lang w:val="es-ES_tradnl"/>
        </w:rPr>
        <w:t>, la cual</w:t>
      </w:r>
      <w:r w:rsidR="00442531" w:rsidRPr="00150244">
        <w:rPr>
          <w:rFonts w:asciiTheme="majorHAnsi" w:hAnsiTheme="majorHAnsi"/>
          <w:sz w:val="20"/>
          <w:szCs w:val="20"/>
          <w:lang w:val="es-ES_tradnl"/>
        </w:rPr>
        <w:t xml:space="preserve"> fue aceptada por</w:t>
      </w:r>
      <w:r w:rsidR="004B3269" w:rsidRPr="00150244">
        <w:rPr>
          <w:rFonts w:asciiTheme="majorHAnsi" w:hAnsiTheme="majorHAnsi"/>
          <w:sz w:val="20"/>
          <w:szCs w:val="20"/>
          <w:lang w:val="es-ES_tradnl"/>
        </w:rPr>
        <w:t xml:space="preserve"> la</w:t>
      </w:r>
      <w:r w:rsidR="00442531" w:rsidRPr="00150244">
        <w:rPr>
          <w:rFonts w:asciiTheme="majorHAnsi" w:hAnsiTheme="majorHAnsi"/>
          <w:sz w:val="20"/>
          <w:szCs w:val="20"/>
          <w:lang w:val="es-ES_tradnl"/>
        </w:rPr>
        <w:t xml:space="preserve"> </w:t>
      </w:r>
      <w:r w:rsidRPr="00150244">
        <w:rPr>
          <w:rFonts w:asciiTheme="majorHAnsi" w:hAnsiTheme="majorHAnsi"/>
          <w:sz w:val="20"/>
          <w:szCs w:val="20"/>
          <w:lang w:val="es-ES_tradnl"/>
        </w:rPr>
        <w:t>institución al día siguiente.</w:t>
      </w:r>
      <w:r w:rsidR="00EA23F0" w:rsidRPr="00150244">
        <w:rPr>
          <w:rFonts w:asciiTheme="majorHAnsi" w:hAnsiTheme="majorHAnsi"/>
          <w:sz w:val="20"/>
          <w:szCs w:val="20"/>
          <w:lang w:val="es-ES_tradnl"/>
        </w:rPr>
        <w:t xml:space="preserve"> </w:t>
      </w:r>
      <w:r w:rsidRPr="00150244">
        <w:rPr>
          <w:rFonts w:asciiTheme="majorHAnsi" w:hAnsiTheme="majorHAnsi"/>
          <w:sz w:val="20"/>
          <w:szCs w:val="20"/>
          <w:lang w:val="es-ES_tradnl"/>
        </w:rPr>
        <w:t>El</w:t>
      </w:r>
      <w:r w:rsidR="009B3775" w:rsidRPr="00150244">
        <w:rPr>
          <w:rFonts w:asciiTheme="majorHAnsi" w:hAnsiTheme="majorHAnsi"/>
          <w:sz w:val="20"/>
          <w:szCs w:val="20"/>
          <w:lang w:val="es-ES_tradnl"/>
        </w:rPr>
        <w:t xml:space="preserve"> 10 de diciembre de 2004 el </w:t>
      </w:r>
      <w:r w:rsidR="003544C2" w:rsidRPr="00150244">
        <w:rPr>
          <w:rFonts w:asciiTheme="majorHAnsi" w:hAnsiTheme="majorHAnsi"/>
          <w:sz w:val="20"/>
          <w:szCs w:val="20"/>
          <w:lang w:val="es-ES_tradnl"/>
        </w:rPr>
        <w:t>Sr.</w:t>
      </w:r>
      <w:r w:rsidR="009B3775" w:rsidRPr="00150244">
        <w:rPr>
          <w:rFonts w:asciiTheme="majorHAnsi" w:hAnsiTheme="majorHAnsi"/>
          <w:sz w:val="20"/>
          <w:szCs w:val="20"/>
          <w:lang w:val="es-ES_tradnl"/>
        </w:rPr>
        <w:t xml:space="preserve"> Arancibia fue notificado del acto que aceptaba la renuncia y ordenaba su desvinculación. </w:t>
      </w:r>
      <w:r w:rsidR="006527F6" w:rsidRPr="00150244">
        <w:rPr>
          <w:rFonts w:asciiTheme="majorHAnsi" w:hAnsiTheme="majorHAnsi"/>
          <w:sz w:val="20"/>
          <w:szCs w:val="20"/>
          <w:lang w:val="es-ES_tradnl"/>
        </w:rPr>
        <w:t xml:space="preserve">Sin embargo, el </w:t>
      </w:r>
      <w:r w:rsidRPr="00150244">
        <w:rPr>
          <w:rFonts w:asciiTheme="majorHAnsi" w:hAnsiTheme="majorHAnsi"/>
          <w:sz w:val="20"/>
          <w:szCs w:val="20"/>
          <w:lang w:val="es-ES_tradnl"/>
        </w:rPr>
        <w:t xml:space="preserve">14 de diciembre de 2004 el </w:t>
      </w:r>
      <w:r w:rsidR="003544C2" w:rsidRPr="00150244">
        <w:rPr>
          <w:rFonts w:asciiTheme="majorHAnsi" w:hAnsiTheme="majorHAnsi"/>
          <w:sz w:val="20"/>
          <w:szCs w:val="20"/>
          <w:lang w:val="es-ES_tradnl"/>
        </w:rPr>
        <w:t>este</w:t>
      </w:r>
      <w:r w:rsidRPr="00150244">
        <w:rPr>
          <w:rFonts w:asciiTheme="majorHAnsi" w:hAnsiTheme="majorHAnsi"/>
          <w:sz w:val="20"/>
          <w:szCs w:val="20"/>
          <w:lang w:val="es-ES_tradnl"/>
        </w:rPr>
        <w:t xml:space="preserve"> se </w:t>
      </w:r>
      <w:r w:rsidR="00EA23F0" w:rsidRPr="00150244">
        <w:rPr>
          <w:rFonts w:asciiTheme="majorHAnsi" w:hAnsiTheme="majorHAnsi"/>
          <w:sz w:val="20"/>
          <w:szCs w:val="20"/>
          <w:lang w:val="es-ES_tradnl"/>
        </w:rPr>
        <w:t>retractó de la renuncia mediante carta documento subscrita junto con sus hijos mayores de edad</w:t>
      </w:r>
      <w:r w:rsidR="006075CC" w:rsidRPr="00150244">
        <w:rPr>
          <w:rFonts w:asciiTheme="majorHAnsi" w:hAnsiTheme="majorHAnsi"/>
          <w:sz w:val="20"/>
          <w:szCs w:val="20"/>
          <w:lang w:val="es-ES_tradnl"/>
        </w:rPr>
        <w:t xml:space="preserve">. En esta carta de retractación el señor Arancibia manifestó que </w:t>
      </w:r>
      <w:r w:rsidR="00442531" w:rsidRPr="00150244">
        <w:rPr>
          <w:rFonts w:asciiTheme="majorHAnsi" w:hAnsiTheme="majorHAnsi"/>
          <w:sz w:val="20"/>
          <w:szCs w:val="20"/>
          <w:lang w:val="es-ES_tradnl"/>
        </w:rPr>
        <w:t>no tenía medios de subsistencia más allá del empleo que se le pretendía quitar y que la renuncia firmada por él carecía de validez</w:t>
      </w:r>
      <w:r w:rsidR="00F971F3" w:rsidRPr="00150244">
        <w:rPr>
          <w:rFonts w:asciiTheme="majorHAnsi" w:hAnsiTheme="majorHAnsi"/>
          <w:sz w:val="20"/>
          <w:szCs w:val="20"/>
          <w:lang w:val="es-ES_tradnl"/>
        </w:rPr>
        <w:t>,</w:t>
      </w:r>
      <w:r w:rsidR="00442531" w:rsidRPr="00150244">
        <w:rPr>
          <w:rFonts w:asciiTheme="majorHAnsi" w:hAnsiTheme="majorHAnsi"/>
          <w:sz w:val="20"/>
          <w:szCs w:val="20"/>
          <w:lang w:val="es-ES_tradnl"/>
        </w:rPr>
        <w:t xml:space="preserve"> pues no sabía ni leer ni escribir</w:t>
      </w:r>
      <w:r w:rsidR="00F971F3" w:rsidRPr="00150244">
        <w:rPr>
          <w:rFonts w:asciiTheme="majorHAnsi" w:hAnsiTheme="majorHAnsi"/>
          <w:sz w:val="20"/>
          <w:szCs w:val="20"/>
          <w:lang w:val="es-ES_tradnl"/>
        </w:rPr>
        <w:t>,</w:t>
      </w:r>
      <w:r w:rsidR="00442531" w:rsidRPr="00150244">
        <w:rPr>
          <w:rFonts w:asciiTheme="majorHAnsi" w:hAnsiTheme="majorHAnsi"/>
          <w:sz w:val="20"/>
          <w:szCs w:val="20"/>
          <w:lang w:val="es-ES_tradnl"/>
        </w:rPr>
        <w:t xml:space="preserve"> y la firma no se realizó frente a testigos como se requiere en esos cas</w:t>
      </w:r>
      <w:r w:rsidR="003B3F41" w:rsidRPr="00150244">
        <w:rPr>
          <w:rFonts w:asciiTheme="majorHAnsi" w:hAnsiTheme="majorHAnsi"/>
          <w:sz w:val="20"/>
          <w:szCs w:val="20"/>
          <w:lang w:val="es-ES_tradnl"/>
        </w:rPr>
        <w:t>os</w:t>
      </w:r>
      <w:r w:rsidR="00442531" w:rsidRPr="00150244">
        <w:rPr>
          <w:rFonts w:asciiTheme="majorHAnsi" w:hAnsiTheme="majorHAnsi"/>
          <w:sz w:val="20"/>
          <w:szCs w:val="20"/>
          <w:lang w:val="es-ES_tradnl"/>
        </w:rPr>
        <w:t xml:space="preserve">. </w:t>
      </w:r>
      <w:r w:rsidR="00F971F3" w:rsidRPr="00150244">
        <w:rPr>
          <w:rFonts w:asciiTheme="majorHAnsi" w:hAnsiTheme="majorHAnsi"/>
          <w:sz w:val="20"/>
          <w:szCs w:val="20"/>
          <w:lang w:val="es-ES_tradnl"/>
        </w:rPr>
        <w:t>En su</w:t>
      </w:r>
      <w:r w:rsidR="00442531" w:rsidRPr="00150244">
        <w:rPr>
          <w:rFonts w:asciiTheme="majorHAnsi" w:hAnsiTheme="majorHAnsi"/>
          <w:sz w:val="20"/>
          <w:szCs w:val="20"/>
          <w:lang w:val="es-ES_tradnl"/>
        </w:rPr>
        <w:t xml:space="preserve"> retractación también alegó </w:t>
      </w:r>
      <w:r w:rsidR="004A112C" w:rsidRPr="00150244">
        <w:rPr>
          <w:rFonts w:asciiTheme="majorHAnsi" w:hAnsiTheme="majorHAnsi"/>
          <w:sz w:val="20"/>
          <w:szCs w:val="20"/>
          <w:lang w:val="es-ES_tradnl"/>
        </w:rPr>
        <w:t>que fue engañado por el Municipio</w:t>
      </w:r>
      <w:r w:rsidR="00F971F3" w:rsidRPr="00150244">
        <w:rPr>
          <w:rFonts w:asciiTheme="majorHAnsi" w:hAnsiTheme="majorHAnsi"/>
          <w:sz w:val="20"/>
          <w:szCs w:val="20"/>
          <w:lang w:val="es-ES_tradnl"/>
        </w:rPr>
        <w:t xml:space="preserve">, que </w:t>
      </w:r>
      <w:r w:rsidR="004A112C" w:rsidRPr="00150244">
        <w:rPr>
          <w:rFonts w:asciiTheme="majorHAnsi" w:hAnsiTheme="majorHAnsi"/>
          <w:sz w:val="20"/>
          <w:szCs w:val="20"/>
          <w:lang w:val="es-ES_tradnl"/>
        </w:rPr>
        <w:t xml:space="preserve">deseaba desentenderse de una cuestión social como lo era su adicción </w:t>
      </w:r>
      <w:r w:rsidR="00F971F3" w:rsidRPr="00150244">
        <w:rPr>
          <w:rFonts w:asciiTheme="majorHAnsi" w:hAnsiTheme="majorHAnsi"/>
          <w:sz w:val="20"/>
          <w:szCs w:val="20"/>
          <w:lang w:val="es-ES_tradnl"/>
        </w:rPr>
        <w:t>al alcohol</w:t>
      </w:r>
      <w:r w:rsidR="004A112C" w:rsidRPr="00150244">
        <w:rPr>
          <w:rFonts w:asciiTheme="majorHAnsi" w:hAnsiTheme="majorHAnsi"/>
          <w:sz w:val="20"/>
          <w:szCs w:val="20"/>
          <w:lang w:val="es-ES_tradnl"/>
        </w:rPr>
        <w:t>. Así, indicó que le habían indicado que las notas que envió eran para solicitar vacaciones para recuperarse de esa adicción</w:t>
      </w:r>
      <w:r w:rsidR="003544C2" w:rsidRPr="00150244">
        <w:rPr>
          <w:rFonts w:asciiTheme="majorHAnsi" w:hAnsiTheme="majorHAnsi"/>
          <w:sz w:val="20"/>
          <w:szCs w:val="20"/>
          <w:lang w:val="es-ES_tradnl"/>
        </w:rPr>
        <w:t>;</w:t>
      </w:r>
      <w:r w:rsidR="00A8616F" w:rsidRPr="00150244">
        <w:rPr>
          <w:rFonts w:asciiTheme="majorHAnsi" w:hAnsiTheme="majorHAnsi"/>
          <w:sz w:val="20"/>
          <w:szCs w:val="20"/>
          <w:lang w:val="es-ES_tradnl"/>
        </w:rPr>
        <w:t xml:space="preserve"> que el telegrama que envió reflejaba la letra de una tercera persona</w:t>
      </w:r>
      <w:r w:rsidR="003544C2" w:rsidRPr="00150244">
        <w:rPr>
          <w:rFonts w:asciiTheme="majorHAnsi" w:hAnsiTheme="majorHAnsi"/>
          <w:sz w:val="20"/>
          <w:szCs w:val="20"/>
          <w:lang w:val="es-ES_tradnl"/>
        </w:rPr>
        <w:t>;</w:t>
      </w:r>
      <w:r w:rsidR="00A8616F" w:rsidRPr="00150244">
        <w:rPr>
          <w:rFonts w:asciiTheme="majorHAnsi" w:hAnsiTheme="majorHAnsi"/>
          <w:sz w:val="20"/>
          <w:szCs w:val="20"/>
          <w:lang w:val="es-ES_tradnl"/>
        </w:rPr>
        <w:t xml:space="preserve"> y que la nota que acompañaba al telegrama había sido preparada en computadora mientras que él no tenía computadora en su domicilio. </w:t>
      </w:r>
    </w:p>
    <w:p w14:paraId="73A36698" w14:textId="670F7D49" w:rsidR="00C94220" w:rsidRPr="00150244" w:rsidRDefault="003544C2" w:rsidP="00B117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b/>
          <w:bCs/>
          <w:sz w:val="20"/>
          <w:szCs w:val="20"/>
          <w:lang w:val="es-ES_tradnl"/>
        </w:rPr>
      </w:pPr>
      <w:r w:rsidRPr="00150244">
        <w:rPr>
          <w:rFonts w:asciiTheme="majorHAnsi" w:hAnsiTheme="majorHAnsi"/>
          <w:sz w:val="20"/>
          <w:szCs w:val="20"/>
          <w:lang w:val="es-ES_tradnl"/>
        </w:rPr>
        <w:t>Esta carta de</w:t>
      </w:r>
      <w:r w:rsidR="003B3F41" w:rsidRPr="00150244">
        <w:rPr>
          <w:rFonts w:asciiTheme="majorHAnsi" w:hAnsiTheme="majorHAnsi"/>
          <w:sz w:val="20"/>
          <w:szCs w:val="20"/>
          <w:lang w:val="es-ES_tradnl"/>
        </w:rPr>
        <w:t xml:space="preserve"> retractación fue rechazada por el Municipio el 17 de diciembre de 200</w:t>
      </w:r>
      <w:r w:rsidR="002705B4" w:rsidRPr="00150244">
        <w:rPr>
          <w:rFonts w:asciiTheme="majorHAnsi" w:hAnsiTheme="majorHAnsi"/>
          <w:sz w:val="20"/>
          <w:szCs w:val="20"/>
          <w:lang w:val="es-ES_tradnl"/>
        </w:rPr>
        <w:t xml:space="preserve">4. El señor Carlos Arancibia falleció </w:t>
      </w:r>
      <w:r w:rsidRPr="00150244">
        <w:rPr>
          <w:rFonts w:asciiTheme="majorHAnsi" w:hAnsiTheme="majorHAnsi"/>
          <w:sz w:val="20"/>
          <w:szCs w:val="20"/>
          <w:lang w:val="es-ES_tradnl"/>
        </w:rPr>
        <w:t xml:space="preserve">a causa de una depresión </w:t>
      </w:r>
      <w:r w:rsidR="002705B4" w:rsidRPr="00150244">
        <w:rPr>
          <w:rFonts w:asciiTheme="majorHAnsi" w:hAnsiTheme="majorHAnsi"/>
          <w:sz w:val="20"/>
          <w:szCs w:val="20"/>
          <w:lang w:val="es-ES_tradnl"/>
        </w:rPr>
        <w:t xml:space="preserve">el 5 de mayo de 2005, tres meses </w:t>
      </w:r>
      <w:r w:rsidRPr="00150244">
        <w:rPr>
          <w:rFonts w:asciiTheme="majorHAnsi" w:hAnsiTheme="majorHAnsi"/>
          <w:sz w:val="20"/>
          <w:szCs w:val="20"/>
          <w:lang w:val="es-ES_tradnl"/>
        </w:rPr>
        <w:t>después</w:t>
      </w:r>
      <w:r w:rsidR="002705B4" w:rsidRPr="00150244">
        <w:rPr>
          <w:rFonts w:asciiTheme="majorHAnsi" w:hAnsiTheme="majorHAnsi"/>
          <w:sz w:val="20"/>
          <w:szCs w:val="20"/>
          <w:lang w:val="es-ES_tradnl"/>
        </w:rPr>
        <w:t xml:space="preserve"> de ser notificado de su cese laboral</w:t>
      </w:r>
      <w:r w:rsidRPr="00150244">
        <w:rPr>
          <w:rFonts w:asciiTheme="majorHAnsi" w:hAnsiTheme="majorHAnsi"/>
          <w:sz w:val="20"/>
          <w:szCs w:val="20"/>
          <w:lang w:val="es-ES_tradnl"/>
        </w:rPr>
        <w:t xml:space="preserve">. </w:t>
      </w:r>
      <w:r w:rsidR="002705B4" w:rsidRPr="00150244">
        <w:rPr>
          <w:rFonts w:asciiTheme="majorHAnsi" w:hAnsiTheme="majorHAnsi"/>
          <w:sz w:val="20"/>
          <w:szCs w:val="20"/>
          <w:lang w:val="es-ES_tradnl"/>
        </w:rPr>
        <w:t xml:space="preserve">El 13 de mayo de 2005 dos de los hijos del señor Arancibia presentaron una carta ante el Municipio solicitando el pago de los haberes </w:t>
      </w:r>
      <w:r w:rsidR="003C45E4" w:rsidRPr="00150244">
        <w:rPr>
          <w:rFonts w:asciiTheme="majorHAnsi" w:hAnsiTheme="majorHAnsi"/>
          <w:sz w:val="20"/>
          <w:szCs w:val="20"/>
          <w:lang w:val="es-ES_tradnl"/>
        </w:rPr>
        <w:t>y derechos previsionales que pudieran haber correspondido a su padre. El 8 de junio de 2005 los dos hijos presentaron otra solicitud al Municipio para que este resolviera mediante acto formal lo relativo a la supuesta renuncia de su padre. El 26 de julio de 2005 el Municipio rechazó la solicitud d</w:t>
      </w:r>
      <w:r w:rsidR="004B3269" w:rsidRPr="00150244">
        <w:rPr>
          <w:rFonts w:asciiTheme="majorHAnsi" w:hAnsiTheme="majorHAnsi"/>
          <w:sz w:val="20"/>
          <w:szCs w:val="20"/>
          <w:lang w:val="es-ES_tradnl"/>
        </w:rPr>
        <w:t>e</w:t>
      </w:r>
      <w:r w:rsidR="003C45E4" w:rsidRPr="00150244">
        <w:rPr>
          <w:rFonts w:asciiTheme="majorHAnsi" w:hAnsiTheme="majorHAnsi"/>
          <w:sz w:val="20"/>
          <w:szCs w:val="20"/>
          <w:lang w:val="es-ES_tradnl"/>
        </w:rPr>
        <w:t xml:space="preserve"> los hijos indicando que ya se había pronunciado al respecto al rechazar la retractación del señor Arancibia</w:t>
      </w:r>
      <w:r w:rsidR="00870BC3" w:rsidRPr="00150244">
        <w:rPr>
          <w:rFonts w:asciiTheme="majorHAnsi" w:hAnsiTheme="majorHAnsi"/>
          <w:sz w:val="20"/>
          <w:szCs w:val="20"/>
          <w:lang w:val="es-ES_tradnl"/>
        </w:rPr>
        <w:t>,</w:t>
      </w:r>
      <w:r w:rsidR="003C45E4" w:rsidRPr="00150244">
        <w:rPr>
          <w:rFonts w:asciiTheme="majorHAnsi" w:hAnsiTheme="majorHAnsi"/>
          <w:sz w:val="20"/>
          <w:szCs w:val="20"/>
          <w:lang w:val="es-ES_tradnl"/>
        </w:rPr>
        <w:t xml:space="preserve"> y reiterando que la renuncia de este había sido voluntaria e incondicional. </w:t>
      </w:r>
    </w:p>
    <w:p w14:paraId="1C2809A3" w14:textId="6783FDA1" w:rsidR="00E758CC" w:rsidRPr="00150244" w:rsidRDefault="00D33BD0" w:rsidP="00B117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b/>
          <w:bCs/>
          <w:sz w:val="20"/>
          <w:szCs w:val="20"/>
          <w:lang w:val="es-ES_tradnl"/>
        </w:rPr>
      </w:pPr>
      <w:r w:rsidRPr="00150244">
        <w:rPr>
          <w:rFonts w:asciiTheme="majorHAnsi" w:hAnsiTheme="majorHAnsi"/>
          <w:sz w:val="20"/>
          <w:szCs w:val="20"/>
          <w:lang w:val="es-ES_tradnl"/>
        </w:rPr>
        <w:t>El 12 de junio de 2005 las presuntas víctimas interpusieron una demanda contencioso-administrativa solicitando la nulidad del acto administrativo por el cual el Municipio aceptó la renuncia del señor Arancibia. La demanda fue conocida por el Juzgado de Primera Instancia en lo Contencioso Administrativo No. 1 del Departamen</w:t>
      </w:r>
      <w:r w:rsidR="008012E0" w:rsidRPr="00150244">
        <w:rPr>
          <w:rFonts w:asciiTheme="majorHAnsi" w:hAnsiTheme="majorHAnsi"/>
          <w:sz w:val="20"/>
          <w:szCs w:val="20"/>
          <w:lang w:val="es-ES_tradnl"/>
        </w:rPr>
        <w:t>to</w:t>
      </w:r>
      <w:r w:rsidRPr="00150244">
        <w:rPr>
          <w:rFonts w:asciiTheme="majorHAnsi" w:hAnsiTheme="majorHAnsi"/>
          <w:sz w:val="20"/>
          <w:szCs w:val="20"/>
          <w:lang w:val="es-ES_tradnl"/>
        </w:rPr>
        <w:t xml:space="preserve"> Judicial Trenque Lauquen</w:t>
      </w:r>
      <w:r w:rsidR="008012E0" w:rsidRPr="00150244">
        <w:rPr>
          <w:rFonts w:asciiTheme="majorHAnsi" w:hAnsiTheme="majorHAnsi"/>
          <w:sz w:val="20"/>
          <w:szCs w:val="20"/>
          <w:lang w:val="es-ES_tradnl"/>
        </w:rPr>
        <w:t xml:space="preserve">. El 1 de octubre de 2008 el juzgado determinó el rechazo de la demanda </w:t>
      </w:r>
      <w:r w:rsidR="00CF01C8" w:rsidRPr="00150244">
        <w:rPr>
          <w:rFonts w:asciiTheme="majorHAnsi" w:hAnsiTheme="majorHAnsi"/>
          <w:sz w:val="20"/>
          <w:szCs w:val="20"/>
          <w:lang w:val="es-ES_tradnl"/>
        </w:rPr>
        <w:t xml:space="preserve">El </w:t>
      </w:r>
      <w:r w:rsidR="008E47C2" w:rsidRPr="00150244">
        <w:rPr>
          <w:rFonts w:asciiTheme="majorHAnsi" w:hAnsiTheme="majorHAnsi"/>
          <w:sz w:val="20"/>
          <w:szCs w:val="20"/>
          <w:lang w:val="es-ES_tradnl"/>
        </w:rPr>
        <w:t>j</w:t>
      </w:r>
      <w:r w:rsidR="00CF01C8" w:rsidRPr="00150244">
        <w:rPr>
          <w:rFonts w:asciiTheme="majorHAnsi" w:hAnsiTheme="majorHAnsi"/>
          <w:sz w:val="20"/>
          <w:szCs w:val="20"/>
          <w:lang w:val="es-ES_tradnl"/>
        </w:rPr>
        <w:t xml:space="preserve">uzgado estimó que la acción contencioso-administrativa se encontraba caduca pues el término de </w:t>
      </w:r>
      <w:r w:rsidR="008E47C2" w:rsidRPr="00150244">
        <w:rPr>
          <w:rFonts w:asciiTheme="majorHAnsi" w:hAnsiTheme="majorHAnsi"/>
          <w:sz w:val="20"/>
          <w:szCs w:val="20"/>
          <w:lang w:val="es-ES_tradnl"/>
        </w:rPr>
        <w:t>noventa</w:t>
      </w:r>
      <w:r w:rsidR="00CF01C8" w:rsidRPr="00150244">
        <w:rPr>
          <w:rFonts w:asciiTheme="majorHAnsi" w:hAnsiTheme="majorHAnsi"/>
          <w:sz w:val="20"/>
          <w:szCs w:val="20"/>
          <w:lang w:val="es-ES_tradnl"/>
        </w:rPr>
        <w:t xml:space="preserve"> días para su interposición debía contarse desde que el </w:t>
      </w:r>
      <w:r w:rsidR="008E47C2" w:rsidRPr="00150244">
        <w:rPr>
          <w:rFonts w:asciiTheme="majorHAnsi" w:hAnsiTheme="majorHAnsi"/>
          <w:sz w:val="20"/>
          <w:szCs w:val="20"/>
          <w:lang w:val="es-ES_tradnl"/>
        </w:rPr>
        <w:t>m</w:t>
      </w:r>
      <w:r w:rsidR="00CF01C8" w:rsidRPr="00150244">
        <w:rPr>
          <w:rFonts w:asciiTheme="majorHAnsi" w:hAnsiTheme="majorHAnsi"/>
          <w:sz w:val="20"/>
          <w:szCs w:val="20"/>
          <w:lang w:val="es-ES_tradnl"/>
        </w:rPr>
        <w:t>unicipio rechazó formalmente su retractación a la renuncia, no siendo relevante las solicitudes que sus herederos presentaron ante el Municipio posterior</w:t>
      </w:r>
      <w:r w:rsidR="004B3269" w:rsidRPr="00150244">
        <w:rPr>
          <w:rFonts w:asciiTheme="majorHAnsi" w:hAnsiTheme="majorHAnsi"/>
          <w:sz w:val="20"/>
          <w:szCs w:val="20"/>
          <w:lang w:val="es-ES_tradnl"/>
        </w:rPr>
        <w:t>mente</w:t>
      </w:r>
      <w:r w:rsidR="00CF01C8" w:rsidRPr="00150244">
        <w:rPr>
          <w:rFonts w:asciiTheme="majorHAnsi" w:hAnsiTheme="majorHAnsi"/>
          <w:sz w:val="20"/>
          <w:szCs w:val="20"/>
          <w:lang w:val="es-ES_tradnl"/>
        </w:rPr>
        <w:t xml:space="preserve">. </w:t>
      </w:r>
    </w:p>
    <w:p w14:paraId="5FDC828E" w14:textId="0EF3420A" w:rsidR="003C45E4" w:rsidRPr="00150244" w:rsidRDefault="00E758CC" w:rsidP="00B117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b/>
          <w:bCs/>
          <w:sz w:val="20"/>
          <w:szCs w:val="20"/>
          <w:lang w:val="es-ES_tradnl"/>
        </w:rPr>
      </w:pPr>
      <w:r w:rsidRPr="00150244">
        <w:rPr>
          <w:rFonts w:asciiTheme="majorHAnsi" w:hAnsiTheme="majorHAnsi"/>
          <w:sz w:val="20"/>
          <w:szCs w:val="20"/>
          <w:lang w:val="es-ES_tradnl"/>
        </w:rPr>
        <w:t xml:space="preserve">La </w:t>
      </w:r>
      <w:r w:rsidR="008E47C2" w:rsidRPr="00150244">
        <w:rPr>
          <w:rFonts w:asciiTheme="majorHAnsi" w:hAnsiTheme="majorHAnsi"/>
          <w:sz w:val="20"/>
          <w:szCs w:val="20"/>
          <w:lang w:val="es-ES_tradnl"/>
        </w:rPr>
        <w:t>s</w:t>
      </w:r>
      <w:r w:rsidRPr="00150244">
        <w:rPr>
          <w:rFonts w:asciiTheme="majorHAnsi" w:hAnsiTheme="majorHAnsi"/>
          <w:sz w:val="20"/>
          <w:szCs w:val="20"/>
          <w:lang w:val="es-ES_tradnl"/>
        </w:rPr>
        <w:t>entencia t</w:t>
      </w:r>
      <w:r w:rsidR="00CF01C8" w:rsidRPr="00150244">
        <w:rPr>
          <w:rFonts w:asciiTheme="majorHAnsi" w:hAnsiTheme="majorHAnsi"/>
          <w:sz w:val="20"/>
          <w:szCs w:val="20"/>
          <w:lang w:val="es-ES_tradnl"/>
        </w:rPr>
        <w:t>ambién estimó que</w:t>
      </w:r>
      <w:r w:rsidRPr="00150244">
        <w:rPr>
          <w:rFonts w:asciiTheme="majorHAnsi" w:hAnsiTheme="majorHAnsi"/>
          <w:sz w:val="20"/>
          <w:szCs w:val="20"/>
          <w:lang w:val="es-ES_tradnl"/>
        </w:rPr>
        <w:t xml:space="preserve"> no estaban probados los vicios de la voluntad alegados por la parte demandante</w:t>
      </w:r>
      <w:r w:rsidR="008E47C2" w:rsidRPr="00150244">
        <w:rPr>
          <w:rFonts w:asciiTheme="majorHAnsi" w:hAnsiTheme="majorHAnsi"/>
          <w:sz w:val="20"/>
          <w:szCs w:val="20"/>
          <w:lang w:val="es-ES_tradnl"/>
        </w:rPr>
        <w:t>,</w:t>
      </w:r>
      <w:r w:rsidRPr="00150244">
        <w:rPr>
          <w:rFonts w:asciiTheme="majorHAnsi" w:hAnsiTheme="majorHAnsi"/>
          <w:sz w:val="20"/>
          <w:szCs w:val="20"/>
          <w:lang w:val="es-ES_tradnl"/>
        </w:rPr>
        <w:t xml:space="preserve"> pues la poca instrucción o la adicción alcohólica del señor Arancibia no implicaban automáticamente que este fuera incapaz para consentir a la renuncia, pues este no había sido inhabilitado judicialmente ni estaba comprobado el supuesto engaño por parte del </w:t>
      </w:r>
      <w:r w:rsidR="008E47C2" w:rsidRPr="00150244">
        <w:rPr>
          <w:rFonts w:asciiTheme="majorHAnsi" w:hAnsiTheme="majorHAnsi"/>
          <w:sz w:val="20"/>
          <w:szCs w:val="20"/>
          <w:lang w:val="es-ES_tradnl"/>
        </w:rPr>
        <w:t>m</w:t>
      </w:r>
      <w:r w:rsidRPr="00150244">
        <w:rPr>
          <w:rFonts w:asciiTheme="majorHAnsi" w:hAnsiTheme="majorHAnsi"/>
          <w:sz w:val="20"/>
          <w:szCs w:val="20"/>
          <w:lang w:val="es-ES_tradnl"/>
        </w:rPr>
        <w:t xml:space="preserve">unicipio o que hubiera estado ebrio al momento </w:t>
      </w:r>
      <w:r w:rsidR="008E47C2" w:rsidRPr="00150244">
        <w:rPr>
          <w:rFonts w:asciiTheme="majorHAnsi" w:hAnsiTheme="majorHAnsi"/>
          <w:sz w:val="20"/>
          <w:szCs w:val="20"/>
          <w:lang w:val="es-ES_tradnl"/>
        </w:rPr>
        <w:t xml:space="preserve">en </w:t>
      </w:r>
      <w:r w:rsidRPr="00150244">
        <w:rPr>
          <w:rFonts w:asciiTheme="majorHAnsi" w:hAnsiTheme="majorHAnsi"/>
          <w:sz w:val="20"/>
          <w:szCs w:val="20"/>
          <w:lang w:val="es-ES_tradnl"/>
        </w:rPr>
        <w:t>que firmó la</w:t>
      </w:r>
      <w:r w:rsidR="004B3269" w:rsidRPr="00150244">
        <w:rPr>
          <w:rFonts w:asciiTheme="majorHAnsi" w:hAnsiTheme="majorHAnsi"/>
          <w:sz w:val="20"/>
          <w:szCs w:val="20"/>
          <w:lang w:val="es-ES_tradnl"/>
        </w:rPr>
        <w:t xml:space="preserve"> </w:t>
      </w:r>
      <w:r w:rsidRPr="00150244">
        <w:rPr>
          <w:rFonts w:asciiTheme="majorHAnsi" w:hAnsiTheme="majorHAnsi"/>
          <w:sz w:val="20"/>
          <w:szCs w:val="20"/>
          <w:lang w:val="es-ES_tradnl"/>
        </w:rPr>
        <w:t>renuncia. Así, la sentencia expresó que “</w:t>
      </w:r>
      <w:r w:rsidRPr="00150244">
        <w:rPr>
          <w:rFonts w:asciiTheme="majorHAnsi" w:hAnsiTheme="majorHAnsi" w:cs="Arial"/>
          <w:i/>
          <w:iCs/>
          <w:sz w:val="20"/>
          <w:szCs w:val="20"/>
          <w:lang w:val="es-ES_tradnl" w:eastAsia="es-ES"/>
        </w:rPr>
        <w:t xml:space="preserve">La falta de prudencia y cautela que debe asumir el firmante </w:t>
      </w:r>
      <w:r w:rsidR="008E47C2" w:rsidRPr="00150244">
        <w:rPr>
          <w:rFonts w:asciiTheme="majorHAnsi" w:hAnsiTheme="majorHAnsi" w:cs="Arial"/>
          <w:i/>
          <w:iCs/>
          <w:sz w:val="20"/>
          <w:szCs w:val="20"/>
          <w:lang w:val="es-ES_tradnl" w:eastAsia="es-ES"/>
        </w:rPr>
        <w:t>–</w:t>
      </w:r>
      <w:r w:rsidRPr="00150244">
        <w:rPr>
          <w:rFonts w:asciiTheme="majorHAnsi" w:hAnsiTheme="majorHAnsi" w:cs="Arial"/>
          <w:i/>
          <w:iCs/>
          <w:sz w:val="20"/>
          <w:szCs w:val="20"/>
          <w:lang w:val="es-ES_tradnl" w:eastAsia="es-ES"/>
        </w:rPr>
        <w:t>analfabeto</w:t>
      </w:r>
      <w:r w:rsidR="008E47C2" w:rsidRPr="00150244">
        <w:rPr>
          <w:rFonts w:asciiTheme="majorHAnsi" w:hAnsiTheme="majorHAnsi" w:cs="Arial"/>
          <w:i/>
          <w:iCs/>
          <w:sz w:val="20"/>
          <w:szCs w:val="20"/>
          <w:lang w:val="es-ES_tradnl" w:eastAsia="es-ES"/>
        </w:rPr>
        <w:t>–</w:t>
      </w:r>
      <w:r w:rsidRPr="00150244">
        <w:rPr>
          <w:rFonts w:asciiTheme="majorHAnsi" w:hAnsiTheme="majorHAnsi" w:cs="Arial"/>
          <w:i/>
          <w:iCs/>
          <w:sz w:val="20"/>
          <w:szCs w:val="20"/>
          <w:lang w:val="es-ES_tradnl" w:eastAsia="es-ES"/>
        </w:rPr>
        <w:t>, no puede conllevar necesariamente la nulidad de los actos jurídicos efectuados</w:t>
      </w:r>
      <w:r w:rsidR="00196872" w:rsidRPr="00150244">
        <w:rPr>
          <w:rFonts w:asciiTheme="majorHAnsi" w:hAnsiTheme="majorHAnsi" w:cs="Arial"/>
          <w:sz w:val="20"/>
          <w:szCs w:val="20"/>
          <w:lang w:val="es-ES_tradnl" w:eastAsia="es-ES"/>
        </w:rPr>
        <w:t xml:space="preserve">”. En la sentencia también se observa que </w:t>
      </w:r>
      <w:r w:rsidR="00BB2B02" w:rsidRPr="00150244">
        <w:rPr>
          <w:rFonts w:asciiTheme="majorHAnsi" w:hAnsiTheme="majorHAnsi" w:cs="Arial"/>
          <w:sz w:val="20"/>
          <w:szCs w:val="20"/>
          <w:lang w:val="es-ES_tradnl" w:eastAsia="es-ES"/>
        </w:rPr>
        <w:t>el informe pericial caligráfico determinó que la firma del señor Arancibia era propia de una persona inexperta con gran dificultad en el manejo de la escritura</w:t>
      </w:r>
      <w:r w:rsidR="00980E12" w:rsidRPr="00150244">
        <w:rPr>
          <w:rFonts w:asciiTheme="majorHAnsi" w:hAnsiTheme="majorHAnsi" w:cs="Arial"/>
          <w:sz w:val="20"/>
          <w:szCs w:val="20"/>
          <w:lang w:val="es-ES_tradnl" w:eastAsia="es-ES"/>
        </w:rPr>
        <w:t>;</w:t>
      </w:r>
      <w:r w:rsidR="00BB2B02" w:rsidRPr="00150244">
        <w:rPr>
          <w:rFonts w:asciiTheme="majorHAnsi" w:hAnsiTheme="majorHAnsi" w:cs="Arial"/>
          <w:sz w:val="20"/>
          <w:szCs w:val="20"/>
          <w:lang w:val="es-ES_tradnl" w:eastAsia="es-ES"/>
        </w:rPr>
        <w:t xml:space="preserve"> que el vocabulario empleado en la car</w:t>
      </w:r>
      <w:r w:rsidR="00CA1839" w:rsidRPr="00150244">
        <w:rPr>
          <w:rFonts w:asciiTheme="majorHAnsi" w:hAnsiTheme="majorHAnsi" w:cs="Arial"/>
          <w:sz w:val="20"/>
          <w:szCs w:val="20"/>
          <w:lang w:val="es-ES_tradnl" w:eastAsia="es-ES"/>
        </w:rPr>
        <w:t>t</w:t>
      </w:r>
      <w:r w:rsidR="00BB2B02" w:rsidRPr="00150244">
        <w:rPr>
          <w:rFonts w:asciiTheme="majorHAnsi" w:hAnsiTheme="majorHAnsi" w:cs="Arial"/>
          <w:sz w:val="20"/>
          <w:szCs w:val="20"/>
          <w:lang w:val="es-ES_tradnl" w:eastAsia="es-ES"/>
        </w:rPr>
        <w:t>a de renuncia era propi</w:t>
      </w:r>
      <w:r w:rsidR="004B3269" w:rsidRPr="00150244">
        <w:rPr>
          <w:rFonts w:asciiTheme="majorHAnsi" w:hAnsiTheme="majorHAnsi" w:cs="Arial"/>
          <w:sz w:val="20"/>
          <w:szCs w:val="20"/>
          <w:lang w:val="es-ES_tradnl" w:eastAsia="es-ES"/>
        </w:rPr>
        <w:t>o</w:t>
      </w:r>
      <w:r w:rsidR="00BB2B02" w:rsidRPr="00150244">
        <w:rPr>
          <w:rFonts w:asciiTheme="majorHAnsi" w:hAnsiTheme="majorHAnsi" w:cs="Arial"/>
          <w:sz w:val="20"/>
          <w:szCs w:val="20"/>
          <w:lang w:val="es-ES_tradnl" w:eastAsia="es-ES"/>
        </w:rPr>
        <w:t xml:space="preserve"> de un redactor instruido</w:t>
      </w:r>
      <w:r w:rsidR="00980E12" w:rsidRPr="00150244">
        <w:rPr>
          <w:rFonts w:asciiTheme="majorHAnsi" w:hAnsiTheme="majorHAnsi" w:cs="Arial"/>
          <w:sz w:val="20"/>
          <w:szCs w:val="20"/>
          <w:lang w:val="es-ES_tradnl" w:eastAsia="es-ES"/>
        </w:rPr>
        <w:t>;</w:t>
      </w:r>
      <w:r w:rsidR="00BB2B02" w:rsidRPr="00150244">
        <w:rPr>
          <w:rFonts w:asciiTheme="majorHAnsi" w:hAnsiTheme="majorHAnsi" w:cs="Arial"/>
          <w:sz w:val="20"/>
          <w:szCs w:val="20"/>
          <w:lang w:val="es-ES_tradnl" w:eastAsia="es-ES"/>
        </w:rPr>
        <w:t xml:space="preserve"> que la firma que obraba en el telegrama era pericialmente atribuible al señor Arancibia</w:t>
      </w:r>
      <w:r w:rsidR="00980E12" w:rsidRPr="00150244">
        <w:rPr>
          <w:rFonts w:asciiTheme="majorHAnsi" w:hAnsiTheme="majorHAnsi" w:cs="Arial"/>
          <w:sz w:val="20"/>
          <w:szCs w:val="20"/>
          <w:lang w:val="es-ES_tradnl" w:eastAsia="es-ES"/>
        </w:rPr>
        <w:t>;</w:t>
      </w:r>
      <w:r w:rsidR="00BB2B02" w:rsidRPr="00150244">
        <w:rPr>
          <w:rFonts w:asciiTheme="majorHAnsi" w:hAnsiTheme="majorHAnsi" w:cs="Arial"/>
          <w:sz w:val="20"/>
          <w:szCs w:val="20"/>
          <w:lang w:val="es-ES_tradnl" w:eastAsia="es-ES"/>
        </w:rPr>
        <w:t xml:space="preserve"> y que la grafía que completaba ese telegrama era producto de una persona con gran habilidad escritural. </w:t>
      </w:r>
    </w:p>
    <w:p w14:paraId="24717185" w14:textId="606938D5" w:rsidR="005B2FED" w:rsidRPr="00150244" w:rsidRDefault="00CA1839" w:rsidP="00B117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b/>
          <w:bCs/>
          <w:sz w:val="20"/>
          <w:szCs w:val="20"/>
          <w:lang w:val="es-ES_tradnl"/>
        </w:rPr>
      </w:pPr>
      <w:r w:rsidRPr="00150244">
        <w:rPr>
          <w:rFonts w:asciiTheme="majorHAnsi" w:hAnsiTheme="majorHAnsi"/>
          <w:sz w:val="20"/>
          <w:szCs w:val="20"/>
          <w:lang w:val="es-ES_tradnl"/>
        </w:rPr>
        <w:t xml:space="preserve">Las presuntas víctimas apelaron el rechazo de su demanda ante la Cámara de Apelaciones en lo Contencioso Administrativo. </w:t>
      </w:r>
      <w:r w:rsidR="00032F2D" w:rsidRPr="00150244">
        <w:rPr>
          <w:rFonts w:asciiTheme="majorHAnsi" w:hAnsiTheme="majorHAnsi"/>
          <w:sz w:val="20"/>
          <w:szCs w:val="20"/>
          <w:lang w:val="es-ES_tradnl"/>
        </w:rPr>
        <w:t xml:space="preserve">El 1 de junio de 2010 la </w:t>
      </w:r>
      <w:r w:rsidR="00980E12" w:rsidRPr="00150244">
        <w:rPr>
          <w:rFonts w:asciiTheme="majorHAnsi" w:hAnsiTheme="majorHAnsi"/>
          <w:sz w:val="20"/>
          <w:szCs w:val="20"/>
          <w:lang w:val="es-ES_tradnl"/>
        </w:rPr>
        <w:t>c</w:t>
      </w:r>
      <w:r w:rsidR="00032F2D" w:rsidRPr="00150244">
        <w:rPr>
          <w:rFonts w:asciiTheme="majorHAnsi" w:hAnsiTheme="majorHAnsi"/>
          <w:sz w:val="20"/>
          <w:szCs w:val="20"/>
          <w:lang w:val="es-ES_tradnl"/>
        </w:rPr>
        <w:t xml:space="preserve">ámara </w:t>
      </w:r>
      <w:r w:rsidR="00943696" w:rsidRPr="00150244">
        <w:rPr>
          <w:rFonts w:asciiTheme="majorHAnsi" w:hAnsiTheme="majorHAnsi"/>
          <w:sz w:val="20"/>
          <w:szCs w:val="20"/>
          <w:lang w:val="es-ES_tradnl"/>
        </w:rPr>
        <w:t>co</w:t>
      </w:r>
      <w:r w:rsidR="00527436" w:rsidRPr="00150244">
        <w:rPr>
          <w:rFonts w:asciiTheme="majorHAnsi" w:hAnsiTheme="majorHAnsi"/>
          <w:sz w:val="20"/>
          <w:szCs w:val="20"/>
          <w:lang w:val="es-ES_tradnl"/>
        </w:rPr>
        <w:t>nfirmó el rechazo en lo sustancial</w:t>
      </w:r>
      <w:r w:rsidR="00980E12" w:rsidRPr="00150244">
        <w:rPr>
          <w:rFonts w:asciiTheme="majorHAnsi" w:hAnsiTheme="majorHAnsi"/>
          <w:sz w:val="20"/>
          <w:szCs w:val="20"/>
          <w:lang w:val="es-ES_tradnl"/>
        </w:rPr>
        <w:t>,</w:t>
      </w:r>
      <w:r w:rsidR="00527436" w:rsidRPr="00150244">
        <w:rPr>
          <w:rFonts w:asciiTheme="majorHAnsi" w:hAnsiTheme="majorHAnsi"/>
          <w:sz w:val="20"/>
          <w:szCs w:val="20"/>
          <w:lang w:val="es-ES_tradnl"/>
        </w:rPr>
        <w:t xml:space="preserve"> pues consideró que la parte demandante </w:t>
      </w:r>
      <w:r w:rsidR="00BD2A1A" w:rsidRPr="00150244">
        <w:rPr>
          <w:rFonts w:asciiTheme="majorHAnsi" w:hAnsiTheme="majorHAnsi"/>
          <w:sz w:val="20"/>
          <w:szCs w:val="20"/>
          <w:lang w:val="es-ES_tradnl"/>
        </w:rPr>
        <w:t xml:space="preserve">se había limitado a señalar indicios de vicios de la voluntad sin acreditar los supuestos actos cometidos por agentes del </w:t>
      </w:r>
      <w:r w:rsidR="00980E12" w:rsidRPr="00150244">
        <w:rPr>
          <w:rFonts w:asciiTheme="majorHAnsi" w:hAnsiTheme="majorHAnsi"/>
          <w:sz w:val="20"/>
          <w:szCs w:val="20"/>
          <w:lang w:val="es-ES_tradnl"/>
        </w:rPr>
        <w:t>m</w:t>
      </w:r>
      <w:r w:rsidR="00BD2A1A" w:rsidRPr="00150244">
        <w:rPr>
          <w:rFonts w:asciiTheme="majorHAnsi" w:hAnsiTheme="majorHAnsi"/>
          <w:sz w:val="20"/>
          <w:szCs w:val="20"/>
          <w:lang w:val="es-ES_tradnl"/>
        </w:rPr>
        <w:t xml:space="preserve">unicipio que habrían inducido al señor Arancibia al error. </w:t>
      </w:r>
      <w:r w:rsidR="009246D4" w:rsidRPr="00150244">
        <w:rPr>
          <w:rFonts w:asciiTheme="majorHAnsi" w:hAnsiTheme="majorHAnsi"/>
          <w:sz w:val="20"/>
          <w:szCs w:val="20"/>
          <w:lang w:val="es-ES_tradnl"/>
        </w:rPr>
        <w:t xml:space="preserve">Contra la decisión de la </w:t>
      </w:r>
      <w:r w:rsidR="00980E12" w:rsidRPr="00150244">
        <w:rPr>
          <w:rFonts w:asciiTheme="majorHAnsi" w:hAnsiTheme="majorHAnsi"/>
          <w:sz w:val="20"/>
          <w:szCs w:val="20"/>
          <w:lang w:val="es-ES_tradnl"/>
        </w:rPr>
        <w:t>c</w:t>
      </w:r>
      <w:r w:rsidR="009246D4" w:rsidRPr="00150244">
        <w:rPr>
          <w:rFonts w:asciiTheme="majorHAnsi" w:hAnsiTheme="majorHAnsi"/>
          <w:sz w:val="20"/>
          <w:szCs w:val="20"/>
          <w:lang w:val="es-ES_tradnl"/>
        </w:rPr>
        <w:t>ámara, las presunta</w:t>
      </w:r>
      <w:r w:rsidR="00D30C24" w:rsidRPr="00150244">
        <w:rPr>
          <w:rFonts w:asciiTheme="majorHAnsi" w:hAnsiTheme="majorHAnsi"/>
          <w:sz w:val="20"/>
          <w:szCs w:val="20"/>
          <w:lang w:val="es-ES_tradnl"/>
        </w:rPr>
        <w:t>s</w:t>
      </w:r>
      <w:r w:rsidR="009246D4" w:rsidRPr="00150244">
        <w:rPr>
          <w:rFonts w:asciiTheme="majorHAnsi" w:hAnsiTheme="majorHAnsi"/>
          <w:sz w:val="20"/>
          <w:szCs w:val="20"/>
          <w:lang w:val="es-ES_tradnl"/>
        </w:rPr>
        <w:t xml:space="preserve"> víctima</w:t>
      </w:r>
      <w:r w:rsidR="00D30C24" w:rsidRPr="00150244">
        <w:rPr>
          <w:rFonts w:asciiTheme="majorHAnsi" w:hAnsiTheme="majorHAnsi"/>
          <w:sz w:val="20"/>
          <w:szCs w:val="20"/>
          <w:lang w:val="es-ES_tradnl"/>
        </w:rPr>
        <w:t>s</w:t>
      </w:r>
      <w:r w:rsidR="009246D4" w:rsidRPr="00150244">
        <w:rPr>
          <w:rFonts w:asciiTheme="majorHAnsi" w:hAnsiTheme="majorHAnsi"/>
          <w:sz w:val="20"/>
          <w:szCs w:val="20"/>
          <w:lang w:val="es-ES_tradnl"/>
        </w:rPr>
        <w:t xml:space="preserve"> interpusieron un recurso de inaplicabilidad de la ley ante la Suprema Corte de Justicia de la Provincia de Buenos Aires. Sin embargo, el 14 de diciembre de 2011 la </w:t>
      </w:r>
      <w:r w:rsidR="009246D4" w:rsidRPr="00150244">
        <w:rPr>
          <w:rFonts w:asciiTheme="majorHAnsi" w:hAnsiTheme="majorHAnsi"/>
          <w:sz w:val="20"/>
          <w:szCs w:val="20"/>
          <w:lang w:val="es-ES_tradnl"/>
        </w:rPr>
        <w:lastRenderedPageBreak/>
        <w:t xml:space="preserve">Suprema Corte provincial declaró </w:t>
      </w:r>
      <w:r w:rsidR="00D30C24" w:rsidRPr="00150244">
        <w:rPr>
          <w:rFonts w:asciiTheme="majorHAnsi" w:hAnsiTheme="majorHAnsi"/>
          <w:sz w:val="20"/>
          <w:szCs w:val="20"/>
          <w:lang w:val="es-ES_tradnl"/>
        </w:rPr>
        <w:t>desierto el recurso porque la parte demandante no había acreditado dentro del término legal el depósito</w:t>
      </w:r>
      <w:r w:rsidR="005C599E" w:rsidRPr="00150244">
        <w:rPr>
          <w:rFonts w:asciiTheme="majorHAnsi" w:hAnsiTheme="majorHAnsi"/>
          <w:sz w:val="20"/>
          <w:szCs w:val="20"/>
          <w:lang w:val="es-ES_tradnl"/>
        </w:rPr>
        <w:t xml:space="preserve"> monetario que las leyes provinciales exigían como condición para acceder al referido recurso.</w:t>
      </w:r>
      <w:r w:rsidR="00B862F0" w:rsidRPr="00150244">
        <w:rPr>
          <w:rFonts w:asciiTheme="majorHAnsi" w:hAnsiTheme="majorHAnsi"/>
          <w:sz w:val="20"/>
          <w:szCs w:val="20"/>
          <w:lang w:val="es-ES_tradnl"/>
        </w:rPr>
        <w:t xml:space="preserve"> Las presuntas víctimas impugnaron esta decisión mediante</w:t>
      </w:r>
      <w:r w:rsidR="005B2FED" w:rsidRPr="00150244">
        <w:rPr>
          <w:rFonts w:asciiTheme="majorHAnsi" w:hAnsiTheme="majorHAnsi"/>
          <w:sz w:val="20"/>
          <w:szCs w:val="20"/>
          <w:lang w:val="es-ES_tradnl"/>
        </w:rPr>
        <w:t xml:space="preserve"> un</w:t>
      </w:r>
      <w:r w:rsidR="00B862F0" w:rsidRPr="00150244">
        <w:rPr>
          <w:rFonts w:asciiTheme="majorHAnsi" w:hAnsiTheme="majorHAnsi"/>
          <w:sz w:val="20"/>
          <w:szCs w:val="20"/>
          <w:lang w:val="es-ES_tradnl"/>
        </w:rPr>
        <w:t xml:space="preserve"> recurso extraordinario federal </w:t>
      </w:r>
      <w:r w:rsidR="005B2FED" w:rsidRPr="00150244">
        <w:rPr>
          <w:rFonts w:asciiTheme="majorHAnsi" w:hAnsiTheme="majorHAnsi"/>
          <w:sz w:val="20"/>
          <w:szCs w:val="20"/>
          <w:lang w:val="es-ES_tradnl"/>
        </w:rPr>
        <w:t>que fue</w:t>
      </w:r>
      <w:r w:rsidR="00B862F0" w:rsidRPr="00150244">
        <w:rPr>
          <w:rFonts w:asciiTheme="majorHAnsi" w:hAnsiTheme="majorHAnsi"/>
          <w:sz w:val="20"/>
          <w:szCs w:val="20"/>
          <w:lang w:val="es-ES_tradnl"/>
        </w:rPr>
        <w:t xml:space="preserve"> rechazado por la Suprema Corte </w:t>
      </w:r>
      <w:r w:rsidR="005B2FED" w:rsidRPr="00150244">
        <w:rPr>
          <w:rFonts w:asciiTheme="majorHAnsi" w:hAnsiTheme="majorHAnsi"/>
          <w:sz w:val="20"/>
          <w:szCs w:val="20"/>
          <w:lang w:val="es-ES_tradnl"/>
        </w:rPr>
        <w:t xml:space="preserve">provincial. </w:t>
      </w:r>
    </w:p>
    <w:p w14:paraId="6C1908A5" w14:textId="116D4953" w:rsidR="0043284E" w:rsidRPr="00150244" w:rsidRDefault="005C599E" w:rsidP="00B117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b/>
          <w:bCs/>
          <w:sz w:val="20"/>
          <w:szCs w:val="20"/>
          <w:lang w:val="es-ES_tradnl"/>
        </w:rPr>
      </w:pPr>
      <w:r w:rsidRPr="00150244">
        <w:rPr>
          <w:rFonts w:asciiTheme="majorHAnsi" w:hAnsiTheme="majorHAnsi"/>
          <w:sz w:val="20"/>
          <w:szCs w:val="20"/>
          <w:lang w:val="es-ES_tradnl"/>
        </w:rPr>
        <w:t xml:space="preserve"> </w:t>
      </w:r>
      <w:r w:rsidR="005B2FED" w:rsidRPr="00150244">
        <w:rPr>
          <w:rFonts w:asciiTheme="majorHAnsi" w:hAnsiTheme="majorHAnsi"/>
          <w:sz w:val="20"/>
          <w:szCs w:val="20"/>
          <w:lang w:val="es-ES_tradnl"/>
        </w:rPr>
        <w:t>Contra la decisión de la Suprema Corte provincial, las presuntas víctimas interpusieron un recurso de queja por recurso extraordinario federal denegado. En este recurso las presuntas víctimas denunciaron que e</w:t>
      </w:r>
      <w:r w:rsidRPr="00150244">
        <w:rPr>
          <w:rFonts w:asciiTheme="majorHAnsi" w:hAnsiTheme="majorHAnsi"/>
          <w:sz w:val="20"/>
          <w:szCs w:val="20"/>
          <w:lang w:val="es-ES_tradnl"/>
        </w:rPr>
        <w:t>l depósito que se les solicitó</w:t>
      </w:r>
      <w:r w:rsidR="005B2FED" w:rsidRPr="00150244">
        <w:rPr>
          <w:rFonts w:asciiTheme="majorHAnsi" w:hAnsiTheme="majorHAnsi"/>
          <w:sz w:val="20"/>
          <w:szCs w:val="20"/>
          <w:lang w:val="es-ES_tradnl"/>
        </w:rPr>
        <w:t xml:space="preserve"> como condición para acceder a la justicia</w:t>
      </w:r>
      <w:r w:rsidRPr="00150244">
        <w:rPr>
          <w:rFonts w:asciiTheme="majorHAnsi" w:hAnsiTheme="majorHAnsi"/>
          <w:sz w:val="20"/>
          <w:szCs w:val="20"/>
          <w:lang w:val="es-ES_tradnl"/>
        </w:rPr>
        <w:t xml:space="preserve"> ascendía a $24.240 pesos (</w:t>
      </w:r>
      <w:r w:rsidR="003273C7" w:rsidRPr="00150244">
        <w:rPr>
          <w:rFonts w:asciiTheme="majorHAnsi" w:hAnsiTheme="majorHAnsi"/>
          <w:sz w:val="20"/>
          <w:szCs w:val="20"/>
          <w:lang w:val="es-ES_tradnl"/>
        </w:rPr>
        <w:t>aproximadamente $5</w:t>
      </w:r>
      <w:r w:rsidR="00980E12" w:rsidRPr="00150244">
        <w:rPr>
          <w:rFonts w:asciiTheme="majorHAnsi" w:hAnsiTheme="majorHAnsi"/>
          <w:sz w:val="20"/>
          <w:szCs w:val="20"/>
          <w:lang w:val="es-ES_tradnl"/>
        </w:rPr>
        <w:t>,</w:t>
      </w:r>
      <w:r w:rsidR="003273C7" w:rsidRPr="00150244">
        <w:rPr>
          <w:rFonts w:asciiTheme="majorHAnsi" w:hAnsiTheme="majorHAnsi"/>
          <w:sz w:val="20"/>
          <w:szCs w:val="20"/>
          <w:lang w:val="es-ES_tradnl"/>
        </w:rPr>
        <w:t>676.00 dólares de los Estados Unidos de América en 201</w:t>
      </w:r>
      <w:r w:rsidR="00865F79" w:rsidRPr="00150244">
        <w:rPr>
          <w:rFonts w:asciiTheme="majorHAnsi" w:hAnsiTheme="majorHAnsi"/>
          <w:sz w:val="20"/>
          <w:szCs w:val="20"/>
          <w:lang w:val="es-ES_tradnl"/>
        </w:rPr>
        <w:t>1</w:t>
      </w:r>
      <w:r w:rsidR="003273C7" w:rsidRPr="00150244">
        <w:rPr>
          <w:rStyle w:val="FootnoteReference"/>
          <w:rFonts w:asciiTheme="majorHAnsi" w:hAnsiTheme="majorHAnsi"/>
          <w:sz w:val="20"/>
          <w:szCs w:val="20"/>
          <w:lang w:val="es-ES_tradnl"/>
        </w:rPr>
        <w:footnoteReference w:id="5"/>
      </w:r>
      <w:r w:rsidR="003273C7" w:rsidRPr="00150244">
        <w:rPr>
          <w:rFonts w:asciiTheme="majorHAnsi" w:hAnsiTheme="majorHAnsi"/>
          <w:sz w:val="20"/>
          <w:szCs w:val="20"/>
          <w:lang w:val="es-ES_tradnl"/>
        </w:rPr>
        <w:t>)</w:t>
      </w:r>
      <w:r w:rsidR="005B2FED" w:rsidRPr="00150244">
        <w:rPr>
          <w:rFonts w:asciiTheme="majorHAnsi" w:hAnsiTheme="majorHAnsi"/>
          <w:sz w:val="20"/>
          <w:szCs w:val="20"/>
          <w:lang w:val="es-ES_tradnl"/>
        </w:rPr>
        <w:t>; lo que estaba fuera de las capacidades de</w:t>
      </w:r>
      <w:r w:rsidR="00BF2D62" w:rsidRPr="00150244">
        <w:rPr>
          <w:rFonts w:asciiTheme="majorHAnsi" w:hAnsiTheme="majorHAnsi"/>
          <w:sz w:val="20"/>
          <w:szCs w:val="20"/>
          <w:lang w:val="es-ES_tradnl"/>
        </w:rPr>
        <w:t xml:space="preserve"> su</w:t>
      </w:r>
      <w:r w:rsidR="005B2FED" w:rsidRPr="00150244">
        <w:rPr>
          <w:rFonts w:asciiTheme="majorHAnsi" w:hAnsiTheme="majorHAnsi"/>
          <w:sz w:val="20"/>
          <w:szCs w:val="20"/>
          <w:lang w:val="es-ES_tradnl"/>
        </w:rPr>
        <w:t xml:space="preserve"> grupo familiar que se encontraba en la indigencia a raíz del cese laboral y posterior muerte</w:t>
      </w:r>
      <w:r w:rsidR="00F7551A" w:rsidRPr="00150244">
        <w:rPr>
          <w:rFonts w:asciiTheme="majorHAnsi" w:hAnsiTheme="majorHAnsi"/>
          <w:sz w:val="20"/>
          <w:szCs w:val="20"/>
          <w:lang w:val="es-ES_tradnl"/>
        </w:rPr>
        <w:t xml:space="preserve"> de</w:t>
      </w:r>
      <w:r w:rsidR="00E26834" w:rsidRPr="00150244">
        <w:rPr>
          <w:rFonts w:asciiTheme="majorHAnsi" w:hAnsiTheme="majorHAnsi"/>
          <w:sz w:val="20"/>
          <w:szCs w:val="20"/>
          <w:lang w:val="es-ES_tradnl"/>
        </w:rPr>
        <w:t xml:space="preserve">l señor Arancibia. El </w:t>
      </w:r>
      <w:r w:rsidR="00BF2D62" w:rsidRPr="00150244">
        <w:rPr>
          <w:rFonts w:asciiTheme="majorHAnsi" w:hAnsiTheme="majorHAnsi"/>
          <w:sz w:val="20"/>
          <w:szCs w:val="20"/>
          <w:lang w:val="es-ES_tradnl"/>
        </w:rPr>
        <w:t>recurso también alegó que la Suprema Corte provincial había ignorad</w:t>
      </w:r>
      <w:r w:rsidR="004B3269" w:rsidRPr="00150244">
        <w:rPr>
          <w:rFonts w:asciiTheme="majorHAnsi" w:hAnsiTheme="majorHAnsi"/>
          <w:sz w:val="20"/>
          <w:szCs w:val="20"/>
          <w:lang w:val="es-ES_tradnl"/>
        </w:rPr>
        <w:t>o</w:t>
      </w:r>
      <w:r w:rsidR="00BF2D62" w:rsidRPr="00150244">
        <w:rPr>
          <w:rFonts w:asciiTheme="majorHAnsi" w:hAnsiTheme="majorHAnsi"/>
          <w:sz w:val="20"/>
          <w:szCs w:val="20"/>
          <w:lang w:val="es-ES_tradnl"/>
        </w:rPr>
        <w:t xml:space="preserve"> arbitrariamente que el reclamo de las presuntas víctimas se encontraba amparado por un beneficio legal de gratuidad por tratarse de un tema laboral</w:t>
      </w:r>
      <w:r w:rsidR="00F85B44" w:rsidRPr="00150244">
        <w:rPr>
          <w:rFonts w:asciiTheme="majorHAnsi" w:hAnsiTheme="majorHAnsi"/>
          <w:sz w:val="20"/>
          <w:szCs w:val="20"/>
          <w:lang w:val="es-ES_tradnl"/>
        </w:rPr>
        <w:t xml:space="preserve"> al igual que por un beneficio de gratuidad provisorio </w:t>
      </w:r>
    </w:p>
    <w:p w14:paraId="3B03F542" w14:textId="66376E89" w:rsidR="00F85B44" w:rsidRPr="00150244" w:rsidRDefault="008B26FC" w:rsidP="00B117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b/>
          <w:bCs/>
          <w:sz w:val="20"/>
          <w:szCs w:val="20"/>
          <w:lang w:val="es-ES_tradnl"/>
        </w:rPr>
      </w:pPr>
      <w:r w:rsidRPr="00150244">
        <w:rPr>
          <w:rFonts w:asciiTheme="majorHAnsi" w:hAnsiTheme="majorHAnsi"/>
          <w:sz w:val="20"/>
          <w:szCs w:val="20"/>
          <w:lang w:val="es-ES_tradnl"/>
        </w:rPr>
        <w:t>El 1 de abril de 2014 la Corte Suprema de Justicia de la Nación desestimó el recurso de queja interpuesto por las presuntas víctimas por no cumplir con los requisitos de forma establecidos en el artículo 4 de la acordada 4/2007. El referido artículo señala: “</w:t>
      </w:r>
      <w:r w:rsidRPr="00150244">
        <w:rPr>
          <w:rFonts w:asciiTheme="majorHAnsi" w:hAnsiTheme="majorHAnsi" w:cs="Arial"/>
          <w:i/>
          <w:iCs/>
          <w:sz w:val="20"/>
          <w:szCs w:val="20"/>
          <w:shd w:val="clear" w:color="auto" w:fill="FFFFFF"/>
          <w:lang w:val="es-ES_tradnl"/>
        </w:rPr>
        <w:t>El recurso de queja por denegación del recurso extraordinario federal deberá interponerse mediante un escrito de extensión no mayor a diez (10) páginas de veintiséis (26) renglones, y con letra de tamaño claramente legible (no menor de 12)</w:t>
      </w:r>
      <w:r w:rsidRPr="00150244">
        <w:rPr>
          <w:rFonts w:asciiTheme="majorHAnsi" w:hAnsiTheme="majorHAnsi" w:cs="Arial"/>
          <w:sz w:val="20"/>
          <w:szCs w:val="20"/>
          <w:shd w:val="clear" w:color="auto" w:fill="FFFFFF"/>
          <w:lang w:val="es-ES_tradnl"/>
        </w:rPr>
        <w:t>”.</w:t>
      </w:r>
    </w:p>
    <w:p w14:paraId="77986026" w14:textId="18A76F82" w:rsidR="008B26FC" w:rsidRPr="00150244" w:rsidRDefault="008B26FC" w:rsidP="00B117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b/>
          <w:bCs/>
          <w:sz w:val="20"/>
          <w:szCs w:val="20"/>
          <w:lang w:val="es-ES_tradnl"/>
        </w:rPr>
      </w:pPr>
      <w:r w:rsidRPr="00150244">
        <w:rPr>
          <w:rFonts w:asciiTheme="majorHAnsi" w:hAnsiTheme="majorHAnsi" w:cs="Arial"/>
          <w:sz w:val="20"/>
          <w:szCs w:val="20"/>
          <w:shd w:val="clear" w:color="auto" w:fill="FFFFFF"/>
          <w:lang w:val="es-ES_tradnl"/>
        </w:rPr>
        <w:t xml:space="preserve">La parte peticionaria sostiene que su recurso cumplió con los requisitos del referido artículo en lo relacionado con el tamaño de la letra y el número de páginas. El único defecto fue que cuatro de las páginas contaban con </w:t>
      </w:r>
      <w:r w:rsidR="00820F98" w:rsidRPr="00150244">
        <w:rPr>
          <w:rFonts w:asciiTheme="majorHAnsi" w:hAnsiTheme="majorHAnsi" w:cs="Arial"/>
          <w:sz w:val="20"/>
          <w:szCs w:val="20"/>
          <w:shd w:val="clear" w:color="auto" w:fill="FFFFFF"/>
          <w:lang w:val="es-ES_tradnl"/>
        </w:rPr>
        <w:t xml:space="preserve">veintisiete </w:t>
      </w:r>
      <w:r w:rsidRPr="00150244">
        <w:rPr>
          <w:rFonts w:asciiTheme="majorHAnsi" w:hAnsiTheme="majorHAnsi" w:cs="Arial"/>
          <w:sz w:val="20"/>
          <w:szCs w:val="20"/>
          <w:shd w:val="clear" w:color="auto" w:fill="FFFFFF"/>
          <w:lang w:val="es-ES_tradnl"/>
        </w:rPr>
        <w:t>re</w:t>
      </w:r>
      <w:r w:rsidR="00662833" w:rsidRPr="00150244">
        <w:rPr>
          <w:rFonts w:asciiTheme="majorHAnsi" w:hAnsiTheme="majorHAnsi" w:cs="Arial"/>
          <w:sz w:val="20"/>
          <w:szCs w:val="20"/>
          <w:shd w:val="clear" w:color="auto" w:fill="FFFFFF"/>
          <w:lang w:val="es-ES_tradnl"/>
        </w:rPr>
        <w:t>n</w:t>
      </w:r>
      <w:r w:rsidRPr="00150244">
        <w:rPr>
          <w:rFonts w:asciiTheme="majorHAnsi" w:hAnsiTheme="majorHAnsi" w:cs="Arial"/>
          <w:sz w:val="20"/>
          <w:szCs w:val="20"/>
          <w:shd w:val="clear" w:color="auto" w:fill="FFFFFF"/>
          <w:lang w:val="es-ES_tradnl"/>
        </w:rPr>
        <w:t xml:space="preserve">glones, es decir, uno más del máximo permitido. </w:t>
      </w:r>
      <w:r w:rsidR="00234094" w:rsidRPr="00150244">
        <w:rPr>
          <w:rFonts w:asciiTheme="majorHAnsi" w:hAnsiTheme="majorHAnsi" w:cs="Arial"/>
          <w:sz w:val="20"/>
          <w:szCs w:val="20"/>
          <w:shd w:val="clear" w:color="auto" w:fill="FFFFFF"/>
          <w:lang w:val="es-ES_tradnl"/>
        </w:rPr>
        <w:t xml:space="preserve">La parte peticionaria explica que esto se debió a que la edición automática del programa </w:t>
      </w:r>
      <w:r w:rsidR="00234094" w:rsidRPr="00150244">
        <w:rPr>
          <w:rFonts w:asciiTheme="majorHAnsi" w:hAnsiTheme="majorHAnsi" w:cs="Arial"/>
          <w:i/>
          <w:iCs/>
          <w:sz w:val="20"/>
          <w:szCs w:val="20"/>
          <w:shd w:val="clear" w:color="auto" w:fill="FFFFFF"/>
          <w:lang w:val="es-ES_tradnl"/>
        </w:rPr>
        <w:t>Word</w:t>
      </w:r>
      <w:r w:rsidR="00234094" w:rsidRPr="00150244">
        <w:rPr>
          <w:rFonts w:asciiTheme="majorHAnsi" w:hAnsiTheme="majorHAnsi" w:cs="Arial"/>
          <w:sz w:val="20"/>
          <w:szCs w:val="20"/>
          <w:shd w:val="clear" w:color="auto" w:fill="FFFFFF"/>
          <w:lang w:val="es-ES_tradnl"/>
        </w:rPr>
        <w:t xml:space="preserve"> pasó algunos re</w:t>
      </w:r>
      <w:r w:rsidR="00662833" w:rsidRPr="00150244">
        <w:rPr>
          <w:rFonts w:asciiTheme="majorHAnsi" w:hAnsiTheme="majorHAnsi" w:cs="Arial"/>
          <w:sz w:val="20"/>
          <w:szCs w:val="20"/>
          <w:shd w:val="clear" w:color="auto" w:fill="FFFFFF"/>
          <w:lang w:val="es-ES_tradnl"/>
        </w:rPr>
        <w:t>n</w:t>
      </w:r>
      <w:r w:rsidR="00234094" w:rsidRPr="00150244">
        <w:rPr>
          <w:rFonts w:asciiTheme="majorHAnsi" w:hAnsiTheme="majorHAnsi" w:cs="Arial"/>
          <w:sz w:val="20"/>
          <w:szCs w:val="20"/>
          <w:shd w:val="clear" w:color="auto" w:fill="FFFFFF"/>
          <w:lang w:val="es-ES_tradnl"/>
        </w:rPr>
        <w:t>glones de una página a otra. Sin embargo, el escrito en su totalidad no excedió el máximo de reglones permitidos por la</w:t>
      </w:r>
      <w:r w:rsidR="00820F98" w:rsidRPr="00150244">
        <w:rPr>
          <w:rFonts w:asciiTheme="majorHAnsi" w:hAnsiTheme="majorHAnsi" w:cs="Arial"/>
          <w:sz w:val="20"/>
          <w:szCs w:val="20"/>
          <w:shd w:val="clear" w:color="auto" w:fill="FFFFFF"/>
          <w:lang w:val="es-ES_tradnl"/>
        </w:rPr>
        <w:t xml:space="preserve"> </w:t>
      </w:r>
      <w:r w:rsidR="00234094" w:rsidRPr="00150244">
        <w:rPr>
          <w:rFonts w:asciiTheme="majorHAnsi" w:hAnsiTheme="majorHAnsi" w:cs="Arial"/>
          <w:sz w:val="20"/>
          <w:szCs w:val="20"/>
          <w:shd w:val="clear" w:color="auto" w:fill="FFFFFF"/>
          <w:lang w:val="es-ES_tradnl"/>
        </w:rPr>
        <w:t>norma</w:t>
      </w:r>
      <w:r w:rsidR="00806273" w:rsidRPr="00150244">
        <w:rPr>
          <w:rFonts w:asciiTheme="majorHAnsi" w:hAnsiTheme="majorHAnsi" w:cs="Arial"/>
          <w:sz w:val="20"/>
          <w:szCs w:val="20"/>
          <w:shd w:val="clear" w:color="auto" w:fill="FFFFFF"/>
          <w:lang w:val="es-ES_tradnl"/>
        </w:rPr>
        <w:t>,</w:t>
      </w:r>
      <w:r w:rsidR="00234094" w:rsidRPr="00150244">
        <w:rPr>
          <w:rFonts w:asciiTheme="majorHAnsi" w:hAnsiTheme="majorHAnsi" w:cs="Arial"/>
          <w:sz w:val="20"/>
          <w:szCs w:val="20"/>
          <w:shd w:val="clear" w:color="auto" w:fill="FFFFFF"/>
          <w:lang w:val="es-ES_tradnl"/>
        </w:rPr>
        <w:t xml:space="preserve"> pues tenía un total de </w:t>
      </w:r>
      <w:r w:rsidR="00820F98" w:rsidRPr="00150244">
        <w:rPr>
          <w:rFonts w:asciiTheme="majorHAnsi" w:hAnsiTheme="majorHAnsi" w:cs="Arial"/>
          <w:sz w:val="20"/>
          <w:szCs w:val="20"/>
          <w:shd w:val="clear" w:color="auto" w:fill="FFFFFF"/>
          <w:lang w:val="es-ES_tradnl"/>
        </w:rPr>
        <w:t xml:space="preserve">doscientos sesenta </w:t>
      </w:r>
      <w:r w:rsidR="00234094" w:rsidRPr="00150244">
        <w:rPr>
          <w:rFonts w:asciiTheme="majorHAnsi" w:hAnsiTheme="majorHAnsi" w:cs="Arial"/>
          <w:sz w:val="20"/>
          <w:szCs w:val="20"/>
          <w:shd w:val="clear" w:color="auto" w:fill="FFFFFF"/>
          <w:lang w:val="es-ES_tradnl"/>
        </w:rPr>
        <w:t>re</w:t>
      </w:r>
      <w:r w:rsidR="00662833" w:rsidRPr="00150244">
        <w:rPr>
          <w:rFonts w:asciiTheme="majorHAnsi" w:hAnsiTheme="majorHAnsi" w:cs="Arial"/>
          <w:sz w:val="20"/>
          <w:szCs w:val="20"/>
          <w:shd w:val="clear" w:color="auto" w:fill="FFFFFF"/>
          <w:lang w:val="es-ES_tradnl"/>
        </w:rPr>
        <w:t>n</w:t>
      </w:r>
      <w:r w:rsidR="00234094" w:rsidRPr="00150244">
        <w:rPr>
          <w:rFonts w:asciiTheme="majorHAnsi" w:hAnsiTheme="majorHAnsi" w:cs="Arial"/>
          <w:sz w:val="20"/>
          <w:szCs w:val="20"/>
          <w:shd w:val="clear" w:color="auto" w:fill="FFFFFF"/>
          <w:lang w:val="es-ES_tradnl"/>
        </w:rPr>
        <w:t xml:space="preserve">glones en sus </w:t>
      </w:r>
      <w:r w:rsidR="00820F98" w:rsidRPr="00150244">
        <w:rPr>
          <w:rFonts w:asciiTheme="majorHAnsi" w:hAnsiTheme="majorHAnsi" w:cs="Arial"/>
          <w:sz w:val="20"/>
          <w:szCs w:val="20"/>
          <w:shd w:val="clear" w:color="auto" w:fill="FFFFFF"/>
          <w:lang w:val="es-ES_tradnl"/>
        </w:rPr>
        <w:t>diez</w:t>
      </w:r>
      <w:r w:rsidR="00234094" w:rsidRPr="00150244">
        <w:rPr>
          <w:rFonts w:asciiTheme="majorHAnsi" w:hAnsiTheme="majorHAnsi" w:cs="Arial"/>
          <w:sz w:val="20"/>
          <w:szCs w:val="20"/>
          <w:shd w:val="clear" w:color="auto" w:fill="FFFFFF"/>
          <w:lang w:val="es-ES_tradnl"/>
        </w:rPr>
        <w:t xml:space="preserve"> páginas. </w:t>
      </w:r>
      <w:r w:rsidR="00B14DC9" w:rsidRPr="00150244">
        <w:rPr>
          <w:rFonts w:asciiTheme="majorHAnsi" w:hAnsiTheme="majorHAnsi" w:cs="Arial"/>
          <w:sz w:val="20"/>
          <w:szCs w:val="20"/>
          <w:shd w:val="clear" w:color="auto" w:fill="FFFFFF"/>
          <w:lang w:val="es-ES_tradnl"/>
        </w:rPr>
        <w:t>La petición r</w:t>
      </w:r>
      <w:r w:rsidR="00D35970" w:rsidRPr="00150244">
        <w:rPr>
          <w:rFonts w:asciiTheme="majorHAnsi" w:hAnsiTheme="majorHAnsi" w:cs="Arial"/>
          <w:sz w:val="20"/>
          <w:szCs w:val="20"/>
          <w:shd w:val="clear" w:color="auto" w:fill="FFFFFF"/>
          <w:lang w:val="es-ES_tradnl"/>
        </w:rPr>
        <w:t xml:space="preserve">eclama que, en un tema de tal importancia como el cese laboral fraudulento de una persona analfabeta, se les haya negado a las presuntas víctimas el acceso a la instancia extraordinaria por un error mínimo de forma producto de la acomodación automática realizada por un programa informático. </w:t>
      </w:r>
    </w:p>
    <w:p w14:paraId="043C5AE7" w14:textId="63E573E4" w:rsidR="00463453" w:rsidRPr="00150244" w:rsidRDefault="00D35970" w:rsidP="00B117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b/>
          <w:bCs/>
          <w:sz w:val="20"/>
          <w:szCs w:val="20"/>
          <w:lang w:val="es-ES_tradnl"/>
        </w:rPr>
      </w:pPr>
      <w:r w:rsidRPr="00150244">
        <w:rPr>
          <w:rFonts w:asciiTheme="majorHAnsi" w:hAnsiTheme="majorHAnsi" w:cs="Arial"/>
          <w:sz w:val="20"/>
          <w:szCs w:val="20"/>
          <w:shd w:val="clear" w:color="auto" w:fill="FFFFFF"/>
          <w:lang w:val="es-ES_tradnl"/>
        </w:rPr>
        <w:t xml:space="preserve">Las presuntas víctimas impugnaron la desestimación de su recurso de queja mediante </w:t>
      </w:r>
      <w:r w:rsidR="001E2F99" w:rsidRPr="00150244">
        <w:rPr>
          <w:rFonts w:asciiTheme="majorHAnsi" w:hAnsiTheme="majorHAnsi" w:cs="Arial"/>
          <w:sz w:val="20"/>
          <w:szCs w:val="20"/>
          <w:shd w:val="clear" w:color="auto" w:fill="FFFFFF"/>
          <w:lang w:val="es-ES_tradnl"/>
        </w:rPr>
        <w:t>un recurso de revocatoria. Este recurso fue desestimado el 15 de julio de 2014 por la Corte Suprema de Justicia de la Nación</w:t>
      </w:r>
      <w:r w:rsidR="00806273" w:rsidRPr="00150244">
        <w:rPr>
          <w:rFonts w:asciiTheme="majorHAnsi" w:hAnsiTheme="majorHAnsi" w:cs="Arial"/>
          <w:sz w:val="20"/>
          <w:szCs w:val="20"/>
          <w:shd w:val="clear" w:color="auto" w:fill="FFFFFF"/>
          <w:lang w:val="es-ES_tradnl"/>
        </w:rPr>
        <w:t>;</w:t>
      </w:r>
      <w:r w:rsidR="001E2F99" w:rsidRPr="00150244">
        <w:rPr>
          <w:rFonts w:asciiTheme="majorHAnsi" w:hAnsiTheme="majorHAnsi" w:cs="Arial"/>
          <w:sz w:val="20"/>
          <w:szCs w:val="20"/>
          <w:shd w:val="clear" w:color="auto" w:fill="FFFFFF"/>
          <w:lang w:val="es-ES_tradnl"/>
        </w:rPr>
        <w:t xml:space="preserve"> </w:t>
      </w:r>
      <w:r w:rsidR="00806273" w:rsidRPr="00150244">
        <w:rPr>
          <w:rFonts w:asciiTheme="majorHAnsi" w:hAnsiTheme="majorHAnsi" w:cs="Arial"/>
          <w:sz w:val="20"/>
          <w:szCs w:val="20"/>
          <w:shd w:val="clear" w:color="auto" w:fill="FFFFFF"/>
          <w:lang w:val="es-ES_tradnl"/>
        </w:rPr>
        <w:t>la cual</w:t>
      </w:r>
      <w:r w:rsidR="001E2F99" w:rsidRPr="00150244">
        <w:rPr>
          <w:rFonts w:asciiTheme="majorHAnsi" w:hAnsiTheme="majorHAnsi" w:cs="Arial"/>
          <w:sz w:val="20"/>
          <w:szCs w:val="20"/>
          <w:shd w:val="clear" w:color="auto" w:fill="FFFFFF"/>
          <w:lang w:val="es-ES_tradnl"/>
        </w:rPr>
        <w:t xml:space="preserve"> </w:t>
      </w:r>
      <w:r w:rsidR="0029647E" w:rsidRPr="00150244">
        <w:rPr>
          <w:rFonts w:asciiTheme="majorHAnsi" w:hAnsiTheme="majorHAnsi" w:cs="Arial"/>
          <w:sz w:val="20"/>
          <w:szCs w:val="20"/>
          <w:shd w:val="clear" w:color="auto" w:fill="FFFFFF"/>
          <w:lang w:val="es-ES_tradnl"/>
        </w:rPr>
        <w:t>señaló que sus fallos no podían ser modificados por el recurso de revocatoria salvo en circunstancias excepcionales que no concurrían en el caso de las presuntas víctimas. La parte peticionaria indica que esta decisión de rechazo fue la decisión final de la justicia doméstica y que le fue notificada a las presuntas víctimas el 11 de agosto de 2014.</w:t>
      </w:r>
      <w:r w:rsidR="00365B11" w:rsidRPr="00150244">
        <w:rPr>
          <w:rFonts w:asciiTheme="majorHAnsi" w:hAnsiTheme="majorHAnsi" w:cs="Arial"/>
          <w:sz w:val="20"/>
          <w:szCs w:val="20"/>
          <w:shd w:val="clear" w:color="auto" w:fill="FFFFFF"/>
          <w:lang w:val="es-ES_tradnl"/>
        </w:rPr>
        <w:t xml:space="preserve"> </w:t>
      </w:r>
    </w:p>
    <w:p w14:paraId="142A7734" w14:textId="3F0786AB" w:rsidR="00D35970" w:rsidRPr="00150244" w:rsidRDefault="00365B11" w:rsidP="00B117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b/>
          <w:bCs/>
          <w:sz w:val="20"/>
          <w:szCs w:val="20"/>
          <w:lang w:val="es-ES_tradnl"/>
        </w:rPr>
      </w:pPr>
      <w:r w:rsidRPr="00150244">
        <w:rPr>
          <w:rFonts w:asciiTheme="majorHAnsi" w:hAnsiTheme="majorHAnsi" w:cs="Arial"/>
          <w:sz w:val="20"/>
          <w:szCs w:val="20"/>
          <w:shd w:val="clear" w:color="auto" w:fill="FFFFFF"/>
          <w:lang w:val="es-ES_tradnl"/>
        </w:rPr>
        <w:t xml:space="preserve">La parte peticionaria </w:t>
      </w:r>
      <w:r w:rsidR="00463453" w:rsidRPr="00150244">
        <w:rPr>
          <w:rFonts w:asciiTheme="majorHAnsi" w:hAnsiTheme="majorHAnsi" w:cs="Arial"/>
          <w:sz w:val="20"/>
          <w:szCs w:val="20"/>
          <w:shd w:val="clear" w:color="auto" w:fill="FFFFFF"/>
          <w:lang w:val="es-ES_tradnl"/>
        </w:rPr>
        <w:t>sostiene que su recurso de revocatoria</w:t>
      </w:r>
      <w:r w:rsidR="00F908DD" w:rsidRPr="00150244">
        <w:rPr>
          <w:rFonts w:asciiTheme="majorHAnsi" w:hAnsiTheme="majorHAnsi" w:cs="Arial"/>
          <w:sz w:val="20"/>
          <w:szCs w:val="20"/>
          <w:shd w:val="clear" w:color="auto" w:fill="FFFFFF"/>
          <w:lang w:val="es-ES_tradnl"/>
        </w:rPr>
        <w:t xml:space="preserve"> debe ser tomado en cuenta para efectos del cálculo del plazo para la presentación de la petición. Esto,</w:t>
      </w:r>
      <w:r w:rsidR="00DC6061" w:rsidRPr="00150244">
        <w:rPr>
          <w:rFonts w:asciiTheme="majorHAnsi" w:hAnsiTheme="majorHAnsi" w:cs="Arial"/>
          <w:sz w:val="20"/>
          <w:szCs w:val="20"/>
          <w:shd w:val="clear" w:color="auto" w:fill="FFFFFF"/>
          <w:lang w:val="es-ES_tradnl"/>
        </w:rPr>
        <w:t xml:space="preserve"> puesto que el recurso fue desestimado</w:t>
      </w:r>
      <w:r w:rsidR="00241230" w:rsidRPr="00150244">
        <w:rPr>
          <w:rFonts w:asciiTheme="majorHAnsi" w:hAnsiTheme="majorHAnsi" w:cs="Arial"/>
          <w:sz w:val="20"/>
          <w:szCs w:val="20"/>
          <w:shd w:val="clear" w:color="auto" w:fill="FFFFFF"/>
          <w:lang w:val="es-ES_tradnl"/>
        </w:rPr>
        <w:t>,</w:t>
      </w:r>
      <w:r w:rsidR="00DC6061" w:rsidRPr="00150244">
        <w:rPr>
          <w:rFonts w:asciiTheme="majorHAnsi" w:hAnsiTheme="majorHAnsi" w:cs="Arial"/>
          <w:sz w:val="20"/>
          <w:szCs w:val="20"/>
          <w:shd w:val="clear" w:color="auto" w:fill="FFFFFF"/>
          <w:lang w:val="es-ES_tradnl"/>
        </w:rPr>
        <w:t xml:space="preserve"> pero no rechazado por formalmente inviable ni ordenado su desglose. </w:t>
      </w:r>
      <w:r w:rsidR="00463453" w:rsidRPr="00150244">
        <w:rPr>
          <w:rFonts w:asciiTheme="majorHAnsi" w:hAnsiTheme="majorHAnsi" w:cs="Arial"/>
          <w:sz w:val="20"/>
          <w:szCs w:val="20"/>
          <w:shd w:val="clear" w:color="auto" w:fill="FFFFFF"/>
          <w:lang w:val="es-ES_tradnl"/>
        </w:rPr>
        <w:t xml:space="preserve">Adicionalmente </w:t>
      </w:r>
      <w:r w:rsidR="00806273" w:rsidRPr="00150244">
        <w:rPr>
          <w:rFonts w:asciiTheme="majorHAnsi" w:hAnsiTheme="majorHAnsi" w:cs="Arial"/>
          <w:sz w:val="20"/>
          <w:szCs w:val="20"/>
          <w:shd w:val="clear" w:color="auto" w:fill="FFFFFF"/>
          <w:lang w:val="es-ES_tradnl"/>
        </w:rPr>
        <w:t>invoca el</w:t>
      </w:r>
      <w:r w:rsidR="00463453" w:rsidRPr="00150244">
        <w:rPr>
          <w:rFonts w:asciiTheme="majorHAnsi" w:hAnsiTheme="majorHAnsi" w:cs="Arial"/>
          <w:sz w:val="20"/>
          <w:szCs w:val="20"/>
          <w:shd w:val="clear" w:color="auto" w:fill="FFFFFF"/>
          <w:lang w:val="es-ES_tradnl"/>
        </w:rPr>
        <w:t xml:space="preserve"> artículo 46.2</w:t>
      </w:r>
      <w:r w:rsidR="00806273" w:rsidRPr="00150244">
        <w:rPr>
          <w:rFonts w:asciiTheme="majorHAnsi" w:hAnsiTheme="majorHAnsi" w:cs="Arial"/>
          <w:sz w:val="20"/>
          <w:szCs w:val="20"/>
          <w:shd w:val="clear" w:color="auto" w:fill="FFFFFF"/>
          <w:lang w:val="es-ES_tradnl"/>
        </w:rPr>
        <w:t>.</w:t>
      </w:r>
      <w:r w:rsidR="00463453" w:rsidRPr="00150244">
        <w:rPr>
          <w:rFonts w:asciiTheme="majorHAnsi" w:hAnsiTheme="majorHAnsi" w:cs="Arial"/>
          <w:sz w:val="20"/>
          <w:szCs w:val="20"/>
          <w:shd w:val="clear" w:color="auto" w:fill="FFFFFF"/>
          <w:lang w:val="es-ES_tradnl"/>
        </w:rPr>
        <w:t xml:space="preserve">b) de la Convención Americana que establece una excepción al requisito de agotamiento de los recursos internos en los casos en que a la persona afectada se le haya impedido el acceso a los recursos de la jurisdicción interna. </w:t>
      </w:r>
    </w:p>
    <w:p w14:paraId="754AD49A" w14:textId="5A6B4C42" w:rsidR="0029647E" w:rsidRPr="00150244" w:rsidRDefault="0029647E" w:rsidP="00B117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b/>
          <w:bCs/>
          <w:sz w:val="20"/>
          <w:szCs w:val="20"/>
          <w:lang w:val="es-ES_tradnl"/>
        </w:rPr>
      </w:pPr>
      <w:r w:rsidRPr="00150244">
        <w:rPr>
          <w:rFonts w:asciiTheme="majorHAnsi" w:hAnsiTheme="majorHAnsi" w:cs="Arial"/>
          <w:sz w:val="20"/>
          <w:szCs w:val="20"/>
          <w:shd w:val="clear" w:color="auto" w:fill="FFFFFF"/>
          <w:lang w:val="es-ES_tradnl"/>
        </w:rPr>
        <w:t xml:space="preserve">La parte peticionaria </w:t>
      </w:r>
      <w:r w:rsidR="00551DC2" w:rsidRPr="00150244">
        <w:rPr>
          <w:rFonts w:asciiTheme="majorHAnsi" w:hAnsiTheme="majorHAnsi" w:cs="Arial"/>
          <w:sz w:val="20"/>
          <w:szCs w:val="20"/>
          <w:shd w:val="clear" w:color="auto" w:fill="FFFFFF"/>
          <w:lang w:val="es-ES_tradnl"/>
        </w:rPr>
        <w:t>resalta que el objeto de su petición no es manifestar disconformidad con el resultado de un proceso judicial</w:t>
      </w:r>
      <w:r w:rsidR="00AF59C6" w:rsidRPr="00150244">
        <w:rPr>
          <w:rFonts w:asciiTheme="majorHAnsi" w:hAnsiTheme="majorHAnsi" w:cs="Arial"/>
          <w:sz w:val="20"/>
          <w:szCs w:val="20"/>
          <w:shd w:val="clear" w:color="auto" w:fill="FFFFFF"/>
          <w:lang w:val="es-ES_tradnl"/>
        </w:rPr>
        <w:t>,</w:t>
      </w:r>
      <w:r w:rsidR="00551DC2" w:rsidRPr="00150244">
        <w:rPr>
          <w:rFonts w:asciiTheme="majorHAnsi" w:hAnsiTheme="majorHAnsi" w:cs="Arial"/>
          <w:sz w:val="20"/>
          <w:szCs w:val="20"/>
          <w:shd w:val="clear" w:color="auto" w:fill="FFFFFF"/>
          <w:lang w:val="es-ES_tradnl"/>
        </w:rPr>
        <w:t xml:space="preserve"> sino reclamar porque a las presuntas víctimas se les </w:t>
      </w:r>
      <w:r w:rsidR="00241230" w:rsidRPr="00150244">
        <w:rPr>
          <w:rFonts w:asciiTheme="majorHAnsi" w:hAnsiTheme="majorHAnsi" w:cs="Arial"/>
          <w:sz w:val="20"/>
          <w:szCs w:val="20"/>
          <w:shd w:val="clear" w:color="auto" w:fill="FFFFFF"/>
          <w:lang w:val="es-ES_tradnl"/>
        </w:rPr>
        <w:t>“</w:t>
      </w:r>
      <w:r w:rsidR="00551DC2" w:rsidRPr="00150244">
        <w:rPr>
          <w:rFonts w:asciiTheme="majorHAnsi" w:hAnsiTheme="majorHAnsi" w:cs="Arial"/>
          <w:sz w:val="20"/>
          <w:szCs w:val="20"/>
          <w:shd w:val="clear" w:color="auto" w:fill="FFFFFF"/>
          <w:lang w:val="es-ES_tradnl"/>
        </w:rPr>
        <w:t>valló</w:t>
      </w:r>
      <w:r w:rsidR="00241230" w:rsidRPr="00150244">
        <w:rPr>
          <w:rFonts w:asciiTheme="majorHAnsi" w:hAnsiTheme="majorHAnsi" w:cs="Arial"/>
          <w:sz w:val="20"/>
          <w:szCs w:val="20"/>
          <w:shd w:val="clear" w:color="auto" w:fill="FFFFFF"/>
          <w:lang w:val="es-ES_tradnl"/>
        </w:rPr>
        <w:t>”</w:t>
      </w:r>
      <w:r w:rsidR="00551DC2" w:rsidRPr="00150244">
        <w:rPr>
          <w:rFonts w:asciiTheme="majorHAnsi" w:hAnsiTheme="majorHAnsi" w:cs="Arial"/>
          <w:sz w:val="20"/>
          <w:szCs w:val="20"/>
          <w:shd w:val="clear" w:color="auto" w:fill="FFFFFF"/>
          <w:lang w:val="es-ES_tradnl"/>
        </w:rPr>
        <w:t xml:space="preserve"> formal e indefendiblemente </w:t>
      </w:r>
      <w:r w:rsidR="00365B11" w:rsidRPr="00150244">
        <w:rPr>
          <w:rFonts w:asciiTheme="majorHAnsi" w:hAnsiTheme="majorHAnsi" w:cs="Arial"/>
          <w:sz w:val="20"/>
          <w:szCs w:val="20"/>
          <w:shd w:val="clear" w:color="auto" w:fill="FFFFFF"/>
          <w:lang w:val="es-ES_tradnl"/>
        </w:rPr>
        <w:t xml:space="preserve">al acceso a la </w:t>
      </w:r>
      <w:r w:rsidR="00463453" w:rsidRPr="00150244">
        <w:rPr>
          <w:rFonts w:asciiTheme="majorHAnsi" w:hAnsiTheme="majorHAnsi" w:cs="Arial"/>
          <w:sz w:val="20"/>
          <w:szCs w:val="20"/>
          <w:shd w:val="clear" w:color="auto" w:fill="FFFFFF"/>
          <w:lang w:val="es-ES_tradnl"/>
        </w:rPr>
        <w:t xml:space="preserve">justicia. A juicio de la parte peticionaria, sería inaceptable que el formalismo triunfe sobre la justicia y se consagre la impunidad. </w:t>
      </w:r>
    </w:p>
    <w:p w14:paraId="0DABD3C7" w14:textId="3896F846" w:rsidR="00861F35" w:rsidRPr="00150244" w:rsidRDefault="00463453" w:rsidP="00B117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b/>
          <w:bCs/>
          <w:sz w:val="20"/>
          <w:szCs w:val="20"/>
          <w:lang w:val="es-ES_tradnl"/>
        </w:rPr>
      </w:pPr>
      <w:r w:rsidRPr="00150244">
        <w:rPr>
          <w:rFonts w:asciiTheme="majorHAnsi" w:hAnsiTheme="majorHAnsi" w:cs="Arial"/>
          <w:sz w:val="20"/>
          <w:szCs w:val="20"/>
          <w:shd w:val="clear" w:color="auto" w:fill="FFFFFF"/>
          <w:lang w:val="es-ES_tradnl"/>
        </w:rPr>
        <w:t xml:space="preserve">El Estado, por su parte, </w:t>
      </w:r>
      <w:r w:rsidR="00861F35" w:rsidRPr="00150244">
        <w:rPr>
          <w:rFonts w:asciiTheme="majorHAnsi" w:hAnsiTheme="majorHAnsi" w:cs="Arial"/>
          <w:sz w:val="20"/>
          <w:szCs w:val="20"/>
          <w:shd w:val="clear" w:color="auto" w:fill="FFFFFF"/>
          <w:lang w:val="es-ES_tradnl"/>
        </w:rPr>
        <w:t>considera que la petición debe ser archivada o inadmitida porque las presuntas víctimas no cumplieron con agotar los recursos internos en debida forma</w:t>
      </w:r>
      <w:r w:rsidR="001328D0" w:rsidRPr="00150244">
        <w:rPr>
          <w:rFonts w:asciiTheme="majorHAnsi" w:hAnsiTheme="majorHAnsi" w:cs="Arial"/>
          <w:sz w:val="20"/>
          <w:szCs w:val="20"/>
          <w:shd w:val="clear" w:color="auto" w:fill="FFFFFF"/>
          <w:lang w:val="es-ES_tradnl"/>
        </w:rPr>
        <w:t>;</w:t>
      </w:r>
      <w:r w:rsidR="00861F35" w:rsidRPr="00150244">
        <w:rPr>
          <w:rFonts w:asciiTheme="majorHAnsi" w:hAnsiTheme="majorHAnsi" w:cs="Arial"/>
          <w:sz w:val="20"/>
          <w:szCs w:val="20"/>
          <w:shd w:val="clear" w:color="auto" w:fill="FFFFFF"/>
          <w:lang w:val="es-ES_tradnl"/>
        </w:rPr>
        <w:t xml:space="preserve"> porque fue presentada en forma extemporánea</w:t>
      </w:r>
      <w:r w:rsidR="001328D0" w:rsidRPr="00150244">
        <w:rPr>
          <w:rFonts w:asciiTheme="majorHAnsi" w:hAnsiTheme="majorHAnsi" w:cs="Arial"/>
          <w:sz w:val="20"/>
          <w:szCs w:val="20"/>
          <w:shd w:val="clear" w:color="auto" w:fill="FFFFFF"/>
          <w:lang w:val="es-ES_tradnl"/>
        </w:rPr>
        <w:t>;</w:t>
      </w:r>
      <w:r w:rsidR="00861F35" w:rsidRPr="00150244">
        <w:rPr>
          <w:rFonts w:asciiTheme="majorHAnsi" w:hAnsiTheme="majorHAnsi" w:cs="Arial"/>
          <w:sz w:val="20"/>
          <w:szCs w:val="20"/>
          <w:shd w:val="clear" w:color="auto" w:fill="FFFFFF"/>
          <w:lang w:val="es-ES_tradnl"/>
        </w:rPr>
        <w:t xml:space="preserve"> porque es manifiestamente infundada y no expone hechos que caractericen violaciones a derechos garantizados en la Convención Americana</w:t>
      </w:r>
      <w:r w:rsidR="001328D0" w:rsidRPr="00150244">
        <w:rPr>
          <w:rFonts w:asciiTheme="majorHAnsi" w:hAnsiTheme="majorHAnsi" w:cs="Arial"/>
          <w:sz w:val="20"/>
          <w:szCs w:val="20"/>
          <w:shd w:val="clear" w:color="auto" w:fill="FFFFFF"/>
          <w:lang w:val="es-ES_tradnl"/>
        </w:rPr>
        <w:t>;</w:t>
      </w:r>
      <w:r w:rsidR="00861F35" w:rsidRPr="00150244">
        <w:rPr>
          <w:rFonts w:asciiTheme="majorHAnsi" w:hAnsiTheme="majorHAnsi" w:cs="Arial"/>
          <w:sz w:val="20"/>
          <w:szCs w:val="20"/>
          <w:shd w:val="clear" w:color="auto" w:fill="FFFFFF"/>
          <w:lang w:val="es-ES_tradnl"/>
        </w:rPr>
        <w:t xml:space="preserve"> y porque le fue trasladada al Estado en forma extemporánea. </w:t>
      </w:r>
      <w:r w:rsidR="00503CA8" w:rsidRPr="00150244">
        <w:rPr>
          <w:rFonts w:asciiTheme="majorHAnsi" w:hAnsiTheme="majorHAnsi" w:cs="Arial"/>
          <w:sz w:val="20"/>
          <w:szCs w:val="20"/>
          <w:shd w:val="clear" w:color="auto" w:fill="FFFFFF"/>
          <w:lang w:val="es-ES_tradnl"/>
        </w:rPr>
        <w:t xml:space="preserve"> </w:t>
      </w:r>
    </w:p>
    <w:p w14:paraId="02646F4F" w14:textId="6BA9E658" w:rsidR="00B20665" w:rsidRPr="00150244" w:rsidRDefault="003C4F5B" w:rsidP="00B117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b/>
          <w:bCs/>
          <w:sz w:val="20"/>
          <w:szCs w:val="20"/>
          <w:lang w:val="es-ES_tradnl"/>
        </w:rPr>
      </w:pPr>
      <w:r w:rsidRPr="00150244">
        <w:rPr>
          <w:rFonts w:asciiTheme="majorHAnsi" w:hAnsiTheme="majorHAnsi" w:cs="Arial"/>
          <w:sz w:val="20"/>
          <w:szCs w:val="20"/>
          <w:shd w:val="clear" w:color="auto" w:fill="FFFFFF"/>
          <w:lang w:val="es-ES_tradnl"/>
        </w:rPr>
        <w:t xml:space="preserve">El Estado manifiesta que los recursos internos no fueron agotados en buena y debida forma porque el recurso de queja por denegación de recurso extraordinario federal interpuesto por las presuntas víctimas fue desestimado por adolecer de defectos de forma. El Estado destaca que estos defectos </w:t>
      </w:r>
      <w:r w:rsidR="00117D1B" w:rsidRPr="00150244">
        <w:rPr>
          <w:rFonts w:asciiTheme="majorHAnsi" w:hAnsiTheme="majorHAnsi" w:cs="Arial"/>
          <w:sz w:val="20"/>
          <w:szCs w:val="20"/>
          <w:shd w:val="clear" w:color="auto" w:fill="FFFFFF"/>
          <w:lang w:val="es-ES_tradnl"/>
        </w:rPr>
        <w:t xml:space="preserve">de forma </w:t>
      </w:r>
      <w:r w:rsidR="00117D1B" w:rsidRPr="00150244">
        <w:rPr>
          <w:rFonts w:asciiTheme="majorHAnsi" w:hAnsiTheme="majorHAnsi" w:cs="Arial"/>
          <w:sz w:val="20"/>
          <w:szCs w:val="20"/>
          <w:shd w:val="clear" w:color="auto" w:fill="FFFFFF"/>
          <w:lang w:val="es-ES_tradnl"/>
        </w:rPr>
        <w:lastRenderedPageBreak/>
        <w:t>fueron de exclusiva responsabilidad de las presuntas víctimas y su letrado, y no son en ninguna forma atribuibles al Estado.  A juicio del Estado,</w:t>
      </w:r>
      <w:r w:rsidR="00B20665" w:rsidRPr="00150244">
        <w:rPr>
          <w:rFonts w:asciiTheme="majorHAnsi" w:hAnsiTheme="majorHAnsi" w:cs="Arial"/>
          <w:sz w:val="20"/>
          <w:szCs w:val="20"/>
          <w:shd w:val="clear" w:color="auto" w:fill="FFFFFF"/>
          <w:lang w:val="es-ES_tradnl"/>
        </w:rPr>
        <w:t xml:space="preserve"> las presuntas víctimas no pueden someter los agravios planteados en la petición a una instancia internacional, puesto que fue</w:t>
      </w:r>
      <w:r w:rsidR="00117D1B" w:rsidRPr="00150244">
        <w:rPr>
          <w:rFonts w:asciiTheme="majorHAnsi" w:hAnsiTheme="majorHAnsi" w:cs="Arial"/>
          <w:sz w:val="20"/>
          <w:szCs w:val="20"/>
          <w:shd w:val="clear" w:color="auto" w:fill="FFFFFF"/>
          <w:lang w:val="es-ES_tradnl"/>
        </w:rPr>
        <w:t xml:space="preserve"> </w:t>
      </w:r>
      <w:r w:rsidR="00B20665" w:rsidRPr="00150244">
        <w:rPr>
          <w:rFonts w:asciiTheme="majorHAnsi" w:hAnsiTheme="majorHAnsi" w:cs="Arial"/>
          <w:sz w:val="20"/>
          <w:szCs w:val="20"/>
          <w:shd w:val="clear" w:color="auto" w:fill="FFFFFF"/>
          <w:lang w:val="es-ES_tradnl"/>
        </w:rPr>
        <w:t xml:space="preserve">su </w:t>
      </w:r>
      <w:r w:rsidR="00117D1B" w:rsidRPr="00150244">
        <w:rPr>
          <w:rFonts w:asciiTheme="majorHAnsi" w:hAnsiTheme="majorHAnsi" w:cs="Arial"/>
          <w:sz w:val="20"/>
          <w:szCs w:val="20"/>
          <w:shd w:val="clear" w:color="auto" w:fill="FFFFFF"/>
          <w:lang w:val="es-ES_tradnl"/>
        </w:rPr>
        <w:t xml:space="preserve">incumplimiento de las normas rituales que regulan el recurso en cuestión </w:t>
      </w:r>
      <w:r w:rsidR="00021E40" w:rsidRPr="00150244">
        <w:rPr>
          <w:rFonts w:asciiTheme="majorHAnsi" w:hAnsiTheme="majorHAnsi" w:cs="Arial"/>
          <w:sz w:val="20"/>
          <w:szCs w:val="20"/>
          <w:shd w:val="clear" w:color="auto" w:fill="FFFFFF"/>
          <w:lang w:val="es-ES_tradnl"/>
        </w:rPr>
        <w:t xml:space="preserve">lo que </w:t>
      </w:r>
      <w:r w:rsidR="00117D1B" w:rsidRPr="00150244">
        <w:rPr>
          <w:rFonts w:asciiTheme="majorHAnsi" w:hAnsiTheme="majorHAnsi" w:cs="Arial"/>
          <w:sz w:val="20"/>
          <w:szCs w:val="20"/>
          <w:shd w:val="clear" w:color="auto" w:fill="FFFFFF"/>
          <w:lang w:val="es-ES_tradnl"/>
        </w:rPr>
        <w:t xml:space="preserve">impidió que el Estado pudiera dar una adecuada respuesta </w:t>
      </w:r>
      <w:r w:rsidR="00B20665" w:rsidRPr="00150244">
        <w:rPr>
          <w:rFonts w:asciiTheme="majorHAnsi" w:hAnsiTheme="majorHAnsi" w:cs="Arial"/>
          <w:sz w:val="20"/>
          <w:szCs w:val="20"/>
          <w:shd w:val="clear" w:color="auto" w:fill="FFFFFF"/>
          <w:lang w:val="es-ES_tradnl"/>
        </w:rPr>
        <w:t xml:space="preserve">a esos agravios en sede interna. </w:t>
      </w:r>
    </w:p>
    <w:p w14:paraId="6E927B3C" w14:textId="0606DC1E" w:rsidR="00463453" w:rsidRPr="00150244" w:rsidRDefault="00021E40" w:rsidP="00B117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b/>
          <w:bCs/>
          <w:sz w:val="20"/>
          <w:szCs w:val="20"/>
          <w:lang w:val="es-ES_tradnl"/>
        </w:rPr>
      </w:pPr>
      <w:r w:rsidRPr="00150244">
        <w:rPr>
          <w:rFonts w:asciiTheme="majorHAnsi" w:hAnsiTheme="majorHAnsi"/>
          <w:sz w:val="20"/>
          <w:szCs w:val="20"/>
          <w:lang w:val="es-ES_tradnl"/>
        </w:rPr>
        <w:t>También argumenta el Estado que, si se aceptara que las presuntas cumplieron con el requisito de agotamiento de los recursos internos, la petición entonces sería extemporánea</w:t>
      </w:r>
      <w:r w:rsidR="0059606B" w:rsidRPr="00150244">
        <w:rPr>
          <w:rFonts w:asciiTheme="majorHAnsi" w:hAnsiTheme="majorHAnsi"/>
          <w:sz w:val="20"/>
          <w:szCs w:val="20"/>
          <w:lang w:val="es-ES_tradnl"/>
        </w:rPr>
        <w:t xml:space="preserve">; ya que </w:t>
      </w:r>
      <w:r w:rsidR="00907CAE" w:rsidRPr="00150244">
        <w:rPr>
          <w:rFonts w:asciiTheme="majorHAnsi" w:hAnsiTheme="majorHAnsi"/>
          <w:sz w:val="20"/>
          <w:szCs w:val="20"/>
          <w:lang w:val="es-ES_tradnl"/>
        </w:rPr>
        <w:t xml:space="preserve">la denegación del </w:t>
      </w:r>
      <w:r w:rsidR="0059606B" w:rsidRPr="00150244">
        <w:rPr>
          <w:rFonts w:asciiTheme="majorHAnsi" w:hAnsiTheme="majorHAnsi"/>
          <w:sz w:val="20"/>
          <w:szCs w:val="20"/>
          <w:lang w:val="es-ES_tradnl"/>
        </w:rPr>
        <w:t>reclamo</w:t>
      </w:r>
      <w:r w:rsidR="00907CAE" w:rsidRPr="00150244">
        <w:rPr>
          <w:rFonts w:asciiTheme="majorHAnsi" w:hAnsiTheme="majorHAnsi"/>
          <w:sz w:val="20"/>
          <w:szCs w:val="20"/>
          <w:lang w:val="es-ES_tradnl"/>
        </w:rPr>
        <w:t xml:space="preserve"> realizado por las presuntas víctimas en sede interna quedó en firme con la resolución que desestimó su recurso de queja por denegación de recurso extraordinario federal. Esa resolución se emitió el 1 de abril de 2014</w:t>
      </w:r>
      <w:r w:rsidR="0059606B" w:rsidRPr="00150244">
        <w:rPr>
          <w:rFonts w:asciiTheme="majorHAnsi" w:hAnsiTheme="majorHAnsi"/>
          <w:sz w:val="20"/>
          <w:szCs w:val="20"/>
          <w:lang w:val="es-ES_tradnl"/>
        </w:rPr>
        <w:t>,</w:t>
      </w:r>
      <w:r w:rsidR="00907CAE" w:rsidRPr="00150244">
        <w:rPr>
          <w:rFonts w:asciiTheme="majorHAnsi" w:hAnsiTheme="majorHAnsi"/>
          <w:sz w:val="20"/>
          <w:szCs w:val="20"/>
          <w:lang w:val="es-ES_tradnl"/>
        </w:rPr>
        <w:t xml:space="preserve"> mientras que la petición fue presentada el 21 de enero de 2015, excediéndose así el plazo previsto en el artículo 46.1</w:t>
      </w:r>
      <w:r w:rsidR="0059606B" w:rsidRPr="00150244">
        <w:rPr>
          <w:rFonts w:asciiTheme="majorHAnsi" w:hAnsiTheme="majorHAnsi"/>
          <w:sz w:val="20"/>
          <w:szCs w:val="20"/>
          <w:lang w:val="es-ES_tradnl"/>
        </w:rPr>
        <w:t>.</w:t>
      </w:r>
      <w:r w:rsidR="00907CAE" w:rsidRPr="00150244">
        <w:rPr>
          <w:rFonts w:asciiTheme="majorHAnsi" w:hAnsiTheme="majorHAnsi"/>
          <w:sz w:val="20"/>
          <w:szCs w:val="20"/>
          <w:lang w:val="es-ES_tradnl"/>
        </w:rPr>
        <w:t xml:space="preserve">b) </w:t>
      </w:r>
      <w:r w:rsidR="00B329D3" w:rsidRPr="00150244">
        <w:rPr>
          <w:rFonts w:asciiTheme="majorHAnsi" w:hAnsiTheme="majorHAnsi"/>
          <w:sz w:val="20"/>
          <w:szCs w:val="20"/>
          <w:lang w:val="es-ES_tradnl"/>
        </w:rPr>
        <w:t>de la Convención Americana para la presentación de peticiones</w:t>
      </w:r>
      <w:r w:rsidR="0059606B" w:rsidRPr="00150244">
        <w:rPr>
          <w:rFonts w:asciiTheme="majorHAnsi" w:hAnsiTheme="majorHAnsi"/>
          <w:sz w:val="20"/>
          <w:szCs w:val="20"/>
          <w:lang w:val="es-ES_tradnl"/>
        </w:rPr>
        <w:t xml:space="preserve">: </w:t>
      </w:r>
      <w:r w:rsidR="00B329D3" w:rsidRPr="00150244">
        <w:rPr>
          <w:rFonts w:asciiTheme="majorHAnsi" w:hAnsiTheme="majorHAnsi"/>
          <w:sz w:val="20"/>
          <w:szCs w:val="20"/>
          <w:lang w:val="es-ES_tradnl"/>
        </w:rPr>
        <w:t>“</w:t>
      </w:r>
      <w:r w:rsidR="00B329D3" w:rsidRPr="00150244">
        <w:rPr>
          <w:rFonts w:asciiTheme="majorHAnsi" w:hAnsiTheme="majorHAnsi"/>
          <w:i/>
          <w:iCs/>
          <w:sz w:val="20"/>
          <w:szCs w:val="20"/>
          <w:lang w:val="es-ES_tradnl"/>
        </w:rPr>
        <w:t>seis meses, a partir de la fecha en que el presunto lesionado en sus derechos haya sido notificado de la decisión definitiva</w:t>
      </w:r>
      <w:r w:rsidR="00B329D3" w:rsidRPr="00150244">
        <w:rPr>
          <w:rFonts w:asciiTheme="majorHAnsi" w:hAnsiTheme="majorHAnsi"/>
          <w:sz w:val="20"/>
          <w:szCs w:val="20"/>
          <w:lang w:val="es-ES_tradnl"/>
        </w:rPr>
        <w:t>”.</w:t>
      </w:r>
    </w:p>
    <w:p w14:paraId="00A111B7" w14:textId="5C5B7911" w:rsidR="00B329D3" w:rsidRPr="00150244" w:rsidRDefault="00B329D3" w:rsidP="00B117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b/>
          <w:bCs/>
          <w:sz w:val="20"/>
          <w:szCs w:val="20"/>
          <w:lang w:val="es-ES_tradnl"/>
        </w:rPr>
      </w:pPr>
      <w:r w:rsidRPr="00150244">
        <w:rPr>
          <w:rFonts w:asciiTheme="majorHAnsi" w:hAnsiTheme="majorHAnsi"/>
          <w:sz w:val="20"/>
          <w:szCs w:val="20"/>
          <w:lang w:val="es-ES_tradnl"/>
        </w:rPr>
        <w:t xml:space="preserve">El Estado explica que el supuesto agotamiento se habría producido con el rechazo del recurso de queja y no con la desestimación del recurso de revocatoria subsecuentemente interpuesto por las presuntas víctimas. </w:t>
      </w:r>
      <w:r w:rsidR="00D1660A" w:rsidRPr="00150244">
        <w:rPr>
          <w:rFonts w:asciiTheme="majorHAnsi" w:hAnsiTheme="majorHAnsi"/>
          <w:sz w:val="20"/>
          <w:szCs w:val="20"/>
          <w:lang w:val="es-ES_tradnl"/>
        </w:rPr>
        <w:t>Toda vez</w:t>
      </w:r>
      <w:r w:rsidRPr="00150244">
        <w:rPr>
          <w:rFonts w:asciiTheme="majorHAnsi" w:hAnsiTheme="majorHAnsi"/>
          <w:sz w:val="20"/>
          <w:szCs w:val="20"/>
          <w:lang w:val="es-ES_tradnl"/>
        </w:rPr>
        <w:t xml:space="preserve"> </w:t>
      </w:r>
      <w:r w:rsidR="005C70A7" w:rsidRPr="00150244">
        <w:rPr>
          <w:rFonts w:asciiTheme="majorHAnsi" w:hAnsiTheme="majorHAnsi"/>
          <w:sz w:val="20"/>
          <w:szCs w:val="20"/>
          <w:lang w:val="es-ES_tradnl"/>
        </w:rPr>
        <w:t xml:space="preserve">que el recurso de revocatoria fue desestimado porque la Corte Suprema ya había determinado que sus sentencias definitivas o interlocutorias no son susceptibles de ser modificadas por el recurso de revocatoria, salvo circunstancias excepcionales </w:t>
      </w:r>
      <w:r w:rsidR="005371CA" w:rsidRPr="00150244">
        <w:rPr>
          <w:rFonts w:asciiTheme="majorHAnsi" w:hAnsiTheme="majorHAnsi"/>
          <w:sz w:val="20"/>
          <w:szCs w:val="20"/>
          <w:lang w:val="es-ES_tradnl"/>
        </w:rPr>
        <w:t xml:space="preserve">muy concretas </w:t>
      </w:r>
      <w:r w:rsidR="005C70A7" w:rsidRPr="00150244">
        <w:rPr>
          <w:rFonts w:asciiTheme="majorHAnsi" w:hAnsiTheme="majorHAnsi"/>
          <w:sz w:val="20"/>
          <w:szCs w:val="20"/>
          <w:lang w:val="es-ES_tradnl"/>
        </w:rPr>
        <w:t xml:space="preserve">que no concurrían en el caso de las presuntas víctimas. </w:t>
      </w:r>
    </w:p>
    <w:p w14:paraId="5CB976DB" w14:textId="6786FBEC" w:rsidR="005C70A7" w:rsidRPr="00150244" w:rsidRDefault="005C70A7" w:rsidP="00B117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b/>
          <w:bCs/>
          <w:sz w:val="20"/>
          <w:szCs w:val="20"/>
          <w:lang w:val="es-ES_tradnl"/>
        </w:rPr>
      </w:pPr>
      <w:r w:rsidRPr="00150244">
        <w:rPr>
          <w:rFonts w:asciiTheme="majorHAnsi" w:hAnsiTheme="majorHAnsi"/>
          <w:sz w:val="20"/>
          <w:szCs w:val="20"/>
          <w:lang w:val="es-ES_tradnl"/>
        </w:rPr>
        <w:t xml:space="preserve">El Estado también destaca que las presuntas víctimas tuvieron </w:t>
      </w:r>
      <w:r w:rsidR="0007336B" w:rsidRPr="00150244">
        <w:rPr>
          <w:rFonts w:asciiTheme="majorHAnsi" w:hAnsiTheme="majorHAnsi"/>
          <w:sz w:val="20"/>
          <w:szCs w:val="20"/>
          <w:lang w:val="es-ES_tradnl"/>
        </w:rPr>
        <w:t>acceso a</w:t>
      </w:r>
      <w:r w:rsidRPr="00150244">
        <w:rPr>
          <w:rFonts w:asciiTheme="majorHAnsi" w:hAnsiTheme="majorHAnsi"/>
          <w:sz w:val="20"/>
          <w:szCs w:val="20"/>
          <w:lang w:val="es-ES_tradnl"/>
        </w:rPr>
        <w:t xml:space="preserve"> los recursos de la jurisdicción interna</w:t>
      </w:r>
      <w:r w:rsidR="0007336B" w:rsidRPr="00150244">
        <w:rPr>
          <w:rFonts w:asciiTheme="majorHAnsi" w:hAnsiTheme="majorHAnsi"/>
          <w:sz w:val="20"/>
          <w:szCs w:val="20"/>
          <w:lang w:val="es-ES_tradnl"/>
        </w:rPr>
        <w:t>, resultando en que sus planteos fueran</w:t>
      </w:r>
      <w:r w:rsidRPr="00150244">
        <w:rPr>
          <w:rFonts w:asciiTheme="majorHAnsi" w:hAnsiTheme="majorHAnsi"/>
          <w:sz w:val="20"/>
          <w:szCs w:val="20"/>
          <w:lang w:val="es-ES_tradnl"/>
        </w:rPr>
        <w:t xml:space="preserve"> oportunamente</w:t>
      </w:r>
      <w:r w:rsidR="0007336B" w:rsidRPr="00150244">
        <w:rPr>
          <w:rFonts w:asciiTheme="majorHAnsi" w:hAnsiTheme="majorHAnsi"/>
          <w:sz w:val="20"/>
          <w:szCs w:val="20"/>
          <w:lang w:val="es-ES_tradnl"/>
        </w:rPr>
        <w:t xml:space="preserve"> resueltos</w:t>
      </w:r>
      <w:r w:rsidRPr="00150244">
        <w:rPr>
          <w:rFonts w:asciiTheme="majorHAnsi" w:hAnsiTheme="majorHAnsi"/>
          <w:sz w:val="20"/>
          <w:szCs w:val="20"/>
          <w:lang w:val="es-ES_tradnl"/>
        </w:rPr>
        <w:t xml:space="preserve"> por tribunales imparciales e independientes</w:t>
      </w:r>
      <w:r w:rsidR="0007336B" w:rsidRPr="00150244">
        <w:rPr>
          <w:rFonts w:asciiTheme="majorHAnsi" w:hAnsiTheme="majorHAnsi"/>
          <w:sz w:val="20"/>
          <w:szCs w:val="20"/>
          <w:lang w:val="es-ES_tradnl"/>
        </w:rPr>
        <w:t xml:space="preserve"> quienes actuaron en el marco de sus competencias y en concordancia con las reglas del debido proceso. </w:t>
      </w:r>
      <w:r w:rsidR="005371CA" w:rsidRPr="00150244">
        <w:rPr>
          <w:rFonts w:asciiTheme="majorHAnsi" w:hAnsiTheme="majorHAnsi"/>
          <w:sz w:val="20"/>
          <w:szCs w:val="20"/>
          <w:lang w:val="es-ES_tradnl"/>
        </w:rPr>
        <w:t>Sostiene</w:t>
      </w:r>
      <w:r w:rsidR="00866211" w:rsidRPr="00150244">
        <w:rPr>
          <w:rFonts w:asciiTheme="majorHAnsi" w:hAnsiTheme="majorHAnsi"/>
          <w:sz w:val="20"/>
          <w:szCs w:val="20"/>
          <w:lang w:val="es-ES_tradnl"/>
        </w:rPr>
        <w:t xml:space="preserve"> que la Suprema Corte de Justicia de la Provincia de Buenos Aires fundamentó que las presuntas víctimas no se encontraban dentro de ninguno de los supuestos de excepción al requisito de depósito monetario previstos en la ley, ni en aquellos que la Corte había equiparado a es</w:t>
      </w:r>
      <w:r w:rsidR="005371CA" w:rsidRPr="00150244">
        <w:rPr>
          <w:rFonts w:asciiTheme="majorHAnsi" w:hAnsiTheme="majorHAnsi"/>
          <w:sz w:val="20"/>
          <w:szCs w:val="20"/>
          <w:lang w:val="es-ES_tradnl"/>
        </w:rPr>
        <w:t>t</w:t>
      </w:r>
      <w:r w:rsidR="00866211" w:rsidRPr="00150244">
        <w:rPr>
          <w:rFonts w:asciiTheme="majorHAnsi" w:hAnsiTheme="majorHAnsi"/>
          <w:sz w:val="20"/>
          <w:szCs w:val="20"/>
          <w:lang w:val="es-ES_tradnl"/>
        </w:rPr>
        <w:t>os por vía de excepción. Por lo tanto, el Estado considera evidente que</w:t>
      </w:r>
      <w:r w:rsidR="00D7758C" w:rsidRPr="00150244">
        <w:rPr>
          <w:rFonts w:asciiTheme="majorHAnsi" w:hAnsiTheme="majorHAnsi"/>
          <w:sz w:val="20"/>
          <w:szCs w:val="20"/>
          <w:lang w:val="es-ES_tradnl"/>
        </w:rPr>
        <w:t>, ante la decisión desfavorable de la justicia doméstica,</w:t>
      </w:r>
      <w:r w:rsidR="00866211" w:rsidRPr="00150244">
        <w:rPr>
          <w:rFonts w:asciiTheme="majorHAnsi" w:hAnsiTheme="majorHAnsi"/>
          <w:sz w:val="20"/>
          <w:szCs w:val="20"/>
          <w:lang w:val="es-ES_tradnl"/>
        </w:rPr>
        <w:t xml:space="preserve"> la petición pretende improcedentemente </w:t>
      </w:r>
      <w:r w:rsidR="00D7758C" w:rsidRPr="00150244">
        <w:rPr>
          <w:rFonts w:asciiTheme="majorHAnsi" w:hAnsiTheme="majorHAnsi"/>
          <w:sz w:val="20"/>
          <w:szCs w:val="20"/>
          <w:lang w:val="es-ES_tradnl"/>
        </w:rPr>
        <w:t xml:space="preserve">que la Comisión se convierta en una suerte de </w:t>
      </w:r>
      <w:r w:rsidR="005371CA" w:rsidRPr="00150244">
        <w:rPr>
          <w:rFonts w:asciiTheme="majorHAnsi" w:hAnsiTheme="majorHAnsi"/>
          <w:sz w:val="20"/>
          <w:szCs w:val="20"/>
          <w:lang w:val="es-ES_tradnl"/>
        </w:rPr>
        <w:t>“</w:t>
      </w:r>
      <w:r w:rsidR="00D7758C" w:rsidRPr="00150244">
        <w:rPr>
          <w:rFonts w:asciiTheme="majorHAnsi" w:hAnsiTheme="majorHAnsi"/>
          <w:sz w:val="20"/>
          <w:szCs w:val="20"/>
          <w:lang w:val="es-ES_tradnl"/>
        </w:rPr>
        <w:t>cuarta instancia judicial</w:t>
      </w:r>
      <w:r w:rsidR="005371CA" w:rsidRPr="00150244">
        <w:rPr>
          <w:rFonts w:asciiTheme="majorHAnsi" w:hAnsiTheme="majorHAnsi"/>
          <w:sz w:val="20"/>
          <w:szCs w:val="20"/>
          <w:lang w:val="es-ES_tradnl"/>
        </w:rPr>
        <w:t>”</w:t>
      </w:r>
      <w:r w:rsidR="00D7758C" w:rsidRPr="00150244">
        <w:rPr>
          <w:rFonts w:asciiTheme="majorHAnsi" w:hAnsiTheme="majorHAnsi"/>
          <w:sz w:val="20"/>
          <w:szCs w:val="20"/>
          <w:lang w:val="es-ES_tradnl"/>
        </w:rPr>
        <w:t xml:space="preserve"> que revise los hechos y el derecho valorado en sede interna en busca de revertir el rechazo de</w:t>
      </w:r>
      <w:r w:rsidR="008D4A4F" w:rsidRPr="00150244">
        <w:rPr>
          <w:rFonts w:asciiTheme="majorHAnsi" w:hAnsiTheme="majorHAnsi"/>
          <w:sz w:val="20"/>
          <w:szCs w:val="20"/>
          <w:lang w:val="es-ES_tradnl"/>
        </w:rPr>
        <w:t xml:space="preserve"> su pretensión indemnizatoria</w:t>
      </w:r>
      <w:r w:rsidR="00D7758C" w:rsidRPr="00150244">
        <w:rPr>
          <w:rFonts w:asciiTheme="majorHAnsi" w:hAnsiTheme="majorHAnsi"/>
          <w:sz w:val="20"/>
          <w:szCs w:val="20"/>
          <w:lang w:val="es-ES_tradnl"/>
        </w:rPr>
        <w:t xml:space="preserve">. </w:t>
      </w:r>
    </w:p>
    <w:p w14:paraId="6E32E1EE" w14:textId="5C9E925E" w:rsidR="00D7758C" w:rsidRPr="00150244" w:rsidRDefault="008D4A4F" w:rsidP="00B117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b/>
          <w:bCs/>
          <w:sz w:val="20"/>
          <w:szCs w:val="20"/>
          <w:lang w:val="es-ES_tradnl"/>
        </w:rPr>
      </w:pPr>
      <w:r w:rsidRPr="00150244">
        <w:rPr>
          <w:rFonts w:asciiTheme="majorHAnsi" w:hAnsiTheme="majorHAnsi"/>
          <w:sz w:val="20"/>
          <w:szCs w:val="20"/>
          <w:lang w:val="es-ES_tradnl"/>
        </w:rPr>
        <w:t>Sostiene además que la petición es manifiestamente infundada</w:t>
      </w:r>
      <w:r w:rsidR="005371CA" w:rsidRPr="00150244">
        <w:rPr>
          <w:rFonts w:asciiTheme="majorHAnsi" w:hAnsiTheme="majorHAnsi"/>
          <w:sz w:val="20"/>
          <w:szCs w:val="20"/>
          <w:lang w:val="es-ES_tradnl"/>
        </w:rPr>
        <w:t xml:space="preserve">, pues a su juicio </w:t>
      </w:r>
      <w:r w:rsidRPr="00150244">
        <w:rPr>
          <w:rFonts w:asciiTheme="majorHAnsi" w:hAnsiTheme="majorHAnsi"/>
          <w:sz w:val="20"/>
          <w:szCs w:val="20"/>
          <w:lang w:val="es-ES_tradnl"/>
        </w:rPr>
        <w:t>la petición resulta vaga e imprecisa</w:t>
      </w:r>
      <w:r w:rsidR="005371CA" w:rsidRPr="00150244">
        <w:rPr>
          <w:rFonts w:asciiTheme="majorHAnsi" w:hAnsiTheme="majorHAnsi"/>
          <w:sz w:val="20"/>
          <w:szCs w:val="20"/>
          <w:lang w:val="es-ES_tradnl"/>
        </w:rPr>
        <w:t>, ya</w:t>
      </w:r>
      <w:r w:rsidR="00E06581" w:rsidRPr="00150244">
        <w:rPr>
          <w:rFonts w:asciiTheme="majorHAnsi" w:hAnsiTheme="majorHAnsi"/>
          <w:sz w:val="20"/>
          <w:szCs w:val="20"/>
          <w:lang w:val="es-ES_tradnl"/>
        </w:rPr>
        <w:t xml:space="preserve"> que</w:t>
      </w:r>
      <w:r w:rsidRPr="00150244">
        <w:rPr>
          <w:rFonts w:asciiTheme="majorHAnsi" w:hAnsiTheme="majorHAnsi"/>
          <w:sz w:val="20"/>
          <w:szCs w:val="20"/>
          <w:lang w:val="es-ES_tradnl"/>
        </w:rPr>
        <w:t xml:space="preserve"> no indica en forma clara los derechos que habrían sido vulnerados, no propo</w:t>
      </w:r>
      <w:r w:rsidR="00E06581" w:rsidRPr="00150244">
        <w:rPr>
          <w:rFonts w:asciiTheme="majorHAnsi" w:hAnsiTheme="majorHAnsi"/>
          <w:sz w:val="20"/>
          <w:szCs w:val="20"/>
          <w:lang w:val="es-ES_tradnl"/>
        </w:rPr>
        <w:t xml:space="preserve">rciona un relato completo y detallado de los hechos, no específica dónde y cuándo habrían ocurrido las violaciones alegadas. Por todo esto, </w:t>
      </w:r>
      <w:r w:rsidR="0073200D" w:rsidRPr="00150244">
        <w:rPr>
          <w:rFonts w:asciiTheme="majorHAnsi" w:hAnsiTheme="majorHAnsi"/>
          <w:sz w:val="20"/>
          <w:szCs w:val="20"/>
          <w:lang w:val="es-ES_tradnl"/>
        </w:rPr>
        <w:t>la Argentina</w:t>
      </w:r>
      <w:r w:rsidR="00E06581" w:rsidRPr="00150244">
        <w:rPr>
          <w:rFonts w:asciiTheme="majorHAnsi" w:hAnsiTheme="majorHAnsi"/>
          <w:sz w:val="20"/>
          <w:szCs w:val="20"/>
          <w:lang w:val="es-ES_tradnl"/>
        </w:rPr>
        <w:t xml:space="preserve"> estima que la petición debe ser inadmitida en los términos del artículo 47(c) de la Convención Americana. </w:t>
      </w:r>
    </w:p>
    <w:p w14:paraId="466D97FC" w14:textId="37E90581" w:rsidR="00296E14" w:rsidRPr="00125324" w:rsidRDefault="00196013" w:rsidP="00B117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b/>
          <w:bCs/>
          <w:sz w:val="20"/>
          <w:szCs w:val="20"/>
          <w:lang w:val="es-ES_tradnl"/>
        </w:rPr>
      </w:pPr>
      <w:r w:rsidRPr="00150244">
        <w:rPr>
          <w:rFonts w:asciiTheme="majorHAnsi" w:hAnsiTheme="majorHAnsi"/>
          <w:sz w:val="20"/>
          <w:szCs w:val="20"/>
          <w:lang w:val="es-ES_tradnl"/>
        </w:rPr>
        <w:t>El Estado adicionalmente reclama que la</w:t>
      </w:r>
      <w:r w:rsidR="00A4629E" w:rsidRPr="00150244">
        <w:rPr>
          <w:rFonts w:asciiTheme="majorHAnsi" w:hAnsiTheme="majorHAnsi"/>
          <w:sz w:val="20"/>
          <w:szCs w:val="20"/>
          <w:lang w:val="es-ES_tradnl"/>
        </w:rPr>
        <w:t xml:space="preserve"> parte peticionaria no ha cumplido con identificar debidamente a las presuntas víctimas, pues el formulario de petición presentado por la parte peticionaria señaló como presuntas víctimas a “ECHEVERRÍA Mirta Raquel y otros” sin especificar a quien se refería</w:t>
      </w:r>
      <w:r w:rsidR="00135686" w:rsidRPr="00150244">
        <w:rPr>
          <w:rFonts w:asciiTheme="majorHAnsi" w:hAnsiTheme="majorHAnsi"/>
          <w:sz w:val="20"/>
          <w:szCs w:val="20"/>
          <w:lang w:val="es-ES_tradnl"/>
        </w:rPr>
        <w:t xml:space="preserve"> con “otros”. De igual forma reclama que la </w:t>
      </w:r>
      <w:r w:rsidR="004C1EC8" w:rsidRPr="00150244">
        <w:rPr>
          <w:rFonts w:asciiTheme="majorHAnsi" w:hAnsiTheme="majorHAnsi"/>
          <w:sz w:val="20"/>
          <w:szCs w:val="20"/>
          <w:lang w:val="es-ES_tradnl"/>
        </w:rPr>
        <w:t>petición le</w:t>
      </w:r>
      <w:r w:rsidRPr="00150244">
        <w:rPr>
          <w:rFonts w:asciiTheme="majorHAnsi" w:hAnsiTheme="majorHAnsi"/>
          <w:sz w:val="20"/>
          <w:szCs w:val="20"/>
          <w:lang w:val="es-ES_tradnl"/>
        </w:rPr>
        <w:t xml:space="preserve"> fue trasladada cuatro años y medio luego de su interposición, lo que considera extemporáneo e incompatible con el derecho del Estado al adecuado ejercicio de su defensa. </w:t>
      </w:r>
    </w:p>
    <w:p w14:paraId="064F4045" w14:textId="77777777" w:rsidR="00125324" w:rsidRPr="00150244" w:rsidRDefault="00125324" w:rsidP="0031433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_tradnl"/>
        </w:rPr>
      </w:pPr>
    </w:p>
    <w:p w14:paraId="3FE6F5AE" w14:textId="4666F3AA" w:rsidR="004C616A" w:rsidRDefault="004C616A" w:rsidP="00B117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firstLine="720"/>
        <w:jc w:val="both"/>
        <w:rPr>
          <w:rFonts w:asciiTheme="majorHAnsi" w:hAnsiTheme="majorHAnsi"/>
          <w:b/>
          <w:bCs/>
          <w:sz w:val="20"/>
          <w:szCs w:val="20"/>
          <w:lang w:val="es-ES_tradnl"/>
        </w:rPr>
      </w:pPr>
      <w:r w:rsidRPr="00150244">
        <w:rPr>
          <w:rFonts w:asciiTheme="majorHAnsi" w:hAnsiTheme="majorHAnsi"/>
          <w:b/>
          <w:bCs/>
          <w:sz w:val="20"/>
          <w:szCs w:val="20"/>
          <w:lang w:val="es-ES_tradnl"/>
        </w:rPr>
        <w:t xml:space="preserve">VI. </w:t>
      </w:r>
      <w:r w:rsidR="00464346" w:rsidRPr="00150244">
        <w:rPr>
          <w:rFonts w:asciiTheme="majorHAnsi" w:hAnsiTheme="majorHAnsi"/>
          <w:b/>
          <w:bCs/>
          <w:sz w:val="20"/>
          <w:szCs w:val="20"/>
          <w:lang w:val="es-ES_tradnl"/>
        </w:rPr>
        <w:t xml:space="preserve">  </w:t>
      </w:r>
      <w:r w:rsidR="0073200D" w:rsidRPr="00150244">
        <w:rPr>
          <w:rFonts w:asciiTheme="majorHAnsi" w:hAnsiTheme="majorHAnsi"/>
          <w:b/>
          <w:bCs/>
          <w:sz w:val="20"/>
          <w:szCs w:val="20"/>
          <w:lang w:val="es-ES_tradnl"/>
        </w:rPr>
        <w:tab/>
      </w:r>
      <w:r w:rsidR="00F34A3E" w:rsidRPr="00150244">
        <w:rPr>
          <w:rFonts w:asciiTheme="majorHAnsi" w:hAnsiTheme="majorHAnsi"/>
          <w:b/>
          <w:bCs/>
          <w:sz w:val="20"/>
          <w:szCs w:val="20"/>
          <w:lang w:val="es-ES_tradnl"/>
        </w:rPr>
        <w:t xml:space="preserve">ANÁLISIS DE </w:t>
      </w:r>
      <w:r w:rsidRPr="00150244">
        <w:rPr>
          <w:rFonts w:asciiTheme="majorHAnsi" w:hAnsiTheme="majorHAnsi"/>
          <w:b/>
          <w:bCs/>
          <w:sz w:val="20"/>
          <w:szCs w:val="20"/>
          <w:lang w:val="es-ES_tradnl"/>
        </w:rPr>
        <w:t>AGOTAMIENTO DE LOS RECURSOS INTERNOS</w:t>
      </w:r>
      <w:r w:rsidR="00A4629E" w:rsidRPr="00150244">
        <w:rPr>
          <w:rFonts w:asciiTheme="majorHAnsi" w:hAnsiTheme="majorHAnsi"/>
          <w:b/>
          <w:bCs/>
          <w:sz w:val="20"/>
          <w:szCs w:val="20"/>
          <w:lang w:val="es-ES_tradnl"/>
        </w:rPr>
        <w:t>,</w:t>
      </w:r>
      <w:r w:rsidRPr="00150244">
        <w:rPr>
          <w:rFonts w:asciiTheme="majorHAnsi" w:hAnsiTheme="majorHAnsi"/>
          <w:b/>
          <w:bCs/>
          <w:sz w:val="20"/>
          <w:szCs w:val="20"/>
          <w:lang w:val="es-ES_tradnl"/>
        </w:rPr>
        <w:t xml:space="preserve"> PLAZO DE PRESENTACIÓN</w:t>
      </w:r>
      <w:r w:rsidR="00A4629E" w:rsidRPr="00150244">
        <w:rPr>
          <w:rFonts w:asciiTheme="majorHAnsi" w:hAnsiTheme="majorHAnsi"/>
          <w:b/>
          <w:bCs/>
          <w:sz w:val="20"/>
          <w:szCs w:val="20"/>
          <w:lang w:val="es-ES_tradnl"/>
        </w:rPr>
        <w:t xml:space="preserve"> E IDENTIFICACIÓN DE LAS PRESUNTAS VÍCTIMAS</w:t>
      </w:r>
    </w:p>
    <w:p w14:paraId="127E7ECE" w14:textId="77777777" w:rsidR="00125324" w:rsidRPr="00150244" w:rsidRDefault="00125324" w:rsidP="006D03AE">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b/>
          <w:bCs/>
          <w:sz w:val="20"/>
          <w:szCs w:val="20"/>
          <w:lang w:val="es-ES_tradnl"/>
        </w:rPr>
      </w:pPr>
    </w:p>
    <w:p w14:paraId="4E6CCF7D" w14:textId="4DCFF019" w:rsidR="00443B9D" w:rsidRPr="00150244" w:rsidRDefault="00A4629E" w:rsidP="00B117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b/>
          <w:sz w:val="20"/>
          <w:szCs w:val="20"/>
          <w:lang w:val="es-ES_tradnl"/>
        </w:rPr>
      </w:pPr>
      <w:r w:rsidRPr="00150244">
        <w:rPr>
          <w:rFonts w:asciiTheme="majorHAnsi" w:hAnsiTheme="majorHAnsi"/>
          <w:sz w:val="20"/>
          <w:szCs w:val="20"/>
          <w:lang w:val="es-ES_tradnl"/>
        </w:rPr>
        <w:t>La Comisión toma nota del reclamo presentado por el Estado respecto a que la parte peticionaria no habría cumplido con identificar</w:t>
      </w:r>
      <w:r w:rsidR="00135686" w:rsidRPr="00150244">
        <w:rPr>
          <w:rFonts w:asciiTheme="majorHAnsi" w:hAnsiTheme="majorHAnsi"/>
          <w:sz w:val="20"/>
          <w:szCs w:val="20"/>
          <w:lang w:val="es-ES_tradnl"/>
        </w:rPr>
        <w:t xml:space="preserve"> debidamente a las presuntas víctimas</w:t>
      </w:r>
      <w:r w:rsidR="00F43DEF" w:rsidRPr="00150244">
        <w:rPr>
          <w:rFonts w:asciiTheme="majorHAnsi" w:hAnsiTheme="majorHAnsi"/>
          <w:sz w:val="20"/>
          <w:szCs w:val="20"/>
          <w:lang w:val="es-ES_tradnl"/>
        </w:rPr>
        <w:t xml:space="preserve">; </w:t>
      </w:r>
      <w:r w:rsidR="00135686" w:rsidRPr="00150244">
        <w:rPr>
          <w:rFonts w:asciiTheme="majorHAnsi" w:hAnsiTheme="majorHAnsi"/>
          <w:sz w:val="20"/>
          <w:szCs w:val="20"/>
          <w:lang w:val="es-ES_tradnl"/>
        </w:rPr>
        <w:t xml:space="preserve">puesto que en el formulario inicial de petición en la casilla de personas afectadas por las violaciones a los derechos humanos la parte peticionaria escribió ““ECHEVERRÍA Mirta Raquel y otros” sin explicar a quién ser refería con “otros”.  </w:t>
      </w:r>
    </w:p>
    <w:p w14:paraId="19989BAD" w14:textId="4CAEEE88" w:rsidR="00A4629E" w:rsidRPr="00150244" w:rsidRDefault="00135686" w:rsidP="00B117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b/>
          <w:sz w:val="20"/>
          <w:szCs w:val="20"/>
          <w:lang w:val="es-ES_tradnl"/>
        </w:rPr>
      </w:pPr>
      <w:r w:rsidRPr="00150244">
        <w:rPr>
          <w:rFonts w:asciiTheme="majorHAnsi" w:hAnsiTheme="majorHAnsi"/>
          <w:sz w:val="20"/>
          <w:szCs w:val="20"/>
          <w:lang w:val="es-ES_tradnl"/>
        </w:rPr>
        <w:t xml:space="preserve"> </w:t>
      </w:r>
      <w:r w:rsidR="00A4629E" w:rsidRPr="00150244">
        <w:rPr>
          <w:rFonts w:asciiTheme="majorHAnsi" w:hAnsiTheme="majorHAnsi"/>
          <w:sz w:val="20"/>
          <w:szCs w:val="20"/>
          <w:lang w:val="es-ES_tradnl"/>
        </w:rPr>
        <w:t xml:space="preserve">  </w:t>
      </w:r>
      <w:r w:rsidRPr="00150244">
        <w:rPr>
          <w:rFonts w:asciiTheme="majorHAnsi" w:hAnsiTheme="majorHAnsi"/>
          <w:sz w:val="20"/>
          <w:szCs w:val="20"/>
          <w:lang w:val="es-ES_tradnl"/>
        </w:rPr>
        <w:t>Si bien lo indicado por el Estado es cierto,</w:t>
      </w:r>
      <w:r w:rsidR="00A4629E" w:rsidRPr="00150244">
        <w:rPr>
          <w:rFonts w:asciiTheme="majorHAnsi" w:hAnsiTheme="majorHAnsi"/>
          <w:sz w:val="20"/>
          <w:szCs w:val="20"/>
          <w:lang w:val="es-ES_tradnl"/>
        </w:rPr>
        <w:t xml:space="preserve"> la Comisión estima que de la materia de la petición</w:t>
      </w:r>
      <w:r w:rsidRPr="00150244">
        <w:rPr>
          <w:rFonts w:asciiTheme="majorHAnsi" w:hAnsiTheme="majorHAnsi"/>
          <w:sz w:val="20"/>
          <w:szCs w:val="20"/>
          <w:lang w:val="es-ES_tradnl"/>
        </w:rPr>
        <w:t xml:space="preserve"> y de las comunicaciones de las partes peticionarias vistas en su conjunto</w:t>
      </w:r>
      <w:r w:rsidR="00A4629E" w:rsidRPr="00150244">
        <w:rPr>
          <w:rFonts w:asciiTheme="majorHAnsi" w:hAnsiTheme="majorHAnsi"/>
          <w:sz w:val="20"/>
          <w:szCs w:val="20"/>
          <w:lang w:val="es-ES_tradnl"/>
        </w:rPr>
        <w:t xml:space="preserve"> surge claramente que </w:t>
      </w:r>
      <w:r w:rsidRPr="00150244">
        <w:rPr>
          <w:rFonts w:asciiTheme="majorHAnsi" w:hAnsiTheme="majorHAnsi"/>
          <w:sz w:val="20"/>
          <w:szCs w:val="20"/>
          <w:lang w:val="es-ES_tradnl"/>
        </w:rPr>
        <w:t>la intención de la parte peticionaria es identificar como</w:t>
      </w:r>
      <w:r w:rsidR="00A4629E" w:rsidRPr="00150244">
        <w:rPr>
          <w:rFonts w:asciiTheme="majorHAnsi" w:hAnsiTheme="majorHAnsi"/>
          <w:sz w:val="20"/>
          <w:szCs w:val="20"/>
          <w:lang w:val="es-ES_tradnl"/>
        </w:rPr>
        <w:t xml:space="preserve"> víctimas</w:t>
      </w:r>
      <w:r w:rsidRPr="00150244">
        <w:rPr>
          <w:rFonts w:asciiTheme="majorHAnsi" w:hAnsiTheme="majorHAnsi"/>
          <w:sz w:val="20"/>
          <w:szCs w:val="20"/>
          <w:lang w:val="es-ES_tradnl"/>
        </w:rPr>
        <w:t xml:space="preserve"> a la señora Mirta Raquel</w:t>
      </w:r>
      <w:r w:rsidR="00443B9D" w:rsidRPr="00150244">
        <w:rPr>
          <w:rFonts w:asciiTheme="majorHAnsi" w:hAnsiTheme="majorHAnsi"/>
          <w:sz w:val="20"/>
          <w:szCs w:val="20"/>
          <w:lang w:val="es-ES_tradnl"/>
        </w:rPr>
        <w:t xml:space="preserve"> Echeverría y a l</w:t>
      </w:r>
      <w:r w:rsidR="00F43DEF" w:rsidRPr="00150244">
        <w:rPr>
          <w:rFonts w:asciiTheme="majorHAnsi" w:hAnsiTheme="majorHAnsi"/>
          <w:sz w:val="20"/>
          <w:szCs w:val="20"/>
          <w:lang w:val="es-ES_tradnl"/>
        </w:rPr>
        <w:t>o</w:t>
      </w:r>
      <w:r w:rsidR="00443B9D" w:rsidRPr="00150244">
        <w:rPr>
          <w:rFonts w:asciiTheme="majorHAnsi" w:hAnsiTheme="majorHAnsi"/>
          <w:sz w:val="20"/>
          <w:szCs w:val="20"/>
          <w:lang w:val="es-ES_tradnl"/>
        </w:rPr>
        <w:t>s hij</w:t>
      </w:r>
      <w:r w:rsidR="00F43DEF" w:rsidRPr="00150244">
        <w:rPr>
          <w:rFonts w:asciiTheme="majorHAnsi" w:hAnsiTheme="majorHAnsi"/>
          <w:sz w:val="20"/>
          <w:szCs w:val="20"/>
          <w:lang w:val="es-ES_tradnl"/>
        </w:rPr>
        <w:t>o</w:t>
      </w:r>
      <w:r w:rsidR="00443B9D" w:rsidRPr="00150244">
        <w:rPr>
          <w:rFonts w:asciiTheme="majorHAnsi" w:hAnsiTheme="majorHAnsi"/>
          <w:sz w:val="20"/>
          <w:szCs w:val="20"/>
          <w:lang w:val="es-ES_tradnl"/>
        </w:rPr>
        <w:t xml:space="preserve">s </w:t>
      </w:r>
      <w:r w:rsidR="00A4629E" w:rsidRPr="00150244">
        <w:rPr>
          <w:rFonts w:asciiTheme="majorHAnsi" w:hAnsiTheme="majorHAnsi"/>
          <w:sz w:val="20"/>
          <w:szCs w:val="20"/>
          <w:lang w:val="es-ES_tradnl"/>
        </w:rPr>
        <w:t>de Carlos Arancibia</w:t>
      </w:r>
      <w:r w:rsidR="00F43DEF" w:rsidRPr="00150244">
        <w:rPr>
          <w:rFonts w:asciiTheme="majorHAnsi" w:hAnsiTheme="majorHAnsi"/>
          <w:sz w:val="20"/>
          <w:szCs w:val="20"/>
          <w:lang w:val="es-ES_tradnl"/>
        </w:rPr>
        <w:t>,</w:t>
      </w:r>
      <w:r w:rsidR="00A4629E" w:rsidRPr="00150244">
        <w:rPr>
          <w:rFonts w:asciiTheme="majorHAnsi" w:hAnsiTheme="majorHAnsi"/>
          <w:sz w:val="20"/>
          <w:szCs w:val="20"/>
          <w:lang w:val="es-ES_tradnl"/>
        </w:rPr>
        <w:t xml:space="preserve"> cuyos nombres aparecen en la documentación pertinente a los procesos judiciales domésticos aportada tanto por la parte peticionara como por el Estado. Est</w:t>
      </w:r>
      <w:r w:rsidR="00045E61">
        <w:rPr>
          <w:rFonts w:asciiTheme="majorHAnsi" w:hAnsiTheme="majorHAnsi"/>
          <w:sz w:val="20"/>
          <w:szCs w:val="20"/>
          <w:lang w:val="es-ES_tradnl"/>
        </w:rPr>
        <w:t>os</w:t>
      </w:r>
      <w:r w:rsidR="00A4629E" w:rsidRPr="00150244">
        <w:rPr>
          <w:rFonts w:asciiTheme="majorHAnsi" w:hAnsiTheme="majorHAnsi"/>
          <w:sz w:val="20"/>
          <w:szCs w:val="20"/>
          <w:lang w:val="es-ES_tradnl"/>
        </w:rPr>
        <w:t xml:space="preserve"> serían: Micaela Anahí Arancibia (quien no </w:t>
      </w:r>
      <w:r w:rsidR="00A4629E" w:rsidRPr="00150244">
        <w:rPr>
          <w:rFonts w:asciiTheme="majorHAnsi" w:hAnsiTheme="majorHAnsi"/>
          <w:sz w:val="20"/>
          <w:szCs w:val="20"/>
          <w:lang w:val="es-ES_tradnl"/>
        </w:rPr>
        <w:lastRenderedPageBreak/>
        <w:t xml:space="preserve">había alcanzado la mayoría de edad en 2005) y Claudio Fernando Arancibia, Pablo Raúl Arancibia y Carlos Gustavo Arancibia (quienes ya habían alcanzado la mayoría de edad en 2005). En cualquier caso, todavía en la etapa de fondo del trámite del presente </w:t>
      </w:r>
      <w:r w:rsidR="000206E7" w:rsidRPr="00150244">
        <w:rPr>
          <w:rFonts w:asciiTheme="majorHAnsi" w:hAnsiTheme="majorHAnsi"/>
          <w:sz w:val="20"/>
          <w:szCs w:val="20"/>
          <w:lang w:val="es-ES_tradnl"/>
        </w:rPr>
        <w:t>asunto</w:t>
      </w:r>
      <w:r w:rsidR="00A4629E" w:rsidRPr="00150244">
        <w:rPr>
          <w:rFonts w:asciiTheme="majorHAnsi" w:hAnsiTheme="majorHAnsi"/>
          <w:sz w:val="20"/>
          <w:szCs w:val="20"/>
          <w:lang w:val="es-ES_tradnl"/>
        </w:rPr>
        <w:t>,</w:t>
      </w:r>
      <w:r w:rsidR="000206E7" w:rsidRPr="00150244">
        <w:rPr>
          <w:rFonts w:asciiTheme="majorHAnsi" w:hAnsiTheme="majorHAnsi"/>
          <w:sz w:val="20"/>
          <w:szCs w:val="20"/>
          <w:lang w:val="es-ES_tradnl"/>
        </w:rPr>
        <w:t xml:space="preserve"> y antes de un eventual informe de fondo,</w:t>
      </w:r>
      <w:r w:rsidR="00A4629E" w:rsidRPr="00150244">
        <w:rPr>
          <w:rFonts w:asciiTheme="majorHAnsi" w:hAnsiTheme="majorHAnsi"/>
          <w:sz w:val="20"/>
          <w:szCs w:val="20"/>
          <w:lang w:val="es-ES_tradnl"/>
        </w:rPr>
        <w:t xml:space="preserve"> la parte peticionaria podrá confirmar y definir el listado de familiares de la presunta víctima.</w:t>
      </w:r>
    </w:p>
    <w:p w14:paraId="301CED5C" w14:textId="34E59FE0" w:rsidR="00443B9D" w:rsidRPr="00150244" w:rsidRDefault="000206E7" w:rsidP="00B117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bCs/>
          <w:sz w:val="20"/>
          <w:szCs w:val="20"/>
          <w:lang w:val="es-ES_tradnl"/>
        </w:rPr>
      </w:pPr>
      <w:r w:rsidRPr="00150244">
        <w:rPr>
          <w:rFonts w:asciiTheme="majorHAnsi" w:hAnsiTheme="majorHAnsi"/>
          <w:bCs/>
          <w:sz w:val="20"/>
          <w:szCs w:val="20"/>
          <w:lang w:val="es-ES_tradnl"/>
        </w:rPr>
        <w:t>L</w:t>
      </w:r>
      <w:r w:rsidR="00443B9D" w:rsidRPr="00150244">
        <w:rPr>
          <w:rFonts w:asciiTheme="majorHAnsi" w:hAnsiTheme="majorHAnsi"/>
          <w:bCs/>
          <w:sz w:val="20"/>
          <w:szCs w:val="20"/>
          <w:lang w:val="es-ES_tradnl"/>
        </w:rPr>
        <w:t xml:space="preserve">a Comisión recuerda su criterio sostenido respecto a que la identificación plena de la totalidad de las víctimas de una petición debe ser realizada, de llegarse a ese punto, </w:t>
      </w:r>
      <w:r w:rsidR="005D5FCE" w:rsidRPr="00150244">
        <w:rPr>
          <w:rFonts w:asciiTheme="majorHAnsi" w:hAnsiTheme="majorHAnsi"/>
          <w:bCs/>
          <w:sz w:val="20"/>
          <w:szCs w:val="20"/>
          <w:lang w:val="es-ES_tradnl"/>
        </w:rPr>
        <w:t>en la etapa de fondo y en base al acerbo probatorio aportado por las partes</w:t>
      </w:r>
      <w:r w:rsidR="005D5FCE" w:rsidRPr="00150244">
        <w:rPr>
          <w:rStyle w:val="FootnoteReference"/>
          <w:rFonts w:asciiTheme="majorHAnsi" w:hAnsiTheme="majorHAnsi" w:cs="Calibri"/>
          <w:sz w:val="20"/>
          <w:szCs w:val="20"/>
          <w:lang w:val="es-ES_tradnl"/>
        </w:rPr>
        <w:footnoteReference w:id="6"/>
      </w:r>
      <w:r w:rsidR="005D5FCE" w:rsidRPr="00150244">
        <w:rPr>
          <w:rFonts w:asciiTheme="majorHAnsi" w:hAnsiTheme="majorHAnsi" w:cs="Calibri"/>
          <w:sz w:val="20"/>
          <w:szCs w:val="20"/>
          <w:lang w:val="es-ES_tradnl"/>
        </w:rPr>
        <w:t>.</w:t>
      </w:r>
    </w:p>
    <w:p w14:paraId="69DFAC88" w14:textId="5E3104F9" w:rsidR="004D1711" w:rsidRPr="00150244" w:rsidRDefault="00196013" w:rsidP="00B117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b/>
          <w:sz w:val="20"/>
          <w:szCs w:val="20"/>
          <w:lang w:val="es-ES_tradnl"/>
        </w:rPr>
      </w:pPr>
      <w:r w:rsidRPr="00150244">
        <w:rPr>
          <w:rFonts w:asciiTheme="majorHAnsi" w:hAnsiTheme="majorHAnsi"/>
          <w:bCs/>
          <w:sz w:val="20"/>
          <w:szCs w:val="20"/>
          <w:lang w:val="es-ES_tradnl"/>
        </w:rPr>
        <w:t xml:space="preserve">La parte peticionaria ha invocado la excepción al requisito de agotamiento de los recursos internos prevista en el artículo 46.1(b) de la Convención Americana y defendido que el plazo para la presentación de la petición debe calcularse tomando como punto de partida la notificación del rechazo del recurso de revocatoria interpuesto por las presuntas víctimas. A su vez, el Estado sostiene que las presuntas víctimas no agotaron los recursos </w:t>
      </w:r>
      <w:r w:rsidR="00E6447D" w:rsidRPr="00150244">
        <w:rPr>
          <w:rFonts w:asciiTheme="majorHAnsi" w:hAnsiTheme="majorHAnsi"/>
          <w:bCs/>
          <w:sz w:val="20"/>
          <w:szCs w:val="20"/>
          <w:lang w:val="es-ES_tradnl"/>
        </w:rPr>
        <w:t>internos en buena y debida forma y que, incluso si lo hubieran hecho, la petición es extemporánea pues la decisión que debe valorarse como definitiva es la que rechazó el recurso de queja por recurso extraordinario federal denegado, no así la que desestimó el recurso de revocatoria.</w:t>
      </w:r>
    </w:p>
    <w:p w14:paraId="1CC56531" w14:textId="1D637304" w:rsidR="00E6447D" w:rsidRPr="00150244" w:rsidRDefault="00E6447D" w:rsidP="00B117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b/>
          <w:sz w:val="20"/>
          <w:szCs w:val="20"/>
          <w:lang w:val="es-ES_tradnl"/>
        </w:rPr>
      </w:pPr>
      <w:r w:rsidRPr="00150244">
        <w:rPr>
          <w:rFonts w:asciiTheme="majorHAnsi" w:hAnsiTheme="majorHAnsi" w:cs="Calibri"/>
          <w:sz w:val="20"/>
          <w:szCs w:val="20"/>
          <w:lang w:val="es-ES_tradnl"/>
        </w:rPr>
        <w:t>Para efectos de determinar la vía procesal adecuada</w:t>
      </w:r>
      <w:r w:rsidR="005B38B0" w:rsidRPr="00150244">
        <w:rPr>
          <w:rFonts w:asciiTheme="majorHAnsi" w:hAnsiTheme="majorHAnsi" w:cs="Calibri"/>
          <w:sz w:val="20"/>
          <w:szCs w:val="20"/>
          <w:lang w:val="es-ES_tradnl"/>
        </w:rPr>
        <w:t xml:space="preserve"> que debía ser agotada</w:t>
      </w:r>
      <w:r w:rsidRPr="00150244">
        <w:rPr>
          <w:rFonts w:asciiTheme="majorHAnsi" w:hAnsiTheme="majorHAnsi" w:cs="Calibri"/>
          <w:sz w:val="20"/>
          <w:szCs w:val="20"/>
          <w:lang w:val="es-ES_tradnl"/>
        </w:rPr>
        <w:t xml:space="preserve"> en el ordenamiento interno</w:t>
      </w:r>
      <w:r w:rsidR="005B38B0" w:rsidRPr="00150244">
        <w:rPr>
          <w:rFonts w:asciiTheme="majorHAnsi" w:hAnsiTheme="majorHAnsi" w:cs="Calibri"/>
          <w:sz w:val="20"/>
          <w:szCs w:val="20"/>
          <w:lang w:val="es-ES_tradnl"/>
        </w:rPr>
        <w:t xml:space="preserve"> a fin de dar cumplimiento al requisito del artículo 46.1(a) de la Convención Americana</w:t>
      </w:r>
      <w:r w:rsidRPr="00150244">
        <w:rPr>
          <w:rFonts w:asciiTheme="majorHAnsi" w:hAnsiTheme="majorHAnsi" w:cs="Calibri"/>
          <w:sz w:val="20"/>
          <w:szCs w:val="20"/>
          <w:lang w:val="es-ES_tradnl"/>
        </w:rPr>
        <w:t xml:space="preserve"> la Comisión </w:t>
      </w:r>
      <w:r w:rsidR="005B38B0" w:rsidRPr="00150244">
        <w:rPr>
          <w:rFonts w:asciiTheme="majorHAnsi" w:hAnsiTheme="majorHAnsi" w:cs="Calibri"/>
          <w:sz w:val="20"/>
          <w:szCs w:val="20"/>
          <w:lang w:val="es-ES_tradnl"/>
        </w:rPr>
        <w:t xml:space="preserve">requiere </w:t>
      </w:r>
      <w:r w:rsidRPr="00150244">
        <w:rPr>
          <w:rFonts w:asciiTheme="majorHAnsi" w:hAnsiTheme="majorHAnsi" w:cs="Calibri"/>
          <w:sz w:val="20"/>
          <w:szCs w:val="20"/>
          <w:lang w:val="es-ES_tradnl"/>
        </w:rPr>
        <w:t>establecer, preliminarmente, el objeto de la petición presentada a su conocimiento.</w:t>
      </w:r>
      <w:r w:rsidR="005B38B0" w:rsidRPr="00150244">
        <w:rPr>
          <w:rFonts w:asciiTheme="majorHAnsi" w:hAnsiTheme="majorHAnsi" w:cs="Calibri"/>
          <w:sz w:val="20"/>
          <w:szCs w:val="20"/>
          <w:lang w:val="es-ES_tradnl"/>
        </w:rPr>
        <w:t xml:space="preserve"> En el presente caso, la Comisión entiende que el objeto de la petición sería la supuesta denegatoria de acceso a la justicia que las presuntas víctimas habrían sufrido</w:t>
      </w:r>
      <w:r w:rsidR="00567E71" w:rsidRPr="00150244">
        <w:rPr>
          <w:rFonts w:asciiTheme="majorHAnsi" w:hAnsiTheme="majorHAnsi" w:cs="Calibri"/>
          <w:sz w:val="20"/>
          <w:szCs w:val="20"/>
          <w:lang w:val="es-ES_tradnl"/>
        </w:rPr>
        <w:t>.</w:t>
      </w:r>
    </w:p>
    <w:p w14:paraId="0B401A60" w14:textId="5C6CF27A" w:rsidR="00567E71" w:rsidRPr="00150244" w:rsidRDefault="00A4629E" w:rsidP="00B117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b/>
          <w:sz w:val="20"/>
          <w:szCs w:val="20"/>
          <w:lang w:val="es-ES_tradnl"/>
        </w:rPr>
      </w:pPr>
      <w:r w:rsidRPr="00150244">
        <w:rPr>
          <w:rFonts w:asciiTheme="majorHAnsi" w:hAnsiTheme="majorHAnsi" w:cs="Calibri"/>
          <w:sz w:val="20"/>
          <w:szCs w:val="20"/>
          <w:lang w:val="es-ES_tradnl"/>
        </w:rPr>
        <w:t>La Comisión toma nota que</w:t>
      </w:r>
      <w:r w:rsidR="003338E3" w:rsidRPr="00150244">
        <w:rPr>
          <w:rFonts w:asciiTheme="majorHAnsi" w:hAnsiTheme="majorHAnsi" w:cs="Calibri"/>
          <w:sz w:val="20"/>
          <w:szCs w:val="20"/>
          <w:lang w:val="es-ES_tradnl"/>
        </w:rPr>
        <w:t xml:space="preserve"> el Estado alega que los recursos domésticos no fueron agotados en buena y debida forma. Al respecto, la Comisión recuerda que</w:t>
      </w:r>
      <w:r w:rsidR="00567E71" w:rsidRPr="00150244">
        <w:rPr>
          <w:rFonts w:asciiTheme="majorHAnsi" w:hAnsiTheme="majorHAnsi" w:cs="Calibri"/>
          <w:sz w:val="20"/>
          <w:szCs w:val="20"/>
          <w:lang w:val="es-ES_tradnl"/>
        </w:rPr>
        <w:t xml:space="preserve"> ya ha determinado que las presuntas víctimas de una violación a los derechos humanos deben agotar los recursos internos de conformidad con la legislación procesal interna. La Comisión no puede considerar que se ha cumplido debidamente con el requisito del agotamiento previo de los recursos internos si esos recursos han sido rechazados con fundamentos procesales razonables y no arbitrarios</w:t>
      </w:r>
      <w:r w:rsidR="00567E71" w:rsidRPr="00150244">
        <w:rPr>
          <w:rStyle w:val="FootnoteReference"/>
          <w:rFonts w:asciiTheme="majorHAnsi" w:hAnsiTheme="majorHAnsi" w:cs="Calibri"/>
          <w:sz w:val="20"/>
          <w:szCs w:val="20"/>
          <w:lang w:val="es-ES_tradnl"/>
        </w:rPr>
        <w:footnoteReference w:id="7"/>
      </w:r>
      <w:r w:rsidR="00567E71" w:rsidRPr="00150244">
        <w:rPr>
          <w:rFonts w:asciiTheme="majorHAnsi" w:hAnsiTheme="majorHAnsi" w:cs="Calibri"/>
          <w:sz w:val="20"/>
          <w:szCs w:val="20"/>
          <w:lang w:val="es-ES_tradnl"/>
        </w:rPr>
        <w:t>.</w:t>
      </w:r>
    </w:p>
    <w:p w14:paraId="6343C43B" w14:textId="60E1D93A" w:rsidR="00DD409B" w:rsidRPr="00150244" w:rsidRDefault="003338E3" w:rsidP="00B117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b/>
          <w:sz w:val="20"/>
          <w:szCs w:val="20"/>
          <w:lang w:val="es-ES_tradnl"/>
        </w:rPr>
      </w:pPr>
      <w:r w:rsidRPr="00150244">
        <w:rPr>
          <w:rFonts w:asciiTheme="majorHAnsi" w:hAnsiTheme="majorHAnsi"/>
          <w:bCs/>
          <w:sz w:val="20"/>
          <w:szCs w:val="20"/>
          <w:lang w:val="es-ES_tradnl"/>
        </w:rPr>
        <w:t>En el presente caso</w:t>
      </w:r>
      <w:r w:rsidR="00A4629E" w:rsidRPr="00150244">
        <w:rPr>
          <w:rFonts w:asciiTheme="majorHAnsi" w:hAnsiTheme="majorHAnsi"/>
          <w:bCs/>
          <w:sz w:val="20"/>
          <w:szCs w:val="20"/>
          <w:lang w:val="es-ES_tradnl"/>
        </w:rPr>
        <w:t>.</w:t>
      </w:r>
      <w:r w:rsidR="00D47010" w:rsidRPr="00150244">
        <w:rPr>
          <w:rFonts w:asciiTheme="majorHAnsi" w:hAnsiTheme="majorHAnsi"/>
          <w:bCs/>
          <w:sz w:val="20"/>
          <w:szCs w:val="20"/>
          <w:lang w:val="es-ES_tradnl"/>
        </w:rPr>
        <w:t xml:space="preserve"> </w:t>
      </w:r>
      <w:r w:rsidR="00BD7CF1" w:rsidRPr="00150244">
        <w:rPr>
          <w:rFonts w:asciiTheme="majorHAnsi" w:hAnsiTheme="majorHAnsi"/>
          <w:bCs/>
          <w:sz w:val="20"/>
          <w:szCs w:val="20"/>
          <w:lang w:val="es-ES_tradnl"/>
        </w:rPr>
        <w:t>la Suprema Corte de Justicia de la Provincia de Buenos Aires declar</w:t>
      </w:r>
      <w:r w:rsidR="00507D5E" w:rsidRPr="00150244">
        <w:rPr>
          <w:rFonts w:asciiTheme="majorHAnsi" w:hAnsiTheme="majorHAnsi"/>
          <w:bCs/>
          <w:sz w:val="20"/>
          <w:szCs w:val="20"/>
          <w:lang w:val="es-ES_tradnl"/>
        </w:rPr>
        <w:t>ó</w:t>
      </w:r>
      <w:r w:rsidR="00BD7CF1" w:rsidRPr="00150244">
        <w:rPr>
          <w:rFonts w:asciiTheme="majorHAnsi" w:hAnsiTheme="majorHAnsi"/>
          <w:bCs/>
          <w:sz w:val="20"/>
          <w:szCs w:val="20"/>
          <w:lang w:val="es-ES_tradnl"/>
        </w:rPr>
        <w:t xml:space="preserve"> desierto </w:t>
      </w:r>
      <w:r w:rsidR="00507D5E" w:rsidRPr="00150244">
        <w:rPr>
          <w:rFonts w:asciiTheme="majorHAnsi" w:hAnsiTheme="majorHAnsi"/>
          <w:bCs/>
          <w:sz w:val="20"/>
          <w:szCs w:val="20"/>
          <w:lang w:val="es-ES_tradnl"/>
        </w:rPr>
        <w:t xml:space="preserve">el recurso </w:t>
      </w:r>
      <w:r w:rsidR="00BD7CF1" w:rsidRPr="00150244">
        <w:rPr>
          <w:rFonts w:asciiTheme="majorHAnsi" w:hAnsiTheme="majorHAnsi"/>
          <w:bCs/>
          <w:sz w:val="20"/>
          <w:szCs w:val="20"/>
          <w:lang w:val="es-ES_tradnl"/>
        </w:rPr>
        <w:t>extraordinario de inaplicabilidad de la ley</w:t>
      </w:r>
      <w:r w:rsidR="00507D5E" w:rsidRPr="00150244">
        <w:rPr>
          <w:rFonts w:asciiTheme="majorHAnsi" w:hAnsiTheme="majorHAnsi"/>
          <w:bCs/>
          <w:sz w:val="20"/>
          <w:szCs w:val="20"/>
          <w:lang w:val="es-ES_tradnl"/>
        </w:rPr>
        <w:t xml:space="preserve"> interpuesto por las presuntas víctimas</w:t>
      </w:r>
      <w:r w:rsidR="00BD7CF1" w:rsidRPr="00150244">
        <w:rPr>
          <w:rFonts w:asciiTheme="majorHAnsi" w:hAnsiTheme="majorHAnsi"/>
          <w:bCs/>
          <w:sz w:val="20"/>
          <w:szCs w:val="20"/>
          <w:lang w:val="es-ES_tradnl"/>
        </w:rPr>
        <w:t xml:space="preserve"> </w:t>
      </w:r>
      <w:r w:rsidR="00507D5E" w:rsidRPr="00150244">
        <w:rPr>
          <w:rFonts w:asciiTheme="majorHAnsi" w:hAnsiTheme="majorHAnsi"/>
          <w:bCs/>
          <w:sz w:val="20"/>
          <w:szCs w:val="20"/>
          <w:lang w:val="es-ES_tradnl"/>
        </w:rPr>
        <w:t>porque estas no realizaron el depósito monetario requerido por las leyes provinciales para acceder a esa instancia revisora. Contra esa declaratoria, las presuntas víctimas interpusieron un recurso extraordinario federal que fue rechazado por la misma Suprema Corte provincial. Luego, las presuntas víctimas interpusieron un recurso de queja por recurso extraordinario federal denegado ante la Corte Suprema de Justicia de la Nación. Este recurso de queja les fue rechazado</w:t>
      </w:r>
      <w:r w:rsidR="00DD409B" w:rsidRPr="00150244">
        <w:rPr>
          <w:rFonts w:asciiTheme="majorHAnsi" w:hAnsiTheme="majorHAnsi"/>
          <w:bCs/>
          <w:sz w:val="20"/>
          <w:szCs w:val="20"/>
          <w:lang w:val="es-ES_tradnl"/>
        </w:rPr>
        <w:t xml:space="preserve"> </w:t>
      </w:r>
      <w:r w:rsidR="000206E7" w:rsidRPr="00150244">
        <w:rPr>
          <w:rFonts w:asciiTheme="majorHAnsi" w:hAnsiTheme="majorHAnsi"/>
          <w:bCs/>
          <w:sz w:val="20"/>
          <w:szCs w:val="20"/>
          <w:lang w:val="es-ES_tradnl"/>
        </w:rPr>
        <w:t>–</w:t>
      </w:r>
      <w:r w:rsidR="00DD409B" w:rsidRPr="00150244">
        <w:rPr>
          <w:rFonts w:asciiTheme="majorHAnsi" w:hAnsiTheme="majorHAnsi"/>
          <w:bCs/>
          <w:sz w:val="20"/>
          <w:szCs w:val="20"/>
          <w:lang w:val="es-ES_tradnl"/>
        </w:rPr>
        <w:t>según lo expuesto por la parte peticionaria y no controvertido por el Estado</w:t>
      </w:r>
      <w:r w:rsidR="000206E7" w:rsidRPr="00150244">
        <w:rPr>
          <w:rFonts w:asciiTheme="majorHAnsi" w:hAnsiTheme="majorHAnsi"/>
          <w:bCs/>
          <w:sz w:val="20"/>
          <w:szCs w:val="20"/>
          <w:lang w:val="es-ES_tradnl"/>
        </w:rPr>
        <w:t>–</w:t>
      </w:r>
      <w:r w:rsidR="00DD409B" w:rsidRPr="00150244">
        <w:rPr>
          <w:rFonts w:asciiTheme="majorHAnsi" w:hAnsiTheme="majorHAnsi"/>
          <w:bCs/>
          <w:sz w:val="20"/>
          <w:szCs w:val="20"/>
          <w:lang w:val="es-ES_tradnl"/>
        </w:rPr>
        <w:t xml:space="preserve"> por la única razón de que algunas de sus páginas excedían por una línea el máximo de re</w:t>
      </w:r>
      <w:r w:rsidR="00662833" w:rsidRPr="00150244">
        <w:rPr>
          <w:rFonts w:asciiTheme="majorHAnsi" w:hAnsiTheme="majorHAnsi"/>
          <w:bCs/>
          <w:sz w:val="20"/>
          <w:szCs w:val="20"/>
          <w:lang w:val="es-ES_tradnl"/>
        </w:rPr>
        <w:t>n</w:t>
      </w:r>
      <w:r w:rsidR="00DD409B" w:rsidRPr="00150244">
        <w:rPr>
          <w:rFonts w:asciiTheme="majorHAnsi" w:hAnsiTheme="majorHAnsi"/>
          <w:bCs/>
          <w:sz w:val="20"/>
          <w:szCs w:val="20"/>
          <w:lang w:val="es-ES_tradnl"/>
        </w:rPr>
        <w:t>glones por página permitido en la acordada aplicable. Esta última decisión habría terminado de configurar la supuesta situación de denegatoria de acceso a la justicia que d</w:t>
      </w:r>
      <w:r w:rsidR="00EA67F3" w:rsidRPr="00150244">
        <w:rPr>
          <w:rFonts w:asciiTheme="majorHAnsi" w:hAnsiTheme="majorHAnsi"/>
          <w:bCs/>
          <w:sz w:val="20"/>
          <w:szCs w:val="20"/>
          <w:lang w:val="es-ES_tradnl"/>
        </w:rPr>
        <w:t>a</w:t>
      </w:r>
      <w:r w:rsidR="00DD409B" w:rsidRPr="00150244">
        <w:rPr>
          <w:rFonts w:asciiTheme="majorHAnsi" w:hAnsiTheme="majorHAnsi"/>
          <w:bCs/>
          <w:sz w:val="20"/>
          <w:szCs w:val="20"/>
          <w:lang w:val="es-ES_tradnl"/>
        </w:rPr>
        <w:t xml:space="preserve"> objeto a la petición.</w:t>
      </w:r>
    </w:p>
    <w:p w14:paraId="541CBC34" w14:textId="5CF57D90" w:rsidR="003445E6" w:rsidRPr="00150244" w:rsidRDefault="00D47010" w:rsidP="00B117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b/>
          <w:sz w:val="20"/>
          <w:szCs w:val="20"/>
          <w:lang w:val="es-ES_tradnl"/>
        </w:rPr>
      </w:pPr>
      <w:r w:rsidRPr="00150244">
        <w:rPr>
          <w:rFonts w:asciiTheme="majorHAnsi" w:hAnsiTheme="majorHAnsi"/>
          <w:bCs/>
          <w:sz w:val="20"/>
          <w:szCs w:val="20"/>
          <w:lang w:val="es-ES_tradnl"/>
        </w:rPr>
        <w:t>De lo arriba expuesto surge que los recursos de inaplicabilidad de la ley y extraordinario federal interpuestos por las presuntas víctimas fueron rechazados en base a fundamentos procesales, pero que la parte peticionaria sostiene que el rechazo en base a esos fundamentos configuro una situación de denegatoria de acceso a la justicia. En consecuencia, la Comisión debe analizar si la excepción al requisito de agotamiento de los recursos internos prevista en el artículo 46.2</w:t>
      </w:r>
      <w:r w:rsidR="000206E7" w:rsidRPr="00150244">
        <w:rPr>
          <w:rFonts w:asciiTheme="majorHAnsi" w:hAnsiTheme="majorHAnsi"/>
          <w:bCs/>
          <w:sz w:val="20"/>
          <w:szCs w:val="20"/>
          <w:lang w:val="es-ES_tradnl"/>
        </w:rPr>
        <w:t>.</w:t>
      </w:r>
      <w:r w:rsidRPr="00150244">
        <w:rPr>
          <w:rFonts w:asciiTheme="majorHAnsi" w:hAnsiTheme="majorHAnsi"/>
          <w:bCs/>
          <w:sz w:val="20"/>
          <w:szCs w:val="20"/>
          <w:lang w:val="es-ES_tradnl"/>
        </w:rPr>
        <w:t xml:space="preserve">b) de la Convención Americana resulta aplicable a la presente petición. </w:t>
      </w:r>
    </w:p>
    <w:p w14:paraId="1CD3F80A" w14:textId="62DED499" w:rsidR="00567E71" w:rsidRPr="00150244" w:rsidRDefault="000206E7" w:rsidP="00B117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b/>
          <w:sz w:val="20"/>
          <w:szCs w:val="20"/>
          <w:lang w:val="es-ES_tradnl"/>
        </w:rPr>
      </w:pPr>
      <w:r w:rsidRPr="00150244">
        <w:rPr>
          <w:rFonts w:asciiTheme="majorHAnsi" w:hAnsiTheme="majorHAnsi"/>
          <w:bCs/>
          <w:sz w:val="20"/>
          <w:szCs w:val="20"/>
          <w:lang w:val="es-ES_tradnl"/>
        </w:rPr>
        <w:t>A este respecto, l</w:t>
      </w:r>
      <w:r w:rsidR="00567E71" w:rsidRPr="00150244">
        <w:rPr>
          <w:rFonts w:asciiTheme="majorHAnsi" w:hAnsiTheme="majorHAnsi"/>
          <w:bCs/>
          <w:sz w:val="20"/>
          <w:szCs w:val="20"/>
          <w:lang w:val="es-ES_tradnl"/>
        </w:rPr>
        <w:t>a Comisión ya ha concluido que</w:t>
      </w:r>
      <w:r w:rsidR="00024467" w:rsidRPr="00150244">
        <w:rPr>
          <w:rFonts w:asciiTheme="majorHAnsi" w:hAnsiTheme="majorHAnsi"/>
          <w:bCs/>
          <w:sz w:val="20"/>
          <w:szCs w:val="20"/>
          <w:lang w:val="es-ES_tradnl"/>
        </w:rPr>
        <w:t>, dependiendo de la situación económica de las presuntas víctimas y el monto requerido,</w:t>
      </w:r>
      <w:r w:rsidR="00567E71" w:rsidRPr="00150244">
        <w:rPr>
          <w:rFonts w:asciiTheme="majorHAnsi" w:hAnsiTheme="majorHAnsi"/>
          <w:bCs/>
          <w:sz w:val="20"/>
          <w:szCs w:val="20"/>
          <w:lang w:val="es-ES_tradnl"/>
        </w:rPr>
        <w:t xml:space="preserve"> el requisito de</w:t>
      </w:r>
      <w:r w:rsidR="00D47010" w:rsidRPr="00150244">
        <w:rPr>
          <w:rFonts w:asciiTheme="majorHAnsi" w:hAnsiTheme="majorHAnsi"/>
          <w:bCs/>
          <w:sz w:val="20"/>
          <w:szCs w:val="20"/>
          <w:lang w:val="es-ES_tradnl"/>
        </w:rPr>
        <w:t xml:space="preserve"> realizar un depósi</w:t>
      </w:r>
      <w:r w:rsidR="00BD0444" w:rsidRPr="00150244">
        <w:rPr>
          <w:rFonts w:asciiTheme="majorHAnsi" w:hAnsiTheme="majorHAnsi"/>
          <w:bCs/>
          <w:sz w:val="20"/>
          <w:szCs w:val="20"/>
          <w:lang w:val="es-ES_tradnl"/>
        </w:rPr>
        <w:t>t</w:t>
      </w:r>
      <w:r w:rsidR="00D47010" w:rsidRPr="00150244">
        <w:rPr>
          <w:rFonts w:asciiTheme="majorHAnsi" w:hAnsiTheme="majorHAnsi"/>
          <w:bCs/>
          <w:sz w:val="20"/>
          <w:szCs w:val="20"/>
          <w:lang w:val="es-ES_tradnl"/>
        </w:rPr>
        <w:t>o mon</w:t>
      </w:r>
      <w:r w:rsidR="00BD0444" w:rsidRPr="00150244">
        <w:rPr>
          <w:rFonts w:asciiTheme="majorHAnsi" w:hAnsiTheme="majorHAnsi"/>
          <w:bCs/>
          <w:sz w:val="20"/>
          <w:szCs w:val="20"/>
          <w:lang w:val="es-ES_tradnl"/>
        </w:rPr>
        <w:t>etario</w:t>
      </w:r>
      <w:r w:rsidR="00024467" w:rsidRPr="00150244">
        <w:rPr>
          <w:rFonts w:asciiTheme="majorHAnsi" w:hAnsiTheme="majorHAnsi"/>
          <w:bCs/>
          <w:sz w:val="20"/>
          <w:szCs w:val="20"/>
          <w:lang w:val="es-ES_tradnl"/>
        </w:rPr>
        <w:t xml:space="preserve"> </w:t>
      </w:r>
      <w:r w:rsidR="00BD0444" w:rsidRPr="00150244">
        <w:rPr>
          <w:rFonts w:asciiTheme="majorHAnsi" w:hAnsiTheme="majorHAnsi"/>
          <w:bCs/>
          <w:sz w:val="20"/>
          <w:szCs w:val="20"/>
          <w:lang w:val="es-ES_tradnl"/>
        </w:rPr>
        <w:t>puede con</w:t>
      </w:r>
      <w:r w:rsidR="00024467" w:rsidRPr="00150244">
        <w:rPr>
          <w:rFonts w:asciiTheme="majorHAnsi" w:hAnsiTheme="majorHAnsi"/>
          <w:bCs/>
          <w:sz w:val="20"/>
          <w:szCs w:val="20"/>
          <w:lang w:val="es-ES_tradnl"/>
        </w:rPr>
        <w:t>stituir</w:t>
      </w:r>
      <w:r w:rsidR="00BD0444" w:rsidRPr="00150244">
        <w:rPr>
          <w:rFonts w:asciiTheme="majorHAnsi" w:hAnsiTheme="majorHAnsi"/>
          <w:bCs/>
          <w:sz w:val="20"/>
          <w:szCs w:val="20"/>
          <w:lang w:val="es-ES_tradnl"/>
        </w:rPr>
        <w:t xml:space="preserve"> un impedimento para el agotamiento de los recursos internos que justifique la </w:t>
      </w:r>
      <w:r w:rsidR="00024467" w:rsidRPr="00150244">
        <w:rPr>
          <w:rFonts w:asciiTheme="majorHAnsi" w:hAnsiTheme="majorHAnsi"/>
          <w:bCs/>
          <w:sz w:val="20"/>
          <w:szCs w:val="20"/>
          <w:lang w:val="es-ES_tradnl"/>
        </w:rPr>
        <w:t>referida excepción prevista en el artículo 46.2</w:t>
      </w:r>
      <w:r w:rsidRPr="00150244">
        <w:rPr>
          <w:rFonts w:asciiTheme="majorHAnsi" w:hAnsiTheme="majorHAnsi"/>
          <w:bCs/>
          <w:sz w:val="20"/>
          <w:szCs w:val="20"/>
          <w:lang w:val="es-ES_tradnl"/>
        </w:rPr>
        <w:t>.</w:t>
      </w:r>
      <w:r w:rsidR="00024467" w:rsidRPr="00150244">
        <w:rPr>
          <w:rFonts w:asciiTheme="majorHAnsi" w:hAnsiTheme="majorHAnsi"/>
          <w:bCs/>
          <w:sz w:val="20"/>
          <w:szCs w:val="20"/>
          <w:lang w:val="es-ES_tradnl"/>
        </w:rPr>
        <w:t>b) de la Convención Americana</w:t>
      </w:r>
      <w:r w:rsidR="00024467" w:rsidRPr="00150244">
        <w:rPr>
          <w:rStyle w:val="FootnoteReference"/>
          <w:rFonts w:asciiTheme="majorHAnsi" w:hAnsiTheme="majorHAnsi"/>
          <w:bCs/>
          <w:sz w:val="20"/>
          <w:szCs w:val="20"/>
          <w:lang w:val="es-ES_tradnl"/>
        </w:rPr>
        <w:footnoteReference w:id="8"/>
      </w:r>
      <w:r w:rsidR="00024467" w:rsidRPr="00150244">
        <w:rPr>
          <w:rFonts w:asciiTheme="majorHAnsi" w:hAnsiTheme="majorHAnsi"/>
          <w:bCs/>
          <w:sz w:val="20"/>
          <w:szCs w:val="20"/>
          <w:lang w:val="es-ES_tradnl"/>
        </w:rPr>
        <w:t xml:space="preserve">. </w:t>
      </w:r>
      <w:r w:rsidRPr="00150244">
        <w:rPr>
          <w:rFonts w:asciiTheme="majorHAnsi" w:hAnsiTheme="majorHAnsi"/>
          <w:bCs/>
          <w:sz w:val="20"/>
          <w:szCs w:val="20"/>
          <w:lang w:val="es-ES_tradnl"/>
        </w:rPr>
        <w:t>S</w:t>
      </w:r>
      <w:r w:rsidR="00024467" w:rsidRPr="00150244">
        <w:rPr>
          <w:rFonts w:asciiTheme="majorHAnsi" w:hAnsiTheme="majorHAnsi"/>
          <w:bCs/>
          <w:sz w:val="20"/>
          <w:szCs w:val="20"/>
          <w:lang w:val="es-ES_tradnl"/>
        </w:rPr>
        <w:t>egún lo expuesto por la parte peticionaria y no controvertido por el Estado, la suma exigida a las presuntas víctimas par</w:t>
      </w:r>
      <w:r w:rsidR="00F7551A" w:rsidRPr="00150244">
        <w:rPr>
          <w:rFonts w:asciiTheme="majorHAnsi" w:hAnsiTheme="majorHAnsi"/>
          <w:bCs/>
          <w:sz w:val="20"/>
          <w:szCs w:val="20"/>
          <w:lang w:val="es-ES_tradnl"/>
        </w:rPr>
        <w:t>a</w:t>
      </w:r>
      <w:r w:rsidR="00024467" w:rsidRPr="00150244">
        <w:rPr>
          <w:rFonts w:asciiTheme="majorHAnsi" w:hAnsiTheme="majorHAnsi"/>
          <w:bCs/>
          <w:sz w:val="20"/>
          <w:szCs w:val="20"/>
          <w:lang w:val="es-ES_tradnl"/>
        </w:rPr>
        <w:t xml:space="preserve"> su recurso de inaplicabilidad </w:t>
      </w:r>
      <w:r w:rsidR="00F7551A" w:rsidRPr="00150244">
        <w:rPr>
          <w:rFonts w:asciiTheme="majorHAnsi" w:hAnsiTheme="majorHAnsi"/>
          <w:bCs/>
          <w:sz w:val="20"/>
          <w:szCs w:val="20"/>
          <w:lang w:val="es-ES_tradnl"/>
        </w:rPr>
        <w:t xml:space="preserve">de la ley fue </w:t>
      </w:r>
      <w:r w:rsidR="00E26834" w:rsidRPr="00150244">
        <w:rPr>
          <w:rFonts w:asciiTheme="majorHAnsi" w:hAnsiTheme="majorHAnsi"/>
          <w:bCs/>
          <w:sz w:val="20"/>
          <w:szCs w:val="20"/>
          <w:lang w:val="es-ES_tradnl"/>
        </w:rPr>
        <w:lastRenderedPageBreak/>
        <w:t xml:space="preserve">equivalente a más de cinco mil dólares de los Estados Unidos de América. El Estado tampoco ha controvertido que el grupo familiar de las presuntas víctimas se encontraba en situación de indigencia </w:t>
      </w:r>
      <w:r w:rsidR="002005EC" w:rsidRPr="00150244">
        <w:rPr>
          <w:rFonts w:asciiTheme="majorHAnsi" w:hAnsiTheme="majorHAnsi"/>
          <w:bCs/>
          <w:sz w:val="20"/>
          <w:szCs w:val="20"/>
          <w:lang w:val="es-ES_tradnl"/>
        </w:rPr>
        <w:t xml:space="preserve">luego de la muerte del señor Arancibia. </w:t>
      </w:r>
      <w:r w:rsidR="00061A80" w:rsidRPr="00150244">
        <w:rPr>
          <w:rFonts w:asciiTheme="majorHAnsi" w:hAnsiTheme="majorHAnsi"/>
          <w:bCs/>
          <w:sz w:val="20"/>
          <w:szCs w:val="20"/>
          <w:lang w:val="es-ES_tradnl"/>
        </w:rPr>
        <w:t xml:space="preserve">Por otra parte, la Comisión ya </w:t>
      </w:r>
      <w:r w:rsidR="00B1165B" w:rsidRPr="00150244">
        <w:rPr>
          <w:rFonts w:asciiTheme="majorHAnsi" w:hAnsiTheme="majorHAnsi"/>
          <w:bCs/>
          <w:sz w:val="20"/>
          <w:szCs w:val="20"/>
          <w:lang w:val="es-ES_tradnl"/>
        </w:rPr>
        <w:t xml:space="preserve">se ha pronunciado respecto a al rechazo de recursos extraordinarios federales en Argentina con fundamento en errores menores </w:t>
      </w:r>
      <w:r w:rsidR="00B1165B" w:rsidRPr="00150244">
        <w:rPr>
          <w:rFonts w:asciiTheme="majorHAnsi" w:hAnsiTheme="majorHAnsi"/>
          <w:sz w:val="20"/>
          <w:szCs w:val="20"/>
          <w:lang w:val="es-ES_tradnl"/>
        </w:rPr>
        <w:t>de forma relacionados con número de renglones por página, concluyendo que</w:t>
      </w:r>
      <w:r w:rsidR="00FA7A6F" w:rsidRPr="00150244">
        <w:rPr>
          <w:rFonts w:asciiTheme="majorHAnsi" w:hAnsiTheme="majorHAnsi"/>
          <w:sz w:val="20"/>
          <w:szCs w:val="20"/>
          <w:lang w:val="es-ES_tradnl"/>
        </w:rPr>
        <w:t xml:space="preserve"> no se puede sustentar la inadmisibilidad de una petición en</w:t>
      </w:r>
      <w:r w:rsidR="00B1165B" w:rsidRPr="00150244">
        <w:rPr>
          <w:rFonts w:asciiTheme="majorHAnsi" w:hAnsiTheme="majorHAnsi"/>
          <w:sz w:val="20"/>
          <w:szCs w:val="20"/>
          <w:lang w:val="es-ES_tradnl"/>
        </w:rPr>
        <w:t xml:space="preserve"> el rechazo de un recurso por esta causa si</w:t>
      </w:r>
      <w:r w:rsidR="00FA7A6F" w:rsidRPr="00150244">
        <w:rPr>
          <w:rFonts w:asciiTheme="majorHAnsi" w:hAnsiTheme="majorHAnsi"/>
          <w:sz w:val="20"/>
          <w:szCs w:val="20"/>
          <w:lang w:val="es-ES_tradnl"/>
        </w:rPr>
        <w:t xml:space="preserve"> no se le concedió previamente </w:t>
      </w:r>
      <w:r w:rsidR="00B1165B" w:rsidRPr="00150244">
        <w:rPr>
          <w:rFonts w:asciiTheme="majorHAnsi" w:hAnsiTheme="majorHAnsi"/>
          <w:sz w:val="20"/>
          <w:szCs w:val="20"/>
          <w:lang w:val="es-ES_tradnl"/>
        </w:rPr>
        <w:t>a la presunta víctima una oportunidad de subsanación</w:t>
      </w:r>
      <w:r w:rsidR="00B90CD4" w:rsidRPr="00150244">
        <w:rPr>
          <w:rStyle w:val="FootnoteReference"/>
          <w:rFonts w:asciiTheme="majorHAnsi" w:hAnsiTheme="majorHAnsi"/>
          <w:sz w:val="20"/>
          <w:szCs w:val="20"/>
          <w:lang w:val="es-ES_tradnl"/>
        </w:rPr>
        <w:footnoteReference w:id="9"/>
      </w:r>
      <w:r w:rsidR="00B90CD4" w:rsidRPr="00150244">
        <w:rPr>
          <w:rFonts w:asciiTheme="majorHAnsi" w:hAnsiTheme="majorHAnsi"/>
          <w:sz w:val="20"/>
          <w:szCs w:val="20"/>
          <w:lang w:val="es-ES_tradnl"/>
        </w:rPr>
        <w:t>.</w:t>
      </w:r>
    </w:p>
    <w:p w14:paraId="03AB5203" w14:textId="28438EFB" w:rsidR="00DF314A" w:rsidRPr="00150244" w:rsidRDefault="00FA7A6F" w:rsidP="00B117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b/>
          <w:sz w:val="20"/>
          <w:szCs w:val="20"/>
          <w:lang w:val="es-ES_tradnl"/>
        </w:rPr>
      </w:pPr>
      <w:r w:rsidRPr="00150244">
        <w:rPr>
          <w:rFonts w:asciiTheme="majorHAnsi" w:hAnsiTheme="majorHAnsi"/>
          <w:sz w:val="20"/>
          <w:szCs w:val="20"/>
          <w:lang w:val="es-ES_tradnl"/>
        </w:rPr>
        <w:t>Por lo arriba expuesto, la Comisión estima que, para efectos de admisibilidad, las causas invocadas por la parte peticionaria resultan suficientes para justificar la aplicación de la excepción al requisito de agotamiento de los recursos internos prevista en el artículo 46.2</w:t>
      </w:r>
      <w:r w:rsidR="00B11735" w:rsidRPr="00150244">
        <w:rPr>
          <w:rFonts w:asciiTheme="majorHAnsi" w:hAnsiTheme="majorHAnsi"/>
          <w:sz w:val="20"/>
          <w:szCs w:val="20"/>
          <w:lang w:val="es-ES_tradnl"/>
        </w:rPr>
        <w:t>.</w:t>
      </w:r>
      <w:r w:rsidRPr="00150244">
        <w:rPr>
          <w:rFonts w:asciiTheme="majorHAnsi" w:hAnsiTheme="majorHAnsi"/>
          <w:sz w:val="20"/>
          <w:szCs w:val="20"/>
          <w:lang w:val="es-ES_tradnl"/>
        </w:rPr>
        <w:t xml:space="preserve">b) de la Convención Americana a la presente petición. </w:t>
      </w:r>
    </w:p>
    <w:p w14:paraId="3D1A4FAC" w14:textId="77777777" w:rsidR="00DF314A" w:rsidRPr="00150244" w:rsidRDefault="00FA7A6F" w:rsidP="00B117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b/>
          <w:sz w:val="20"/>
          <w:szCs w:val="20"/>
          <w:lang w:val="es-ES_tradnl"/>
        </w:rPr>
      </w:pPr>
      <w:r w:rsidRPr="00150244">
        <w:rPr>
          <w:rFonts w:asciiTheme="majorHAnsi" w:hAnsiTheme="majorHAnsi"/>
          <w:sz w:val="20"/>
          <w:szCs w:val="20"/>
          <w:lang w:val="es-ES_tradnl"/>
        </w:rPr>
        <w:t>En cuanto al plazo para la presentación de la petición,</w:t>
      </w:r>
      <w:r w:rsidR="00DF314A" w:rsidRPr="00150244">
        <w:rPr>
          <w:rFonts w:asciiTheme="majorHAnsi" w:hAnsiTheme="majorHAnsi"/>
          <w:sz w:val="20"/>
          <w:szCs w:val="20"/>
          <w:lang w:val="es-ES_tradnl"/>
        </w:rPr>
        <w:t xml:space="preserve"> dado que aplica una excepción al requisito de agotamiento de los recursos internos la Comisión debe analizar si aquella fue presentada dentro de plazo razonable conforme a lo dispuesto en el artículo 32.2 de su reglamento. En este sentido,</w:t>
      </w:r>
      <w:r w:rsidRPr="00150244">
        <w:rPr>
          <w:rFonts w:asciiTheme="majorHAnsi" w:hAnsiTheme="majorHAnsi"/>
          <w:sz w:val="20"/>
          <w:szCs w:val="20"/>
          <w:lang w:val="es-ES_tradnl"/>
        </w:rPr>
        <w:t xml:space="preserve"> la Comisión observa que </w:t>
      </w:r>
      <w:r w:rsidR="004C0485" w:rsidRPr="00150244">
        <w:rPr>
          <w:rFonts w:asciiTheme="majorHAnsi" w:hAnsiTheme="majorHAnsi"/>
          <w:sz w:val="20"/>
          <w:szCs w:val="20"/>
          <w:lang w:val="es-ES_tradnl"/>
        </w:rPr>
        <w:t>la cuestionada renuncia del señor Arancibia se produjo en 2004, que la</w:t>
      </w:r>
      <w:r w:rsidR="00DF314A" w:rsidRPr="00150244">
        <w:rPr>
          <w:rFonts w:asciiTheme="majorHAnsi" w:hAnsiTheme="majorHAnsi"/>
          <w:sz w:val="20"/>
          <w:szCs w:val="20"/>
          <w:lang w:val="es-ES_tradnl"/>
        </w:rPr>
        <w:t xml:space="preserve"> vía administrativa habría quedado agotada en 2005, que la causa habría estado en litigio judicial entre 2005 y 2014, y que la petición fue presentada el 21 de enero de 2015. En consecuencia, la Comisión estima que la petición fue presentada dentro de plazo razonable. </w:t>
      </w:r>
    </w:p>
    <w:p w14:paraId="222D0257" w14:textId="76FA434B" w:rsidR="00FA7A6F" w:rsidRPr="00150244" w:rsidRDefault="00DF314A" w:rsidP="00B117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b/>
          <w:sz w:val="20"/>
          <w:szCs w:val="20"/>
          <w:lang w:val="es-ES_tradnl"/>
        </w:rPr>
      </w:pPr>
      <w:r w:rsidRPr="00150244">
        <w:rPr>
          <w:rFonts w:asciiTheme="majorHAnsi" w:hAnsiTheme="majorHAnsi"/>
          <w:sz w:val="20"/>
          <w:szCs w:val="20"/>
          <w:lang w:val="es-ES_tradnl"/>
        </w:rPr>
        <w:t xml:space="preserve">Las determinaciones de los párrafos precedentes no prejuzgan sobre el fondo del asunto ni sobre la veracidad de las alegaciones.  </w:t>
      </w:r>
    </w:p>
    <w:p w14:paraId="317FC274" w14:textId="77777777" w:rsidR="003338E3" w:rsidRPr="00150244" w:rsidRDefault="003338E3" w:rsidP="00B11735">
      <w:pPr>
        <w:pStyle w:val="ListParagraph"/>
        <w:numPr>
          <w:ilvl w:val="0"/>
          <w:numId w:val="55"/>
        </w:numPr>
        <w:suppressAutoHyphens/>
        <w:spacing w:after="120"/>
        <w:jc w:val="both"/>
        <w:rPr>
          <w:rFonts w:asciiTheme="majorHAnsi" w:hAnsiTheme="majorHAnsi"/>
          <w:sz w:val="20"/>
          <w:szCs w:val="20"/>
          <w:lang w:val="es-ES_tradnl"/>
        </w:rPr>
      </w:pPr>
      <w:r w:rsidRPr="00150244">
        <w:rPr>
          <w:rFonts w:asciiTheme="majorHAnsi" w:hAnsiTheme="majorHAnsi"/>
          <w:sz w:val="20"/>
          <w:szCs w:val="20"/>
          <w:lang w:val="es-ES_tradnl"/>
        </w:rPr>
        <w:t>Finalmente, la Comisión toma nota del reclamo del Estado sobre la supuesta extemporaneidad en el traslado de la petición. La CIDH señala al respecto que ni la Convención Americana ni el Reglamento de la Comisión establecen un plazo para el traslado de una petición al Estado a partir de su recepción y que los plazos establecidos en el Reglamento y en la Convención para otras etapas del trámite no son aplicables por analogía</w:t>
      </w:r>
      <w:r w:rsidRPr="00150244">
        <w:rPr>
          <w:rFonts w:asciiTheme="majorHAnsi" w:hAnsiTheme="majorHAnsi"/>
          <w:sz w:val="20"/>
          <w:szCs w:val="20"/>
          <w:vertAlign w:val="superscript"/>
          <w:lang w:val="es-ES_tradnl"/>
        </w:rPr>
        <w:footnoteReference w:id="10"/>
      </w:r>
      <w:r w:rsidRPr="00150244">
        <w:rPr>
          <w:rFonts w:asciiTheme="majorHAnsi" w:hAnsiTheme="majorHAnsi"/>
          <w:sz w:val="20"/>
          <w:szCs w:val="20"/>
          <w:lang w:val="es-ES_tradnl"/>
        </w:rPr>
        <w:t>. Asimismo, la CIDH en su Informe de Admisibilidad No. 79/08</w:t>
      </w:r>
      <w:r w:rsidRPr="00150244">
        <w:rPr>
          <w:rStyle w:val="FootnoteReference"/>
          <w:rFonts w:asciiTheme="majorHAnsi" w:hAnsiTheme="majorHAnsi"/>
          <w:sz w:val="20"/>
          <w:szCs w:val="20"/>
          <w:lang w:val="es-ES_tradnl"/>
        </w:rPr>
        <w:footnoteReference w:id="11"/>
      </w:r>
      <w:r w:rsidRPr="00150244">
        <w:rPr>
          <w:rFonts w:asciiTheme="majorHAnsi" w:hAnsiTheme="majorHAnsi"/>
          <w:sz w:val="20"/>
          <w:szCs w:val="20"/>
          <w:lang w:val="es-ES_tradnl"/>
        </w:rPr>
        <w:t>, aclaró que:</w:t>
      </w:r>
    </w:p>
    <w:p w14:paraId="0D53BC34" w14:textId="50AAE879" w:rsidR="003338E3" w:rsidRPr="00150244" w:rsidRDefault="003338E3" w:rsidP="00B11735">
      <w:pPr>
        <w:pStyle w:val="ListParagraph"/>
        <w:numPr>
          <w:ilvl w:val="0"/>
          <w:numId w:val="55"/>
        </w:numPr>
        <w:suppressAutoHyphens/>
        <w:spacing w:after="120"/>
        <w:ind w:right="720"/>
        <w:jc w:val="both"/>
        <w:rPr>
          <w:rFonts w:asciiTheme="majorHAnsi" w:hAnsiTheme="majorHAnsi"/>
          <w:sz w:val="20"/>
          <w:szCs w:val="20"/>
          <w:lang w:val="es-ES_tradnl"/>
        </w:rPr>
      </w:pPr>
      <w:r w:rsidRPr="00150244">
        <w:rPr>
          <w:rFonts w:asciiTheme="majorHAnsi" w:hAnsiTheme="majorHAnsi"/>
          <w:sz w:val="20"/>
          <w:szCs w:val="20"/>
          <w:lang w:val="es-ES_tradnl"/>
        </w:rPr>
        <w:t>el tiempo transcurrido desde que la Comisión recibe una denuncia hasta que la traslada al Estado, de acuerdo con las normas del sistema interamericano de derechos humanos, no es, por sí solo, motivo para que se decida archivar la petición. Como ha señalado esta Comisión, “</w:t>
      </w:r>
      <w:r w:rsidRPr="00150244">
        <w:rPr>
          <w:rFonts w:asciiTheme="majorHAnsi" w:hAnsiTheme="majorHAnsi"/>
          <w:i/>
          <w:iCs/>
          <w:sz w:val="20"/>
          <w:szCs w:val="20"/>
          <w:lang w:val="es-ES_tradnl"/>
        </w:rPr>
        <w:t>en la tramitación de casos individuales ante la Comisión, no existe el concepto de caducidad de instancia como una medida ipso jure, por el mero transcurso del tiempo</w:t>
      </w:r>
      <w:r w:rsidRPr="00150244">
        <w:rPr>
          <w:rFonts w:asciiTheme="majorHAnsi" w:hAnsiTheme="majorHAnsi"/>
          <w:sz w:val="20"/>
          <w:szCs w:val="20"/>
          <w:lang w:val="es-ES_tradnl"/>
        </w:rPr>
        <w:t xml:space="preserve">” [CIDH, Informe Nº 33/98, Caso 10.545 Clemente Ayala Torres y </w:t>
      </w:r>
      <w:r w:rsidR="004C1EC8" w:rsidRPr="00150244">
        <w:rPr>
          <w:rFonts w:asciiTheme="majorHAnsi" w:hAnsiTheme="majorHAnsi"/>
          <w:sz w:val="20"/>
          <w:szCs w:val="20"/>
          <w:lang w:val="es-ES_tradnl"/>
        </w:rPr>
        <w:t>otros (</w:t>
      </w:r>
      <w:r w:rsidRPr="00150244">
        <w:rPr>
          <w:rFonts w:asciiTheme="majorHAnsi" w:hAnsiTheme="majorHAnsi"/>
          <w:sz w:val="20"/>
          <w:szCs w:val="20"/>
          <w:lang w:val="es-ES_tradnl"/>
        </w:rPr>
        <w:t>México), 15 de mayo de 1998, párrafo 28.]</w:t>
      </w:r>
    </w:p>
    <w:p w14:paraId="6067C51F" w14:textId="77777777" w:rsidR="003338E3" w:rsidRPr="00150244" w:rsidRDefault="003338E3" w:rsidP="00B11735">
      <w:pPr>
        <w:pStyle w:val="ListParagraph"/>
        <w:numPr>
          <w:ilvl w:val="0"/>
          <w:numId w:val="55"/>
        </w:numPr>
        <w:suppressAutoHyphens/>
        <w:spacing w:after="120"/>
        <w:jc w:val="both"/>
        <w:rPr>
          <w:rFonts w:asciiTheme="majorHAnsi" w:hAnsiTheme="majorHAnsi"/>
          <w:sz w:val="20"/>
          <w:szCs w:val="20"/>
          <w:lang w:val="es-ES_tradnl"/>
        </w:rPr>
      </w:pPr>
      <w:r w:rsidRPr="00150244">
        <w:rPr>
          <w:rFonts w:asciiTheme="majorHAnsi" w:hAnsiTheme="majorHAnsi"/>
          <w:sz w:val="20"/>
          <w:szCs w:val="20"/>
          <w:lang w:val="es-ES_tradnl"/>
        </w:rPr>
        <w:t>Asimismo, en refuerzo de lo anterior, la Corte Interamericana de Derechos Humanos ha establecido precisamente respecto a este punto que:</w:t>
      </w:r>
    </w:p>
    <w:p w14:paraId="080212E0" w14:textId="2B51AD55" w:rsidR="003338E3" w:rsidRPr="00150244" w:rsidRDefault="003338E3" w:rsidP="00B11735">
      <w:pPr>
        <w:suppressAutoHyphens/>
        <w:spacing w:after="120"/>
        <w:ind w:left="720" w:right="720"/>
        <w:jc w:val="both"/>
        <w:rPr>
          <w:rFonts w:asciiTheme="majorHAnsi" w:hAnsiTheme="majorHAnsi"/>
          <w:sz w:val="20"/>
          <w:szCs w:val="20"/>
          <w:lang w:val="es-ES_tradnl"/>
        </w:rPr>
      </w:pPr>
      <w:r w:rsidRPr="00150244">
        <w:rPr>
          <w:rFonts w:asciiTheme="majorHAnsi" w:hAnsiTheme="majorHAnsi"/>
          <w:sz w:val="20"/>
          <w:szCs w:val="20"/>
          <w:lang w:val="es-ES_tradnl"/>
        </w:rPr>
        <w:t xml:space="preserve">El criterio de razonabilidad, con base al cual se deben aplicar las normas procedimentales, implica que un plazo como el que propone el Estado tendría que estar dispuesto claramente en las normas que rigen el procedimiento. Esto es particularmente así considerando que se estaría poniendo en juego el derecho de petición de las presuntas víctimas, establecido en el artículo 44 de la </w:t>
      </w:r>
      <w:r w:rsidR="004C1EC8" w:rsidRPr="00150244">
        <w:rPr>
          <w:rFonts w:asciiTheme="majorHAnsi" w:hAnsiTheme="majorHAnsi"/>
          <w:sz w:val="20"/>
          <w:szCs w:val="20"/>
          <w:lang w:val="es-ES_tradnl"/>
        </w:rPr>
        <w:t>Convención,</w:t>
      </w:r>
      <w:r w:rsidRPr="00150244">
        <w:rPr>
          <w:rFonts w:asciiTheme="majorHAnsi" w:hAnsiTheme="majorHAnsi"/>
          <w:sz w:val="20"/>
          <w:szCs w:val="20"/>
          <w:lang w:val="es-ES_tradnl"/>
        </w:rPr>
        <w:t xml:space="preserve"> por acciones u omisiones de la Comisión Interamericana sobre las cuales las presuntas víctimas no tienen ningún tipo de control. […]</w:t>
      </w:r>
      <w:r w:rsidRPr="00150244">
        <w:rPr>
          <w:rStyle w:val="FootnoteReference"/>
          <w:rFonts w:asciiTheme="majorHAnsi" w:hAnsiTheme="majorHAnsi"/>
          <w:sz w:val="20"/>
          <w:szCs w:val="20"/>
          <w:lang w:val="es-ES_tradnl"/>
        </w:rPr>
        <w:footnoteReference w:id="12"/>
      </w:r>
    </w:p>
    <w:p w14:paraId="529AE255" w14:textId="77777777" w:rsidR="003338E3" w:rsidRDefault="003338E3" w:rsidP="00B11735">
      <w:pPr>
        <w:pStyle w:val="ListParagraph"/>
        <w:numPr>
          <w:ilvl w:val="0"/>
          <w:numId w:val="55"/>
        </w:numPr>
        <w:suppressAutoHyphens/>
        <w:spacing w:after="120"/>
        <w:jc w:val="both"/>
        <w:rPr>
          <w:rFonts w:asciiTheme="majorHAnsi" w:hAnsiTheme="majorHAnsi"/>
          <w:sz w:val="20"/>
          <w:szCs w:val="20"/>
          <w:lang w:val="es-ES_tradnl"/>
        </w:rPr>
      </w:pPr>
      <w:r w:rsidRPr="00150244">
        <w:rPr>
          <w:rFonts w:asciiTheme="majorHAnsi" w:hAnsiTheme="majorHAnsi"/>
          <w:sz w:val="20"/>
          <w:szCs w:val="20"/>
          <w:lang w:val="es-ES_tradnl"/>
        </w:rPr>
        <w:t xml:space="preserve">En este sentido, la Comisión Interamericana reitera su compromiso con las víctimas, en función del cual realiza constantes esfuerzos para garantizar en todo momento la razonabilidad de los plazos en la tramitación de sus procesos; y el adecuado equilibrio entre la justicia y la seguridad jurídica. </w:t>
      </w:r>
    </w:p>
    <w:p w14:paraId="47911DD4" w14:textId="5378DEED" w:rsidR="00125324" w:rsidRDefault="00125324" w:rsidP="00E8393E">
      <w:pPr>
        <w:rPr>
          <w:rFonts w:asciiTheme="majorHAnsi" w:eastAsia="Cambria" w:hAnsiTheme="majorHAnsi" w:cs="Cambria"/>
          <w:color w:val="000000"/>
          <w:sz w:val="20"/>
          <w:szCs w:val="20"/>
          <w:u w:color="000000"/>
          <w:lang w:val="es-ES_tradnl" w:eastAsia="es-ES"/>
        </w:rPr>
      </w:pPr>
    </w:p>
    <w:p w14:paraId="5BA72726" w14:textId="18E305FD" w:rsidR="00B11735" w:rsidRPr="00150244" w:rsidRDefault="00F04591" w:rsidP="00B11735">
      <w:pPr>
        <w:pStyle w:val="ListParagraph"/>
        <w:spacing w:after="120"/>
        <w:contextualSpacing/>
        <w:jc w:val="both"/>
        <w:rPr>
          <w:rFonts w:asciiTheme="majorHAnsi" w:hAnsiTheme="majorHAnsi"/>
          <w:b/>
          <w:bCs/>
          <w:sz w:val="20"/>
          <w:szCs w:val="20"/>
          <w:lang w:val="es-ES_tradnl"/>
        </w:rPr>
      </w:pPr>
      <w:r w:rsidRPr="00150244">
        <w:rPr>
          <w:rFonts w:asciiTheme="majorHAnsi" w:hAnsiTheme="majorHAnsi"/>
          <w:b/>
          <w:bCs/>
          <w:sz w:val="20"/>
          <w:szCs w:val="20"/>
          <w:lang w:val="es-ES_tradnl"/>
        </w:rPr>
        <w:t>V</w:t>
      </w:r>
      <w:r w:rsidR="000E2789" w:rsidRPr="00150244">
        <w:rPr>
          <w:rFonts w:asciiTheme="majorHAnsi" w:hAnsiTheme="majorHAnsi"/>
          <w:b/>
          <w:bCs/>
          <w:sz w:val="20"/>
          <w:szCs w:val="20"/>
          <w:lang w:val="es-ES_tradnl"/>
        </w:rPr>
        <w:t>I</w:t>
      </w:r>
      <w:r w:rsidRPr="00150244">
        <w:rPr>
          <w:rFonts w:asciiTheme="majorHAnsi" w:hAnsiTheme="majorHAnsi"/>
          <w:b/>
          <w:bCs/>
          <w:sz w:val="20"/>
          <w:szCs w:val="20"/>
          <w:lang w:val="es-ES_tradnl"/>
        </w:rPr>
        <w:t xml:space="preserve">I. </w:t>
      </w:r>
      <w:r w:rsidR="00E9216D" w:rsidRPr="00150244">
        <w:rPr>
          <w:rFonts w:asciiTheme="majorHAnsi" w:hAnsiTheme="majorHAnsi"/>
          <w:b/>
          <w:bCs/>
          <w:sz w:val="20"/>
          <w:szCs w:val="20"/>
          <w:lang w:val="es-ES_tradnl"/>
        </w:rPr>
        <w:tab/>
        <w:t xml:space="preserve">ANÁLISIS DE </w:t>
      </w:r>
      <w:r w:rsidRPr="00150244">
        <w:rPr>
          <w:rFonts w:asciiTheme="majorHAnsi" w:hAnsiTheme="majorHAnsi"/>
          <w:b/>
          <w:bCs/>
          <w:sz w:val="20"/>
          <w:szCs w:val="20"/>
          <w:lang w:val="es-ES_tradnl"/>
        </w:rPr>
        <w:t>CARACTERIZACIÓN</w:t>
      </w:r>
    </w:p>
    <w:p w14:paraId="58697FFE" w14:textId="77777777" w:rsidR="00B11735" w:rsidRPr="00150244" w:rsidRDefault="00B11735" w:rsidP="00C956EF">
      <w:pPr>
        <w:pStyle w:val="ListParagraph"/>
        <w:contextualSpacing/>
        <w:jc w:val="both"/>
        <w:rPr>
          <w:rFonts w:asciiTheme="majorHAnsi" w:hAnsiTheme="majorHAnsi"/>
          <w:b/>
          <w:bCs/>
          <w:sz w:val="20"/>
          <w:szCs w:val="20"/>
          <w:lang w:val="es-ES_tradnl"/>
        </w:rPr>
      </w:pPr>
    </w:p>
    <w:p w14:paraId="47A8064E" w14:textId="4501BFD5" w:rsidR="00056237" w:rsidRPr="00150244" w:rsidRDefault="00096738" w:rsidP="00B1173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_tradnl"/>
        </w:rPr>
      </w:pPr>
      <w:r w:rsidRPr="00150244">
        <w:rPr>
          <w:rFonts w:asciiTheme="majorHAnsi" w:hAnsiTheme="majorHAnsi"/>
          <w:sz w:val="20"/>
          <w:szCs w:val="20"/>
          <w:lang w:val="es-ES_tradnl"/>
        </w:rPr>
        <w:t>Preliminarmente y dado que el Estado ha presentado argumentos relacionados con la denominada fórmula de la “cuarta instancia”, la Comisión reitera que, para los efectos de la admisibilidad, esta 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esos requisitos difiere del que se utiliza para pronunciarse sobre el fondo de una petición. Asimismo, dentro del marco de su mandato es competente para declarar admisible una petición cuando ésta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la existencia de elementos que, de ser ciertos, podrían constituir prima facie violaciones a la Convención Americana”</w:t>
      </w:r>
      <w:r w:rsidRPr="00150244">
        <w:rPr>
          <w:rStyle w:val="FootnoteReference"/>
          <w:rFonts w:asciiTheme="majorHAnsi" w:hAnsiTheme="majorHAnsi" w:cs="Calibri"/>
          <w:sz w:val="20"/>
          <w:szCs w:val="20"/>
          <w:lang w:val="es-ES_tradnl"/>
        </w:rPr>
        <w:footnoteReference w:id="13"/>
      </w:r>
      <w:r w:rsidRPr="00150244">
        <w:rPr>
          <w:rFonts w:asciiTheme="majorHAnsi" w:hAnsiTheme="majorHAnsi"/>
          <w:sz w:val="20"/>
          <w:szCs w:val="20"/>
          <w:lang w:val="es-ES_tradnl"/>
        </w:rPr>
        <w:t>.</w:t>
      </w:r>
    </w:p>
    <w:p w14:paraId="2BBAB8CA" w14:textId="753D5637" w:rsidR="006765D4" w:rsidRPr="00150244" w:rsidRDefault="006765D4" w:rsidP="00B1173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hAnsiTheme="majorHAnsi"/>
          <w:sz w:val="20"/>
          <w:szCs w:val="20"/>
          <w:lang w:val="es-ES_tradnl"/>
        </w:rPr>
      </w:pPr>
      <w:r w:rsidRPr="00150244">
        <w:rPr>
          <w:rFonts w:asciiTheme="majorHAnsi" w:hAnsiTheme="majorHAnsi"/>
          <w:sz w:val="20"/>
          <w:szCs w:val="20"/>
          <w:lang w:val="es-ES_tradnl"/>
        </w:rPr>
        <w:t>El Estado ha reclamado que la parte peticionaria no ha</w:t>
      </w:r>
      <w:r w:rsidR="00056237" w:rsidRPr="00150244">
        <w:rPr>
          <w:rFonts w:asciiTheme="majorHAnsi" w:hAnsiTheme="majorHAnsi"/>
          <w:sz w:val="20"/>
          <w:szCs w:val="20"/>
          <w:lang w:val="es-ES_tradnl"/>
        </w:rPr>
        <w:t xml:space="preserve"> proporcionado un relato completo y detallado de los hechos y no específica dónde y cuándo habrían ocurrido las violaciones alegadas. Al respecto, </w:t>
      </w:r>
      <w:r w:rsidRPr="00150244">
        <w:rPr>
          <w:rFonts w:asciiTheme="majorHAnsi" w:hAnsiTheme="majorHAnsi"/>
          <w:sz w:val="20"/>
          <w:szCs w:val="20"/>
          <w:lang w:val="es-ES_tradnl"/>
        </w:rPr>
        <w:t xml:space="preserve">la Comisión observa que el formulario mediante el cual inicialmente se presentó la petición denuncia una supuesta situación de denegatoria de justicia, pero no presenta un relato claro de los hechos que habrían llevado a ella. Sin embargo, esos hechos se desprenden de la documentación pertinente a los procesos judiciales domésticos que ha sido aportada tanto por la parte peticionaria como por el Estado. </w:t>
      </w:r>
    </w:p>
    <w:p w14:paraId="5D47FA4F" w14:textId="669D6332" w:rsidR="00662833" w:rsidRPr="00150244" w:rsidRDefault="00352031" w:rsidP="00B1173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hAnsiTheme="majorHAnsi"/>
          <w:sz w:val="20"/>
          <w:szCs w:val="20"/>
          <w:lang w:val="es-ES_tradnl"/>
        </w:rPr>
      </w:pPr>
      <w:r w:rsidRPr="00150244">
        <w:rPr>
          <w:rFonts w:asciiTheme="majorHAnsi" w:hAnsiTheme="majorHAnsi"/>
          <w:sz w:val="20"/>
          <w:szCs w:val="20"/>
          <w:lang w:val="es-ES_tradnl"/>
        </w:rPr>
        <w:t>La presente petición incluye alegaciones respecto a que las presuntas víctimas se les denegó el acceso a instancias extraordinarias de justicia para la revisión de un asunto relacionado con derechos laborales de la persona que en vida había sido el sustento de su grupo familiar</w:t>
      </w:r>
      <w:r w:rsidR="00CB4132" w:rsidRPr="00150244">
        <w:rPr>
          <w:rFonts w:asciiTheme="majorHAnsi" w:hAnsiTheme="majorHAnsi"/>
          <w:sz w:val="20"/>
          <w:szCs w:val="20"/>
          <w:lang w:val="es-ES_tradnl"/>
        </w:rPr>
        <w:t>;</w:t>
      </w:r>
      <w:r w:rsidRPr="00150244">
        <w:rPr>
          <w:rFonts w:asciiTheme="majorHAnsi" w:hAnsiTheme="majorHAnsi"/>
          <w:sz w:val="20"/>
          <w:szCs w:val="20"/>
          <w:lang w:val="es-ES_tradnl"/>
        </w:rPr>
        <w:t xml:space="preserve"> </w:t>
      </w:r>
      <w:r w:rsidR="00CB4132" w:rsidRPr="00150244">
        <w:rPr>
          <w:rFonts w:asciiTheme="majorHAnsi" w:hAnsiTheme="majorHAnsi"/>
          <w:sz w:val="20"/>
          <w:szCs w:val="20"/>
          <w:lang w:val="es-ES_tradnl"/>
        </w:rPr>
        <w:t>y quien supuestamente había sido inducido a renunciar a su trabajo por agentes estatales en abuso de su especial condición de vulnerabilidad por ser persona analfabeta y adicta al alcohol. La denegatoria de justicia habría ocurrido primero al exigírsele a las presuntas víctimas depositar una suma de dinero</w:t>
      </w:r>
      <w:r w:rsidR="00492E00" w:rsidRPr="00150244">
        <w:rPr>
          <w:rFonts w:asciiTheme="majorHAnsi" w:hAnsiTheme="majorHAnsi"/>
          <w:sz w:val="20"/>
          <w:szCs w:val="20"/>
          <w:lang w:val="es-ES_tradnl"/>
        </w:rPr>
        <w:t xml:space="preserve"> que era</w:t>
      </w:r>
      <w:r w:rsidR="00CB4132" w:rsidRPr="00150244">
        <w:rPr>
          <w:rFonts w:asciiTheme="majorHAnsi" w:hAnsiTheme="majorHAnsi"/>
          <w:sz w:val="20"/>
          <w:szCs w:val="20"/>
          <w:lang w:val="es-ES_tradnl"/>
        </w:rPr>
        <w:t xml:space="preserve"> </w:t>
      </w:r>
      <w:r w:rsidR="00985992" w:rsidRPr="00150244">
        <w:rPr>
          <w:rFonts w:asciiTheme="majorHAnsi" w:hAnsiTheme="majorHAnsi"/>
          <w:sz w:val="20"/>
          <w:szCs w:val="20"/>
          <w:lang w:val="es-ES_tradnl"/>
        </w:rPr>
        <w:t xml:space="preserve">irrazonable </w:t>
      </w:r>
      <w:r w:rsidR="00B11735" w:rsidRPr="00150244">
        <w:rPr>
          <w:rFonts w:asciiTheme="majorHAnsi" w:hAnsiTheme="majorHAnsi"/>
          <w:sz w:val="20"/>
          <w:szCs w:val="20"/>
          <w:lang w:val="es-ES_tradnl"/>
        </w:rPr>
        <w:t>con relación a</w:t>
      </w:r>
      <w:r w:rsidR="00985992" w:rsidRPr="00150244">
        <w:rPr>
          <w:rFonts w:asciiTheme="majorHAnsi" w:hAnsiTheme="majorHAnsi"/>
          <w:sz w:val="20"/>
          <w:szCs w:val="20"/>
          <w:lang w:val="es-ES_tradnl"/>
        </w:rPr>
        <w:t xml:space="preserve"> sus capacidades económicas </w:t>
      </w:r>
      <w:r w:rsidR="00CB4132" w:rsidRPr="00150244">
        <w:rPr>
          <w:rFonts w:asciiTheme="majorHAnsi" w:hAnsiTheme="majorHAnsi"/>
          <w:sz w:val="20"/>
          <w:szCs w:val="20"/>
          <w:lang w:val="es-ES_tradnl"/>
        </w:rPr>
        <w:t xml:space="preserve">como condición para acceder la instancia revisora. </w:t>
      </w:r>
      <w:r w:rsidR="00406A62" w:rsidRPr="00150244">
        <w:rPr>
          <w:rFonts w:asciiTheme="majorHAnsi" w:hAnsiTheme="majorHAnsi"/>
          <w:sz w:val="20"/>
          <w:szCs w:val="20"/>
          <w:lang w:val="es-ES_tradnl"/>
        </w:rPr>
        <w:t xml:space="preserve">Posteriormente se configuro otro </w:t>
      </w:r>
      <w:r w:rsidR="00662833" w:rsidRPr="00150244">
        <w:rPr>
          <w:rFonts w:asciiTheme="majorHAnsi" w:hAnsiTheme="majorHAnsi"/>
          <w:sz w:val="20"/>
          <w:szCs w:val="20"/>
          <w:lang w:val="es-ES_tradnl"/>
        </w:rPr>
        <w:t xml:space="preserve">supuesto </w:t>
      </w:r>
      <w:r w:rsidR="00406A62" w:rsidRPr="00150244">
        <w:rPr>
          <w:rFonts w:asciiTheme="majorHAnsi" w:hAnsiTheme="majorHAnsi"/>
          <w:sz w:val="20"/>
          <w:szCs w:val="20"/>
          <w:lang w:val="es-ES_tradnl"/>
        </w:rPr>
        <w:t xml:space="preserve">incidente de denegatoria de justicia cuando </w:t>
      </w:r>
      <w:r w:rsidR="00985992" w:rsidRPr="00150244">
        <w:rPr>
          <w:rFonts w:asciiTheme="majorHAnsi" w:hAnsiTheme="majorHAnsi"/>
          <w:sz w:val="20"/>
          <w:szCs w:val="20"/>
          <w:lang w:val="es-ES_tradnl"/>
        </w:rPr>
        <w:t>otro recurso extraordinario</w:t>
      </w:r>
      <w:r w:rsidR="00406A62" w:rsidRPr="00150244">
        <w:rPr>
          <w:rFonts w:asciiTheme="majorHAnsi" w:hAnsiTheme="majorHAnsi"/>
          <w:sz w:val="20"/>
          <w:szCs w:val="20"/>
          <w:lang w:val="es-ES_tradnl"/>
        </w:rPr>
        <w:t xml:space="preserve"> interpuesto por las presuntas víctimas fue rechazado exclusivamente por un defecto de forma insustancial </w:t>
      </w:r>
      <w:r w:rsidR="00B11735" w:rsidRPr="00150244">
        <w:rPr>
          <w:rFonts w:asciiTheme="majorHAnsi" w:hAnsiTheme="majorHAnsi"/>
          <w:sz w:val="20"/>
          <w:szCs w:val="20"/>
          <w:lang w:val="es-ES_tradnl"/>
        </w:rPr>
        <w:t>–</w:t>
      </w:r>
      <w:r w:rsidR="00662833" w:rsidRPr="00150244">
        <w:rPr>
          <w:rFonts w:asciiTheme="majorHAnsi" w:hAnsiTheme="majorHAnsi"/>
          <w:sz w:val="20"/>
          <w:szCs w:val="20"/>
          <w:lang w:val="es-ES_tradnl"/>
        </w:rPr>
        <w:t>algunas páginas de su escrito excedían por una línea el máximo de renglones por página permitido por la norma aplicable pero el escrito en su totalidad no excedía el máximo de texto permitido por la norma</w:t>
      </w:r>
      <w:r w:rsidR="00B11735" w:rsidRPr="00150244">
        <w:rPr>
          <w:rFonts w:asciiTheme="majorHAnsi" w:hAnsiTheme="majorHAnsi"/>
          <w:sz w:val="20"/>
          <w:szCs w:val="20"/>
          <w:lang w:val="es-ES_tradnl"/>
        </w:rPr>
        <w:t>–</w:t>
      </w:r>
      <w:r w:rsidR="00662833" w:rsidRPr="00150244">
        <w:rPr>
          <w:rFonts w:asciiTheme="majorHAnsi" w:hAnsiTheme="majorHAnsi"/>
          <w:sz w:val="20"/>
          <w:szCs w:val="20"/>
          <w:lang w:val="es-ES_tradnl"/>
        </w:rPr>
        <w:t xml:space="preserve">. </w:t>
      </w:r>
      <w:r w:rsidR="003B0D7A" w:rsidRPr="00150244">
        <w:rPr>
          <w:rFonts w:asciiTheme="majorHAnsi" w:hAnsiTheme="majorHAnsi" w:cs="Calibri"/>
          <w:sz w:val="20"/>
          <w:szCs w:val="20"/>
          <w:lang w:val="es-ES_tradnl"/>
        </w:rPr>
        <w:t xml:space="preserve">El Estado no ha indicado ni surge del expediente que a las presuntas víctimas se les haya ofrecido la posibilidad de subsanar </w:t>
      </w:r>
      <w:r w:rsidR="00985992" w:rsidRPr="00150244">
        <w:rPr>
          <w:rFonts w:asciiTheme="majorHAnsi" w:hAnsiTheme="majorHAnsi" w:cs="Calibri"/>
          <w:sz w:val="20"/>
          <w:szCs w:val="20"/>
          <w:lang w:val="es-ES_tradnl"/>
        </w:rPr>
        <w:t>estos defectos de forma antes de que se les rechazara definitivamente el referido recurso.</w:t>
      </w:r>
    </w:p>
    <w:p w14:paraId="4A63684D" w14:textId="30B44D87" w:rsidR="0087444C" w:rsidRPr="00150244" w:rsidRDefault="007F712A" w:rsidP="00B1173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hAnsiTheme="majorHAnsi"/>
          <w:sz w:val="20"/>
          <w:szCs w:val="20"/>
          <w:lang w:val="es-ES_tradnl"/>
        </w:rPr>
      </w:pPr>
      <w:r w:rsidRPr="00150244">
        <w:rPr>
          <w:rFonts w:asciiTheme="majorHAnsi" w:hAnsiTheme="majorHAnsi"/>
          <w:sz w:val="20"/>
          <w:szCs w:val="20"/>
          <w:lang w:val="es-ES_tradnl"/>
        </w:rPr>
        <w:t>La Corte Interamericana ha determinado que el requisito de abonar sumas monetarias como condición para acceder a una instancia judicial puede constituir una obstrucción al acceso a la justicia si la suma fijada no es razonable</w:t>
      </w:r>
      <w:r w:rsidRPr="00150244">
        <w:rPr>
          <w:rStyle w:val="FootnoteReference"/>
          <w:rFonts w:asciiTheme="majorHAnsi" w:hAnsiTheme="majorHAnsi"/>
          <w:sz w:val="20"/>
          <w:szCs w:val="20"/>
          <w:lang w:val="es-ES_tradnl"/>
        </w:rPr>
        <w:footnoteReference w:id="14"/>
      </w:r>
      <w:r w:rsidRPr="00150244">
        <w:rPr>
          <w:rFonts w:asciiTheme="majorHAnsi" w:hAnsiTheme="majorHAnsi"/>
          <w:sz w:val="20"/>
          <w:szCs w:val="20"/>
          <w:lang w:val="es-ES_tradnl"/>
        </w:rPr>
        <w:t>.</w:t>
      </w:r>
      <w:r w:rsidR="00AA067E" w:rsidRPr="00150244">
        <w:rPr>
          <w:rFonts w:asciiTheme="majorHAnsi" w:hAnsiTheme="majorHAnsi"/>
          <w:sz w:val="20"/>
          <w:szCs w:val="20"/>
          <w:lang w:val="es-ES_tradnl"/>
        </w:rPr>
        <w:t xml:space="preserve"> </w:t>
      </w:r>
      <w:r w:rsidR="00985992" w:rsidRPr="00150244">
        <w:rPr>
          <w:rFonts w:asciiTheme="majorHAnsi" w:hAnsiTheme="majorHAnsi"/>
          <w:sz w:val="20"/>
          <w:szCs w:val="20"/>
          <w:lang w:val="es-ES_tradnl"/>
        </w:rPr>
        <w:t xml:space="preserve"> </w:t>
      </w:r>
      <w:r w:rsidR="00AA067E" w:rsidRPr="00150244">
        <w:rPr>
          <w:rFonts w:asciiTheme="majorHAnsi" w:hAnsiTheme="majorHAnsi"/>
          <w:sz w:val="20"/>
          <w:szCs w:val="20"/>
          <w:lang w:val="es-ES_tradnl"/>
        </w:rPr>
        <w:t>La Co</w:t>
      </w:r>
      <w:r w:rsidR="005C2AE5" w:rsidRPr="00150244">
        <w:rPr>
          <w:rFonts w:asciiTheme="majorHAnsi" w:hAnsiTheme="majorHAnsi"/>
          <w:sz w:val="20"/>
          <w:szCs w:val="20"/>
          <w:lang w:val="es-ES_tradnl"/>
        </w:rPr>
        <w:t>rte</w:t>
      </w:r>
      <w:r w:rsidR="00AA067E" w:rsidRPr="00150244">
        <w:rPr>
          <w:rFonts w:asciiTheme="majorHAnsi" w:hAnsiTheme="majorHAnsi"/>
          <w:sz w:val="20"/>
          <w:szCs w:val="20"/>
          <w:lang w:val="es-ES_tradnl"/>
        </w:rPr>
        <w:t xml:space="preserve"> Interamericana además ha señalado que “para hacer efectivo el acceso a la justicia de las víctimas, los jueces como rectores del proceso tienen que dirigir y encausar el procedimiento judicial con el fin de no sacrificar la justicia y el debido proceso legal en pro del formalismo”</w:t>
      </w:r>
      <w:r w:rsidR="00AA067E" w:rsidRPr="00150244">
        <w:rPr>
          <w:rStyle w:val="FootnoteReference"/>
          <w:rFonts w:asciiTheme="majorHAnsi" w:hAnsiTheme="majorHAnsi"/>
          <w:sz w:val="20"/>
          <w:szCs w:val="20"/>
          <w:lang w:val="es-ES_tradnl"/>
        </w:rPr>
        <w:footnoteReference w:id="15"/>
      </w:r>
      <w:r w:rsidR="00AA067E" w:rsidRPr="00150244">
        <w:rPr>
          <w:rFonts w:asciiTheme="majorHAnsi" w:hAnsiTheme="majorHAnsi" w:cs="Calibri"/>
          <w:sz w:val="20"/>
          <w:szCs w:val="20"/>
          <w:lang w:val="es-ES_tradnl"/>
        </w:rPr>
        <w:t xml:space="preserve"> </w:t>
      </w:r>
    </w:p>
    <w:p w14:paraId="47626F33" w14:textId="43A19CC6" w:rsidR="0087444C" w:rsidRPr="00C956EF" w:rsidRDefault="0087444C" w:rsidP="00B1173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hAnsiTheme="majorHAnsi"/>
          <w:sz w:val="20"/>
          <w:szCs w:val="20"/>
          <w:lang w:val="es-ES_tradnl"/>
        </w:rPr>
      </w:pPr>
      <w:r w:rsidRPr="00150244">
        <w:rPr>
          <w:rFonts w:asciiTheme="majorHAnsi" w:hAnsiTheme="majorHAnsi"/>
          <w:sz w:val="20"/>
          <w:szCs w:val="20"/>
          <w:lang w:val="es-ES_tradnl"/>
        </w:rPr>
        <w:t xml:space="preserve">En atención a estas consideraciones y tras examinar los elementos de hecho y de derecho expuestos por las partes, la Comisión estima que las alegaciones de la parte peticionaria no resultan manifiestamente infundadas y requieren un estudio de fondo pues los hechos alegados, de corroborarse como ciertos podrían caracterizar violaciones a los </w:t>
      </w:r>
      <w:r w:rsidRPr="00150244">
        <w:rPr>
          <w:rFonts w:asciiTheme="majorHAnsi" w:hAnsiTheme="majorHAnsi"/>
          <w:bCs/>
          <w:sz w:val="20"/>
          <w:szCs w:val="20"/>
          <w:lang w:val="es-ES_tradnl"/>
        </w:rPr>
        <w:t>artículos 8 (garantías judiciales)</w:t>
      </w:r>
      <w:r w:rsidR="00B11735" w:rsidRPr="00150244">
        <w:rPr>
          <w:rFonts w:asciiTheme="majorHAnsi" w:hAnsiTheme="majorHAnsi"/>
          <w:bCs/>
          <w:sz w:val="20"/>
          <w:szCs w:val="20"/>
          <w:lang w:val="es-ES_tradnl"/>
        </w:rPr>
        <w:t xml:space="preserve">, </w:t>
      </w:r>
      <w:r w:rsidRPr="00150244">
        <w:rPr>
          <w:rFonts w:asciiTheme="majorHAnsi" w:hAnsiTheme="majorHAnsi"/>
          <w:bCs/>
          <w:sz w:val="20"/>
          <w:szCs w:val="20"/>
          <w:lang w:val="es-ES_tradnl"/>
        </w:rPr>
        <w:t>25 (protección judicial)</w:t>
      </w:r>
      <w:r w:rsidR="00B11735" w:rsidRPr="00150244">
        <w:rPr>
          <w:rFonts w:asciiTheme="majorHAnsi" w:hAnsiTheme="majorHAnsi"/>
          <w:bCs/>
          <w:sz w:val="20"/>
          <w:szCs w:val="20"/>
          <w:lang w:val="es-ES_tradnl"/>
        </w:rPr>
        <w:t xml:space="preserve"> y 26 (derechos económicos, sociales y culturales)</w:t>
      </w:r>
      <w:r w:rsidRPr="00150244">
        <w:rPr>
          <w:rFonts w:asciiTheme="majorHAnsi" w:hAnsiTheme="majorHAnsi"/>
          <w:bCs/>
          <w:sz w:val="20"/>
          <w:szCs w:val="20"/>
          <w:lang w:val="es-ES_tradnl"/>
        </w:rPr>
        <w:t xml:space="preserve"> de la Convención Americana</w:t>
      </w:r>
      <w:r w:rsidR="00B11735" w:rsidRPr="00150244">
        <w:rPr>
          <w:rFonts w:asciiTheme="majorHAnsi" w:hAnsiTheme="majorHAnsi"/>
          <w:bCs/>
          <w:sz w:val="20"/>
          <w:szCs w:val="20"/>
          <w:lang w:val="es-ES_tradnl"/>
        </w:rPr>
        <w:t>,</w:t>
      </w:r>
      <w:r w:rsidRPr="00150244">
        <w:rPr>
          <w:rFonts w:asciiTheme="majorHAnsi" w:hAnsiTheme="majorHAnsi"/>
          <w:bCs/>
          <w:sz w:val="20"/>
          <w:szCs w:val="20"/>
          <w:lang w:val="es-ES_tradnl"/>
        </w:rPr>
        <w:t xml:space="preserve"> en relación con sus artículos 1.1 (obligación de respetar los derechos)</w:t>
      </w:r>
      <w:r w:rsidR="00B11735" w:rsidRPr="00150244">
        <w:rPr>
          <w:rFonts w:asciiTheme="majorHAnsi" w:hAnsiTheme="majorHAnsi"/>
          <w:bCs/>
          <w:sz w:val="20"/>
          <w:szCs w:val="20"/>
          <w:lang w:val="es-ES_tradnl"/>
        </w:rPr>
        <w:t xml:space="preserve"> y</w:t>
      </w:r>
      <w:r w:rsidRPr="00150244">
        <w:rPr>
          <w:rFonts w:asciiTheme="majorHAnsi" w:hAnsiTheme="majorHAnsi"/>
          <w:bCs/>
          <w:sz w:val="20"/>
          <w:szCs w:val="20"/>
          <w:lang w:val="es-ES_tradnl"/>
        </w:rPr>
        <w:t xml:space="preserve"> 2 (deber de adoptar disposiciones de derecho interno)</w:t>
      </w:r>
      <w:r w:rsidR="00B11735" w:rsidRPr="00150244">
        <w:rPr>
          <w:rFonts w:asciiTheme="majorHAnsi" w:hAnsiTheme="majorHAnsi"/>
          <w:bCs/>
          <w:sz w:val="20"/>
          <w:szCs w:val="20"/>
          <w:lang w:val="es-ES_tradnl"/>
        </w:rPr>
        <w:t>;</w:t>
      </w:r>
      <w:r w:rsidRPr="00150244">
        <w:rPr>
          <w:rFonts w:asciiTheme="majorHAnsi" w:hAnsiTheme="majorHAnsi"/>
          <w:bCs/>
          <w:sz w:val="20"/>
          <w:szCs w:val="20"/>
          <w:lang w:val="es-ES_tradnl"/>
        </w:rPr>
        <w:t xml:space="preserve"> </w:t>
      </w:r>
      <w:r w:rsidR="00B11735" w:rsidRPr="00150244">
        <w:rPr>
          <w:rFonts w:asciiTheme="majorHAnsi" w:hAnsiTheme="majorHAnsi"/>
          <w:bCs/>
          <w:sz w:val="20"/>
          <w:szCs w:val="20"/>
          <w:lang w:val="es-ES_tradnl"/>
        </w:rPr>
        <w:t>en perjuicio de los familiares del Sr. Carlos Arancibia, en los términos del presente informe.</w:t>
      </w:r>
    </w:p>
    <w:p w14:paraId="3684D692" w14:textId="682A79E0" w:rsidR="00314331" w:rsidRDefault="00314331">
      <w:pPr>
        <w:rPr>
          <w:rFonts w:asciiTheme="majorHAnsi" w:eastAsia="Cambria" w:hAnsiTheme="majorHAnsi" w:cs="Cambria"/>
          <w:color w:val="000000"/>
          <w:sz w:val="20"/>
          <w:szCs w:val="20"/>
          <w:u w:color="000000"/>
          <w:lang w:val="es-ES_tradnl" w:eastAsia="es-ES"/>
        </w:rPr>
      </w:pPr>
      <w:r>
        <w:rPr>
          <w:rFonts w:asciiTheme="majorHAnsi" w:hAnsiTheme="majorHAnsi"/>
          <w:sz w:val="20"/>
          <w:szCs w:val="20"/>
          <w:lang w:val="es-ES_tradnl"/>
        </w:rPr>
        <w:br w:type="page"/>
      </w:r>
    </w:p>
    <w:p w14:paraId="40926D7A" w14:textId="77777777" w:rsidR="00C956EF" w:rsidRPr="00150244" w:rsidRDefault="00C956EF" w:rsidP="00C956EF">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_tradnl"/>
        </w:rPr>
      </w:pPr>
    </w:p>
    <w:p w14:paraId="29BB41F5" w14:textId="000E40C4" w:rsidR="003239B8" w:rsidRDefault="00EC72AB" w:rsidP="00C956EF">
      <w:pPr>
        <w:ind w:firstLine="720"/>
        <w:rPr>
          <w:rFonts w:asciiTheme="majorHAnsi" w:hAnsiTheme="majorHAnsi"/>
          <w:b/>
          <w:bCs/>
          <w:sz w:val="20"/>
          <w:szCs w:val="20"/>
          <w:lang w:val="es-ES_tradnl"/>
        </w:rPr>
      </w:pPr>
      <w:r w:rsidRPr="00150244">
        <w:rPr>
          <w:rFonts w:asciiTheme="majorHAnsi" w:hAnsiTheme="majorHAnsi"/>
          <w:b/>
          <w:bCs/>
          <w:sz w:val="20"/>
          <w:szCs w:val="20"/>
          <w:lang w:val="es-ES_tradnl"/>
        </w:rPr>
        <w:t>VI</w:t>
      </w:r>
      <w:r w:rsidR="00F04591" w:rsidRPr="00150244">
        <w:rPr>
          <w:rFonts w:asciiTheme="majorHAnsi" w:hAnsiTheme="majorHAnsi"/>
          <w:b/>
          <w:bCs/>
          <w:sz w:val="20"/>
          <w:szCs w:val="20"/>
          <w:lang w:val="es-ES_tradnl"/>
        </w:rPr>
        <w:t>II</w:t>
      </w:r>
      <w:r w:rsidR="003239B8" w:rsidRPr="00150244">
        <w:rPr>
          <w:rFonts w:asciiTheme="majorHAnsi" w:hAnsiTheme="majorHAnsi"/>
          <w:b/>
          <w:bCs/>
          <w:sz w:val="20"/>
          <w:szCs w:val="20"/>
          <w:lang w:val="es-ES_tradnl"/>
        </w:rPr>
        <w:t xml:space="preserve">. </w:t>
      </w:r>
      <w:r w:rsidR="003239B8" w:rsidRPr="00150244">
        <w:rPr>
          <w:rFonts w:asciiTheme="majorHAnsi" w:hAnsiTheme="majorHAnsi"/>
          <w:b/>
          <w:bCs/>
          <w:sz w:val="20"/>
          <w:szCs w:val="20"/>
          <w:lang w:val="es-ES_tradnl"/>
        </w:rPr>
        <w:tab/>
        <w:t>DECISIÓN</w:t>
      </w:r>
    </w:p>
    <w:p w14:paraId="26733B47" w14:textId="77777777" w:rsidR="00C956EF" w:rsidRPr="00150244" w:rsidRDefault="00C956EF" w:rsidP="00C956EF">
      <w:pPr>
        <w:ind w:firstLine="720"/>
        <w:rPr>
          <w:rFonts w:asciiTheme="majorHAnsi" w:hAnsiTheme="majorHAnsi"/>
          <w:b/>
          <w:bCs/>
          <w:sz w:val="20"/>
          <w:szCs w:val="20"/>
          <w:lang w:val="es-ES_tradnl"/>
        </w:rPr>
      </w:pPr>
    </w:p>
    <w:p w14:paraId="0FDE1D10" w14:textId="058C13CF" w:rsidR="003239B8" w:rsidRPr="00150244" w:rsidRDefault="003239B8" w:rsidP="00B1173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_tradnl"/>
        </w:rPr>
      </w:pPr>
      <w:r w:rsidRPr="00150244">
        <w:rPr>
          <w:rFonts w:asciiTheme="majorHAnsi" w:hAnsiTheme="majorHAnsi"/>
          <w:sz w:val="20"/>
          <w:szCs w:val="20"/>
          <w:lang w:val="es-ES_tradnl"/>
        </w:rPr>
        <w:t xml:space="preserve">Declarar </w:t>
      </w:r>
      <w:r w:rsidR="00586230" w:rsidRPr="00150244">
        <w:rPr>
          <w:rFonts w:asciiTheme="majorHAnsi" w:hAnsiTheme="majorHAnsi"/>
          <w:sz w:val="20"/>
          <w:szCs w:val="20"/>
          <w:lang w:val="es-ES_tradnl"/>
        </w:rPr>
        <w:t xml:space="preserve">admisible la presente petición </w:t>
      </w:r>
      <w:r w:rsidR="00CB6F93" w:rsidRPr="00150244">
        <w:rPr>
          <w:rFonts w:asciiTheme="majorHAnsi" w:hAnsiTheme="majorHAnsi"/>
          <w:sz w:val="20"/>
          <w:szCs w:val="20"/>
          <w:lang w:val="es-ES_tradnl"/>
        </w:rPr>
        <w:t xml:space="preserve">en relación con los artículos </w:t>
      </w:r>
      <w:r w:rsidR="0087444C" w:rsidRPr="00150244">
        <w:rPr>
          <w:rFonts w:asciiTheme="majorHAnsi" w:hAnsiTheme="majorHAnsi"/>
          <w:sz w:val="20"/>
          <w:szCs w:val="20"/>
          <w:lang w:val="es-ES_tradnl"/>
        </w:rPr>
        <w:t>8</w:t>
      </w:r>
      <w:r w:rsidR="00B11735" w:rsidRPr="00150244">
        <w:rPr>
          <w:rFonts w:asciiTheme="majorHAnsi" w:hAnsiTheme="majorHAnsi"/>
          <w:sz w:val="20"/>
          <w:szCs w:val="20"/>
          <w:lang w:val="es-ES_tradnl"/>
        </w:rPr>
        <w:t xml:space="preserve">, </w:t>
      </w:r>
      <w:r w:rsidR="0087444C" w:rsidRPr="00150244">
        <w:rPr>
          <w:rFonts w:asciiTheme="majorHAnsi" w:hAnsiTheme="majorHAnsi"/>
          <w:sz w:val="20"/>
          <w:szCs w:val="20"/>
          <w:lang w:val="es-ES_tradnl"/>
        </w:rPr>
        <w:t xml:space="preserve">25 </w:t>
      </w:r>
      <w:r w:rsidR="00B11735" w:rsidRPr="00150244">
        <w:rPr>
          <w:rFonts w:asciiTheme="majorHAnsi" w:hAnsiTheme="majorHAnsi"/>
          <w:sz w:val="20"/>
          <w:szCs w:val="20"/>
          <w:lang w:val="es-ES_tradnl"/>
        </w:rPr>
        <w:t xml:space="preserve">y 26 </w:t>
      </w:r>
      <w:r w:rsidR="0087444C" w:rsidRPr="00150244">
        <w:rPr>
          <w:rFonts w:asciiTheme="majorHAnsi" w:hAnsiTheme="majorHAnsi"/>
          <w:sz w:val="20"/>
          <w:szCs w:val="20"/>
          <w:lang w:val="es-ES_tradnl"/>
        </w:rPr>
        <w:t>de la Convención Americana en relación con sus artículos 1.1</w:t>
      </w:r>
      <w:r w:rsidR="00B11735" w:rsidRPr="00150244">
        <w:rPr>
          <w:rFonts w:asciiTheme="majorHAnsi" w:hAnsiTheme="majorHAnsi"/>
          <w:sz w:val="20"/>
          <w:szCs w:val="20"/>
          <w:lang w:val="es-ES_tradnl"/>
        </w:rPr>
        <w:t xml:space="preserve"> y</w:t>
      </w:r>
      <w:r w:rsidR="0087444C" w:rsidRPr="00150244">
        <w:rPr>
          <w:rFonts w:asciiTheme="majorHAnsi" w:hAnsiTheme="majorHAnsi"/>
          <w:sz w:val="20"/>
          <w:szCs w:val="20"/>
          <w:lang w:val="es-ES_tradnl"/>
        </w:rPr>
        <w:t xml:space="preserve"> 2</w:t>
      </w:r>
      <w:r w:rsidR="00A92A24">
        <w:rPr>
          <w:rFonts w:asciiTheme="majorHAnsi" w:hAnsiTheme="majorHAnsi"/>
          <w:sz w:val="20"/>
          <w:szCs w:val="20"/>
          <w:lang w:val="es-ES_tradnl"/>
        </w:rPr>
        <w:t>; y</w:t>
      </w:r>
    </w:p>
    <w:p w14:paraId="4157390F" w14:textId="50224F14" w:rsidR="00D93A90" w:rsidRPr="00A92A24" w:rsidRDefault="004A6A54" w:rsidP="00B1173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color w:val="FF0000"/>
          <w:sz w:val="20"/>
          <w:szCs w:val="20"/>
          <w:lang w:val="es-ES_tradnl"/>
        </w:rPr>
      </w:pPr>
      <w:r w:rsidRPr="00150244">
        <w:rPr>
          <w:rFonts w:asciiTheme="majorHAnsi" w:hAnsiTheme="majorHAnsi"/>
          <w:sz w:val="20"/>
          <w:szCs w:val="20"/>
          <w:lang w:val="es-ES_tradnl"/>
        </w:rPr>
        <w:t>Notificar a las partes la presente decisión;</w:t>
      </w:r>
      <w:r w:rsidR="00CB6F93" w:rsidRPr="00150244">
        <w:rPr>
          <w:rFonts w:asciiTheme="majorHAnsi" w:hAnsiTheme="majorHAnsi"/>
          <w:sz w:val="20"/>
          <w:szCs w:val="20"/>
          <w:lang w:val="es-ES_tradnl"/>
        </w:rPr>
        <w:t xml:space="preserve"> proceder al análisis del fondo del asunto;</w:t>
      </w:r>
      <w:r w:rsidRPr="00150244">
        <w:rPr>
          <w:rFonts w:asciiTheme="majorHAnsi" w:hAnsiTheme="majorHAnsi"/>
          <w:sz w:val="20"/>
          <w:szCs w:val="20"/>
          <w:lang w:val="es-ES_tradnl"/>
        </w:rPr>
        <w:t xml:space="preserve"> y publicar esta decisión e incluirla en su Informe Anual a la Asamblea General de la Organización de los Estados Americanos.</w:t>
      </w:r>
    </w:p>
    <w:p w14:paraId="0D597464" w14:textId="70040CD4" w:rsidR="00CB6F93" w:rsidRPr="004C1EC8" w:rsidRDefault="00A92A24" w:rsidP="004C1EC8">
      <w:pPr>
        <w:ind w:firstLine="720"/>
        <w:jc w:val="both"/>
        <w:rPr>
          <w:rFonts w:asciiTheme="majorHAnsi" w:hAnsiTheme="majorHAnsi" w:cs="Arial"/>
          <w:noProof/>
          <w:spacing w:val="-2"/>
          <w:sz w:val="20"/>
          <w:szCs w:val="20"/>
          <w:lang w:val="es-CL"/>
        </w:rPr>
      </w:pPr>
      <w:bookmarkStart w:id="3" w:name="_Hlk95209781"/>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a </w:t>
      </w:r>
      <w:r w:rsidRPr="00B76FE0">
        <w:rPr>
          <w:rFonts w:asciiTheme="majorHAnsi" w:hAnsiTheme="majorHAnsi" w:cs="Arial"/>
          <w:noProof/>
          <w:spacing w:val="-2"/>
          <w:sz w:val="20"/>
          <w:szCs w:val="20"/>
          <w:lang w:val="es-CL"/>
        </w:rPr>
        <w:t xml:space="preserve">los </w:t>
      </w:r>
      <w:r>
        <w:rPr>
          <w:rFonts w:asciiTheme="majorHAnsi" w:hAnsiTheme="majorHAnsi" w:cs="Arial"/>
          <w:noProof/>
          <w:spacing w:val="-2"/>
          <w:sz w:val="20"/>
          <w:szCs w:val="20"/>
          <w:lang w:val="es-CL"/>
        </w:rPr>
        <w:t>3</w:t>
      </w:r>
      <w:r w:rsidRPr="00B76FE0">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octubre</w:t>
      </w:r>
      <w:r w:rsidRPr="00B76FE0">
        <w:rPr>
          <w:rFonts w:asciiTheme="majorHAnsi" w:hAnsiTheme="majorHAnsi" w:cs="Arial"/>
          <w:noProof/>
          <w:spacing w:val="-2"/>
          <w:sz w:val="20"/>
          <w:szCs w:val="20"/>
          <w:lang w:val="es-CL"/>
        </w:rPr>
        <w:t xml:space="preserve"> de 2022.  (Firmado): Julissa Mantilla Falcón, Presidenta; </w:t>
      </w:r>
      <w:r>
        <w:rPr>
          <w:rFonts w:asciiTheme="majorHAnsi" w:hAnsiTheme="majorHAnsi" w:cs="Arial"/>
          <w:noProof/>
          <w:spacing w:val="-2"/>
          <w:sz w:val="20"/>
          <w:szCs w:val="20"/>
          <w:lang w:val="es-CL"/>
        </w:rPr>
        <w:t xml:space="preserve">Stuardo Ralón Orellana, Primer Vicepresidente;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Joel Hernández, </w:t>
      </w:r>
      <w:r w:rsidR="004C1EC8">
        <w:rPr>
          <w:rFonts w:asciiTheme="majorHAnsi" w:hAnsiTheme="majorHAnsi" w:cs="Arial"/>
          <w:noProof/>
          <w:spacing w:val="-2"/>
          <w:sz w:val="20"/>
          <w:szCs w:val="20"/>
          <w:lang w:val="es-CL"/>
        </w:rPr>
        <w:t>m</w:t>
      </w:r>
      <w:r w:rsidRPr="00A37B82">
        <w:rPr>
          <w:rFonts w:asciiTheme="majorHAnsi" w:hAnsiTheme="majorHAnsi" w:cs="Arial"/>
          <w:noProof/>
          <w:spacing w:val="-2"/>
          <w:sz w:val="20"/>
          <w:szCs w:val="20"/>
          <w:lang w:val="es-CL"/>
        </w:rPr>
        <w:t>iembros de la Comisión.</w:t>
      </w:r>
      <w:r w:rsidRPr="00A37B82">
        <w:rPr>
          <w:rFonts w:asciiTheme="majorHAnsi" w:hAnsiTheme="majorHAnsi" w:cs="Arial"/>
          <w:noProof/>
          <w:sz w:val="20"/>
          <w:szCs w:val="20"/>
          <w:lang w:val="es-CL"/>
        </w:rPr>
        <w:t xml:space="preserve"> </w:t>
      </w:r>
      <w:bookmarkEnd w:id="3"/>
    </w:p>
    <w:sectPr w:rsidR="00CB6F93" w:rsidRPr="004C1EC8"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1B221" w14:textId="77777777" w:rsidR="003A72E8" w:rsidRDefault="003A72E8">
      <w:r>
        <w:separator/>
      </w:r>
    </w:p>
  </w:endnote>
  <w:endnote w:type="continuationSeparator" w:id="0">
    <w:p w14:paraId="7C115719" w14:textId="77777777" w:rsidR="003A72E8" w:rsidRDefault="003A7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944EBD">
          <w:rPr>
            <w:noProof/>
            <w:sz w:val="16"/>
            <w:szCs w:val="22"/>
          </w:rPr>
          <w:t>3</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186C4" w14:textId="77777777" w:rsidR="003A72E8" w:rsidRPr="000F35ED" w:rsidRDefault="003A72E8">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2A76AD5" w14:textId="77777777" w:rsidR="003A72E8" w:rsidRPr="000F35ED" w:rsidRDefault="003A72E8" w:rsidP="000F35ED">
      <w:pPr>
        <w:rPr>
          <w:rFonts w:asciiTheme="majorHAnsi" w:hAnsiTheme="majorHAnsi"/>
          <w:sz w:val="16"/>
          <w:szCs w:val="16"/>
        </w:rPr>
      </w:pPr>
      <w:r w:rsidRPr="000F35ED">
        <w:rPr>
          <w:rFonts w:asciiTheme="majorHAnsi" w:hAnsiTheme="majorHAnsi"/>
          <w:sz w:val="16"/>
          <w:szCs w:val="16"/>
        </w:rPr>
        <w:separator/>
      </w:r>
    </w:p>
    <w:p w14:paraId="0BBA4486" w14:textId="77777777" w:rsidR="003A72E8" w:rsidRPr="000F35ED" w:rsidRDefault="003A72E8"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4A8BEBC7" w14:textId="77777777" w:rsidR="003A72E8" w:rsidRPr="000F35ED" w:rsidRDefault="003A72E8"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BCBCE17" w14:textId="2540AFA7" w:rsidR="0073396C" w:rsidRPr="001328D0" w:rsidRDefault="00CB39B3" w:rsidP="0073396C">
      <w:pPr>
        <w:pStyle w:val="FootnoteText"/>
        <w:ind w:firstLine="720"/>
        <w:jc w:val="both"/>
        <w:rPr>
          <w:rFonts w:asciiTheme="majorHAnsi" w:hAnsiTheme="majorHAnsi"/>
          <w:sz w:val="16"/>
          <w:szCs w:val="16"/>
          <w:lang w:val="es-PA"/>
        </w:rPr>
      </w:pPr>
      <w:r>
        <w:rPr>
          <w:rStyle w:val="FootnoteReference"/>
          <w:rFonts w:asciiTheme="majorHAnsi" w:hAnsiTheme="majorHAnsi"/>
          <w:sz w:val="16"/>
          <w:szCs w:val="16"/>
          <w:lang w:val="es-PA"/>
        </w:rPr>
        <w:t>1</w:t>
      </w:r>
      <w:r w:rsidR="005D5FCE" w:rsidRPr="00F43DEF">
        <w:rPr>
          <w:rFonts w:asciiTheme="majorHAnsi" w:hAnsiTheme="majorHAnsi"/>
          <w:sz w:val="16"/>
          <w:szCs w:val="16"/>
          <w:lang w:val="es-PA"/>
        </w:rPr>
        <w:t xml:space="preserve"> </w:t>
      </w:r>
      <w:r w:rsidR="007C1BCC" w:rsidRPr="00F43DEF">
        <w:rPr>
          <w:rFonts w:asciiTheme="majorHAnsi" w:hAnsiTheme="majorHAnsi"/>
          <w:sz w:val="16"/>
          <w:szCs w:val="16"/>
          <w:lang w:val="es-PA"/>
        </w:rPr>
        <w:t>En el expediente se encuentran</w:t>
      </w:r>
      <w:r w:rsidR="005D5FCE" w:rsidRPr="00F43DEF">
        <w:rPr>
          <w:rFonts w:asciiTheme="majorHAnsi" w:hAnsiTheme="majorHAnsi"/>
          <w:sz w:val="16"/>
          <w:szCs w:val="16"/>
          <w:lang w:val="es-PA"/>
        </w:rPr>
        <w:t xml:space="preserve"> identifica</w:t>
      </w:r>
      <w:r w:rsidR="007C1BCC" w:rsidRPr="00F43DEF">
        <w:rPr>
          <w:rFonts w:asciiTheme="majorHAnsi" w:hAnsiTheme="majorHAnsi"/>
          <w:sz w:val="16"/>
          <w:szCs w:val="16"/>
          <w:lang w:val="es-PA"/>
        </w:rPr>
        <w:t>d</w:t>
      </w:r>
      <w:r w:rsidR="00F43DEF" w:rsidRPr="00F43DEF">
        <w:rPr>
          <w:rFonts w:asciiTheme="majorHAnsi" w:hAnsiTheme="majorHAnsi"/>
          <w:sz w:val="16"/>
          <w:szCs w:val="16"/>
          <w:lang w:val="es-PA"/>
        </w:rPr>
        <w:t>o</w:t>
      </w:r>
      <w:r w:rsidR="007C1BCC" w:rsidRPr="00F43DEF">
        <w:rPr>
          <w:rFonts w:asciiTheme="majorHAnsi" w:hAnsiTheme="majorHAnsi"/>
          <w:sz w:val="16"/>
          <w:szCs w:val="16"/>
          <w:lang w:val="es-PA"/>
        </w:rPr>
        <w:t>s</w:t>
      </w:r>
      <w:r w:rsidR="005D5FCE" w:rsidRPr="00F43DEF">
        <w:rPr>
          <w:rFonts w:asciiTheme="majorHAnsi" w:hAnsiTheme="majorHAnsi"/>
          <w:sz w:val="16"/>
          <w:szCs w:val="16"/>
          <w:lang w:val="es-PA"/>
        </w:rPr>
        <w:t xml:space="preserve"> a l</w:t>
      </w:r>
      <w:r w:rsidR="00F43DEF" w:rsidRPr="00F43DEF">
        <w:rPr>
          <w:rFonts w:asciiTheme="majorHAnsi" w:hAnsiTheme="majorHAnsi"/>
          <w:sz w:val="16"/>
          <w:szCs w:val="16"/>
          <w:lang w:val="es-PA"/>
        </w:rPr>
        <w:t>o</w:t>
      </w:r>
      <w:r w:rsidR="005D5FCE" w:rsidRPr="00F43DEF">
        <w:rPr>
          <w:rFonts w:asciiTheme="majorHAnsi" w:hAnsiTheme="majorHAnsi"/>
          <w:sz w:val="16"/>
          <w:szCs w:val="16"/>
          <w:lang w:val="es-PA"/>
        </w:rPr>
        <w:t>s siguientes familiares del señor Carlos Arancibia</w:t>
      </w:r>
      <w:r w:rsidR="007C1BCC" w:rsidRPr="00F43DEF">
        <w:rPr>
          <w:rFonts w:asciiTheme="majorHAnsi" w:hAnsiTheme="majorHAnsi"/>
          <w:sz w:val="16"/>
          <w:szCs w:val="16"/>
          <w:lang w:val="es-PA"/>
        </w:rPr>
        <w:t>: Mirta Raquel Echeverría (cónyuge),</w:t>
      </w:r>
      <w:r w:rsidR="00327ADF" w:rsidRPr="00F43DEF">
        <w:rPr>
          <w:rFonts w:asciiTheme="majorHAnsi" w:hAnsiTheme="majorHAnsi"/>
          <w:sz w:val="16"/>
          <w:szCs w:val="16"/>
          <w:lang w:val="es-PA"/>
        </w:rPr>
        <w:t xml:space="preserve"> </w:t>
      </w:r>
      <w:r w:rsidR="003D3CD4" w:rsidRPr="00F43DEF">
        <w:rPr>
          <w:rFonts w:asciiTheme="majorHAnsi" w:hAnsiTheme="majorHAnsi"/>
          <w:sz w:val="16"/>
          <w:szCs w:val="16"/>
          <w:lang w:val="es-PA"/>
        </w:rPr>
        <w:t>Micaela Anahí Arancibia (</w:t>
      </w:r>
      <w:r w:rsidR="007C1BCC" w:rsidRPr="00F43DEF">
        <w:rPr>
          <w:rFonts w:asciiTheme="majorHAnsi" w:hAnsiTheme="majorHAnsi"/>
          <w:sz w:val="16"/>
          <w:szCs w:val="16"/>
          <w:lang w:val="es-PA"/>
        </w:rPr>
        <w:t xml:space="preserve">hija, </w:t>
      </w:r>
      <w:r w:rsidR="003D3CD4" w:rsidRPr="00F43DEF">
        <w:rPr>
          <w:rFonts w:asciiTheme="majorHAnsi" w:hAnsiTheme="majorHAnsi"/>
          <w:sz w:val="16"/>
          <w:szCs w:val="16"/>
          <w:lang w:val="es-PA"/>
        </w:rPr>
        <w:t>quien no había alcanzado la mayoría de edad en 2005) y Claudio Fernando Arancibia, Pablo Raúl Arancibia y Carlos</w:t>
      </w:r>
      <w:r w:rsidR="00B62984" w:rsidRPr="00F43DEF">
        <w:rPr>
          <w:rFonts w:asciiTheme="majorHAnsi" w:hAnsiTheme="majorHAnsi"/>
          <w:sz w:val="16"/>
          <w:szCs w:val="16"/>
          <w:lang w:val="es-PA"/>
        </w:rPr>
        <w:t xml:space="preserve"> Gustavo</w:t>
      </w:r>
      <w:r w:rsidR="003D3CD4" w:rsidRPr="00F43DEF">
        <w:rPr>
          <w:rFonts w:asciiTheme="majorHAnsi" w:hAnsiTheme="majorHAnsi"/>
          <w:sz w:val="16"/>
          <w:szCs w:val="16"/>
          <w:lang w:val="es-PA"/>
        </w:rPr>
        <w:t xml:space="preserve"> Arancibia (</w:t>
      </w:r>
      <w:r w:rsidR="007C1BCC" w:rsidRPr="00F43DEF">
        <w:rPr>
          <w:rFonts w:asciiTheme="majorHAnsi" w:hAnsiTheme="majorHAnsi"/>
          <w:sz w:val="16"/>
          <w:szCs w:val="16"/>
          <w:lang w:val="es-PA"/>
        </w:rPr>
        <w:t xml:space="preserve">hijos, </w:t>
      </w:r>
      <w:r w:rsidR="003D3CD4" w:rsidRPr="00F43DEF">
        <w:rPr>
          <w:rFonts w:asciiTheme="majorHAnsi" w:hAnsiTheme="majorHAnsi"/>
          <w:sz w:val="16"/>
          <w:szCs w:val="16"/>
          <w:lang w:val="es-PA"/>
        </w:rPr>
        <w:t>quienes ya habían alcanzado la mayoría de edad en 2005).</w:t>
      </w:r>
      <w:r w:rsidR="00512303" w:rsidRPr="00F43DEF">
        <w:rPr>
          <w:rFonts w:asciiTheme="majorHAnsi" w:hAnsiTheme="majorHAnsi"/>
          <w:sz w:val="16"/>
          <w:szCs w:val="16"/>
          <w:lang w:val="es-PA"/>
        </w:rPr>
        <w:t xml:space="preserve"> </w:t>
      </w:r>
    </w:p>
  </w:footnote>
  <w:footnote w:id="3">
    <w:p w14:paraId="79F07139" w14:textId="77777777" w:rsidR="008E3BFE" w:rsidRPr="001328D0" w:rsidRDefault="008E3BFE" w:rsidP="00BC6A2C">
      <w:pPr>
        <w:pStyle w:val="FootnoteText"/>
        <w:ind w:firstLine="720"/>
        <w:jc w:val="both"/>
        <w:rPr>
          <w:rFonts w:asciiTheme="majorHAnsi" w:hAnsiTheme="majorHAnsi"/>
          <w:sz w:val="16"/>
          <w:szCs w:val="16"/>
          <w:lang w:val="es-ES"/>
        </w:rPr>
      </w:pPr>
      <w:r w:rsidRPr="001328D0">
        <w:rPr>
          <w:rStyle w:val="FootnoteReference"/>
          <w:rFonts w:asciiTheme="majorHAnsi" w:hAnsiTheme="majorHAnsi"/>
          <w:sz w:val="16"/>
          <w:szCs w:val="16"/>
        </w:rPr>
        <w:footnoteRef/>
      </w:r>
      <w:r w:rsidRPr="001328D0">
        <w:rPr>
          <w:rFonts w:asciiTheme="majorHAnsi" w:hAnsiTheme="majorHAnsi"/>
          <w:sz w:val="16"/>
          <w:szCs w:val="16"/>
          <w:lang w:val="es-ES"/>
        </w:rPr>
        <w:t xml:space="preserve"> Las observaciones de cada parte fueron debidamente trasladadas a la parte contraria.</w:t>
      </w:r>
    </w:p>
  </w:footnote>
  <w:footnote w:id="4">
    <w:p w14:paraId="24930A01" w14:textId="378A2141" w:rsidR="008C5F83" w:rsidRPr="001328D0" w:rsidRDefault="008C5F83" w:rsidP="008C5F83">
      <w:pPr>
        <w:pStyle w:val="FootnoteText"/>
        <w:ind w:firstLine="720"/>
        <w:jc w:val="both"/>
        <w:rPr>
          <w:rFonts w:asciiTheme="majorHAnsi" w:hAnsiTheme="majorHAnsi"/>
          <w:sz w:val="16"/>
          <w:szCs w:val="16"/>
          <w:lang w:val="es-PA"/>
        </w:rPr>
      </w:pPr>
      <w:r w:rsidRPr="001328D0">
        <w:rPr>
          <w:rStyle w:val="FootnoteReference"/>
          <w:rFonts w:asciiTheme="majorHAnsi" w:hAnsiTheme="majorHAnsi"/>
          <w:sz w:val="16"/>
          <w:szCs w:val="16"/>
        </w:rPr>
        <w:footnoteRef/>
      </w:r>
      <w:r w:rsidRPr="001328D0">
        <w:rPr>
          <w:rFonts w:asciiTheme="majorHAnsi" w:hAnsiTheme="majorHAnsi"/>
          <w:sz w:val="16"/>
          <w:szCs w:val="16"/>
          <w:lang w:val="es-PA"/>
        </w:rPr>
        <w:t xml:space="preserve"> En adelante “la Convención Americana”.</w:t>
      </w:r>
    </w:p>
  </w:footnote>
  <w:footnote w:id="5">
    <w:p w14:paraId="07FACA01" w14:textId="696A8187" w:rsidR="003273C7" w:rsidRPr="001328D0" w:rsidRDefault="003273C7" w:rsidP="003273C7">
      <w:pPr>
        <w:pStyle w:val="FootnoteText"/>
        <w:ind w:firstLine="720"/>
        <w:jc w:val="both"/>
        <w:rPr>
          <w:rFonts w:asciiTheme="majorHAnsi" w:hAnsiTheme="majorHAnsi"/>
          <w:sz w:val="16"/>
          <w:szCs w:val="16"/>
          <w:lang w:val="es-PA"/>
        </w:rPr>
      </w:pPr>
      <w:r w:rsidRPr="001328D0">
        <w:rPr>
          <w:rStyle w:val="FootnoteReference"/>
          <w:rFonts w:asciiTheme="majorHAnsi" w:hAnsiTheme="majorHAnsi"/>
          <w:sz w:val="16"/>
          <w:szCs w:val="16"/>
        </w:rPr>
        <w:footnoteRef/>
      </w:r>
      <w:r w:rsidRPr="001328D0">
        <w:rPr>
          <w:rFonts w:asciiTheme="majorHAnsi" w:hAnsiTheme="majorHAnsi"/>
          <w:sz w:val="16"/>
          <w:szCs w:val="16"/>
          <w:lang w:val="es-PA"/>
        </w:rPr>
        <w:t xml:space="preserve"> Según registró histórico del Banco de la Nación Argentina disponible en la página web de esa institución (</w:t>
      </w:r>
      <w:r w:rsidR="00B862F0" w:rsidRPr="001328D0">
        <w:rPr>
          <w:rFonts w:asciiTheme="majorHAnsi" w:hAnsiTheme="majorHAnsi"/>
          <w:sz w:val="16"/>
          <w:szCs w:val="16"/>
          <w:lang w:val="es-PA"/>
        </w:rPr>
        <w:t>http//bna.com.arg)</w:t>
      </w:r>
    </w:p>
  </w:footnote>
  <w:footnote w:id="6">
    <w:p w14:paraId="04BC2A97" w14:textId="77777777" w:rsidR="005D5FCE" w:rsidRPr="006132CC" w:rsidRDefault="005D5FCE" w:rsidP="005D5FCE">
      <w:pPr>
        <w:pStyle w:val="FootnoteText"/>
        <w:jc w:val="both"/>
        <w:rPr>
          <w:rFonts w:ascii="Cambria" w:hAnsi="Cambria"/>
          <w:sz w:val="16"/>
          <w:szCs w:val="16"/>
          <w:lang w:val="es-ES"/>
        </w:rPr>
      </w:pPr>
      <w:r w:rsidRPr="006132CC">
        <w:rPr>
          <w:rFonts w:ascii="Cambria" w:hAnsi="Cambria"/>
          <w:sz w:val="16"/>
          <w:szCs w:val="16"/>
          <w:lang w:val="es-ES"/>
        </w:rPr>
        <w:tab/>
      </w:r>
      <w:r w:rsidRPr="006132CC">
        <w:rPr>
          <w:rStyle w:val="FootnoteReference"/>
          <w:rFonts w:ascii="Cambria" w:hAnsi="Cambria"/>
          <w:sz w:val="16"/>
          <w:szCs w:val="16"/>
        </w:rPr>
        <w:footnoteRef/>
      </w:r>
      <w:r w:rsidRPr="006132CC">
        <w:rPr>
          <w:rFonts w:ascii="Cambria" w:hAnsi="Cambria"/>
          <w:sz w:val="16"/>
          <w:szCs w:val="16"/>
          <w:lang w:val="es-ES"/>
        </w:rPr>
        <w:t xml:space="preserve"> CIDH, Informe No. 61/16</w:t>
      </w:r>
      <w:r>
        <w:rPr>
          <w:rFonts w:ascii="Cambria" w:hAnsi="Cambria"/>
          <w:sz w:val="16"/>
          <w:szCs w:val="16"/>
          <w:lang w:val="es-ES"/>
        </w:rPr>
        <w:t>, Petición 12.325</w:t>
      </w:r>
      <w:r w:rsidRPr="006132CC">
        <w:rPr>
          <w:rFonts w:ascii="Cambria" w:hAnsi="Cambria"/>
          <w:sz w:val="16"/>
          <w:szCs w:val="16"/>
          <w:lang w:val="es-ES"/>
        </w:rPr>
        <w:t>. Admisibilidad. Comunidad de Paz San José de Apartadó. Colombia. 6 de diciembre de 2016, párr. 62.</w:t>
      </w:r>
    </w:p>
  </w:footnote>
  <w:footnote w:id="7">
    <w:p w14:paraId="0A147B57" w14:textId="77777777" w:rsidR="00567E71" w:rsidRPr="006132CC" w:rsidRDefault="00567E71" w:rsidP="00567E71">
      <w:pPr>
        <w:pStyle w:val="FootnoteText"/>
        <w:ind w:firstLine="720"/>
        <w:jc w:val="both"/>
        <w:rPr>
          <w:rFonts w:ascii="Cambria" w:hAnsi="Cambria"/>
          <w:sz w:val="16"/>
          <w:szCs w:val="16"/>
          <w:lang w:val="es-ES"/>
        </w:rPr>
      </w:pPr>
      <w:r w:rsidRPr="006132CC">
        <w:rPr>
          <w:rStyle w:val="FootnoteReference"/>
          <w:rFonts w:ascii="Cambria" w:hAnsi="Cambria"/>
          <w:sz w:val="16"/>
          <w:szCs w:val="16"/>
        </w:rPr>
        <w:footnoteRef/>
      </w:r>
      <w:r w:rsidRPr="006132CC">
        <w:rPr>
          <w:rFonts w:ascii="Cambria" w:hAnsi="Cambria"/>
          <w:sz w:val="16"/>
          <w:szCs w:val="16"/>
          <w:lang w:val="es-ES"/>
        </w:rPr>
        <w:t xml:space="preserve"> </w:t>
      </w:r>
      <w:r w:rsidRPr="006132CC">
        <w:rPr>
          <w:rFonts w:ascii="Cambria" w:hAnsi="Cambria"/>
          <w:sz w:val="16"/>
          <w:szCs w:val="16"/>
          <w:lang w:val="es-ES_tradnl"/>
        </w:rPr>
        <w:t>CIDH, Informe No. 90/03</w:t>
      </w:r>
      <w:r>
        <w:rPr>
          <w:rFonts w:ascii="Cambria" w:hAnsi="Cambria"/>
          <w:sz w:val="16"/>
          <w:szCs w:val="16"/>
          <w:lang w:val="es-ES_tradnl"/>
        </w:rPr>
        <w:t>, Petición 0581/1999</w:t>
      </w:r>
      <w:r w:rsidRPr="006132CC">
        <w:rPr>
          <w:rFonts w:ascii="Cambria" w:hAnsi="Cambria"/>
          <w:sz w:val="16"/>
          <w:szCs w:val="16"/>
          <w:lang w:val="es-ES_tradnl"/>
        </w:rPr>
        <w:t>. Inadmisibilidad. Gustavo Trujillo González. Perú. 22 de octubre de 2003, párr. 32.</w:t>
      </w:r>
    </w:p>
  </w:footnote>
  <w:footnote w:id="8">
    <w:p w14:paraId="4D2CD062" w14:textId="25738D56" w:rsidR="00024467" w:rsidRPr="007C1BCC" w:rsidRDefault="00024467" w:rsidP="00024467">
      <w:pPr>
        <w:pStyle w:val="FootnoteText"/>
        <w:ind w:firstLine="720"/>
        <w:jc w:val="both"/>
        <w:rPr>
          <w:rFonts w:asciiTheme="majorHAnsi" w:hAnsiTheme="majorHAnsi"/>
          <w:sz w:val="16"/>
          <w:szCs w:val="16"/>
          <w:lang w:val="es-PA"/>
        </w:rPr>
      </w:pPr>
      <w:r w:rsidRPr="007C1BCC">
        <w:rPr>
          <w:rStyle w:val="FootnoteReference"/>
          <w:rFonts w:asciiTheme="majorHAnsi" w:hAnsiTheme="majorHAnsi"/>
          <w:color w:val="auto"/>
          <w:sz w:val="16"/>
          <w:szCs w:val="16"/>
        </w:rPr>
        <w:footnoteRef/>
      </w:r>
      <w:r w:rsidRPr="007C1BCC">
        <w:rPr>
          <w:rFonts w:asciiTheme="majorHAnsi" w:hAnsiTheme="majorHAnsi"/>
          <w:color w:val="auto"/>
          <w:sz w:val="16"/>
          <w:szCs w:val="16"/>
          <w:lang w:val="es-PA"/>
        </w:rPr>
        <w:t xml:space="preserve"> CIDH, Informe No. 125/17, Petición 1477-08. Admisibilidad. Henry Torres y otros. Colombia. 7 de septiembre de 2017, párr. 10.</w:t>
      </w:r>
    </w:p>
  </w:footnote>
  <w:footnote w:id="9">
    <w:p w14:paraId="58ECF5CD" w14:textId="5EA0BD4F" w:rsidR="00B90CD4" w:rsidRPr="007C1BCC" w:rsidRDefault="00B90CD4" w:rsidP="00B90CD4">
      <w:pPr>
        <w:pStyle w:val="FootnoteText"/>
        <w:ind w:firstLine="720"/>
        <w:jc w:val="both"/>
        <w:rPr>
          <w:rFonts w:asciiTheme="majorHAnsi" w:hAnsiTheme="majorHAnsi"/>
          <w:sz w:val="16"/>
          <w:szCs w:val="16"/>
          <w:lang w:val="es-PA"/>
        </w:rPr>
      </w:pPr>
      <w:r w:rsidRPr="007C1BCC">
        <w:rPr>
          <w:rStyle w:val="FootnoteReference"/>
          <w:rFonts w:asciiTheme="majorHAnsi" w:hAnsiTheme="majorHAnsi"/>
          <w:color w:val="auto"/>
          <w:sz w:val="16"/>
          <w:szCs w:val="16"/>
        </w:rPr>
        <w:footnoteRef/>
      </w:r>
      <w:r w:rsidRPr="007C1BCC">
        <w:rPr>
          <w:rFonts w:asciiTheme="majorHAnsi" w:hAnsiTheme="majorHAnsi"/>
          <w:color w:val="auto"/>
          <w:sz w:val="16"/>
          <w:szCs w:val="16"/>
          <w:lang w:val="es-PA"/>
        </w:rPr>
        <w:t xml:space="preserve"> </w:t>
      </w:r>
      <w:r w:rsidRPr="00F43DEF">
        <w:rPr>
          <w:rFonts w:asciiTheme="majorHAnsi" w:hAnsiTheme="majorHAnsi"/>
          <w:color w:val="auto"/>
          <w:sz w:val="16"/>
          <w:szCs w:val="16"/>
          <w:lang w:val="es-US"/>
        </w:rPr>
        <w:t xml:space="preserve">CIDH, Informe No. </w:t>
      </w:r>
      <w:r w:rsidRPr="00F43DEF">
        <w:rPr>
          <w:rFonts w:asciiTheme="majorHAnsi" w:hAnsiTheme="majorHAnsi"/>
          <w:color w:val="auto"/>
          <w:sz w:val="16"/>
          <w:szCs w:val="16"/>
          <w:lang w:val="es-US" w:bidi="es-ES"/>
        </w:rPr>
        <w:t xml:space="preserve">303/21. </w:t>
      </w:r>
      <w:r w:rsidRPr="007C1BCC">
        <w:rPr>
          <w:rFonts w:asciiTheme="majorHAnsi" w:hAnsiTheme="majorHAnsi"/>
          <w:color w:val="auto"/>
          <w:sz w:val="16"/>
          <w:szCs w:val="16"/>
          <w:lang w:val="es-ES" w:bidi="es-ES"/>
        </w:rPr>
        <w:t xml:space="preserve">Petición P-1320-11. Admisibilidad. Lilia Etcheverry. Argentina. 4 de noviembre de 2021, párr 9: </w:t>
      </w:r>
      <w:r w:rsidRPr="00F43DEF">
        <w:rPr>
          <w:rFonts w:asciiTheme="majorHAnsi" w:hAnsiTheme="majorHAnsi"/>
          <w:color w:val="auto"/>
          <w:sz w:val="16"/>
          <w:szCs w:val="16"/>
          <w:lang w:val="es-US"/>
        </w:rPr>
        <w:t xml:space="preserve">CIDH, Informe No. </w:t>
      </w:r>
      <w:r w:rsidRPr="00F43DEF">
        <w:rPr>
          <w:rFonts w:asciiTheme="majorHAnsi" w:hAnsiTheme="majorHAnsi"/>
          <w:color w:val="auto"/>
          <w:sz w:val="16"/>
          <w:szCs w:val="16"/>
          <w:lang w:val="es-US" w:bidi="es-ES"/>
        </w:rPr>
        <w:t xml:space="preserve">301/21. </w:t>
      </w:r>
      <w:r w:rsidRPr="007C1BCC">
        <w:rPr>
          <w:rFonts w:asciiTheme="majorHAnsi" w:hAnsiTheme="majorHAnsi"/>
          <w:color w:val="auto"/>
          <w:sz w:val="16"/>
          <w:szCs w:val="16"/>
          <w:lang w:val="es-ES" w:bidi="es-ES"/>
        </w:rPr>
        <w:t>Petición 107-11. Admisibilidad. Claudia Laura Kleinman y Ana María Kleinman. Argentina. 4 de noviembre de 2021, párr</w:t>
      </w:r>
      <w:r w:rsidR="005C1BEA" w:rsidRPr="007C1BCC">
        <w:rPr>
          <w:rFonts w:asciiTheme="majorHAnsi" w:hAnsiTheme="majorHAnsi"/>
          <w:color w:val="auto"/>
          <w:sz w:val="16"/>
          <w:szCs w:val="16"/>
          <w:lang w:val="es-ES" w:bidi="es-ES"/>
        </w:rPr>
        <w:t>.</w:t>
      </w:r>
      <w:r w:rsidRPr="007C1BCC">
        <w:rPr>
          <w:rFonts w:asciiTheme="majorHAnsi" w:hAnsiTheme="majorHAnsi"/>
          <w:color w:val="auto"/>
          <w:sz w:val="16"/>
          <w:szCs w:val="16"/>
          <w:lang w:val="es-ES" w:bidi="es-ES"/>
        </w:rPr>
        <w:t xml:space="preserve"> </w:t>
      </w:r>
      <w:r w:rsidR="005C1BEA" w:rsidRPr="007C1BCC">
        <w:rPr>
          <w:rFonts w:asciiTheme="majorHAnsi" w:hAnsiTheme="majorHAnsi"/>
          <w:color w:val="auto"/>
          <w:sz w:val="16"/>
          <w:szCs w:val="16"/>
          <w:lang w:val="es-ES" w:bidi="es-ES"/>
        </w:rPr>
        <w:t xml:space="preserve">13; </w:t>
      </w:r>
      <w:r w:rsidR="005C1BEA" w:rsidRPr="00F43DEF">
        <w:rPr>
          <w:rFonts w:asciiTheme="majorHAnsi" w:hAnsiTheme="majorHAnsi"/>
          <w:color w:val="auto"/>
          <w:sz w:val="16"/>
          <w:szCs w:val="16"/>
          <w:lang w:val="es-US"/>
        </w:rPr>
        <w:t xml:space="preserve">CIDH, Informe No. </w:t>
      </w:r>
      <w:r w:rsidR="005C1BEA" w:rsidRPr="00F43DEF">
        <w:rPr>
          <w:rFonts w:asciiTheme="majorHAnsi" w:hAnsiTheme="majorHAnsi"/>
          <w:color w:val="auto"/>
          <w:sz w:val="16"/>
          <w:szCs w:val="16"/>
          <w:lang w:val="es-US" w:bidi="es-ES"/>
        </w:rPr>
        <w:t xml:space="preserve">300/21. </w:t>
      </w:r>
      <w:r w:rsidR="005C1BEA" w:rsidRPr="007C1BCC">
        <w:rPr>
          <w:rFonts w:asciiTheme="majorHAnsi" w:hAnsiTheme="majorHAnsi"/>
          <w:color w:val="auto"/>
          <w:sz w:val="16"/>
          <w:szCs w:val="16"/>
          <w:lang w:val="es-ES" w:bidi="es-ES"/>
        </w:rPr>
        <w:t xml:space="preserve">Petición 19-11. Admisibilidad. Juana Belfer. </w:t>
      </w:r>
      <w:r w:rsidR="005C1BEA" w:rsidRPr="00F43DEF">
        <w:rPr>
          <w:rFonts w:asciiTheme="majorHAnsi" w:hAnsiTheme="majorHAnsi"/>
          <w:color w:val="auto"/>
          <w:sz w:val="16"/>
          <w:szCs w:val="16"/>
          <w:lang w:val="es-US" w:bidi="es-ES"/>
        </w:rPr>
        <w:t xml:space="preserve">Argentina. 4 de noviembre de 2021, párr. </w:t>
      </w:r>
      <w:r w:rsidRPr="007C1BCC">
        <w:rPr>
          <w:rFonts w:asciiTheme="majorHAnsi" w:hAnsiTheme="majorHAnsi"/>
          <w:color w:val="auto"/>
          <w:sz w:val="16"/>
          <w:szCs w:val="16"/>
          <w:lang w:val="es-ES" w:bidi="es-ES"/>
        </w:rPr>
        <w:t xml:space="preserve"> </w:t>
      </w:r>
      <w:r w:rsidR="005C1BEA" w:rsidRPr="007C1BCC">
        <w:rPr>
          <w:rFonts w:asciiTheme="majorHAnsi" w:hAnsiTheme="majorHAnsi"/>
          <w:color w:val="auto"/>
          <w:sz w:val="16"/>
          <w:szCs w:val="16"/>
          <w:lang w:val="es-ES" w:bidi="es-ES"/>
        </w:rPr>
        <w:t>10.</w:t>
      </w:r>
    </w:p>
  </w:footnote>
  <w:footnote w:id="10">
    <w:p w14:paraId="1AE9B13F" w14:textId="77777777" w:rsidR="003338E3" w:rsidRPr="007C1BCC" w:rsidRDefault="003338E3" w:rsidP="003338E3">
      <w:pPr>
        <w:pStyle w:val="FootnoteText"/>
        <w:spacing w:after="120"/>
        <w:ind w:firstLine="864"/>
        <w:jc w:val="both"/>
        <w:rPr>
          <w:rFonts w:asciiTheme="majorHAnsi" w:hAnsiTheme="majorHAnsi"/>
          <w:color w:val="auto"/>
          <w:sz w:val="16"/>
          <w:szCs w:val="16"/>
          <w:lang w:val="es-ES"/>
        </w:rPr>
      </w:pPr>
      <w:r w:rsidRPr="007C1BCC">
        <w:rPr>
          <w:rStyle w:val="FootnoteReference"/>
          <w:rFonts w:asciiTheme="majorHAnsi" w:hAnsiTheme="majorHAnsi"/>
          <w:color w:val="auto"/>
          <w:sz w:val="16"/>
          <w:szCs w:val="16"/>
        </w:rPr>
        <w:footnoteRef/>
      </w:r>
      <w:r w:rsidRPr="007C1BCC">
        <w:rPr>
          <w:rFonts w:asciiTheme="majorHAnsi" w:hAnsiTheme="majorHAnsi"/>
          <w:color w:val="auto"/>
          <w:sz w:val="16"/>
          <w:szCs w:val="16"/>
          <w:lang w:val="es-ES"/>
        </w:rPr>
        <w:t xml:space="preserve"> Véase por ejemplo CIDH, Informe No. 56/16. </w:t>
      </w:r>
      <w:r w:rsidRPr="007C1BCC">
        <w:rPr>
          <w:rFonts w:asciiTheme="majorHAnsi" w:hAnsiTheme="majorHAnsi"/>
          <w:color w:val="auto"/>
          <w:sz w:val="16"/>
          <w:szCs w:val="16"/>
          <w:lang w:val="es-ES_tradnl"/>
        </w:rPr>
        <w:t xml:space="preserve">Petición 666-03. Admisibilidad. Luis Alberto Leiva. Argentina. </w:t>
      </w:r>
      <w:r w:rsidRPr="007C1BCC">
        <w:rPr>
          <w:rFonts w:asciiTheme="majorHAnsi" w:hAnsiTheme="majorHAnsi"/>
          <w:color w:val="auto"/>
          <w:sz w:val="16"/>
          <w:szCs w:val="16"/>
          <w:lang w:val="es-ES"/>
        </w:rPr>
        <w:t xml:space="preserve">6 de diciembre de 2016, párr. 25. </w:t>
      </w:r>
      <w:bookmarkStart w:id="2" w:name="_Hlk113360759"/>
    </w:p>
    <w:bookmarkEnd w:id="2"/>
  </w:footnote>
  <w:footnote w:id="11">
    <w:p w14:paraId="1241739D" w14:textId="77777777" w:rsidR="003338E3" w:rsidRPr="0099655E" w:rsidRDefault="003338E3" w:rsidP="003338E3">
      <w:pPr>
        <w:pStyle w:val="FootnoteText"/>
        <w:ind w:firstLine="720"/>
        <w:jc w:val="both"/>
        <w:rPr>
          <w:rFonts w:ascii="Calibri Light" w:hAnsi="Calibri Light"/>
          <w:sz w:val="16"/>
          <w:szCs w:val="16"/>
          <w:lang w:val="es-US"/>
        </w:rPr>
      </w:pPr>
      <w:r w:rsidRPr="007C1BCC">
        <w:rPr>
          <w:rStyle w:val="FootnoteReference"/>
          <w:rFonts w:asciiTheme="majorHAnsi" w:hAnsiTheme="majorHAnsi"/>
          <w:sz w:val="16"/>
          <w:szCs w:val="16"/>
        </w:rPr>
        <w:footnoteRef/>
      </w:r>
      <w:r w:rsidRPr="007C1BCC">
        <w:rPr>
          <w:rFonts w:asciiTheme="majorHAnsi" w:hAnsiTheme="majorHAnsi"/>
          <w:sz w:val="16"/>
          <w:szCs w:val="16"/>
          <w:lang w:val="es-US"/>
        </w:rPr>
        <w:t xml:space="preserve"> CIDH, Informe No. 79/08, Petición 95-01. Admisibilidad. Marcos Alejandro Martin. Argentina. 17 de octubre de 2008, párr. 27</w:t>
      </w:r>
      <w:r w:rsidRPr="0099655E">
        <w:rPr>
          <w:rFonts w:ascii="Calibri Light" w:hAnsi="Calibri Light"/>
          <w:sz w:val="16"/>
          <w:szCs w:val="16"/>
          <w:lang w:val="es-US"/>
        </w:rPr>
        <w:t>.</w:t>
      </w:r>
    </w:p>
  </w:footnote>
  <w:footnote w:id="12">
    <w:p w14:paraId="73FD0A93" w14:textId="77777777" w:rsidR="003338E3" w:rsidRPr="0099655E" w:rsidRDefault="003338E3" w:rsidP="003338E3">
      <w:pPr>
        <w:pStyle w:val="FootnoteText"/>
        <w:ind w:firstLine="720"/>
        <w:jc w:val="both"/>
        <w:rPr>
          <w:rFonts w:ascii="Calibri Light" w:hAnsi="Calibri Light"/>
          <w:sz w:val="16"/>
          <w:szCs w:val="16"/>
          <w:lang w:val="es-US"/>
        </w:rPr>
      </w:pPr>
      <w:r w:rsidRPr="0099655E">
        <w:rPr>
          <w:rStyle w:val="FootnoteReference"/>
          <w:rFonts w:ascii="Calibri Light" w:hAnsi="Calibri Light"/>
          <w:sz w:val="16"/>
          <w:szCs w:val="16"/>
        </w:rPr>
        <w:footnoteRef/>
      </w:r>
      <w:r w:rsidRPr="004C1EC8">
        <w:rPr>
          <w:rFonts w:ascii="Calibri Light" w:hAnsi="Calibri Light"/>
          <w:sz w:val="16"/>
          <w:szCs w:val="16"/>
          <w:lang w:val="pt-BR"/>
        </w:rPr>
        <w:t xml:space="preserve"> </w:t>
      </w:r>
      <w:r w:rsidRPr="004C1EC8">
        <w:rPr>
          <w:rFonts w:ascii="Calibri Light" w:hAnsi="Calibri Light"/>
          <w:color w:val="auto"/>
          <w:sz w:val="16"/>
          <w:szCs w:val="16"/>
          <w:lang w:val="pt-BR"/>
        </w:rPr>
        <w:t xml:space="preserve">Corte IDH, </w:t>
      </w:r>
      <w:r w:rsidRPr="004C1EC8">
        <w:rPr>
          <w:rFonts w:ascii="Calibri Light" w:hAnsi="Calibri Light"/>
          <w:i/>
          <w:color w:val="auto"/>
          <w:sz w:val="16"/>
          <w:szCs w:val="16"/>
          <w:lang w:val="pt-BR"/>
        </w:rPr>
        <w:t xml:space="preserve">Caso Mémoli vs. Argentina. </w:t>
      </w:r>
      <w:r w:rsidRPr="0099655E">
        <w:rPr>
          <w:rFonts w:ascii="Calibri Light" w:hAnsi="Calibri Light"/>
          <w:color w:val="auto"/>
          <w:sz w:val="16"/>
          <w:szCs w:val="16"/>
          <w:lang w:val="es-ES"/>
        </w:rPr>
        <w:t xml:space="preserve">Excepciones Preliminares, </w:t>
      </w:r>
      <w:r w:rsidRPr="0099655E">
        <w:rPr>
          <w:rFonts w:ascii="Calibri Light" w:hAnsi="Calibri Light"/>
          <w:color w:val="auto"/>
          <w:sz w:val="16"/>
          <w:szCs w:val="16"/>
          <w:lang w:val="es-CO"/>
        </w:rPr>
        <w:t xml:space="preserve">Fondo, Reparaciones y Costas. Sentencia de 22 de agosto de 2013. Serie C No. 295, </w:t>
      </w:r>
      <w:r w:rsidRPr="0099655E">
        <w:rPr>
          <w:rFonts w:ascii="Calibri Light" w:hAnsi="Calibri Light"/>
          <w:color w:val="auto"/>
          <w:sz w:val="16"/>
          <w:szCs w:val="16"/>
          <w:lang w:val="es-AR"/>
        </w:rPr>
        <w:t>p</w:t>
      </w:r>
      <w:r w:rsidRPr="0099655E">
        <w:rPr>
          <w:rFonts w:ascii="Calibri Light" w:hAnsi="Calibri Light"/>
          <w:color w:val="auto"/>
          <w:sz w:val="16"/>
          <w:szCs w:val="16"/>
          <w:lang w:val="es-ES_tradnl"/>
        </w:rPr>
        <w:t>árr. 32.</w:t>
      </w:r>
    </w:p>
  </w:footnote>
  <w:footnote w:id="13">
    <w:p w14:paraId="51103C01" w14:textId="77777777" w:rsidR="00096738" w:rsidRPr="001328D0" w:rsidRDefault="00096738" w:rsidP="00096738">
      <w:pPr>
        <w:pStyle w:val="FootnoteText"/>
        <w:ind w:firstLine="720"/>
        <w:jc w:val="both"/>
        <w:rPr>
          <w:rFonts w:asciiTheme="majorHAnsi" w:hAnsiTheme="majorHAnsi"/>
          <w:sz w:val="16"/>
          <w:szCs w:val="16"/>
          <w:lang w:val="es-ES"/>
        </w:rPr>
      </w:pPr>
      <w:r w:rsidRPr="001328D0">
        <w:rPr>
          <w:rStyle w:val="FootnoteReference"/>
          <w:rFonts w:asciiTheme="majorHAnsi" w:hAnsiTheme="majorHAnsi"/>
          <w:sz w:val="16"/>
          <w:szCs w:val="16"/>
        </w:rPr>
        <w:footnoteRef/>
      </w:r>
      <w:r w:rsidRPr="001328D0">
        <w:rPr>
          <w:rFonts w:asciiTheme="majorHAnsi" w:hAnsiTheme="majorHAnsi"/>
          <w:sz w:val="16"/>
          <w:szCs w:val="16"/>
          <w:lang w:val="es-ES"/>
        </w:rPr>
        <w:t xml:space="preserve"> CIDH, Informe No. 143/18, Petición 940-08. Admisibilidad. Luis Américo Ayala Gonzales. Perú. 4 de diciembre de 2018, párr. 12.</w:t>
      </w:r>
    </w:p>
  </w:footnote>
  <w:footnote w:id="14">
    <w:p w14:paraId="1DC01B76" w14:textId="25E95BD7" w:rsidR="007F712A" w:rsidRPr="001328D0" w:rsidRDefault="007F712A" w:rsidP="007F712A">
      <w:pPr>
        <w:pStyle w:val="FootnoteText"/>
        <w:ind w:firstLine="720"/>
        <w:jc w:val="both"/>
        <w:rPr>
          <w:rFonts w:asciiTheme="majorHAnsi" w:hAnsiTheme="majorHAnsi"/>
          <w:sz w:val="16"/>
          <w:szCs w:val="16"/>
          <w:lang w:val="es-PA"/>
        </w:rPr>
      </w:pPr>
      <w:r w:rsidRPr="001328D0">
        <w:rPr>
          <w:rStyle w:val="FootnoteReference"/>
          <w:rFonts w:asciiTheme="majorHAnsi" w:hAnsiTheme="majorHAnsi"/>
          <w:sz w:val="16"/>
          <w:szCs w:val="16"/>
        </w:rPr>
        <w:footnoteRef/>
      </w:r>
      <w:r w:rsidRPr="004C1EC8">
        <w:rPr>
          <w:rFonts w:asciiTheme="majorHAnsi" w:hAnsiTheme="majorHAnsi"/>
          <w:sz w:val="16"/>
          <w:szCs w:val="16"/>
          <w:lang w:val="pt-BR"/>
        </w:rPr>
        <w:t xml:space="preserve"> </w:t>
      </w:r>
      <w:r w:rsidR="002D6FD6" w:rsidRPr="004C1EC8">
        <w:rPr>
          <w:rFonts w:asciiTheme="majorHAnsi" w:hAnsiTheme="majorHAnsi"/>
          <w:sz w:val="16"/>
          <w:szCs w:val="16"/>
          <w:lang w:val="pt-BR"/>
        </w:rPr>
        <w:t xml:space="preserve">Corte IDH, Caso Cantos vs. Argentina. </w:t>
      </w:r>
      <w:r w:rsidR="002D6FD6" w:rsidRPr="001328D0">
        <w:rPr>
          <w:rFonts w:asciiTheme="majorHAnsi" w:hAnsiTheme="majorHAnsi"/>
          <w:sz w:val="16"/>
          <w:szCs w:val="16"/>
          <w:lang w:val="es-PA"/>
        </w:rPr>
        <w:t>Fondo Reparaciones y Costas. Sentencia del 28 de noviembre de 2002, párr</w:t>
      </w:r>
      <w:r w:rsidR="00B11735">
        <w:rPr>
          <w:rFonts w:asciiTheme="majorHAnsi" w:hAnsiTheme="majorHAnsi"/>
          <w:sz w:val="16"/>
          <w:szCs w:val="16"/>
          <w:lang w:val="es-PA"/>
        </w:rPr>
        <w:t>.</w:t>
      </w:r>
      <w:r w:rsidR="002D6FD6" w:rsidRPr="001328D0">
        <w:rPr>
          <w:rFonts w:asciiTheme="majorHAnsi" w:hAnsiTheme="majorHAnsi"/>
          <w:sz w:val="16"/>
          <w:szCs w:val="16"/>
          <w:lang w:val="es-PA"/>
        </w:rPr>
        <w:t xml:space="preserve"> 54.</w:t>
      </w:r>
    </w:p>
  </w:footnote>
  <w:footnote w:id="15">
    <w:p w14:paraId="7C927752" w14:textId="5E782165" w:rsidR="00AA067E" w:rsidRPr="001328D0" w:rsidRDefault="00AA067E" w:rsidP="00AA067E">
      <w:pPr>
        <w:pStyle w:val="FootnoteText"/>
        <w:ind w:firstLine="720"/>
        <w:jc w:val="both"/>
        <w:rPr>
          <w:rFonts w:asciiTheme="majorHAnsi" w:hAnsiTheme="majorHAnsi"/>
          <w:sz w:val="16"/>
          <w:szCs w:val="16"/>
          <w:lang w:val="es-PA"/>
        </w:rPr>
      </w:pPr>
      <w:r w:rsidRPr="001328D0">
        <w:rPr>
          <w:rStyle w:val="FootnoteReference"/>
          <w:rFonts w:asciiTheme="majorHAnsi" w:hAnsiTheme="majorHAnsi"/>
          <w:sz w:val="16"/>
          <w:szCs w:val="16"/>
        </w:rPr>
        <w:footnoteRef/>
      </w:r>
      <w:r w:rsidRPr="001328D0">
        <w:rPr>
          <w:rFonts w:asciiTheme="majorHAnsi" w:hAnsiTheme="majorHAnsi"/>
          <w:sz w:val="16"/>
          <w:szCs w:val="16"/>
          <w:lang w:val="es-PA"/>
        </w:rPr>
        <w:t>Corte I.D.H. Caso de la Masacre de las Dos Erres Vs. Guatemala. Excepción Preliminar, Fondo, Reparaciones y Costas. Sentencia de 25 de mayo de 2010. párr. 235.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6548E1"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C58496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99D859DE"/>
    <w:lvl w:ilvl="0" w:tplc="35020F28">
      <w:start w:val="1"/>
      <w:numFmt w:val="decimal"/>
      <w:lvlText w:val="%1."/>
      <w:lvlJc w:val="left"/>
      <w:pPr>
        <w:tabs>
          <w:tab w:val="num" w:pos="720"/>
        </w:tabs>
        <w:ind w:left="0" w:firstLine="720"/>
      </w:pPr>
      <w:rPr>
        <w:rFonts w:hint="default"/>
        <w:b w:val="0"/>
        <w:bCs w:val="0"/>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EBC1D58"/>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CB0E05"/>
    <w:multiLevelType w:val="hybridMultilevel"/>
    <w:tmpl w:val="6444E876"/>
    <w:lvl w:ilvl="0" w:tplc="FFFFFFFF">
      <w:start w:val="1"/>
      <w:numFmt w:val="decimal"/>
      <w:lvlText w:val="%1."/>
      <w:lvlJc w:val="left"/>
      <w:pPr>
        <w:tabs>
          <w:tab w:val="num" w:pos="720"/>
        </w:tabs>
        <w:ind w:left="0" w:firstLine="720"/>
      </w:pPr>
      <w:rPr>
        <w:rFonts w:hint="default"/>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872792"/>
    <w:multiLevelType w:val="hybridMultilevel"/>
    <w:tmpl w:val="7334F392"/>
    <w:lvl w:ilvl="0" w:tplc="DF9281A8">
      <w:start w:val="1"/>
      <w:numFmt w:val="decimal"/>
      <w:lvlText w:val="%1."/>
      <w:lvlJc w:val="left"/>
      <w:pPr>
        <w:ind w:left="720" w:hanging="360"/>
      </w:pPr>
      <w:rPr>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5483F4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EB02B3"/>
    <w:multiLevelType w:val="hybridMultilevel"/>
    <w:tmpl w:val="4A121338"/>
    <w:lvl w:ilvl="0" w:tplc="FFFFFFFF">
      <w:start w:val="1"/>
      <w:numFmt w:val="decimal"/>
      <w:lvlText w:val="%1."/>
      <w:lvlJc w:val="left"/>
      <w:pPr>
        <w:tabs>
          <w:tab w:val="num" w:pos="720"/>
        </w:tabs>
        <w:ind w:left="0" w:firstLine="720"/>
      </w:pPr>
      <w:rPr>
        <w:rFonts w:hint="default"/>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5691CA1"/>
    <w:multiLevelType w:val="hybridMultilevel"/>
    <w:tmpl w:val="AC247DA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C64B1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538594166">
    <w:abstractNumId w:val="4"/>
  </w:num>
  <w:num w:numId="2" w16cid:durableId="1042091882">
    <w:abstractNumId w:val="6"/>
  </w:num>
  <w:num w:numId="3" w16cid:durableId="1322078487">
    <w:abstractNumId w:val="57"/>
  </w:num>
  <w:num w:numId="4" w16cid:durableId="800347619">
    <w:abstractNumId w:val="22"/>
  </w:num>
  <w:num w:numId="5" w16cid:durableId="2032144340">
    <w:abstractNumId w:val="49"/>
  </w:num>
  <w:num w:numId="6" w16cid:durableId="209921326">
    <w:abstractNumId w:val="27"/>
  </w:num>
  <w:num w:numId="7" w16cid:durableId="51194779">
    <w:abstractNumId w:val="7"/>
  </w:num>
  <w:num w:numId="8" w16cid:durableId="1192063579">
    <w:abstractNumId w:val="17"/>
  </w:num>
  <w:num w:numId="9" w16cid:durableId="195584083">
    <w:abstractNumId w:val="43"/>
  </w:num>
  <w:num w:numId="10" w16cid:durableId="677318878">
    <w:abstractNumId w:val="0"/>
  </w:num>
  <w:num w:numId="11" w16cid:durableId="127669199">
    <w:abstractNumId w:val="38"/>
  </w:num>
  <w:num w:numId="12" w16cid:durableId="1654599411">
    <w:abstractNumId w:val="39"/>
  </w:num>
  <w:num w:numId="13" w16cid:durableId="201485579">
    <w:abstractNumId w:val="45"/>
  </w:num>
  <w:num w:numId="14" w16cid:durableId="561840233">
    <w:abstractNumId w:val="1"/>
  </w:num>
  <w:num w:numId="15" w16cid:durableId="1983539089">
    <w:abstractNumId w:val="2"/>
  </w:num>
  <w:num w:numId="16" w16cid:durableId="318923884">
    <w:abstractNumId w:val="8"/>
  </w:num>
  <w:num w:numId="17" w16cid:durableId="1406683186">
    <w:abstractNumId w:val="9"/>
  </w:num>
  <w:num w:numId="18" w16cid:durableId="1229610830">
    <w:abstractNumId w:val="10"/>
  </w:num>
  <w:num w:numId="19" w16cid:durableId="1942376510">
    <w:abstractNumId w:val="11"/>
  </w:num>
  <w:num w:numId="20" w16cid:durableId="644623525">
    <w:abstractNumId w:val="12"/>
  </w:num>
  <w:num w:numId="21" w16cid:durableId="271059391">
    <w:abstractNumId w:val="13"/>
  </w:num>
  <w:num w:numId="22" w16cid:durableId="1267231816">
    <w:abstractNumId w:val="14"/>
  </w:num>
  <w:num w:numId="23" w16cid:durableId="49621258">
    <w:abstractNumId w:val="15"/>
  </w:num>
  <w:num w:numId="24" w16cid:durableId="1737359411">
    <w:abstractNumId w:val="16"/>
  </w:num>
  <w:num w:numId="25" w16cid:durableId="79832791">
    <w:abstractNumId w:val="18"/>
  </w:num>
  <w:num w:numId="26" w16cid:durableId="1509826674">
    <w:abstractNumId w:val="19"/>
  </w:num>
  <w:num w:numId="27" w16cid:durableId="615134806">
    <w:abstractNumId w:val="23"/>
  </w:num>
  <w:num w:numId="28" w16cid:durableId="459962372">
    <w:abstractNumId w:val="24"/>
  </w:num>
  <w:num w:numId="29" w16cid:durableId="908854818">
    <w:abstractNumId w:val="25"/>
  </w:num>
  <w:num w:numId="30" w16cid:durableId="581839198">
    <w:abstractNumId w:val="26"/>
  </w:num>
  <w:num w:numId="31" w16cid:durableId="817527616">
    <w:abstractNumId w:val="28"/>
  </w:num>
  <w:num w:numId="32" w16cid:durableId="1764494765">
    <w:abstractNumId w:val="29"/>
  </w:num>
  <w:num w:numId="33" w16cid:durableId="386607450">
    <w:abstractNumId w:val="30"/>
  </w:num>
  <w:num w:numId="34" w16cid:durableId="768239918">
    <w:abstractNumId w:val="31"/>
  </w:num>
  <w:num w:numId="35" w16cid:durableId="386689214">
    <w:abstractNumId w:val="33"/>
  </w:num>
  <w:num w:numId="36" w16cid:durableId="1209342316">
    <w:abstractNumId w:val="35"/>
  </w:num>
  <w:num w:numId="37" w16cid:durableId="1291746117">
    <w:abstractNumId w:val="36"/>
  </w:num>
  <w:num w:numId="38" w16cid:durableId="1038630439">
    <w:abstractNumId w:val="37"/>
  </w:num>
  <w:num w:numId="39" w16cid:durableId="1987584135">
    <w:abstractNumId w:val="40"/>
  </w:num>
  <w:num w:numId="40" w16cid:durableId="7484045">
    <w:abstractNumId w:val="41"/>
  </w:num>
  <w:num w:numId="41" w16cid:durableId="1451902708">
    <w:abstractNumId w:val="47"/>
  </w:num>
  <w:num w:numId="42" w16cid:durableId="2003049034">
    <w:abstractNumId w:val="50"/>
  </w:num>
  <w:num w:numId="43" w16cid:durableId="1044598832">
    <w:abstractNumId w:val="52"/>
  </w:num>
  <w:num w:numId="44" w16cid:durableId="1031761551">
    <w:abstractNumId w:val="54"/>
  </w:num>
  <w:num w:numId="45" w16cid:durableId="1105687659">
    <w:abstractNumId w:val="56"/>
  </w:num>
  <w:num w:numId="46" w16cid:durableId="1483040976">
    <w:abstractNumId w:val="58"/>
  </w:num>
  <w:num w:numId="47" w16cid:durableId="48236278">
    <w:abstractNumId w:val="59"/>
  </w:num>
  <w:num w:numId="48" w16cid:durableId="975989635">
    <w:abstractNumId w:val="60"/>
  </w:num>
  <w:num w:numId="49" w16cid:durableId="15742257">
    <w:abstractNumId w:val="61"/>
  </w:num>
  <w:num w:numId="50" w16cid:durableId="557009474">
    <w:abstractNumId w:val="63"/>
  </w:num>
  <w:num w:numId="51" w16cid:durableId="1251545128">
    <w:abstractNumId w:val="21"/>
  </w:num>
  <w:num w:numId="52" w16cid:durableId="877594555">
    <w:abstractNumId w:val="42"/>
  </w:num>
  <w:num w:numId="53" w16cid:durableId="212350378">
    <w:abstractNumId w:val="53"/>
  </w:num>
  <w:num w:numId="54" w16cid:durableId="732312376">
    <w:abstractNumId w:val="46"/>
  </w:num>
  <w:num w:numId="55" w16cid:durableId="1820345155">
    <w:abstractNumId w:val="5"/>
  </w:num>
  <w:num w:numId="56" w16cid:durableId="1187252613">
    <w:abstractNumId w:val="44"/>
  </w:num>
  <w:num w:numId="57" w16cid:durableId="871573136">
    <w:abstractNumId w:val="62"/>
  </w:num>
  <w:num w:numId="58" w16cid:durableId="722757246">
    <w:abstractNumId w:val="20"/>
  </w:num>
  <w:num w:numId="59" w16cid:durableId="692877489">
    <w:abstractNumId w:val="3"/>
  </w:num>
  <w:num w:numId="60" w16cid:durableId="384373623">
    <w:abstractNumId w:val="48"/>
  </w:num>
  <w:num w:numId="61" w16cid:durableId="1854106617">
    <w:abstractNumId w:val="55"/>
  </w:num>
  <w:num w:numId="62" w16cid:durableId="1061906937">
    <w:abstractNumId w:val="34"/>
  </w:num>
  <w:num w:numId="63" w16cid:durableId="1699768800">
    <w:abstractNumId w:val="51"/>
  </w:num>
  <w:num w:numId="64" w16cid:durableId="226915640">
    <w:abstractNumId w:val="3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ocumentProtection w:edit="readOnly"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AJiY0MTIwsgx8RCSUcpOLW4ODM/D6TAohYAr3kSuiwAAAA="/>
  </w:docVars>
  <w:rsids>
    <w:rsidRoot w:val="006B2D5C"/>
    <w:rsid w:val="0000036F"/>
    <w:rsid w:val="00000CDA"/>
    <w:rsid w:val="000065D0"/>
    <w:rsid w:val="00006B74"/>
    <w:rsid w:val="00006E1F"/>
    <w:rsid w:val="000070D7"/>
    <w:rsid w:val="000104F5"/>
    <w:rsid w:val="00011C3B"/>
    <w:rsid w:val="00015701"/>
    <w:rsid w:val="0001788C"/>
    <w:rsid w:val="000206E7"/>
    <w:rsid w:val="0002186F"/>
    <w:rsid w:val="00021E40"/>
    <w:rsid w:val="00024467"/>
    <w:rsid w:val="0002595D"/>
    <w:rsid w:val="00026DF5"/>
    <w:rsid w:val="0002733D"/>
    <w:rsid w:val="00032F2D"/>
    <w:rsid w:val="000337EF"/>
    <w:rsid w:val="000409D6"/>
    <w:rsid w:val="00040C3A"/>
    <w:rsid w:val="000419AD"/>
    <w:rsid w:val="00045E61"/>
    <w:rsid w:val="00056237"/>
    <w:rsid w:val="00061A80"/>
    <w:rsid w:val="000642AD"/>
    <w:rsid w:val="000716C5"/>
    <w:rsid w:val="0007336B"/>
    <w:rsid w:val="000733A3"/>
    <w:rsid w:val="00073AD6"/>
    <w:rsid w:val="00075E23"/>
    <w:rsid w:val="000760F2"/>
    <w:rsid w:val="0009006E"/>
    <w:rsid w:val="0009344A"/>
    <w:rsid w:val="000939F4"/>
    <w:rsid w:val="00096738"/>
    <w:rsid w:val="000A19F8"/>
    <w:rsid w:val="000A3254"/>
    <w:rsid w:val="000A392E"/>
    <w:rsid w:val="000A575F"/>
    <w:rsid w:val="000A63D0"/>
    <w:rsid w:val="000B0579"/>
    <w:rsid w:val="000B188C"/>
    <w:rsid w:val="000C1C69"/>
    <w:rsid w:val="000C3A31"/>
    <w:rsid w:val="000C5E36"/>
    <w:rsid w:val="000D10DB"/>
    <w:rsid w:val="000D130B"/>
    <w:rsid w:val="000D2A85"/>
    <w:rsid w:val="000D6615"/>
    <w:rsid w:val="000E2789"/>
    <w:rsid w:val="000E5EB5"/>
    <w:rsid w:val="000F023C"/>
    <w:rsid w:val="000F1C7E"/>
    <w:rsid w:val="000F35ED"/>
    <w:rsid w:val="000F4F84"/>
    <w:rsid w:val="000F5F0C"/>
    <w:rsid w:val="000F6EDB"/>
    <w:rsid w:val="001061D7"/>
    <w:rsid w:val="00107131"/>
    <w:rsid w:val="0010736F"/>
    <w:rsid w:val="00111A8A"/>
    <w:rsid w:val="00112398"/>
    <w:rsid w:val="001124F3"/>
    <w:rsid w:val="00113B28"/>
    <w:rsid w:val="00113F73"/>
    <w:rsid w:val="001143D8"/>
    <w:rsid w:val="00117AE2"/>
    <w:rsid w:val="00117D1B"/>
    <w:rsid w:val="00121CC2"/>
    <w:rsid w:val="00125324"/>
    <w:rsid w:val="00125F72"/>
    <w:rsid w:val="00131663"/>
    <w:rsid w:val="00131D8B"/>
    <w:rsid w:val="001328D0"/>
    <w:rsid w:val="00133EE5"/>
    <w:rsid w:val="001342BD"/>
    <w:rsid w:val="00135686"/>
    <w:rsid w:val="001366AA"/>
    <w:rsid w:val="001367B7"/>
    <w:rsid w:val="00136E3D"/>
    <w:rsid w:val="00143EFE"/>
    <w:rsid w:val="001479C0"/>
    <w:rsid w:val="00150244"/>
    <w:rsid w:val="0015330B"/>
    <w:rsid w:val="00153B50"/>
    <w:rsid w:val="00167A34"/>
    <w:rsid w:val="00172FCD"/>
    <w:rsid w:val="0017377F"/>
    <w:rsid w:val="001749F8"/>
    <w:rsid w:val="00176BB3"/>
    <w:rsid w:val="00177883"/>
    <w:rsid w:val="00177EEF"/>
    <w:rsid w:val="00196013"/>
    <w:rsid w:val="0019667E"/>
    <w:rsid w:val="00196872"/>
    <w:rsid w:val="001A1172"/>
    <w:rsid w:val="001A7870"/>
    <w:rsid w:val="001B3A00"/>
    <w:rsid w:val="001B490A"/>
    <w:rsid w:val="001B4C00"/>
    <w:rsid w:val="001C0589"/>
    <w:rsid w:val="001C0932"/>
    <w:rsid w:val="001C1B41"/>
    <w:rsid w:val="001C3FDF"/>
    <w:rsid w:val="001D3523"/>
    <w:rsid w:val="001D5DEC"/>
    <w:rsid w:val="001D65EF"/>
    <w:rsid w:val="001D6768"/>
    <w:rsid w:val="001E2F99"/>
    <w:rsid w:val="001E3CBA"/>
    <w:rsid w:val="001E49E7"/>
    <w:rsid w:val="001E5DB2"/>
    <w:rsid w:val="001F1FA3"/>
    <w:rsid w:val="001F271B"/>
    <w:rsid w:val="001F7201"/>
    <w:rsid w:val="002005EC"/>
    <w:rsid w:val="00203B4D"/>
    <w:rsid w:val="00204931"/>
    <w:rsid w:val="00214EB2"/>
    <w:rsid w:val="00216075"/>
    <w:rsid w:val="00216A99"/>
    <w:rsid w:val="00217E3F"/>
    <w:rsid w:val="00223711"/>
    <w:rsid w:val="00223A29"/>
    <w:rsid w:val="00223DB4"/>
    <w:rsid w:val="002250A3"/>
    <w:rsid w:val="002274A2"/>
    <w:rsid w:val="00231294"/>
    <w:rsid w:val="00234094"/>
    <w:rsid w:val="00235217"/>
    <w:rsid w:val="002355A9"/>
    <w:rsid w:val="00241230"/>
    <w:rsid w:val="002421DA"/>
    <w:rsid w:val="00245650"/>
    <w:rsid w:val="002460DA"/>
    <w:rsid w:val="00246D1F"/>
    <w:rsid w:val="00247403"/>
    <w:rsid w:val="00247542"/>
    <w:rsid w:val="00253195"/>
    <w:rsid w:val="00253769"/>
    <w:rsid w:val="00257104"/>
    <w:rsid w:val="0026181B"/>
    <w:rsid w:val="00262864"/>
    <w:rsid w:val="002636E9"/>
    <w:rsid w:val="00263A41"/>
    <w:rsid w:val="002646C1"/>
    <w:rsid w:val="00266B61"/>
    <w:rsid w:val="0026712A"/>
    <w:rsid w:val="00267DB7"/>
    <w:rsid w:val="002704DB"/>
    <w:rsid w:val="002705B4"/>
    <w:rsid w:val="00277BDA"/>
    <w:rsid w:val="00294BD9"/>
    <w:rsid w:val="0029575A"/>
    <w:rsid w:val="00295932"/>
    <w:rsid w:val="00295F56"/>
    <w:rsid w:val="0029647E"/>
    <w:rsid w:val="00296E14"/>
    <w:rsid w:val="002A0AAE"/>
    <w:rsid w:val="002A5820"/>
    <w:rsid w:val="002B6FFB"/>
    <w:rsid w:val="002C0D2D"/>
    <w:rsid w:val="002C3350"/>
    <w:rsid w:val="002C3D4C"/>
    <w:rsid w:val="002D1527"/>
    <w:rsid w:val="002D2B26"/>
    <w:rsid w:val="002D6FD6"/>
    <w:rsid w:val="002D778E"/>
    <w:rsid w:val="002D7EA2"/>
    <w:rsid w:val="002E187C"/>
    <w:rsid w:val="002E7512"/>
    <w:rsid w:val="002F3724"/>
    <w:rsid w:val="002F3A0A"/>
    <w:rsid w:val="002F4C6A"/>
    <w:rsid w:val="002F7C78"/>
    <w:rsid w:val="00302733"/>
    <w:rsid w:val="003119C5"/>
    <w:rsid w:val="003121D5"/>
    <w:rsid w:val="003130A5"/>
    <w:rsid w:val="00314078"/>
    <w:rsid w:val="00314331"/>
    <w:rsid w:val="0031535D"/>
    <w:rsid w:val="003239B8"/>
    <w:rsid w:val="00323B2C"/>
    <w:rsid w:val="003273C7"/>
    <w:rsid w:val="00327ADF"/>
    <w:rsid w:val="0033169F"/>
    <w:rsid w:val="003338E3"/>
    <w:rsid w:val="00333A9E"/>
    <w:rsid w:val="00341A40"/>
    <w:rsid w:val="0034224A"/>
    <w:rsid w:val="00342A93"/>
    <w:rsid w:val="00343438"/>
    <w:rsid w:val="003445E6"/>
    <w:rsid w:val="00344977"/>
    <w:rsid w:val="00346C95"/>
    <w:rsid w:val="0034788B"/>
    <w:rsid w:val="00351155"/>
    <w:rsid w:val="00352031"/>
    <w:rsid w:val="0035443B"/>
    <w:rsid w:val="003544C2"/>
    <w:rsid w:val="00356185"/>
    <w:rsid w:val="00360380"/>
    <w:rsid w:val="00360A58"/>
    <w:rsid w:val="00361DF2"/>
    <w:rsid w:val="00365B11"/>
    <w:rsid w:val="003713D8"/>
    <w:rsid w:val="0037519E"/>
    <w:rsid w:val="00380080"/>
    <w:rsid w:val="003812CB"/>
    <w:rsid w:val="00386C6C"/>
    <w:rsid w:val="00386CF0"/>
    <w:rsid w:val="003878F2"/>
    <w:rsid w:val="003911F7"/>
    <w:rsid w:val="003921D8"/>
    <w:rsid w:val="003942EC"/>
    <w:rsid w:val="003A129A"/>
    <w:rsid w:val="003A4FC1"/>
    <w:rsid w:val="003A6337"/>
    <w:rsid w:val="003A72E8"/>
    <w:rsid w:val="003B0D7A"/>
    <w:rsid w:val="003B3F41"/>
    <w:rsid w:val="003B4FF6"/>
    <w:rsid w:val="003B70FB"/>
    <w:rsid w:val="003C0C03"/>
    <w:rsid w:val="003C18E3"/>
    <w:rsid w:val="003C45DC"/>
    <w:rsid w:val="003C45E4"/>
    <w:rsid w:val="003C4F5B"/>
    <w:rsid w:val="003C6112"/>
    <w:rsid w:val="003C676B"/>
    <w:rsid w:val="003D0A55"/>
    <w:rsid w:val="003D3BC2"/>
    <w:rsid w:val="003D3CD4"/>
    <w:rsid w:val="003E614F"/>
    <w:rsid w:val="003E6C0C"/>
    <w:rsid w:val="003E6CA1"/>
    <w:rsid w:val="003F3BA0"/>
    <w:rsid w:val="00404974"/>
    <w:rsid w:val="004065A8"/>
    <w:rsid w:val="00406A62"/>
    <w:rsid w:val="00410265"/>
    <w:rsid w:val="004153F5"/>
    <w:rsid w:val="004165C2"/>
    <w:rsid w:val="00416848"/>
    <w:rsid w:val="00427118"/>
    <w:rsid w:val="004304AD"/>
    <w:rsid w:val="0043284E"/>
    <w:rsid w:val="0043404F"/>
    <w:rsid w:val="00434848"/>
    <w:rsid w:val="004359B5"/>
    <w:rsid w:val="00440C8A"/>
    <w:rsid w:val="00441ECB"/>
    <w:rsid w:val="00442531"/>
    <w:rsid w:val="00443B9D"/>
    <w:rsid w:val="00445193"/>
    <w:rsid w:val="00446B84"/>
    <w:rsid w:val="00447C6E"/>
    <w:rsid w:val="00447CCF"/>
    <w:rsid w:val="0045329F"/>
    <w:rsid w:val="00453C30"/>
    <w:rsid w:val="004565BA"/>
    <w:rsid w:val="0046171F"/>
    <w:rsid w:val="00462C1B"/>
    <w:rsid w:val="00463453"/>
    <w:rsid w:val="00464346"/>
    <w:rsid w:val="004660CD"/>
    <w:rsid w:val="00467B7E"/>
    <w:rsid w:val="0047080D"/>
    <w:rsid w:val="00473BB4"/>
    <w:rsid w:val="00476211"/>
    <w:rsid w:val="00477592"/>
    <w:rsid w:val="004866EA"/>
    <w:rsid w:val="00486F1C"/>
    <w:rsid w:val="00487A48"/>
    <w:rsid w:val="00492E00"/>
    <w:rsid w:val="0049419D"/>
    <w:rsid w:val="00495908"/>
    <w:rsid w:val="004A05E6"/>
    <w:rsid w:val="004A112C"/>
    <w:rsid w:val="004A59CC"/>
    <w:rsid w:val="004A6A54"/>
    <w:rsid w:val="004A7B33"/>
    <w:rsid w:val="004B3269"/>
    <w:rsid w:val="004C0485"/>
    <w:rsid w:val="004C1EC8"/>
    <w:rsid w:val="004C20D2"/>
    <w:rsid w:val="004C2312"/>
    <w:rsid w:val="004C4B62"/>
    <w:rsid w:val="004C54C9"/>
    <w:rsid w:val="004C5FFD"/>
    <w:rsid w:val="004C616A"/>
    <w:rsid w:val="004C6BC9"/>
    <w:rsid w:val="004D1458"/>
    <w:rsid w:val="004D1711"/>
    <w:rsid w:val="004D2959"/>
    <w:rsid w:val="004D3926"/>
    <w:rsid w:val="004D4ABA"/>
    <w:rsid w:val="004D6025"/>
    <w:rsid w:val="004E0000"/>
    <w:rsid w:val="004E19B1"/>
    <w:rsid w:val="004E1F2C"/>
    <w:rsid w:val="004E2649"/>
    <w:rsid w:val="004E34FA"/>
    <w:rsid w:val="00501399"/>
    <w:rsid w:val="00501652"/>
    <w:rsid w:val="00503487"/>
    <w:rsid w:val="00503CA8"/>
    <w:rsid w:val="0050633D"/>
    <w:rsid w:val="00507BC4"/>
    <w:rsid w:val="00507D5E"/>
    <w:rsid w:val="00512303"/>
    <w:rsid w:val="005128E4"/>
    <w:rsid w:val="005133DB"/>
    <w:rsid w:val="00525413"/>
    <w:rsid w:val="00525560"/>
    <w:rsid w:val="00527436"/>
    <w:rsid w:val="005371CA"/>
    <w:rsid w:val="0054032A"/>
    <w:rsid w:val="005415E6"/>
    <w:rsid w:val="00542156"/>
    <w:rsid w:val="00544216"/>
    <w:rsid w:val="00544C49"/>
    <w:rsid w:val="005516A1"/>
    <w:rsid w:val="00551DC2"/>
    <w:rsid w:val="0055230B"/>
    <w:rsid w:val="0055234F"/>
    <w:rsid w:val="005604CB"/>
    <w:rsid w:val="00560AED"/>
    <w:rsid w:val="005615C2"/>
    <w:rsid w:val="00563557"/>
    <w:rsid w:val="00567E71"/>
    <w:rsid w:val="00571203"/>
    <w:rsid w:val="00572826"/>
    <w:rsid w:val="005732A7"/>
    <w:rsid w:val="0057402A"/>
    <w:rsid w:val="00574CB7"/>
    <w:rsid w:val="005771D0"/>
    <w:rsid w:val="0058187C"/>
    <w:rsid w:val="00583784"/>
    <w:rsid w:val="00584F6A"/>
    <w:rsid w:val="00586230"/>
    <w:rsid w:val="00586EEF"/>
    <w:rsid w:val="0059191A"/>
    <w:rsid w:val="0059195F"/>
    <w:rsid w:val="00591A96"/>
    <w:rsid w:val="005921FF"/>
    <w:rsid w:val="00594707"/>
    <w:rsid w:val="00595290"/>
    <w:rsid w:val="0059606B"/>
    <w:rsid w:val="005A24ED"/>
    <w:rsid w:val="005A5DD7"/>
    <w:rsid w:val="005A6D0E"/>
    <w:rsid w:val="005B2FED"/>
    <w:rsid w:val="005B37CC"/>
    <w:rsid w:val="005B38B0"/>
    <w:rsid w:val="005B40C8"/>
    <w:rsid w:val="005B52B0"/>
    <w:rsid w:val="005B6806"/>
    <w:rsid w:val="005B6D22"/>
    <w:rsid w:val="005C1BEA"/>
    <w:rsid w:val="005C261A"/>
    <w:rsid w:val="005C2AE5"/>
    <w:rsid w:val="005C4225"/>
    <w:rsid w:val="005C599E"/>
    <w:rsid w:val="005C70A7"/>
    <w:rsid w:val="005C7773"/>
    <w:rsid w:val="005C7989"/>
    <w:rsid w:val="005D194F"/>
    <w:rsid w:val="005D53B3"/>
    <w:rsid w:val="005D5FCE"/>
    <w:rsid w:val="005D66AD"/>
    <w:rsid w:val="005E0B65"/>
    <w:rsid w:val="005E0E66"/>
    <w:rsid w:val="005E11B2"/>
    <w:rsid w:val="005F0A4D"/>
    <w:rsid w:val="005F0DAD"/>
    <w:rsid w:val="005F0F33"/>
    <w:rsid w:val="005F24A8"/>
    <w:rsid w:val="005F42BF"/>
    <w:rsid w:val="005F46F8"/>
    <w:rsid w:val="00600DEB"/>
    <w:rsid w:val="00602A84"/>
    <w:rsid w:val="006068B7"/>
    <w:rsid w:val="006075CC"/>
    <w:rsid w:val="00610A4C"/>
    <w:rsid w:val="00610BF4"/>
    <w:rsid w:val="00611CA5"/>
    <w:rsid w:val="00614C16"/>
    <w:rsid w:val="00620631"/>
    <w:rsid w:val="006261F3"/>
    <w:rsid w:val="0062656A"/>
    <w:rsid w:val="006277DE"/>
    <w:rsid w:val="00627C9F"/>
    <w:rsid w:val="006311E9"/>
    <w:rsid w:val="00631390"/>
    <w:rsid w:val="00631549"/>
    <w:rsid w:val="00632354"/>
    <w:rsid w:val="0063324A"/>
    <w:rsid w:val="00642664"/>
    <w:rsid w:val="00642810"/>
    <w:rsid w:val="00647756"/>
    <w:rsid w:val="006509DA"/>
    <w:rsid w:val="00651B63"/>
    <w:rsid w:val="00652333"/>
    <w:rsid w:val="0065274C"/>
    <w:rsid w:val="006527F6"/>
    <w:rsid w:val="006532BB"/>
    <w:rsid w:val="00653C7C"/>
    <w:rsid w:val="006548E1"/>
    <w:rsid w:val="00654D47"/>
    <w:rsid w:val="006561F8"/>
    <w:rsid w:val="00662833"/>
    <w:rsid w:val="00666941"/>
    <w:rsid w:val="006765D4"/>
    <w:rsid w:val="006775AB"/>
    <w:rsid w:val="0068009E"/>
    <w:rsid w:val="006819E9"/>
    <w:rsid w:val="0068210D"/>
    <w:rsid w:val="006824B2"/>
    <w:rsid w:val="0068288D"/>
    <w:rsid w:val="00686471"/>
    <w:rsid w:val="0068794B"/>
    <w:rsid w:val="0069072E"/>
    <w:rsid w:val="00691BBE"/>
    <w:rsid w:val="00692219"/>
    <w:rsid w:val="0069402E"/>
    <w:rsid w:val="006A17D2"/>
    <w:rsid w:val="006A548D"/>
    <w:rsid w:val="006A73E6"/>
    <w:rsid w:val="006B2515"/>
    <w:rsid w:val="006B2D5C"/>
    <w:rsid w:val="006B2EE8"/>
    <w:rsid w:val="006B5ECC"/>
    <w:rsid w:val="006C4EB1"/>
    <w:rsid w:val="006C75FE"/>
    <w:rsid w:val="006D03AE"/>
    <w:rsid w:val="006D09BF"/>
    <w:rsid w:val="006D5A2C"/>
    <w:rsid w:val="006D6BD4"/>
    <w:rsid w:val="006E0166"/>
    <w:rsid w:val="006E0903"/>
    <w:rsid w:val="006E772A"/>
    <w:rsid w:val="006E7B34"/>
    <w:rsid w:val="006F04C9"/>
    <w:rsid w:val="006F1367"/>
    <w:rsid w:val="006F1D32"/>
    <w:rsid w:val="006F562D"/>
    <w:rsid w:val="00700435"/>
    <w:rsid w:val="00701300"/>
    <w:rsid w:val="007034AD"/>
    <w:rsid w:val="0070697F"/>
    <w:rsid w:val="007153C1"/>
    <w:rsid w:val="00717132"/>
    <w:rsid w:val="00717A08"/>
    <w:rsid w:val="0072199C"/>
    <w:rsid w:val="00722C9F"/>
    <w:rsid w:val="00724340"/>
    <w:rsid w:val="0072463A"/>
    <w:rsid w:val="007248CD"/>
    <w:rsid w:val="00724F4A"/>
    <w:rsid w:val="007253B8"/>
    <w:rsid w:val="00727B0E"/>
    <w:rsid w:val="0073200D"/>
    <w:rsid w:val="007333D4"/>
    <w:rsid w:val="0073396C"/>
    <w:rsid w:val="0073598C"/>
    <w:rsid w:val="0073741F"/>
    <w:rsid w:val="007416F4"/>
    <w:rsid w:val="00741CC2"/>
    <w:rsid w:val="007439C4"/>
    <w:rsid w:val="00746C24"/>
    <w:rsid w:val="00747E3D"/>
    <w:rsid w:val="007547F5"/>
    <w:rsid w:val="00756485"/>
    <w:rsid w:val="00757AEB"/>
    <w:rsid w:val="00763D0D"/>
    <w:rsid w:val="00765AB4"/>
    <w:rsid w:val="0076643F"/>
    <w:rsid w:val="00772E5F"/>
    <w:rsid w:val="00775276"/>
    <w:rsid w:val="007753FC"/>
    <w:rsid w:val="00776B37"/>
    <w:rsid w:val="00777567"/>
    <w:rsid w:val="00777D4A"/>
    <w:rsid w:val="00777F63"/>
    <w:rsid w:val="0078378A"/>
    <w:rsid w:val="007852B5"/>
    <w:rsid w:val="00787599"/>
    <w:rsid w:val="00792096"/>
    <w:rsid w:val="00793824"/>
    <w:rsid w:val="0079556D"/>
    <w:rsid w:val="00795CF5"/>
    <w:rsid w:val="00796A37"/>
    <w:rsid w:val="007A030F"/>
    <w:rsid w:val="007A4B70"/>
    <w:rsid w:val="007A5817"/>
    <w:rsid w:val="007B05C4"/>
    <w:rsid w:val="007B361D"/>
    <w:rsid w:val="007B60E9"/>
    <w:rsid w:val="007B6CC3"/>
    <w:rsid w:val="007B7C9F"/>
    <w:rsid w:val="007C1BCC"/>
    <w:rsid w:val="007C3334"/>
    <w:rsid w:val="007C36C1"/>
    <w:rsid w:val="007C402A"/>
    <w:rsid w:val="007D07C3"/>
    <w:rsid w:val="007D1A3B"/>
    <w:rsid w:val="007D2B98"/>
    <w:rsid w:val="007D7C02"/>
    <w:rsid w:val="007E21BC"/>
    <w:rsid w:val="007E5068"/>
    <w:rsid w:val="007E58FE"/>
    <w:rsid w:val="007E6D53"/>
    <w:rsid w:val="007E7C82"/>
    <w:rsid w:val="007F588D"/>
    <w:rsid w:val="007F712A"/>
    <w:rsid w:val="007F7867"/>
    <w:rsid w:val="008012E0"/>
    <w:rsid w:val="00802748"/>
    <w:rsid w:val="00803F1C"/>
    <w:rsid w:val="00804F6F"/>
    <w:rsid w:val="0080600E"/>
    <w:rsid w:val="00806273"/>
    <w:rsid w:val="008168D8"/>
    <w:rsid w:val="00817612"/>
    <w:rsid w:val="00820F98"/>
    <w:rsid w:val="00832331"/>
    <w:rsid w:val="008338A4"/>
    <w:rsid w:val="00834D49"/>
    <w:rsid w:val="00837C45"/>
    <w:rsid w:val="008411F0"/>
    <w:rsid w:val="008439BC"/>
    <w:rsid w:val="00844544"/>
    <w:rsid w:val="00844730"/>
    <w:rsid w:val="008453B1"/>
    <w:rsid w:val="008457C2"/>
    <w:rsid w:val="00853E84"/>
    <w:rsid w:val="008576E8"/>
    <w:rsid w:val="00857A82"/>
    <w:rsid w:val="00860490"/>
    <w:rsid w:val="00861F35"/>
    <w:rsid w:val="00865F79"/>
    <w:rsid w:val="00866211"/>
    <w:rsid w:val="00870BC3"/>
    <w:rsid w:val="00871526"/>
    <w:rsid w:val="00873836"/>
    <w:rsid w:val="0087444C"/>
    <w:rsid w:val="00875668"/>
    <w:rsid w:val="00885737"/>
    <w:rsid w:val="00890650"/>
    <w:rsid w:val="00892CA4"/>
    <w:rsid w:val="00897E12"/>
    <w:rsid w:val="008A0F81"/>
    <w:rsid w:val="008A310C"/>
    <w:rsid w:val="008A5E22"/>
    <w:rsid w:val="008A7E0F"/>
    <w:rsid w:val="008B12F5"/>
    <w:rsid w:val="008B26FC"/>
    <w:rsid w:val="008B5932"/>
    <w:rsid w:val="008C5751"/>
    <w:rsid w:val="008C5F83"/>
    <w:rsid w:val="008D0F50"/>
    <w:rsid w:val="008D4A4F"/>
    <w:rsid w:val="008D6978"/>
    <w:rsid w:val="008D768D"/>
    <w:rsid w:val="008E0FD8"/>
    <w:rsid w:val="008E1D4F"/>
    <w:rsid w:val="008E328A"/>
    <w:rsid w:val="008E3759"/>
    <w:rsid w:val="008E3BFE"/>
    <w:rsid w:val="008E47C2"/>
    <w:rsid w:val="008E74F7"/>
    <w:rsid w:val="008E7900"/>
    <w:rsid w:val="008F10AE"/>
    <w:rsid w:val="008F1912"/>
    <w:rsid w:val="008F3148"/>
    <w:rsid w:val="008F4E24"/>
    <w:rsid w:val="009026D0"/>
    <w:rsid w:val="0090270B"/>
    <w:rsid w:val="009041DC"/>
    <w:rsid w:val="00907CAE"/>
    <w:rsid w:val="00914E62"/>
    <w:rsid w:val="00917B5A"/>
    <w:rsid w:val="00920A58"/>
    <w:rsid w:val="00920A8C"/>
    <w:rsid w:val="009246D4"/>
    <w:rsid w:val="00932B0D"/>
    <w:rsid w:val="00934A2C"/>
    <w:rsid w:val="00935F06"/>
    <w:rsid w:val="00937B3A"/>
    <w:rsid w:val="00943696"/>
    <w:rsid w:val="00944EBD"/>
    <w:rsid w:val="009462BF"/>
    <w:rsid w:val="00946F1F"/>
    <w:rsid w:val="00947A09"/>
    <w:rsid w:val="00951595"/>
    <w:rsid w:val="00952834"/>
    <w:rsid w:val="00954B82"/>
    <w:rsid w:val="009564AE"/>
    <w:rsid w:val="00957000"/>
    <w:rsid w:val="00962436"/>
    <w:rsid w:val="00966771"/>
    <w:rsid w:val="0096706E"/>
    <w:rsid w:val="0097099B"/>
    <w:rsid w:val="00974491"/>
    <w:rsid w:val="00975C4E"/>
    <w:rsid w:val="00976B70"/>
    <w:rsid w:val="00980E12"/>
    <w:rsid w:val="0098113F"/>
    <w:rsid w:val="00981FBA"/>
    <w:rsid w:val="00985992"/>
    <w:rsid w:val="00985E94"/>
    <w:rsid w:val="009931B7"/>
    <w:rsid w:val="00997BC5"/>
    <w:rsid w:val="009A4F41"/>
    <w:rsid w:val="009B3775"/>
    <w:rsid w:val="009B381B"/>
    <w:rsid w:val="009C2FC5"/>
    <w:rsid w:val="009C4DD2"/>
    <w:rsid w:val="009C787B"/>
    <w:rsid w:val="009D1753"/>
    <w:rsid w:val="009D2BC1"/>
    <w:rsid w:val="009D3E90"/>
    <w:rsid w:val="009D6502"/>
    <w:rsid w:val="009D66DD"/>
    <w:rsid w:val="009D7611"/>
    <w:rsid w:val="009D78A5"/>
    <w:rsid w:val="009E08DD"/>
    <w:rsid w:val="009E0B61"/>
    <w:rsid w:val="009E4F65"/>
    <w:rsid w:val="009E53DE"/>
    <w:rsid w:val="009E7C00"/>
    <w:rsid w:val="009F1414"/>
    <w:rsid w:val="009F5FB3"/>
    <w:rsid w:val="009F7410"/>
    <w:rsid w:val="00A01212"/>
    <w:rsid w:val="00A04336"/>
    <w:rsid w:val="00A0691C"/>
    <w:rsid w:val="00A11E44"/>
    <w:rsid w:val="00A145AF"/>
    <w:rsid w:val="00A154C8"/>
    <w:rsid w:val="00A17B9B"/>
    <w:rsid w:val="00A22397"/>
    <w:rsid w:val="00A30DC2"/>
    <w:rsid w:val="00A314C2"/>
    <w:rsid w:val="00A32313"/>
    <w:rsid w:val="00A328B3"/>
    <w:rsid w:val="00A37EEC"/>
    <w:rsid w:val="00A4629E"/>
    <w:rsid w:val="00A47A43"/>
    <w:rsid w:val="00A50FCF"/>
    <w:rsid w:val="00A528D1"/>
    <w:rsid w:val="00A55672"/>
    <w:rsid w:val="00A610CD"/>
    <w:rsid w:val="00A625E0"/>
    <w:rsid w:val="00A70059"/>
    <w:rsid w:val="00A74947"/>
    <w:rsid w:val="00A74CBD"/>
    <w:rsid w:val="00A74D9B"/>
    <w:rsid w:val="00A758AA"/>
    <w:rsid w:val="00A76E30"/>
    <w:rsid w:val="00A777B4"/>
    <w:rsid w:val="00A8106F"/>
    <w:rsid w:val="00A833B4"/>
    <w:rsid w:val="00A83E02"/>
    <w:rsid w:val="00A8616F"/>
    <w:rsid w:val="00A92093"/>
    <w:rsid w:val="00A92A24"/>
    <w:rsid w:val="00A94503"/>
    <w:rsid w:val="00AA067E"/>
    <w:rsid w:val="00AA09A2"/>
    <w:rsid w:val="00AA7996"/>
    <w:rsid w:val="00AB1103"/>
    <w:rsid w:val="00AB203F"/>
    <w:rsid w:val="00AB4E59"/>
    <w:rsid w:val="00AC19CB"/>
    <w:rsid w:val="00AC33BC"/>
    <w:rsid w:val="00AC4B78"/>
    <w:rsid w:val="00AD1886"/>
    <w:rsid w:val="00AD31EE"/>
    <w:rsid w:val="00AD3294"/>
    <w:rsid w:val="00AE5488"/>
    <w:rsid w:val="00AE6EC7"/>
    <w:rsid w:val="00AE6F91"/>
    <w:rsid w:val="00AF2153"/>
    <w:rsid w:val="00AF2C7E"/>
    <w:rsid w:val="00AF475D"/>
    <w:rsid w:val="00AF5571"/>
    <w:rsid w:val="00AF59C6"/>
    <w:rsid w:val="00B0497B"/>
    <w:rsid w:val="00B06B4E"/>
    <w:rsid w:val="00B07341"/>
    <w:rsid w:val="00B1165B"/>
    <w:rsid w:val="00B11735"/>
    <w:rsid w:val="00B14CBD"/>
    <w:rsid w:val="00B14DC9"/>
    <w:rsid w:val="00B202B5"/>
    <w:rsid w:val="00B20665"/>
    <w:rsid w:val="00B21F67"/>
    <w:rsid w:val="00B23907"/>
    <w:rsid w:val="00B30539"/>
    <w:rsid w:val="00B314DB"/>
    <w:rsid w:val="00B329D3"/>
    <w:rsid w:val="00B33385"/>
    <w:rsid w:val="00B361F2"/>
    <w:rsid w:val="00B3718B"/>
    <w:rsid w:val="00B4334B"/>
    <w:rsid w:val="00B4632A"/>
    <w:rsid w:val="00B5067D"/>
    <w:rsid w:val="00B530F1"/>
    <w:rsid w:val="00B55F14"/>
    <w:rsid w:val="00B57297"/>
    <w:rsid w:val="00B62984"/>
    <w:rsid w:val="00B629F2"/>
    <w:rsid w:val="00B642E6"/>
    <w:rsid w:val="00B66990"/>
    <w:rsid w:val="00B71422"/>
    <w:rsid w:val="00B72638"/>
    <w:rsid w:val="00B736AF"/>
    <w:rsid w:val="00B742BE"/>
    <w:rsid w:val="00B8086E"/>
    <w:rsid w:val="00B815B3"/>
    <w:rsid w:val="00B84C70"/>
    <w:rsid w:val="00B862F0"/>
    <w:rsid w:val="00B87359"/>
    <w:rsid w:val="00B909E7"/>
    <w:rsid w:val="00B90C48"/>
    <w:rsid w:val="00B90CD4"/>
    <w:rsid w:val="00B92B2D"/>
    <w:rsid w:val="00B97946"/>
    <w:rsid w:val="00B97AAE"/>
    <w:rsid w:val="00BA0F4A"/>
    <w:rsid w:val="00BA276C"/>
    <w:rsid w:val="00BA307D"/>
    <w:rsid w:val="00BA5544"/>
    <w:rsid w:val="00BB0ED7"/>
    <w:rsid w:val="00BB151B"/>
    <w:rsid w:val="00BB1E43"/>
    <w:rsid w:val="00BB2B02"/>
    <w:rsid w:val="00BB306F"/>
    <w:rsid w:val="00BB3FBD"/>
    <w:rsid w:val="00BC02F4"/>
    <w:rsid w:val="00BC0F07"/>
    <w:rsid w:val="00BC6A2C"/>
    <w:rsid w:val="00BC6C79"/>
    <w:rsid w:val="00BC6CD0"/>
    <w:rsid w:val="00BC796E"/>
    <w:rsid w:val="00BC7A41"/>
    <w:rsid w:val="00BD0444"/>
    <w:rsid w:val="00BD2A1A"/>
    <w:rsid w:val="00BD4B89"/>
    <w:rsid w:val="00BD5573"/>
    <w:rsid w:val="00BD5922"/>
    <w:rsid w:val="00BD76D9"/>
    <w:rsid w:val="00BD7CF1"/>
    <w:rsid w:val="00BE15C8"/>
    <w:rsid w:val="00BE26FE"/>
    <w:rsid w:val="00BE7155"/>
    <w:rsid w:val="00BF02CB"/>
    <w:rsid w:val="00BF2D62"/>
    <w:rsid w:val="00BF4E0F"/>
    <w:rsid w:val="00BF514A"/>
    <w:rsid w:val="00BF6FD8"/>
    <w:rsid w:val="00BF6FFB"/>
    <w:rsid w:val="00BF775D"/>
    <w:rsid w:val="00C031F0"/>
    <w:rsid w:val="00C03680"/>
    <w:rsid w:val="00C054DF"/>
    <w:rsid w:val="00C07000"/>
    <w:rsid w:val="00C10AFC"/>
    <w:rsid w:val="00C2138F"/>
    <w:rsid w:val="00C21562"/>
    <w:rsid w:val="00C21762"/>
    <w:rsid w:val="00C21FEF"/>
    <w:rsid w:val="00C24543"/>
    <w:rsid w:val="00C256A2"/>
    <w:rsid w:val="00C34A9A"/>
    <w:rsid w:val="00C35A26"/>
    <w:rsid w:val="00C51515"/>
    <w:rsid w:val="00C53910"/>
    <w:rsid w:val="00C5660B"/>
    <w:rsid w:val="00C56854"/>
    <w:rsid w:val="00C56F75"/>
    <w:rsid w:val="00C5788A"/>
    <w:rsid w:val="00C57C67"/>
    <w:rsid w:val="00C631B4"/>
    <w:rsid w:val="00C66B72"/>
    <w:rsid w:val="00C80E8A"/>
    <w:rsid w:val="00C87AC4"/>
    <w:rsid w:val="00C94220"/>
    <w:rsid w:val="00C9533E"/>
    <w:rsid w:val="00C9567A"/>
    <w:rsid w:val="00C956EF"/>
    <w:rsid w:val="00CA06CF"/>
    <w:rsid w:val="00CA1839"/>
    <w:rsid w:val="00CA3C5F"/>
    <w:rsid w:val="00CA3C71"/>
    <w:rsid w:val="00CA48A3"/>
    <w:rsid w:val="00CA519C"/>
    <w:rsid w:val="00CB212D"/>
    <w:rsid w:val="00CB2660"/>
    <w:rsid w:val="00CB39B3"/>
    <w:rsid w:val="00CB4132"/>
    <w:rsid w:val="00CB6F93"/>
    <w:rsid w:val="00CB7335"/>
    <w:rsid w:val="00CC0BFD"/>
    <w:rsid w:val="00CC395D"/>
    <w:rsid w:val="00CC5E90"/>
    <w:rsid w:val="00CD046C"/>
    <w:rsid w:val="00CD063F"/>
    <w:rsid w:val="00CD186A"/>
    <w:rsid w:val="00CD1EBA"/>
    <w:rsid w:val="00CD232B"/>
    <w:rsid w:val="00CD240E"/>
    <w:rsid w:val="00CE076C"/>
    <w:rsid w:val="00CE45CF"/>
    <w:rsid w:val="00CE5199"/>
    <w:rsid w:val="00CE66D5"/>
    <w:rsid w:val="00CF01C8"/>
    <w:rsid w:val="00CF3984"/>
    <w:rsid w:val="00CF637A"/>
    <w:rsid w:val="00D0051F"/>
    <w:rsid w:val="00D0423A"/>
    <w:rsid w:val="00D059DE"/>
    <w:rsid w:val="00D05ABD"/>
    <w:rsid w:val="00D11130"/>
    <w:rsid w:val="00D13FCE"/>
    <w:rsid w:val="00D1660A"/>
    <w:rsid w:val="00D16651"/>
    <w:rsid w:val="00D17E8C"/>
    <w:rsid w:val="00D306D1"/>
    <w:rsid w:val="00D30800"/>
    <w:rsid w:val="00D30C24"/>
    <w:rsid w:val="00D314F3"/>
    <w:rsid w:val="00D33BD0"/>
    <w:rsid w:val="00D34786"/>
    <w:rsid w:val="00D35970"/>
    <w:rsid w:val="00D365D9"/>
    <w:rsid w:val="00D37BFC"/>
    <w:rsid w:val="00D42822"/>
    <w:rsid w:val="00D436CA"/>
    <w:rsid w:val="00D47010"/>
    <w:rsid w:val="00D47A8E"/>
    <w:rsid w:val="00D52D14"/>
    <w:rsid w:val="00D55256"/>
    <w:rsid w:val="00D56D93"/>
    <w:rsid w:val="00D62FC5"/>
    <w:rsid w:val="00D70C4F"/>
    <w:rsid w:val="00D712D3"/>
    <w:rsid w:val="00D71422"/>
    <w:rsid w:val="00D725CF"/>
    <w:rsid w:val="00D72DC6"/>
    <w:rsid w:val="00D73F5E"/>
    <w:rsid w:val="00D7558D"/>
    <w:rsid w:val="00D77503"/>
    <w:rsid w:val="00D7758C"/>
    <w:rsid w:val="00D81649"/>
    <w:rsid w:val="00D81D92"/>
    <w:rsid w:val="00D876F9"/>
    <w:rsid w:val="00D877B6"/>
    <w:rsid w:val="00D904CF"/>
    <w:rsid w:val="00D937C9"/>
    <w:rsid w:val="00D93A90"/>
    <w:rsid w:val="00DA28B1"/>
    <w:rsid w:val="00DA7B5F"/>
    <w:rsid w:val="00DC11E7"/>
    <w:rsid w:val="00DC6061"/>
    <w:rsid w:val="00DC7023"/>
    <w:rsid w:val="00DC769A"/>
    <w:rsid w:val="00DD061E"/>
    <w:rsid w:val="00DD3D86"/>
    <w:rsid w:val="00DD409B"/>
    <w:rsid w:val="00DD4D8F"/>
    <w:rsid w:val="00DE12F0"/>
    <w:rsid w:val="00DE4071"/>
    <w:rsid w:val="00DE6D97"/>
    <w:rsid w:val="00DF1115"/>
    <w:rsid w:val="00DF1EC4"/>
    <w:rsid w:val="00DF314A"/>
    <w:rsid w:val="00DF51E9"/>
    <w:rsid w:val="00E01943"/>
    <w:rsid w:val="00E0340B"/>
    <w:rsid w:val="00E04A90"/>
    <w:rsid w:val="00E0551F"/>
    <w:rsid w:val="00E06581"/>
    <w:rsid w:val="00E219C7"/>
    <w:rsid w:val="00E256DA"/>
    <w:rsid w:val="00E26834"/>
    <w:rsid w:val="00E26CCA"/>
    <w:rsid w:val="00E2709B"/>
    <w:rsid w:val="00E27F56"/>
    <w:rsid w:val="00E3582A"/>
    <w:rsid w:val="00E35E58"/>
    <w:rsid w:val="00E37026"/>
    <w:rsid w:val="00E40792"/>
    <w:rsid w:val="00E4118C"/>
    <w:rsid w:val="00E43157"/>
    <w:rsid w:val="00E43C58"/>
    <w:rsid w:val="00E43ED7"/>
    <w:rsid w:val="00E461CE"/>
    <w:rsid w:val="00E62F9E"/>
    <w:rsid w:val="00E6447D"/>
    <w:rsid w:val="00E679B9"/>
    <w:rsid w:val="00E7040C"/>
    <w:rsid w:val="00E720CA"/>
    <w:rsid w:val="00E727B3"/>
    <w:rsid w:val="00E74975"/>
    <w:rsid w:val="00E75525"/>
    <w:rsid w:val="00E758CC"/>
    <w:rsid w:val="00E80B88"/>
    <w:rsid w:val="00E8393E"/>
    <w:rsid w:val="00E84EB5"/>
    <w:rsid w:val="00E85662"/>
    <w:rsid w:val="00E8789F"/>
    <w:rsid w:val="00E902E1"/>
    <w:rsid w:val="00E9216D"/>
    <w:rsid w:val="00E92747"/>
    <w:rsid w:val="00E97B71"/>
    <w:rsid w:val="00EA1519"/>
    <w:rsid w:val="00EA23F0"/>
    <w:rsid w:val="00EA2CD7"/>
    <w:rsid w:val="00EA3D34"/>
    <w:rsid w:val="00EA43E8"/>
    <w:rsid w:val="00EA67F3"/>
    <w:rsid w:val="00EB3B87"/>
    <w:rsid w:val="00EB454D"/>
    <w:rsid w:val="00EB5E6D"/>
    <w:rsid w:val="00EC095B"/>
    <w:rsid w:val="00EC1449"/>
    <w:rsid w:val="00EC1605"/>
    <w:rsid w:val="00EC26E9"/>
    <w:rsid w:val="00EC3828"/>
    <w:rsid w:val="00EC5840"/>
    <w:rsid w:val="00EC72AB"/>
    <w:rsid w:val="00ED2F03"/>
    <w:rsid w:val="00ED549D"/>
    <w:rsid w:val="00ED76BE"/>
    <w:rsid w:val="00ED7F05"/>
    <w:rsid w:val="00EE00E9"/>
    <w:rsid w:val="00EE014D"/>
    <w:rsid w:val="00EE10B1"/>
    <w:rsid w:val="00EE4D21"/>
    <w:rsid w:val="00EE5B7B"/>
    <w:rsid w:val="00EF35AB"/>
    <w:rsid w:val="00EF4A76"/>
    <w:rsid w:val="00EF4C44"/>
    <w:rsid w:val="00EF5DC8"/>
    <w:rsid w:val="00EF619B"/>
    <w:rsid w:val="00F0073C"/>
    <w:rsid w:val="00F00B55"/>
    <w:rsid w:val="00F02AD1"/>
    <w:rsid w:val="00F04591"/>
    <w:rsid w:val="00F06354"/>
    <w:rsid w:val="00F10C7E"/>
    <w:rsid w:val="00F11423"/>
    <w:rsid w:val="00F13BBC"/>
    <w:rsid w:val="00F13C6B"/>
    <w:rsid w:val="00F1457D"/>
    <w:rsid w:val="00F1614B"/>
    <w:rsid w:val="00F2032D"/>
    <w:rsid w:val="00F22A99"/>
    <w:rsid w:val="00F23377"/>
    <w:rsid w:val="00F24C9B"/>
    <w:rsid w:val="00F253CC"/>
    <w:rsid w:val="00F279F1"/>
    <w:rsid w:val="00F303CF"/>
    <w:rsid w:val="00F30AE2"/>
    <w:rsid w:val="00F332EF"/>
    <w:rsid w:val="00F34A3E"/>
    <w:rsid w:val="00F354BA"/>
    <w:rsid w:val="00F37106"/>
    <w:rsid w:val="00F41953"/>
    <w:rsid w:val="00F43DEF"/>
    <w:rsid w:val="00F44829"/>
    <w:rsid w:val="00F519CF"/>
    <w:rsid w:val="00F53168"/>
    <w:rsid w:val="00F533A2"/>
    <w:rsid w:val="00F53676"/>
    <w:rsid w:val="00F56BA5"/>
    <w:rsid w:val="00F5759A"/>
    <w:rsid w:val="00F60E22"/>
    <w:rsid w:val="00F63B39"/>
    <w:rsid w:val="00F7551A"/>
    <w:rsid w:val="00F81395"/>
    <w:rsid w:val="00F81457"/>
    <w:rsid w:val="00F81887"/>
    <w:rsid w:val="00F81BB8"/>
    <w:rsid w:val="00F82AE4"/>
    <w:rsid w:val="00F85B44"/>
    <w:rsid w:val="00F902B4"/>
    <w:rsid w:val="00F908DD"/>
    <w:rsid w:val="00F917D1"/>
    <w:rsid w:val="00F924F8"/>
    <w:rsid w:val="00F9342C"/>
    <w:rsid w:val="00F93B0D"/>
    <w:rsid w:val="00F9653B"/>
    <w:rsid w:val="00F971F3"/>
    <w:rsid w:val="00FA3048"/>
    <w:rsid w:val="00FA56EA"/>
    <w:rsid w:val="00FA7A6F"/>
    <w:rsid w:val="00FB62CF"/>
    <w:rsid w:val="00FB6727"/>
    <w:rsid w:val="00FB71F2"/>
    <w:rsid w:val="00FC0655"/>
    <w:rsid w:val="00FC0F4A"/>
    <w:rsid w:val="00FC3330"/>
    <w:rsid w:val="00FC630F"/>
    <w:rsid w:val="00FD09A6"/>
    <w:rsid w:val="00FD0D9D"/>
    <w:rsid w:val="00FD3C3B"/>
    <w:rsid w:val="00FD7087"/>
    <w:rsid w:val="00FD7F50"/>
    <w:rsid w:val="00FE07DD"/>
    <w:rsid w:val="00FE3245"/>
    <w:rsid w:val="00FE4ED3"/>
    <w:rsid w:val="00FE6353"/>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unhideWhenUsed/>
    <w:rsid w:val="005B6D22"/>
    <w:rPr>
      <w:sz w:val="20"/>
      <w:szCs w:val="20"/>
    </w:rPr>
  </w:style>
  <w:style w:type="character" w:customStyle="1" w:styleId="CommentTextChar">
    <w:name w:val="Comment Text Char"/>
    <w:basedOn w:val="DefaultParagraphFont"/>
    <w:link w:val="CommentText"/>
    <w:uiPriority w:val="99"/>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FD0D9D"/>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styleId="UnresolvedMention">
    <w:name w:val="Unresolved Mention"/>
    <w:basedOn w:val="DefaultParagraphFont"/>
    <w:uiPriority w:val="99"/>
    <w:semiHidden/>
    <w:unhideWhenUsed/>
    <w:rsid w:val="00A74D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CE060-65A0-4A62-9A22-D13517D40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4526</Words>
  <Characters>25799</Characters>
  <Application>Microsoft Office Word</Application>
  <DocSecurity>0</DocSecurity>
  <Lines>214</Lines>
  <Paragraphs>60</Paragraphs>
  <ScaleCrop>false</ScaleCrop>
  <Company/>
  <LinksUpToDate>false</LinksUpToDate>
  <CharactersWithSpaces>30265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2022-11-19T13:40:00Z</dcterms:created>
  <dcterms:modified xsi:type="dcterms:W3CDTF">2022-11-19T13:40:00Z</dcterms:modified>
</cp:coreProperties>
</file>