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2C6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31BF3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4B1E">
                              <w:rPr>
                                <w:rFonts w:asciiTheme="majorHAnsi" w:hAnsiTheme="majorHAnsi" w:cs="Arial"/>
                                <w:b/>
                                <w:bCs/>
                                <w:color w:val="0D0D0D" w:themeColor="text1" w:themeTint="F2"/>
                                <w:sz w:val="36"/>
                                <w:szCs w:val="22"/>
                                <w:lang w:val="es-ES_tradnl"/>
                              </w:rPr>
                              <w:t>294</w:t>
                            </w:r>
                            <w:r w:rsidR="007B05C4">
                              <w:rPr>
                                <w:rFonts w:asciiTheme="majorHAnsi" w:hAnsiTheme="majorHAnsi" w:cs="Arial"/>
                                <w:b/>
                                <w:bCs/>
                                <w:color w:val="0D0D0D" w:themeColor="text1" w:themeTint="F2"/>
                                <w:sz w:val="36"/>
                                <w:szCs w:val="22"/>
                                <w:lang w:val="es-ES_tradnl"/>
                              </w:rPr>
                              <w:t>/</w:t>
                            </w:r>
                            <w:r w:rsidR="006D4336">
                              <w:rPr>
                                <w:rFonts w:asciiTheme="majorHAnsi" w:hAnsiTheme="majorHAnsi" w:cs="Arial"/>
                                <w:b/>
                                <w:bCs/>
                                <w:color w:val="0D0D0D" w:themeColor="text1" w:themeTint="F2"/>
                                <w:sz w:val="36"/>
                                <w:szCs w:val="22"/>
                                <w:lang w:val="es-ES_tradnl"/>
                              </w:rPr>
                              <w:t>22</w:t>
                            </w:r>
                          </w:p>
                          <w:p w14:paraId="45F30ECA" w14:textId="369654D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4336">
                              <w:rPr>
                                <w:rFonts w:asciiTheme="majorHAnsi" w:hAnsiTheme="majorHAnsi" w:cs="Arial"/>
                                <w:b/>
                                <w:color w:val="0D0D0D" w:themeColor="text1" w:themeTint="F2"/>
                                <w:sz w:val="36"/>
                                <w:szCs w:val="22"/>
                                <w:lang w:val="es-ES_tradnl"/>
                              </w:rPr>
                              <w:t>1529</w:t>
                            </w:r>
                            <w:r w:rsidR="00246D1F" w:rsidRPr="004E2649">
                              <w:rPr>
                                <w:rFonts w:asciiTheme="majorHAnsi" w:hAnsiTheme="majorHAnsi" w:cs="Arial"/>
                                <w:b/>
                                <w:color w:val="0D0D0D" w:themeColor="text1" w:themeTint="F2"/>
                                <w:sz w:val="36"/>
                                <w:szCs w:val="22"/>
                                <w:lang w:val="es-ES_tradnl"/>
                              </w:rPr>
                              <w:t>-</w:t>
                            </w:r>
                            <w:r w:rsidR="006D433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40427F7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C3A27DC" w:rsidR="005B52B0" w:rsidRPr="0010736F" w:rsidRDefault="006D433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JAIME NICOLAU </w:t>
                            </w:r>
                          </w:p>
                          <w:bookmarkEnd w:id="0"/>
                          <w:p w14:paraId="0B9F7D22" w14:textId="5B249688" w:rsidR="005B52B0" w:rsidRPr="00F56ECB" w:rsidRDefault="006D433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31BF3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4B1E">
                        <w:rPr>
                          <w:rFonts w:asciiTheme="majorHAnsi" w:hAnsiTheme="majorHAnsi" w:cs="Arial"/>
                          <w:b/>
                          <w:bCs/>
                          <w:color w:val="0D0D0D" w:themeColor="text1" w:themeTint="F2"/>
                          <w:sz w:val="36"/>
                          <w:szCs w:val="22"/>
                          <w:lang w:val="es-ES_tradnl"/>
                        </w:rPr>
                        <w:t>294</w:t>
                      </w:r>
                      <w:r w:rsidR="007B05C4">
                        <w:rPr>
                          <w:rFonts w:asciiTheme="majorHAnsi" w:hAnsiTheme="majorHAnsi" w:cs="Arial"/>
                          <w:b/>
                          <w:bCs/>
                          <w:color w:val="0D0D0D" w:themeColor="text1" w:themeTint="F2"/>
                          <w:sz w:val="36"/>
                          <w:szCs w:val="22"/>
                          <w:lang w:val="es-ES_tradnl"/>
                        </w:rPr>
                        <w:t>/</w:t>
                      </w:r>
                      <w:r w:rsidR="006D4336">
                        <w:rPr>
                          <w:rFonts w:asciiTheme="majorHAnsi" w:hAnsiTheme="majorHAnsi" w:cs="Arial"/>
                          <w:b/>
                          <w:bCs/>
                          <w:color w:val="0D0D0D" w:themeColor="text1" w:themeTint="F2"/>
                          <w:sz w:val="36"/>
                          <w:szCs w:val="22"/>
                          <w:lang w:val="es-ES_tradnl"/>
                        </w:rPr>
                        <w:t>22</w:t>
                      </w:r>
                    </w:p>
                    <w:p w14:paraId="45F30ECA" w14:textId="369654D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4336">
                        <w:rPr>
                          <w:rFonts w:asciiTheme="majorHAnsi" w:hAnsiTheme="majorHAnsi" w:cs="Arial"/>
                          <w:b/>
                          <w:color w:val="0D0D0D" w:themeColor="text1" w:themeTint="F2"/>
                          <w:sz w:val="36"/>
                          <w:szCs w:val="22"/>
                          <w:lang w:val="es-ES_tradnl"/>
                        </w:rPr>
                        <w:t>1529</w:t>
                      </w:r>
                      <w:r w:rsidR="00246D1F" w:rsidRPr="004E2649">
                        <w:rPr>
                          <w:rFonts w:asciiTheme="majorHAnsi" w:hAnsiTheme="majorHAnsi" w:cs="Arial"/>
                          <w:b/>
                          <w:color w:val="0D0D0D" w:themeColor="text1" w:themeTint="F2"/>
                          <w:sz w:val="36"/>
                          <w:szCs w:val="22"/>
                          <w:lang w:val="es-ES_tradnl"/>
                        </w:rPr>
                        <w:t>-</w:t>
                      </w:r>
                      <w:r w:rsidR="006D433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40427F7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C3A27DC" w:rsidR="005B52B0" w:rsidRPr="0010736F" w:rsidRDefault="006D433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JAIME NICOLAU </w:t>
                      </w:r>
                    </w:p>
                    <w:bookmarkEnd w:id="1"/>
                    <w:p w14:paraId="0B9F7D22" w14:textId="5B249688" w:rsidR="005B52B0" w:rsidRPr="00F56ECB" w:rsidRDefault="006D433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E8F9D74" w:rsidR="00627C9F" w:rsidRPr="00E817A1" w:rsidRDefault="00834D49" w:rsidP="007A5817">
                            <w:pPr>
                              <w:spacing w:line="276" w:lineRule="auto"/>
                              <w:jc w:val="right"/>
                              <w:rPr>
                                <w:rFonts w:asciiTheme="minorHAnsi" w:hAnsiTheme="minorHAnsi"/>
                                <w:color w:val="FFFFFF" w:themeColor="background1"/>
                                <w:sz w:val="22"/>
                                <w:lang w:val="es-419"/>
                              </w:rPr>
                            </w:pPr>
                            <w:r w:rsidRPr="00E817A1">
                              <w:rPr>
                                <w:rFonts w:asciiTheme="minorHAnsi" w:hAnsiTheme="minorHAnsi"/>
                                <w:color w:val="FFFFFF" w:themeColor="background1"/>
                                <w:sz w:val="22"/>
                                <w:lang w:val="es-419"/>
                              </w:rPr>
                              <w:t>OEA/Ser.L/V/II</w:t>
                            </w:r>
                          </w:p>
                          <w:p w14:paraId="71D2D5D2" w14:textId="7FCDD400" w:rsidR="00627C9F" w:rsidRPr="00E817A1" w:rsidRDefault="00627C9F" w:rsidP="007A5817">
                            <w:pPr>
                              <w:spacing w:line="276" w:lineRule="auto"/>
                              <w:jc w:val="right"/>
                              <w:rPr>
                                <w:rFonts w:asciiTheme="minorHAnsi" w:hAnsiTheme="minorHAnsi"/>
                                <w:color w:val="FFFFFF" w:themeColor="background1"/>
                                <w:sz w:val="22"/>
                                <w:lang w:val="es-419"/>
                              </w:rPr>
                            </w:pPr>
                            <w:r w:rsidRPr="00E817A1">
                              <w:rPr>
                                <w:rFonts w:asciiTheme="minorHAnsi" w:hAnsiTheme="minorHAnsi"/>
                                <w:color w:val="FFFFFF" w:themeColor="background1"/>
                                <w:sz w:val="22"/>
                                <w:lang w:val="es-419"/>
                              </w:rPr>
                              <w:t xml:space="preserve">Doc. </w:t>
                            </w:r>
                            <w:r w:rsidR="00614B1E" w:rsidRPr="00E817A1">
                              <w:rPr>
                                <w:rFonts w:asciiTheme="minorHAnsi" w:hAnsiTheme="minorHAnsi"/>
                                <w:color w:val="FFFFFF" w:themeColor="background1"/>
                                <w:sz w:val="22"/>
                                <w:lang w:val="es-419"/>
                              </w:rPr>
                              <w:t>299</w:t>
                            </w:r>
                          </w:p>
                          <w:p w14:paraId="4061DBBD" w14:textId="3EEE7F1F" w:rsidR="00627C9F" w:rsidRPr="00C25ADB" w:rsidRDefault="00614B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D4336">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E8F9D74" w:rsidR="00627C9F" w:rsidRPr="00E817A1" w:rsidRDefault="00834D49" w:rsidP="007A5817">
                      <w:pPr>
                        <w:spacing w:line="276" w:lineRule="auto"/>
                        <w:jc w:val="right"/>
                        <w:rPr>
                          <w:rFonts w:asciiTheme="minorHAnsi" w:hAnsiTheme="minorHAnsi"/>
                          <w:color w:val="FFFFFF" w:themeColor="background1"/>
                          <w:sz w:val="22"/>
                          <w:lang w:val="es-419"/>
                        </w:rPr>
                      </w:pPr>
                      <w:r w:rsidRPr="00E817A1">
                        <w:rPr>
                          <w:rFonts w:asciiTheme="minorHAnsi" w:hAnsiTheme="minorHAnsi"/>
                          <w:color w:val="FFFFFF" w:themeColor="background1"/>
                          <w:sz w:val="22"/>
                          <w:lang w:val="es-419"/>
                        </w:rPr>
                        <w:t>OEA/Ser.L/V/II</w:t>
                      </w:r>
                    </w:p>
                    <w:p w14:paraId="71D2D5D2" w14:textId="7FCDD400" w:rsidR="00627C9F" w:rsidRPr="00E817A1" w:rsidRDefault="00627C9F" w:rsidP="007A5817">
                      <w:pPr>
                        <w:spacing w:line="276" w:lineRule="auto"/>
                        <w:jc w:val="right"/>
                        <w:rPr>
                          <w:rFonts w:asciiTheme="minorHAnsi" w:hAnsiTheme="minorHAnsi"/>
                          <w:color w:val="FFFFFF" w:themeColor="background1"/>
                          <w:sz w:val="22"/>
                          <w:lang w:val="es-419"/>
                        </w:rPr>
                      </w:pPr>
                      <w:r w:rsidRPr="00E817A1">
                        <w:rPr>
                          <w:rFonts w:asciiTheme="minorHAnsi" w:hAnsiTheme="minorHAnsi"/>
                          <w:color w:val="FFFFFF" w:themeColor="background1"/>
                          <w:sz w:val="22"/>
                          <w:lang w:val="es-419"/>
                        </w:rPr>
                        <w:t xml:space="preserve">Doc. </w:t>
                      </w:r>
                      <w:r w:rsidR="00614B1E" w:rsidRPr="00E817A1">
                        <w:rPr>
                          <w:rFonts w:asciiTheme="minorHAnsi" w:hAnsiTheme="minorHAnsi"/>
                          <w:color w:val="FFFFFF" w:themeColor="background1"/>
                          <w:sz w:val="22"/>
                          <w:lang w:val="es-419"/>
                        </w:rPr>
                        <w:t>299</w:t>
                      </w:r>
                    </w:p>
                    <w:p w14:paraId="4061DBBD" w14:textId="3EEE7F1F" w:rsidR="00627C9F" w:rsidRPr="00C25ADB" w:rsidRDefault="00614B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D4336">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85CD4C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B7D44">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6B7D4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D4336">
                              <w:rPr>
                                <w:rFonts w:asciiTheme="majorHAnsi" w:hAnsiTheme="majorHAnsi"/>
                                <w:color w:val="0D0D0D" w:themeColor="text1" w:themeTint="F2"/>
                                <w:sz w:val="18"/>
                                <w:szCs w:val="22"/>
                                <w:lang w:val="es-ES"/>
                              </w:rPr>
                              <w:t>2</w:t>
                            </w:r>
                            <w:r w:rsidR="006B7D4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85CD4C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B7D44">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6B7D4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D4336">
                        <w:rPr>
                          <w:rFonts w:asciiTheme="majorHAnsi" w:hAnsiTheme="majorHAnsi"/>
                          <w:color w:val="0D0D0D" w:themeColor="text1" w:themeTint="F2"/>
                          <w:sz w:val="18"/>
                          <w:szCs w:val="22"/>
                          <w:lang w:val="es-ES"/>
                        </w:rPr>
                        <w:t>2</w:t>
                      </w:r>
                      <w:r w:rsidR="006B7D4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AF80D8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B7D44" w:rsidRPr="006B7D44">
                              <w:rPr>
                                <w:rFonts w:asciiTheme="majorHAnsi" w:hAnsiTheme="majorHAnsi"/>
                                <w:color w:val="595959" w:themeColor="text1" w:themeTint="A6"/>
                                <w:sz w:val="18"/>
                                <w:szCs w:val="18"/>
                                <w:lang w:val="pt-BR"/>
                              </w:rPr>
                              <w:t>294</w:t>
                            </w:r>
                            <w:r w:rsidR="007B05C4" w:rsidRPr="006B7D44">
                              <w:rPr>
                                <w:rFonts w:asciiTheme="majorHAnsi" w:hAnsiTheme="majorHAnsi"/>
                                <w:color w:val="595959" w:themeColor="text1" w:themeTint="A6"/>
                                <w:sz w:val="18"/>
                                <w:szCs w:val="18"/>
                                <w:lang w:val="pt-BR"/>
                              </w:rPr>
                              <w:t>/</w:t>
                            </w:r>
                            <w:r w:rsidR="006D4336" w:rsidRPr="006B7D44">
                              <w:rPr>
                                <w:rFonts w:asciiTheme="majorHAnsi" w:hAnsiTheme="majorHAnsi"/>
                                <w:color w:val="595959" w:themeColor="text1" w:themeTint="A6"/>
                                <w:sz w:val="18"/>
                                <w:szCs w:val="18"/>
                                <w:lang w:val="pt-BR"/>
                              </w:rPr>
                              <w:t>22</w:t>
                            </w:r>
                            <w:r w:rsidRPr="006B7D4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6D4336">
                              <w:rPr>
                                <w:rFonts w:asciiTheme="majorHAnsi" w:hAnsiTheme="majorHAnsi"/>
                                <w:color w:val="595959" w:themeColor="text1" w:themeTint="A6"/>
                                <w:sz w:val="18"/>
                                <w:szCs w:val="18"/>
                                <w:lang w:val="es-ES"/>
                              </w:rPr>
                              <w:t xml:space="preserve"> 1529</w:t>
                            </w:r>
                            <w:r w:rsidR="000433C9">
                              <w:rPr>
                                <w:rFonts w:asciiTheme="majorHAnsi" w:hAnsiTheme="majorHAnsi"/>
                                <w:color w:val="595959" w:themeColor="text1" w:themeTint="A6"/>
                                <w:sz w:val="18"/>
                                <w:szCs w:val="18"/>
                                <w:lang w:val="es-ES"/>
                              </w:rPr>
                              <w:t>-</w:t>
                            </w:r>
                            <w:r w:rsidR="006D4336">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6D4336">
                              <w:rPr>
                                <w:rFonts w:asciiTheme="majorHAnsi" w:hAnsiTheme="majorHAnsi"/>
                                <w:color w:val="595959" w:themeColor="text1" w:themeTint="A6"/>
                                <w:sz w:val="18"/>
                                <w:szCs w:val="18"/>
                                <w:lang w:val="es-ES_tradnl"/>
                              </w:rPr>
                              <w:t>Carlos Jaime Nicolau</w:t>
                            </w:r>
                            <w:r w:rsidRPr="00890650">
                              <w:rPr>
                                <w:rFonts w:asciiTheme="majorHAnsi" w:hAnsiTheme="majorHAnsi"/>
                                <w:color w:val="595959" w:themeColor="text1" w:themeTint="A6"/>
                                <w:sz w:val="18"/>
                                <w:szCs w:val="18"/>
                                <w:lang w:val="es-ES_tradnl"/>
                              </w:rPr>
                              <w:t xml:space="preserve">. </w:t>
                            </w:r>
                            <w:r w:rsidR="006D4336">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B86075">
                              <w:rPr>
                                <w:rFonts w:asciiTheme="majorHAnsi" w:hAnsiTheme="majorHAnsi"/>
                                <w:color w:val="595959" w:themeColor="text1" w:themeTint="A6"/>
                                <w:sz w:val="18"/>
                                <w:szCs w:val="18"/>
                                <w:lang w:val="es-ES"/>
                              </w:rPr>
                              <w:t>19 de octubre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AF80D8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B7D44" w:rsidRPr="006B7D44">
                        <w:rPr>
                          <w:rFonts w:asciiTheme="majorHAnsi" w:hAnsiTheme="majorHAnsi"/>
                          <w:color w:val="595959" w:themeColor="text1" w:themeTint="A6"/>
                          <w:sz w:val="18"/>
                          <w:szCs w:val="18"/>
                          <w:lang w:val="pt-BR"/>
                        </w:rPr>
                        <w:t>294</w:t>
                      </w:r>
                      <w:r w:rsidR="007B05C4" w:rsidRPr="006B7D44">
                        <w:rPr>
                          <w:rFonts w:asciiTheme="majorHAnsi" w:hAnsiTheme="majorHAnsi"/>
                          <w:color w:val="595959" w:themeColor="text1" w:themeTint="A6"/>
                          <w:sz w:val="18"/>
                          <w:szCs w:val="18"/>
                          <w:lang w:val="pt-BR"/>
                        </w:rPr>
                        <w:t>/</w:t>
                      </w:r>
                      <w:r w:rsidR="006D4336" w:rsidRPr="006B7D44">
                        <w:rPr>
                          <w:rFonts w:asciiTheme="majorHAnsi" w:hAnsiTheme="majorHAnsi"/>
                          <w:color w:val="595959" w:themeColor="text1" w:themeTint="A6"/>
                          <w:sz w:val="18"/>
                          <w:szCs w:val="18"/>
                          <w:lang w:val="pt-BR"/>
                        </w:rPr>
                        <w:t>22</w:t>
                      </w:r>
                      <w:r w:rsidRPr="006B7D4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6D4336">
                        <w:rPr>
                          <w:rFonts w:asciiTheme="majorHAnsi" w:hAnsiTheme="majorHAnsi"/>
                          <w:color w:val="595959" w:themeColor="text1" w:themeTint="A6"/>
                          <w:sz w:val="18"/>
                          <w:szCs w:val="18"/>
                          <w:lang w:val="es-ES"/>
                        </w:rPr>
                        <w:t xml:space="preserve"> 1529</w:t>
                      </w:r>
                      <w:r w:rsidR="000433C9">
                        <w:rPr>
                          <w:rFonts w:asciiTheme="majorHAnsi" w:hAnsiTheme="majorHAnsi"/>
                          <w:color w:val="595959" w:themeColor="text1" w:themeTint="A6"/>
                          <w:sz w:val="18"/>
                          <w:szCs w:val="18"/>
                          <w:lang w:val="es-ES"/>
                        </w:rPr>
                        <w:t>-</w:t>
                      </w:r>
                      <w:r w:rsidR="006D4336">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6D4336">
                        <w:rPr>
                          <w:rFonts w:asciiTheme="majorHAnsi" w:hAnsiTheme="majorHAnsi"/>
                          <w:color w:val="595959" w:themeColor="text1" w:themeTint="A6"/>
                          <w:sz w:val="18"/>
                          <w:szCs w:val="18"/>
                          <w:lang w:val="es-ES_tradnl"/>
                        </w:rPr>
                        <w:t>Carlos Jaime Nicolau</w:t>
                      </w:r>
                      <w:r w:rsidRPr="00890650">
                        <w:rPr>
                          <w:rFonts w:asciiTheme="majorHAnsi" w:hAnsiTheme="majorHAnsi"/>
                          <w:color w:val="595959" w:themeColor="text1" w:themeTint="A6"/>
                          <w:sz w:val="18"/>
                          <w:szCs w:val="18"/>
                          <w:lang w:val="es-ES_tradnl"/>
                        </w:rPr>
                        <w:t xml:space="preserve">. </w:t>
                      </w:r>
                      <w:r w:rsidR="006D4336">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B86075">
                        <w:rPr>
                          <w:rFonts w:asciiTheme="majorHAnsi" w:hAnsiTheme="majorHAnsi"/>
                          <w:color w:val="595959" w:themeColor="text1" w:themeTint="A6"/>
                          <w:sz w:val="18"/>
                          <w:szCs w:val="18"/>
                          <w:lang w:val="es-ES"/>
                        </w:rPr>
                        <w:t>19 de octubre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5848C9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74B0C5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91149DA" w:rsidR="0070697F" w:rsidRDefault="00B86075"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07AC1A8D">
                <wp:simplePos x="0" y="0"/>
                <wp:positionH relativeFrom="column">
                  <wp:posOffset>1278255</wp:posOffset>
                </wp:positionH>
                <wp:positionV relativeFrom="paragraph">
                  <wp:posOffset>548277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65pt;margin-top:43.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266EEB4F" w:rsidR="003239B8" w:rsidRPr="000D05CB" w:rsidRDefault="006D4336" w:rsidP="008D2290">
            <w:pPr>
              <w:jc w:val="both"/>
              <w:rPr>
                <w:rFonts w:ascii="Cambria" w:hAnsi="Cambria"/>
                <w:bCs/>
                <w:sz w:val="20"/>
                <w:szCs w:val="20"/>
              </w:rPr>
            </w:pPr>
            <w:r>
              <w:rPr>
                <w:rFonts w:ascii="Cambria" w:hAnsi="Cambria"/>
                <w:bCs/>
                <w:sz w:val="20"/>
                <w:szCs w:val="20"/>
              </w:rPr>
              <w:t>Carlos Jaime Nicolau</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C449E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32A7003" w:rsidR="003239B8" w:rsidRPr="000D05CB" w:rsidRDefault="006D4336" w:rsidP="008D2290">
            <w:pPr>
              <w:jc w:val="both"/>
              <w:rPr>
                <w:rFonts w:ascii="Cambria" w:hAnsi="Cambria"/>
                <w:bCs/>
                <w:sz w:val="20"/>
                <w:szCs w:val="20"/>
                <w:lang w:val="es-ES"/>
              </w:rPr>
            </w:pPr>
            <w:r>
              <w:rPr>
                <w:rFonts w:ascii="Cambria" w:hAnsi="Cambria"/>
                <w:bCs/>
                <w:sz w:val="20"/>
                <w:szCs w:val="20"/>
                <w:lang w:val="es-ES"/>
              </w:rPr>
              <w:t>Carlos Jaime Nicolau</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66FBC9A" w:rsidR="003239B8" w:rsidRPr="000D05CB" w:rsidRDefault="006D4336" w:rsidP="008D2290">
            <w:pPr>
              <w:jc w:val="both"/>
              <w:rPr>
                <w:rFonts w:ascii="Cambria" w:hAnsi="Cambria"/>
                <w:bCs/>
                <w:sz w:val="20"/>
                <w:szCs w:val="20"/>
              </w:rPr>
            </w:pPr>
            <w:r>
              <w:rPr>
                <w:rFonts w:ascii="Cambria" w:hAnsi="Cambria"/>
                <w:bCs/>
                <w:sz w:val="20"/>
                <w:szCs w:val="20"/>
              </w:rPr>
              <w:t>Argentina</w:t>
            </w:r>
          </w:p>
        </w:tc>
      </w:tr>
      <w:tr w:rsidR="00223A29" w:rsidRPr="00DB21A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9AF03C9" w:rsidR="00223A29" w:rsidRPr="00E964AF" w:rsidRDefault="006D4336" w:rsidP="008D2290">
            <w:pPr>
              <w:jc w:val="both"/>
              <w:rPr>
                <w:rFonts w:ascii="Cambria" w:hAnsi="Cambria"/>
                <w:bCs/>
                <w:sz w:val="20"/>
                <w:szCs w:val="20"/>
                <w:lang w:val="es-PA"/>
              </w:rPr>
            </w:pPr>
            <w:r w:rsidRPr="00E964AF">
              <w:rPr>
                <w:rFonts w:ascii="Cambria" w:hAnsi="Cambria"/>
                <w:bCs/>
                <w:sz w:val="20"/>
                <w:szCs w:val="20"/>
                <w:lang w:val="es-PA"/>
              </w:rPr>
              <w:t>Artículos 5 (integridad personal),</w:t>
            </w:r>
            <w:r w:rsidR="00E964AF" w:rsidRPr="00E964AF">
              <w:rPr>
                <w:rFonts w:ascii="Cambria" w:hAnsi="Cambria"/>
                <w:bCs/>
                <w:sz w:val="20"/>
                <w:szCs w:val="20"/>
                <w:lang w:val="es-PA"/>
              </w:rPr>
              <w:t xml:space="preserve"> 8 (garantías </w:t>
            </w:r>
            <w:r w:rsidR="00E964AF">
              <w:rPr>
                <w:rFonts w:ascii="Cambria" w:hAnsi="Cambria"/>
                <w:bCs/>
                <w:sz w:val="20"/>
                <w:szCs w:val="20"/>
                <w:lang w:val="es-PA"/>
              </w:rPr>
              <w:t xml:space="preserve">judiciales), </w:t>
            </w:r>
            <w:r w:rsidRPr="00E964AF">
              <w:rPr>
                <w:rFonts w:ascii="Cambria" w:hAnsi="Cambria"/>
                <w:bCs/>
                <w:sz w:val="20"/>
                <w:szCs w:val="20"/>
                <w:lang w:val="es-PA"/>
              </w:rPr>
              <w:t>21 (propiedad</w:t>
            </w:r>
            <w:r w:rsidR="00B52A78">
              <w:rPr>
                <w:rFonts w:ascii="Cambria" w:hAnsi="Cambria"/>
                <w:bCs/>
                <w:sz w:val="20"/>
                <w:szCs w:val="20"/>
                <w:lang w:val="es-PA"/>
              </w:rPr>
              <w:t xml:space="preserve"> privada</w:t>
            </w:r>
            <w:r w:rsidR="00E964AF" w:rsidRPr="00E964AF">
              <w:rPr>
                <w:rFonts w:ascii="Cambria" w:hAnsi="Cambria"/>
                <w:bCs/>
                <w:sz w:val="20"/>
                <w:szCs w:val="20"/>
                <w:lang w:val="es-PA"/>
              </w:rPr>
              <w:t>)</w:t>
            </w:r>
            <w:r w:rsidR="00595C78">
              <w:rPr>
                <w:rFonts w:ascii="Cambria" w:hAnsi="Cambria"/>
                <w:bCs/>
                <w:sz w:val="20"/>
                <w:szCs w:val="20"/>
                <w:lang w:val="es-PA"/>
              </w:rPr>
              <w:t xml:space="preserve"> y 24 (igualdad ante la ley) de la Convención Americana sobre Derechos Humanos</w:t>
            </w:r>
            <w:r w:rsidR="00595C78">
              <w:rPr>
                <w:rStyle w:val="FootnoteReference"/>
                <w:rFonts w:ascii="Cambria" w:hAnsi="Cambria"/>
                <w:bCs/>
                <w:sz w:val="20"/>
                <w:szCs w:val="20"/>
                <w:lang w:val="es-PA"/>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2C5EBE6A" w:rsidR="004C2312" w:rsidRPr="003239B8" w:rsidRDefault="00595C78" w:rsidP="002625EA">
            <w:pPr>
              <w:jc w:val="both"/>
              <w:rPr>
                <w:rFonts w:ascii="Cambria" w:hAnsi="Cambria"/>
                <w:bCs/>
                <w:sz w:val="20"/>
                <w:szCs w:val="20"/>
                <w:lang w:val="es-ES"/>
              </w:rPr>
            </w:pPr>
            <w:r>
              <w:rPr>
                <w:rFonts w:ascii="Cambria" w:hAnsi="Cambria"/>
                <w:bCs/>
                <w:sz w:val="20"/>
                <w:szCs w:val="20"/>
                <w:lang w:val="es-ES"/>
              </w:rPr>
              <w:t>30 de diciembre de 2008</w:t>
            </w:r>
          </w:p>
        </w:tc>
      </w:tr>
      <w:tr w:rsidR="004C2312" w:rsidRPr="006D4336"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70E6B96" w:rsidR="004C2312" w:rsidRPr="003239B8" w:rsidRDefault="00601A62" w:rsidP="008D2290">
            <w:pPr>
              <w:jc w:val="both"/>
              <w:rPr>
                <w:rFonts w:ascii="Cambria" w:hAnsi="Cambria"/>
                <w:bCs/>
                <w:sz w:val="20"/>
                <w:szCs w:val="20"/>
                <w:lang w:val="es-ES"/>
              </w:rPr>
            </w:pPr>
            <w:r>
              <w:rPr>
                <w:rFonts w:ascii="Cambria" w:hAnsi="Cambria"/>
                <w:bCs/>
                <w:sz w:val="20"/>
                <w:szCs w:val="20"/>
                <w:lang w:val="es-ES"/>
              </w:rPr>
              <w:t>5 de abril de 2017</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58EDBFCF" w:rsidR="004C2312" w:rsidRPr="003239B8" w:rsidRDefault="00601A62" w:rsidP="008D2290">
            <w:pPr>
              <w:jc w:val="both"/>
              <w:rPr>
                <w:rFonts w:ascii="Cambria" w:hAnsi="Cambria"/>
                <w:bCs/>
                <w:sz w:val="20"/>
                <w:szCs w:val="20"/>
                <w:lang w:val="es-ES"/>
              </w:rPr>
            </w:pPr>
            <w:r>
              <w:rPr>
                <w:rFonts w:ascii="Cambria" w:hAnsi="Cambria"/>
                <w:bCs/>
                <w:sz w:val="20"/>
                <w:szCs w:val="20"/>
                <w:lang w:val="es-ES"/>
              </w:rPr>
              <w:t>19 de marzo de 2018</w:t>
            </w:r>
          </w:p>
        </w:tc>
      </w:tr>
      <w:tr w:rsidR="004C2312" w:rsidRPr="006D4336"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7C6CDB64" w:rsidR="004C2312" w:rsidRPr="003239B8" w:rsidRDefault="00F24C96" w:rsidP="008D2290">
            <w:pPr>
              <w:jc w:val="both"/>
              <w:rPr>
                <w:rFonts w:ascii="Cambria" w:hAnsi="Cambria"/>
                <w:bCs/>
                <w:sz w:val="20"/>
                <w:szCs w:val="20"/>
                <w:lang w:val="es-ES"/>
              </w:rPr>
            </w:pPr>
            <w:r>
              <w:rPr>
                <w:rFonts w:ascii="Cambria" w:hAnsi="Cambria"/>
                <w:bCs/>
                <w:sz w:val="20"/>
                <w:szCs w:val="20"/>
                <w:lang w:val="es-ES"/>
              </w:rPr>
              <w:t>19 de julio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F6383C7" w:rsidR="003239B8" w:rsidRPr="00B3745F" w:rsidRDefault="00F24C96"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7A7FEF40" w:rsidR="003239B8" w:rsidRPr="00B3745F" w:rsidRDefault="00F24C96"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BDFC123" w:rsidR="003239B8" w:rsidRPr="00B3745F" w:rsidRDefault="00F24C96" w:rsidP="008D2290">
            <w:pPr>
              <w:rPr>
                <w:rFonts w:ascii="Cambria" w:hAnsi="Cambria"/>
                <w:bCs/>
                <w:sz w:val="20"/>
                <w:szCs w:val="20"/>
              </w:rPr>
            </w:pPr>
            <w:r>
              <w:rPr>
                <w:rFonts w:ascii="Cambria" w:hAnsi="Cambria"/>
                <w:bCs/>
                <w:sz w:val="20"/>
                <w:szCs w:val="20"/>
              </w:rPr>
              <w:t>Sí</w:t>
            </w:r>
          </w:p>
        </w:tc>
      </w:tr>
      <w:tr w:rsidR="003239B8" w:rsidRPr="00DB21A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77378190" w:rsidR="003239B8" w:rsidRPr="00B3745F" w:rsidRDefault="00F24C96" w:rsidP="008D2290">
            <w:pPr>
              <w:jc w:val="both"/>
              <w:rPr>
                <w:rFonts w:ascii="Cambria" w:hAnsi="Cambria"/>
                <w:bCs/>
                <w:sz w:val="20"/>
                <w:szCs w:val="20"/>
                <w:lang w:val="es-ES"/>
              </w:rPr>
            </w:pPr>
            <w:r>
              <w:rPr>
                <w:rFonts w:ascii="Cambria" w:hAnsi="Cambria"/>
                <w:bCs/>
                <w:sz w:val="20"/>
                <w:szCs w:val="20"/>
                <w:lang w:val="es-ES"/>
              </w:rPr>
              <w:t xml:space="preserve">Sí, </w:t>
            </w:r>
            <w:r w:rsidR="004228EE">
              <w:rPr>
                <w:rFonts w:ascii="Cambria" w:hAnsi="Cambria"/>
                <w:bCs/>
                <w:sz w:val="20"/>
                <w:szCs w:val="20"/>
                <w:lang w:val="es-ES"/>
              </w:rPr>
              <w:t>Convención Americana (depósito del instrumento de ratificación realizado el 5 de septiembre de 1984)</w:t>
            </w:r>
          </w:p>
        </w:tc>
      </w:tr>
    </w:tbl>
    <w:p w14:paraId="299A3868" w14:textId="277275B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4336"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1642B43" w:rsidR="00EE00E9" w:rsidRPr="00DC24E3" w:rsidRDefault="004228EE" w:rsidP="008D2290">
            <w:pPr>
              <w:jc w:val="both"/>
              <w:rPr>
                <w:rFonts w:ascii="Cambria" w:hAnsi="Cambria"/>
                <w:bCs/>
                <w:sz w:val="20"/>
                <w:szCs w:val="20"/>
                <w:lang w:val="es-ES"/>
              </w:rPr>
            </w:pPr>
            <w:r>
              <w:rPr>
                <w:rFonts w:ascii="Cambria" w:hAnsi="Cambria"/>
                <w:bCs/>
                <w:sz w:val="20"/>
                <w:szCs w:val="20"/>
                <w:lang w:val="es-ES"/>
              </w:rPr>
              <w:t>No</w:t>
            </w:r>
          </w:p>
        </w:tc>
      </w:tr>
      <w:tr w:rsidR="003239B8" w:rsidRPr="002D57B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50055973" w:rsidR="003239B8" w:rsidRPr="00B52A78" w:rsidRDefault="00934E16" w:rsidP="008D2290">
            <w:pPr>
              <w:jc w:val="both"/>
              <w:rPr>
                <w:rFonts w:ascii="Cambria" w:hAnsi="Cambria"/>
                <w:bCs/>
                <w:sz w:val="20"/>
                <w:szCs w:val="20"/>
                <w:lang w:val="es-PA"/>
              </w:rPr>
            </w:pPr>
            <w:r>
              <w:rPr>
                <w:rFonts w:ascii="Cambria" w:hAnsi="Cambria"/>
                <w:bCs/>
                <w:sz w:val="20"/>
                <w:szCs w:val="20"/>
                <w:lang w:val="es-PA"/>
              </w:rPr>
              <w:t>Ninguno</w:t>
            </w:r>
          </w:p>
        </w:tc>
      </w:tr>
      <w:tr w:rsidR="003239B8" w:rsidRPr="006D433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7AD8565" w:rsidR="003239B8" w:rsidRPr="00DC24E3" w:rsidRDefault="004228EE" w:rsidP="008D2290">
            <w:pPr>
              <w:rPr>
                <w:rFonts w:ascii="Cambria" w:hAnsi="Cambria"/>
                <w:bCs/>
                <w:sz w:val="20"/>
                <w:szCs w:val="20"/>
                <w:lang w:val="es-ES"/>
              </w:rPr>
            </w:pPr>
            <w:r>
              <w:rPr>
                <w:rFonts w:ascii="Cambria" w:hAnsi="Cambria"/>
                <w:bCs/>
                <w:sz w:val="20"/>
                <w:szCs w:val="20"/>
                <w:lang w:val="es-ES"/>
              </w:rPr>
              <w:t>Sí, 30 de junio de 2008</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6D1BBE5F" w:rsidR="003239B8" w:rsidRPr="00DC24E3" w:rsidRDefault="004228EE" w:rsidP="008D2290">
            <w:pPr>
              <w:rPr>
                <w:rFonts w:ascii="Cambria" w:hAnsi="Cambria"/>
                <w:bCs/>
                <w:sz w:val="20"/>
                <w:szCs w:val="20"/>
              </w:rPr>
            </w:pPr>
            <w:r>
              <w:rPr>
                <w:rFonts w:ascii="Cambria" w:hAnsi="Cambria"/>
                <w:bCs/>
                <w:sz w:val="20"/>
                <w:szCs w:val="20"/>
              </w:rPr>
              <w:t>Sí</w:t>
            </w:r>
          </w:p>
        </w:tc>
      </w:tr>
    </w:tbl>
    <w:p w14:paraId="56FD5D57" w14:textId="252B1FD5" w:rsidR="003239B8" w:rsidRPr="00D97135"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D97135">
        <w:rPr>
          <w:rFonts w:asciiTheme="majorHAnsi" w:hAnsiTheme="majorHAnsi"/>
          <w:b/>
          <w:sz w:val="20"/>
          <w:szCs w:val="20"/>
          <w:lang w:val="es-ES_tradnl"/>
        </w:rPr>
        <w:t>POSICIÓN DE LAS PARTES</w:t>
      </w:r>
      <w:r w:rsidR="003239B8" w:rsidRPr="00D97135">
        <w:rPr>
          <w:rFonts w:asciiTheme="majorHAnsi" w:hAnsiTheme="majorHAnsi"/>
          <w:b/>
          <w:sz w:val="20"/>
          <w:szCs w:val="20"/>
          <w:lang w:val="es-ES_tradnl"/>
        </w:rPr>
        <w:t xml:space="preserve"> </w:t>
      </w:r>
    </w:p>
    <w:p w14:paraId="49B23011" w14:textId="7D9F2108" w:rsidR="005A0FB3" w:rsidRPr="00D97135" w:rsidRDefault="00B82E6C" w:rsidP="005A0FB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El peticionario fue demandado por una empresa privada conllevando a un proceso en el que </w:t>
      </w:r>
      <w:r w:rsidR="00BD4295" w:rsidRPr="00D97135">
        <w:rPr>
          <w:rFonts w:asciiTheme="majorHAnsi" w:hAnsiTheme="majorHAnsi"/>
          <w:bCs/>
          <w:sz w:val="20"/>
          <w:szCs w:val="20"/>
          <w:lang w:val="es-ES_tradnl"/>
        </w:rPr>
        <w:t xml:space="preserve">algunos de sus bienes fueron gravados con medidas cautelares a solicitud de la parte demandante. </w:t>
      </w:r>
      <w:r w:rsidR="00194DAB" w:rsidRPr="00D97135">
        <w:rPr>
          <w:rFonts w:asciiTheme="majorHAnsi" w:hAnsiTheme="majorHAnsi"/>
          <w:bCs/>
          <w:sz w:val="20"/>
          <w:szCs w:val="20"/>
          <w:lang w:val="es-ES_tradnl"/>
        </w:rPr>
        <w:t xml:space="preserve">La demanda contra el peticionario resultó rechazada por lo que este </w:t>
      </w:r>
      <w:r w:rsidR="00053F8B" w:rsidRPr="00D97135">
        <w:rPr>
          <w:rFonts w:asciiTheme="majorHAnsi" w:hAnsiTheme="majorHAnsi"/>
          <w:bCs/>
          <w:sz w:val="20"/>
          <w:szCs w:val="20"/>
          <w:lang w:val="es-ES_tradnl"/>
        </w:rPr>
        <w:t xml:space="preserve">solicitó </w:t>
      </w:r>
      <w:r w:rsidR="00194DAB" w:rsidRPr="00D97135">
        <w:rPr>
          <w:rFonts w:asciiTheme="majorHAnsi" w:hAnsiTheme="majorHAnsi"/>
          <w:bCs/>
          <w:sz w:val="20"/>
          <w:szCs w:val="20"/>
          <w:lang w:val="es-ES_tradnl"/>
        </w:rPr>
        <w:t>indemnización por el tiempo en que las medidas cautelares le impidieron disponer libremente de sus bienes.</w:t>
      </w:r>
      <w:r w:rsidR="00053F8B" w:rsidRPr="00D97135">
        <w:rPr>
          <w:rFonts w:asciiTheme="majorHAnsi" w:hAnsiTheme="majorHAnsi"/>
          <w:bCs/>
          <w:sz w:val="20"/>
          <w:szCs w:val="20"/>
          <w:lang w:val="es-ES_tradnl"/>
        </w:rPr>
        <w:t xml:space="preserve"> Dicha solicitud fue rechazada lo que el peticionario considera violatorio de sus derechos.</w:t>
      </w:r>
    </w:p>
    <w:p w14:paraId="5BF9793E" w14:textId="74CF22B6" w:rsidR="005A0FB3" w:rsidRPr="00D97135" w:rsidRDefault="00053F8B" w:rsidP="005A0FB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Según relata</w:t>
      </w:r>
      <w:r w:rsidR="00386F3D" w:rsidRPr="00D97135">
        <w:rPr>
          <w:rFonts w:asciiTheme="majorHAnsi" w:hAnsiTheme="majorHAnsi"/>
          <w:bCs/>
          <w:sz w:val="20"/>
          <w:szCs w:val="20"/>
          <w:lang w:val="es-ES_tradnl"/>
        </w:rPr>
        <w:t xml:space="preserve"> el peticionario, una empresa privada l</w:t>
      </w:r>
      <w:r w:rsidR="002D57BF" w:rsidRPr="00D97135">
        <w:rPr>
          <w:rFonts w:asciiTheme="majorHAnsi" w:hAnsiTheme="majorHAnsi"/>
          <w:bCs/>
          <w:sz w:val="20"/>
          <w:szCs w:val="20"/>
          <w:lang w:val="es-ES_tradnl"/>
        </w:rPr>
        <w:t>o</w:t>
      </w:r>
      <w:r w:rsidR="00386F3D" w:rsidRPr="00D97135">
        <w:rPr>
          <w:rFonts w:asciiTheme="majorHAnsi" w:hAnsiTheme="majorHAnsi"/>
          <w:bCs/>
          <w:sz w:val="20"/>
          <w:szCs w:val="20"/>
          <w:lang w:val="es-ES_tradnl"/>
        </w:rPr>
        <w:t xml:space="preserve"> denunció a él y a su </w:t>
      </w:r>
      <w:r w:rsidR="002D57BF" w:rsidRPr="00D97135">
        <w:rPr>
          <w:rFonts w:asciiTheme="majorHAnsi" w:hAnsiTheme="majorHAnsi"/>
          <w:bCs/>
          <w:sz w:val="20"/>
          <w:szCs w:val="20"/>
          <w:lang w:val="es-ES_tradnl"/>
        </w:rPr>
        <w:t xml:space="preserve">entonces </w:t>
      </w:r>
      <w:r w:rsidR="00386F3D" w:rsidRPr="00D97135">
        <w:rPr>
          <w:rFonts w:asciiTheme="majorHAnsi" w:hAnsiTheme="majorHAnsi"/>
          <w:bCs/>
          <w:sz w:val="20"/>
          <w:szCs w:val="20"/>
          <w:lang w:val="es-ES_tradnl"/>
        </w:rPr>
        <w:t xml:space="preserve">esposa </w:t>
      </w:r>
      <w:r w:rsidR="00650627" w:rsidRPr="00D97135">
        <w:rPr>
          <w:rFonts w:asciiTheme="majorHAnsi" w:hAnsiTheme="majorHAnsi"/>
          <w:bCs/>
          <w:sz w:val="20"/>
          <w:szCs w:val="20"/>
          <w:lang w:val="es-ES_tradnl"/>
        </w:rPr>
        <w:t>por supuestos delitos de hurto, falsificación de instrumento público y estafa. En del desarrollo del proceso penal se verificaría que el peticionario no tenía conocimiento de las operaciones cuestionada</w:t>
      </w:r>
      <w:r w:rsidR="00A57856" w:rsidRPr="00D97135">
        <w:rPr>
          <w:rFonts w:asciiTheme="majorHAnsi" w:hAnsiTheme="majorHAnsi"/>
          <w:bCs/>
          <w:sz w:val="20"/>
          <w:szCs w:val="20"/>
          <w:lang w:val="es-ES_tradnl"/>
        </w:rPr>
        <w:t>s</w:t>
      </w:r>
      <w:r w:rsidR="00650627" w:rsidRPr="00D97135">
        <w:rPr>
          <w:rFonts w:asciiTheme="majorHAnsi" w:hAnsiTheme="majorHAnsi"/>
          <w:bCs/>
          <w:sz w:val="20"/>
          <w:szCs w:val="20"/>
          <w:lang w:val="es-ES_tradnl"/>
        </w:rPr>
        <w:t xml:space="preserve">, pues su labor se limitaba a pasar en limpio los borradores de los registros contables. También se verificaría que su exesposa mantenía </w:t>
      </w:r>
      <w:r w:rsidR="002D57BF" w:rsidRPr="00D97135">
        <w:rPr>
          <w:rFonts w:asciiTheme="majorHAnsi" w:hAnsiTheme="majorHAnsi"/>
          <w:bCs/>
          <w:sz w:val="20"/>
          <w:szCs w:val="20"/>
          <w:lang w:val="es-ES_tradnl"/>
        </w:rPr>
        <w:t>una relación sentimental</w:t>
      </w:r>
      <w:r w:rsidR="00A57856" w:rsidRPr="00D97135">
        <w:rPr>
          <w:rFonts w:asciiTheme="majorHAnsi" w:hAnsiTheme="majorHAnsi"/>
          <w:bCs/>
          <w:sz w:val="20"/>
          <w:szCs w:val="20"/>
          <w:lang w:val="es-ES_tradnl"/>
        </w:rPr>
        <w:t xml:space="preserve"> con el socio mayoritario de la empresa. </w:t>
      </w:r>
      <w:r w:rsidR="00184E0A" w:rsidRPr="00D97135">
        <w:rPr>
          <w:rFonts w:asciiTheme="majorHAnsi" w:hAnsiTheme="majorHAnsi"/>
          <w:bCs/>
          <w:sz w:val="20"/>
          <w:szCs w:val="20"/>
          <w:lang w:val="es-ES_tradnl"/>
        </w:rPr>
        <w:t xml:space="preserve">–Lo que resultaría un hecho relevante para </w:t>
      </w:r>
      <w:r w:rsidR="00D645F0" w:rsidRPr="00D97135">
        <w:rPr>
          <w:rFonts w:asciiTheme="majorHAnsi" w:hAnsiTheme="majorHAnsi"/>
          <w:bCs/>
          <w:sz w:val="20"/>
          <w:szCs w:val="20"/>
          <w:lang w:val="es-ES_tradnl"/>
        </w:rPr>
        <w:t>comprender el trasfondo de los hechos planteados por el peticionario</w:t>
      </w:r>
      <w:r w:rsidR="00184E0A" w:rsidRPr="00D97135">
        <w:rPr>
          <w:rFonts w:asciiTheme="majorHAnsi" w:hAnsiTheme="majorHAnsi"/>
          <w:bCs/>
          <w:sz w:val="20"/>
          <w:szCs w:val="20"/>
          <w:lang w:val="es-ES_tradnl"/>
        </w:rPr>
        <w:t>, como se verá más adelante–</w:t>
      </w:r>
    </w:p>
    <w:p w14:paraId="792CBDA7" w14:textId="6392B00E" w:rsidR="005A0FB3" w:rsidRPr="00D97135" w:rsidRDefault="005A0FB3" w:rsidP="00D645F0">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lastRenderedPageBreak/>
        <w:t xml:space="preserve">El peticionario y su exesposa también </w:t>
      </w:r>
      <w:r w:rsidR="00184E0A" w:rsidRPr="00D97135">
        <w:rPr>
          <w:rFonts w:asciiTheme="majorHAnsi" w:hAnsiTheme="majorHAnsi"/>
          <w:bCs/>
          <w:sz w:val="20"/>
          <w:szCs w:val="20"/>
          <w:lang w:val="es-ES_tradnl"/>
        </w:rPr>
        <w:t>fueron</w:t>
      </w:r>
      <w:r w:rsidRPr="00D97135">
        <w:rPr>
          <w:rFonts w:asciiTheme="majorHAnsi" w:hAnsiTheme="majorHAnsi"/>
          <w:bCs/>
          <w:sz w:val="20"/>
          <w:szCs w:val="20"/>
          <w:lang w:val="es-ES_tradnl"/>
        </w:rPr>
        <w:t xml:space="preserve"> demandado</w:t>
      </w:r>
      <w:r w:rsidR="00184E0A" w:rsidRPr="00D97135">
        <w:rPr>
          <w:rFonts w:asciiTheme="majorHAnsi" w:hAnsiTheme="majorHAnsi"/>
          <w:bCs/>
          <w:sz w:val="20"/>
          <w:szCs w:val="20"/>
          <w:lang w:val="es-ES_tradnl"/>
        </w:rPr>
        <w:t>s</w:t>
      </w:r>
      <w:r w:rsidRPr="00D97135">
        <w:rPr>
          <w:rFonts w:asciiTheme="majorHAnsi" w:hAnsiTheme="majorHAnsi"/>
          <w:bCs/>
          <w:sz w:val="20"/>
          <w:szCs w:val="20"/>
          <w:lang w:val="es-ES_tradnl"/>
        </w:rPr>
        <w:t xml:space="preserve"> civilmente por la empresa </w:t>
      </w:r>
      <w:r w:rsidR="00184E0A" w:rsidRPr="00D97135">
        <w:rPr>
          <w:rFonts w:asciiTheme="majorHAnsi" w:hAnsiTheme="majorHAnsi"/>
          <w:bCs/>
          <w:sz w:val="20"/>
          <w:szCs w:val="20"/>
          <w:lang w:val="es-ES_tradnl"/>
        </w:rPr>
        <w:t>en la que trabajaban</w:t>
      </w:r>
      <w:r w:rsidRPr="00D97135">
        <w:rPr>
          <w:rFonts w:asciiTheme="majorHAnsi" w:hAnsiTheme="majorHAnsi"/>
          <w:bCs/>
          <w:sz w:val="20"/>
          <w:szCs w:val="20"/>
          <w:lang w:val="es-ES_tradnl"/>
        </w:rPr>
        <w:t xml:space="preserve">. La petición sostiene que en el desarrollo del proceso civil </w:t>
      </w:r>
      <w:r w:rsidR="00AF041F" w:rsidRPr="00D97135">
        <w:rPr>
          <w:rFonts w:asciiTheme="majorHAnsi" w:hAnsiTheme="majorHAnsi"/>
          <w:bCs/>
          <w:sz w:val="20"/>
          <w:szCs w:val="20"/>
          <w:lang w:val="es-ES_tradnl"/>
        </w:rPr>
        <w:t xml:space="preserve">se corroboró que su exesposa realizó maniobras defraudatorias </w:t>
      </w:r>
      <w:r w:rsidR="00184E0A" w:rsidRPr="00D97135">
        <w:rPr>
          <w:rFonts w:asciiTheme="majorHAnsi" w:hAnsiTheme="majorHAnsi"/>
          <w:bCs/>
          <w:sz w:val="20"/>
          <w:szCs w:val="20"/>
          <w:lang w:val="es-ES_tradnl"/>
        </w:rPr>
        <w:t xml:space="preserve">en perjuicio de la empresa </w:t>
      </w:r>
      <w:r w:rsidR="00AF041F" w:rsidRPr="00D97135">
        <w:rPr>
          <w:rFonts w:asciiTheme="majorHAnsi" w:hAnsiTheme="majorHAnsi"/>
          <w:bCs/>
          <w:sz w:val="20"/>
          <w:szCs w:val="20"/>
          <w:lang w:val="es-ES_tradnl"/>
        </w:rPr>
        <w:t>con conocimiento del socio mayoritario</w:t>
      </w:r>
      <w:r w:rsidR="00184E0A" w:rsidRPr="00D97135">
        <w:rPr>
          <w:rFonts w:asciiTheme="majorHAnsi" w:hAnsiTheme="majorHAnsi"/>
          <w:bCs/>
          <w:sz w:val="20"/>
          <w:szCs w:val="20"/>
          <w:lang w:val="es-ES_tradnl"/>
        </w:rPr>
        <w:t>,</w:t>
      </w:r>
      <w:r w:rsidR="00AF041F" w:rsidRPr="00D97135">
        <w:rPr>
          <w:rFonts w:asciiTheme="majorHAnsi" w:hAnsiTheme="majorHAnsi"/>
          <w:bCs/>
          <w:sz w:val="20"/>
          <w:szCs w:val="20"/>
          <w:lang w:val="es-ES_tradnl"/>
        </w:rPr>
        <w:t xml:space="preserve"> con quien mantenía una relación “</w:t>
      </w:r>
      <w:r w:rsidR="00AF041F" w:rsidRPr="00D97135">
        <w:rPr>
          <w:rFonts w:asciiTheme="majorHAnsi" w:hAnsiTheme="majorHAnsi"/>
          <w:bCs/>
          <w:i/>
          <w:iCs/>
          <w:sz w:val="20"/>
          <w:szCs w:val="20"/>
          <w:lang w:val="es-ES_tradnl"/>
        </w:rPr>
        <w:t>amoroso</w:t>
      </w:r>
      <w:r w:rsidR="00184E0A" w:rsidRPr="00D97135">
        <w:rPr>
          <w:rFonts w:asciiTheme="majorHAnsi" w:hAnsiTheme="majorHAnsi"/>
          <w:bCs/>
          <w:i/>
          <w:iCs/>
          <w:sz w:val="20"/>
          <w:szCs w:val="20"/>
          <w:lang w:val="es-ES_tradnl"/>
        </w:rPr>
        <w:t>-</w:t>
      </w:r>
      <w:r w:rsidR="00AF041F" w:rsidRPr="00D97135">
        <w:rPr>
          <w:rFonts w:asciiTheme="majorHAnsi" w:hAnsiTheme="majorHAnsi"/>
          <w:bCs/>
          <w:i/>
          <w:iCs/>
          <w:sz w:val="20"/>
          <w:szCs w:val="20"/>
          <w:lang w:val="es-ES_tradnl"/>
        </w:rPr>
        <w:t>comercial</w:t>
      </w:r>
      <w:r w:rsidR="00AF041F" w:rsidRPr="00D97135">
        <w:rPr>
          <w:rFonts w:asciiTheme="majorHAnsi" w:hAnsiTheme="majorHAnsi"/>
          <w:bCs/>
          <w:sz w:val="20"/>
          <w:szCs w:val="20"/>
          <w:lang w:val="es-ES_tradnl"/>
        </w:rPr>
        <w:t>”</w:t>
      </w:r>
      <w:r w:rsidR="00184E0A" w:rsidRPr="00D97135">
        <w:rPr>
          <w:rFonts w:asciiTheme="majorHAnsi" w:hAnsiTheme="majorHAnsi"/>
          <w:bCs/>
          <w:sz w:val="20"/>
          <w:szCs w:val="20"/>
          <w:lang w:val="es-ES_tradnl"/>
        </w:rPr>
        <w:t xml:space="preserve"> (sic).</w:t>
      </w:r>
      <w:r w:rsidR="0038196D" w:rsidRPr="00D97135">
        <w:rPr>
          <w:rFonts w:asciiTheme="majorHAnsi" w:hAnsiTheme="majorHAnsi"/>
          <w:bCs/>
          <w:sz w:val="20"/>
          <w:szCs w:val="20"/>
          <w:lang w:val="es-ES_tradnl"/>
        </w:rPr>
        <w:t xml:space="preserve"> </w:t>
      </w:r>
      <w:r w:rsidR="00D645F0" w:rsidRPr="00D97135">
        <w:rPr>
          <w:rFonts w:asciiTheme="majorHAnsi" w:hAnsiTheme="majorHAnsi"/>
          <w:bCs/>
          <w:sz w:val="20"/>
          <w:szCs w:val="20"/>
          <w:lang w:val="es-ES_tradnl"/>
        </w:rPr>
        <w:t>De la información aportada por el peticionario se colige que el mencionado socio mayoritario y la esposa de aquel estaban robando a la empresa sistemáticamente y a espalda de los otros socios, y del propio peticionario. Este proceso civil</w:t>
      </w:r>
      <w:r w:rsidR="0038196D" w:rsidRPr="00D97135">
        <w:rPr>
          <w:rFonts w:asciiTheme="majorHAnsi" w:hAnsiTheme="majorHAnsi"/>
          <w:bCs/>
          <w:sz w:val="20"/>
          <w:szCs w:val="20"/>
          <w:lang w:val="es-ES_tradnl"/>
        </w:rPr>
        <w:t xml:space="preserve"> conllevó nueve años de pleito en los que la demanda contra </w:t>
      </w:r>
      <w:r w:rsidR="006A0AC2" w:rsidRPr="00D97135">
        <w:rPr>
          <w:rFonts w:asciiTheme="majorHAnsi" w:hAnsiTheme="majorHAnsi"/>
          <w:bCs/>
          <w:sz w:val="20"/>
          <w:szCs w:val="20"/>
          <w:lang w:val="es-ES_tradnl"/>
        </w:rPr>
        <w:t>el peticionario</w:t>
      </w:r>
      <w:r w:rsidR="0038196D" w:rsidRPr="00D97135">
        <w:rPr>
          <w:rFonts w:asciiTheme="majorHAnsi" w:hAnsiTheme="majorHAnsi"/>
          <w:bCs/>
          <w:sz w:val="20"/>
          <w:szCs w:val="20"/>
          <w:lang w:val="es-ES_tradnl"/>
        </w:rPr>
        <w:t xml:space="preserve"> result</w:t>
      </w:r>
      <w:r w:rsidR="006A0AC2" w:rsidRPr="00D97135">
        <w:rPr>
          <w:rFonts w:asciiTheme="majorHAnsi" w:hAnsiTheme="majorHAnsi"/>
          <w:bCs/>
          <w:sz w:val="20"/>
          <w:szCs w:val="20"/>
          <w:lang w:val="es-ES_tradnl"/>
        </w:rPr>
        <w:t>ó</w:t>
      </w:r>
      <w:r w:rsidR="0038196D" w:rsidRPr="00D97135">
        <w:rPr>
          <w:rFonts w:asciiTheme="majorHAnsi" w:hAnsiTheme="majorHAnsi"/>
          <w:bCs/>
          <w:sz w:val="20"/>
          <w:szCs w:val="20"/>
          <w:lang w:val="es-ES_tradnl"/>
        </w:rPr>
        <w:t xml:space="preserve"> rechazada en </w:t>
      </w:r>
      <w:r w:rsidR="00373BED" w:rsidRPr="00D97135">
        <w:rPr>
          <w:rFonts w:asciiTheme="majorHAnsi" w:hAnsiTheme="majorHAnsi"/>
          <w:bCs/>
          <w:sz w:val="20"/>
          <w:szCs w:val="20"/>
          <w:lang w:val="es-ES_tradnl"/>
        </w:rPr>
        <w:t>todas sus instancias</w:t>
      </w:r>
      <w:r w:rsidR="0038196D" w:rsidRPr="00D97135">
        <w:rPr>
          <w:rFonts w:asciiTheme="majorHAnsi" w:hAnsiTheme="majorHAnsi"/>
          <w:bCs/>
          <w:sz w:val="20"/>
          <w:szCs w:val="20"/>
          <w:lang w:val="es-ES_tradnl"/>
        </w:rPr>
        <w:t xml:space="preserve">. </w:t>
      </w:r>
    </w:p>
    <w:p w14:paraId="3F8BCD74" w14:textId="1BD2E955" w:rsidR="0038196D" w:rsidRPr="00D97135" w:rsidRDefault="00373BED" w:rsidP="005A0FB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El peticionario </w:t>
      </w:r>
      <w:r w:rsidR="00077575" w:rsidRPr="00D97135">
        <w:rPr>
          <w:rFonts w:asciiTheme="majorHAnsi" w:hAnsiTheme="majorHAnsi"/>
          <w:bCs/>
          <w:sz w:val="20"/>
          <w:szCs w:val="20"/>
          <w:lang w:val="es-ES_tradnl"/>
        </w:rPr>
        <w:t>denuncia</w:t>
      </w:r>
      <w:r w:rsidRPr="00D97135">
        <w:rPr>
          <w:rFonts w:asciiTheme="majorHAnsi" w:hAnsiTheme="majorHAnsi"/>
          <w:bCs/>
          <w:sz w:val="20"/>
          <w:szCs w:val="20"/>
          <w:lang w:val="es-ES_tradnl"/>
        </w:rPr>
        <w:t xml:space="preserve"> </w:t>
      </w:r>
      <w:r w:rsidR="00077575" w:rsidRPr="00D97135">
        <w:rPr>
          <w:rFonts w:asciiTheme="majorHAnsi" w:hAnsiTheme="majorHAnsi"/>
          <w:bCs/>
          <w:sz w:val="20"/>
          <w:szCs w:val="20"/>
          <w:lang w:val="es-ES_tradnl"/>
        </w:rPr>
        <w:t>un</w:t>
      </w:r>
      <w:r w:rsidRPr="00D97135">
        <w:rPr>
          <w:rFonts w:asciiTheme="majorHAnsi" w:hAnsiTheme="majorHAnsi"/>
          <w:bCs/>
          <w:sz w:val="20"/>
          <w:szCs w:val="20"/>
          <w:lang w:val="es-ES_tradnl"/>
        </w:rPr>
        <w:t xml:space="preserve"> </w:t>
      </w:r>
      <w:r w:rsidR="00D606D7" w:rsidRPr="00D97135">
        <w:rPr>
          <w:rFonts w:asciiTheme="majorHAnsi" w:hAnsiTheme="majorHAnsi"/>
          <w:bCs/>
          <w:sz w:val="20"/>
          <w:szCs w:val="20"/>
          <w:lang w:val="es-ES_tradnl"/>
        </w:rPr>
        <w:t xml:space="preserve">perjuicio </w:t>
      </w:r>
      <w:r w:rsidR="00077575" w:rsidRPr="00D97135">
        <w:rPr>
          <w:rFonts w:asciiTheme="majorHAnsi" w:hAnsiTheme="majorHAnsi"/>
          <w:bCs/>
          <w:sz w:val="20"/>
          <w:szCs w:val="20"/>
          <w:lang w:val="es-ES_tradnl"/>
        </w:rPr>
        <w:t>por</w:t>
      </w:r>
      <w:r w:rsidR="00D606D7" w:rsidRPr="00D97135">
        <w:rPr>
          <w:rFonts w:asciiTheme="majorHAnsi" w:hAnsiTheme="majorHAnsi"/>
          <w:bCs/>
          <w:sz w:val="20"/>
          <w:szCs w:val="20"/>
          <w:lang w:val="es-ES_tradnl"/>
        </w:rPr>
        <w:t xml:space="preserve"> </w:t>
      </w:r>
      <w:r w:rsidR="00077575" w:rsidRPr="00D97135">
        <w:rPr>
          <w:rFonts w:asciiTheme="majorHAnsi" w:hAnsiTheme="majorHAnsi"/>
          <w:bCs/>
          <w:sz w:val="20"/>
          <w:szCs w:val="20"/>
          <w:lang w:val="es-ES_tradnl"/>
        </w:rPr>
        <w:t>haber sido</w:t>
      </w:r>
      <w:r w:rsidR="00D606D7" w:rsidRPr="00D97135">
        <w:rPr>
          <w:rFonts w:asciiTheme="majorHAnsi" w:hAnsiTheme="majorHAnsi"/>
          <w:bCs/>
          <w:sz w:val="20"/>
          <w:szCs w:val="20"/>
          <w:lang w:val="es-ES_tradnl"/>
        </w:rPr>
        <w:t xml:space="preserve"> privado </w:t>
      </w:r>
      <w:r w:rsidR="00077575" w:rsidRPr="00D97135">
        <w:rPr>
          <w:rFonts w:asciiTheme="majorHAnsi" w:hAnsiTheme="majorHAnsi"/>
          <w:bCs/>
          <w:sz w:val="20"/>
          <w:szCs w:val="20"/>
          <w:lang w:val="es-ES_tradnl"/>
        </w:rPr>
        <w:t>durante</w:t>
      </w:r>
      <w:r w:rsidR="00D606D7" w:rsidRPr="00D97135">
        <w:rPr>
          <w:rFonts w:asciiTheme="majorHAnsi" w:hAnsiTheme="majorHAnsi"/>
          <w:bCs/>
          <w:sz w:val="20"/>
          <w:szCs w:val="20"/>
          <w:lang w:val="es-ES_tradnl"/>
        </w:rPr>
        <w:t xml:space="preserve"> nueve años de la libre disposición de sus bienes</w:t>
      </w:r>
      <w:r w:rsidR="00077575" w:rsidRPr="00D97135">
        <w:rPr>
          <w:rFonts w:asciiTheme="majorHAnsi" w:hAnsiTheme="majorHAnsi"/>
          <w:bCs/>
          <w:sz w:val="20"/>
          <w:szCs w:val="20"/>
          <w:lang w:val="es-ES_tradnl"/>
        </w:rPr>
        <w:t>,</w:t>
      </w:r>
      <w:r w:rsidR="00D606D7" w:rsidRPr="00D97135">
        <w:rPr>
          <w:rFonts w:asciiTheme="majorHAnsi" w:hAnsiTheme="majorHAnsi"/>
          <w:bCs/>
          <w:sz w:val="20"/>
          <w:szCs w:val="20"/>
          <w:lang w:val="es-ES_tradnl"/>
        </w:rPr>
        <w:t xml:space="preserve"> como consecuencias de medidas cautelares de embargo y de inhibición que le fueron impuestas durante el proceso civil en su contra.</w:t>
      </w:r>
      <w:r w:rsidR="00063543" w:rsidRPr="00D97135">
        <w:rPr>
          <w:rFonts w:asciiTheme="majorHAnsi" w:hAnsiTheme="majorHAnsi"/>
          <w:bCs/>
          <w:sz w:val="20"/>
          <w:szCs w:val="20"/>
          <w:lang w:val="es-ES_tradnl"/>
        </w:rPr>
        <w:t xml:space="preserve"> </w:t>
      </w:r>
      <w:r w:rsidRPr="00D97135">
        <w:rPr>
          <w:rFonts w:asciiTheme="majorHAnsi" w:hAnsiTheme="majorHAnsi"/>
          <w:bCs/>
          <w:sz w:val="20"/>
          <w:szCs w:val="20"/>
          <w:lang w:val="es-ES_tradnl"/>
        </w:rPr>
        <w:t>E</w:t>
      </w:r>
      <w:r w:rsidR="00063543" w:rsidRPr="00D97135">
        <w:rPr>
          <w:rFonts w:asciiTheme="majorHAnsi" w:hAnsiTheme="majorHAnsi"/>
          <w:bCs/>
          <w:sz w:val="20"/>
          <w:szCs w:val="20"/>
          <w:lang w:val="es-ES_tradnl"/>
        </w:rPr>
        <w:t xml:space="preserve">xplica que a consecuencia de estas medidas cautelares perdió la oportunidad </w:t>
      </w:r>
      <w:r w:rsidR="00190D3B" w:rsidRPr="00D97135">
        <w:rPr>
          <w:rFonts w:asciiTheme="majorHAnsi" w:hAnsiTheme="majorHAnsi"/>
          <w:bCs/>
          <w:sz w:val="20"/>
          <w:szCs w:val="20"/>
          <w:lang w:val="es-ES_tradnl"/>
        </w:rPr>
        <w:t>de procurar ganancias económicas mediante la comercialización o movilización de sus bienes.</w:t>
      </w:r>
      <w:r w:rsidR="00D606D7" w:rsidRPr="00D97135">
        <w:rPr>
          <w:rFonts w:asciiTheme="majorHAnsi" w:hAnsiTheme="majorHAnsi"/>
          <w:bCs/>
          <w:sz w:val="20"/>
          <w:szCs w:val="20"/>
          <w:lang w:val="es-ES_tradnl"/>
        </w:rPr>
        <w:t xml:space="preserve"> </w:t>
      </w:r>
      <w:r w:rsidR="00190D3B" w:rsidRPr="00D97135">
        <w:rPr>
          <w:rFonts w:asciiTheme="majorHAnsi" w:hAnsiTheme="majorHAnsi"/>
          <w:bCs/>
          <w:sz w:val="20"/>
          <w:szCs w:val="20"/>
          <w:lang w:val="es-ES_tradnl"/>
        </w:rPr>
        <w:t>También</w:t>
      </w:r>
      <w:r w:rsidR="006C7D9E" w:rsidRPr="00D97135">
        <w:rPr>
          <w:rFonts w:asciiTheme="majorHAnsi" w:hAnsiTheme="majorHAnsi"/>
          <w:bCs/>
          <w:sz w:val="20"/>
          <w:szCs w:val="20"/>
          <w:lang w:val="es-ES_tradnl"/>
        </w:rPr>
        <w:t xml:space="preserve"> alega que</w:t>
      </w:r>
      <w:r w:rsidR="00D338BB" w:rsidRPr="00D97135">
        <w:rPr>
          <w:rFonts w:asciiTheme="majorHAnsi" w:hAnsiTheme="majorHAnsi"/>
          <w:bCs/>
          <w:sz w:val="20"/>
          <w:szCs w:val="20"/>
          <w:lang w:val="es-ES_tradnl"/>
        </w:rPr>
        <w:t xml:space="preserve"> el litigio y las medidas cautelares en su contra fueron mecanismos utilizados irresponsablemente por el socio mayoritario de la empresa con la finalidad de ocultar la relación amoros</w:t>
      </w:r>
      <w:r w:rsidR="00063543" w:rsidRPr="00D97135">
        <w:rPr>
          <w:rFonts w:asciiTheme="majorHAnsi" w:hAnsiTheme="majorHAnsi"/>
          <w:bCs/>
          <w:sz w:val="20"/>
          <w:szCs w:val="20"/>
          <w:lang w:val="es-ES_tradnl"/>
        </w:rPr>
        <w:t xml:space="preserve">a que mantenía con </w:t>
      </w:r>
      <w:r w:rsidR="00077575" w:rsidRPr="00D97135">
        <w:rPr>
          <w:rFonts w:asciiTheme="majorHAnsi" w:hAnsiTheme="majorHAnsi"/>
          <w:bCs/>
          <w:sz w:val="20"/>
          <w:szCs w:val="20"/>
          <w:lang w:val="es-ES_tradnl"/>
        </w:rPr>
        <w:t>su propia</w:t>
      </w:r>
      <w:r w:rsidR="00063543" w:rsidRPr="00D97135">
        <w:rPr>
          <w:rFonts w:asciiTheme="majorHAnsi" w:hAnsiTheme="majorHAnsi"/>
          <w:bCs/>
          <w:sz w:val="20"/>
          <w:szCs w:val="20"/>
          <w:lang w:val="es-ES_tradnl"/>
        </w:rPr>
        <w:t xml:space="preserve"> exesposa</w:t>
      </w:r>
      <w:r w:rsidR="00077575" w:rsidRPr="00D97135">
        <w:rPr>
          <w:rFonts w:asciiTheme="majorHAnsi" w:hAnsiTheme="majorHAnsi"/>
          <w:bCs/>
          <w:sz w:val="20"/>
          <w:szCs w:val="20"/>
          <w:lang w:val="es-ES_tradnl"/>
        </w:rPr>
        <w:t xml:space="preserve">, y los manejos fraudulentos que ambos </w:t>
      </w:r>
      <w:r w:rsidR="00733DEE" w:rsidRPr="00D97135">
        <w:rPr>
          <w:rFonts w:asciiTheme="majorHAnsi" w:hAnsiTheme="majorHAnsi"/>
          <w:bCs/>
          <w:sz w:val="20"/>
          <w:szCs w:val="20"/>
          <w:lang w:val="es-ES_tradnl"/>
        </w:rPr>
        <w:t>cometían en perjuicio de la empresa</w:t>
      </w:r>
      <w:r w:rsidR="00063543" w:rsidRPr="00D97135">
        <w:rPr>
          <w:rFonts w:asciiTheme="majorHAnsi" w:hAnsiTheme="majorHAnsi"/>
          <w:bCs/>
          <w:sz w:val="20"/>
          <w:szCs w:val="20"/>
          <w:lang w:val="es-ES_tradnl"/>
        </w:rPr>
        <w:t xml:space="preserve">. </w:t>
      </w:r>
      <w:r w:rsidR="00733DEE" w:rsidRPr="00D97135">
        <w:rPr>
          <w:rFonts w:asciiTheme="majorHAnsi" w:hAnsiTheme="majorHAnsi"/>
          <w:bCs/>
          <w:sz w:val="20"/>
          <w:szCs w:val="20"/>
          <w:lang w:val="es-ES_tradnl"/>
        </w:rPr>
        <w:t>Detalla</w:t>
      </w:r>
      <w:r w:rsidR="00190D3B" w:rsidRPr="00D97135">
        <w:rPr>
          <w:rFonts w:asciiTheme="majorHAnsi" w:hAnsiTheme="majorHAnsi"/>
          <w:bCs/>
          <w:sz w:val="20"/>
          <w:szCs w:val="20"/>
          <w:lang w:val="es-ES_tradnl"/>
        </w:rPr>
        <w:t xml:space="preserve"> que </w:t>
      </w:r>
      <w:r w:rsidR="00733DEE" w:rsidRPr="00D97135">
        <w:rPr>
          <w:rFonts w:asciiTheme="majorHAnsi" w:hAnsiTheme="majorHAnsi"/>
          <w:bCs/>
          <w:sz w:val="20"/>
          <w:szCs w:val="20"/>
          <w:lang w:val="es-ES_tradnl"/>
        </w:rPr>
        <w:t>estas</w:t>
      </w:r>
      <w:r w:rsidR="00190D3B" w:rsidRPr="00D97135">
        <w:rPr>
          <w:rFonts w:asciiTheme="majorHAnsi" w:hAnsiTheme="majorHAnsi"/>
          <w:bCs/>
          <w:sz w:val="20"/>
          <w:szCs w:val="20"/>
          <w:lang w:val="es-ES_tradnl"/>
        </w:rPr>
        <w:t xml:space="preserve"> medidas cautelares se extendieron por cuatro años adicionales luego de</w:t>
      </w:r>
      <w:r w:rsidR="00A329E4" w:rsidRPr="00D97135">
        <w:rPr>
          <w:rFonts w:asciiTheme="majorHAnsi" w:hAnsiTheme="majorHAnsi"/>
          <w:bCs/>
          <w:sz w:val="20"/>
          <w:szCs w:val="20"/>
          <w:lang w:val="es-ES_tradnl"/>
        </w:rPr>
        <w:t xml:space="preserve"> que la demanda </w:t>
      </w:r>
      <w:r w:rsidR="00733DEE" w:rsidRPr="00D97135">
        <w:rPr>
          <w:rFonts w:asciiTheme="majorHAnsi" w:hAnsiTheme="majorHAnsi"/>
          <w:bCs/>
          <w:sz w:val="20"/>
          <w:szCs w:val="20"/>
          <w:lang w:val="es-ES_tradnl"/>
        </w:rPr>
        <w:t xml:space="preserve">en su </w:t>
      </w:r>
      <w:r w:rsidR="00A329E4" w:rsidRPr="00D97135">
        <w:rPr>
          <w:rFonts w:asciiTheme="majorHAnsi" w:hAnsiTheme="majorHAnsi"/>
          <w:bCs/>
          <w:sz w:val="20"/>
          <w:szCs w:val="20"/>
          <w:lang w:val="es-ES_tradnl"/>
        </w:rPr>
        <w:t xml:space="preserve">contra fuera rechazada en primera instancia. </w:t>
      </w:r>
    </w:p>
    <w:p w14:paraId="288B83B1" w14:textId="14F50AFA" w:rsidR="00A329E4" w:rsidRPr="00D97135" w:rsidRDefault="003818A5" w:rsidP="005A0FB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El peticionario interpuso una demanda </w:t>
      </w:r>
      <w:r w:rsidR="00730ABD" w:rsidRPr="00D97135">
        <w:rPr>
          <w:rFonts w:asciiTheme="majorHAnsi" w:hAnsiTheme="majorHAnsi"/>
          <w:bCs/>
          <w:sz w:val="20"/>
          <w:szCs w:val="20"/>
          <w:lang w:val="es-ES_tradnl"/>
        </w:rPr>
        <w:t>contra la empresa que l</w:t>
      </w:r>
      <w:r w:rsidR="00733DEE" w:rsidRPr="00D97135">
        <w:rPr>
          <w:rFonts w:asciiTheme="majorHAnsi" w:hAnsiTheme="majorHAnsi"/>
          <w:bCs/>
          <w:sz w:val="20"/>
          <w:szCs w:val="20"/>
          <w:lang w:val="es-ES_tradnl"/>
        </w:rPr>
        <w:t>o</w:t>
      </w:r>
      <w:r w:rsidR="00730ABD" w:rsidRPr="00D97135">
        <w:rPr>
          <w:rFonts w:asciiTheme="majorHAnsi" w:hAnsiTheme="majorHAnsi"/>
          <w:bCs/>
          <w:sz w:val="20"/>
          <w:szCs w:val="20"/>
          <w:lang w:val="es-ES_tradnl"/>
        </w:rPr>
        <w:t xml:space="preserve"> demandó y </w:t>
      </w:r>
      <w:r w:rsidR="00C6607E" w:rsidRPr="00D97135">
        <w:rPr>
          <w:rFonts w:asciiTheme="majorHAnsi" w:hAnsiTheme="majorHAnsi"/>
          <w:bCs/>
          <w:sz w:val="20"/>
          <w:szCs w:val="20"/>
          <w:lang w:val="es-ES_tradnl"/>
        </w:rPr>
        <w:t>el referido</w:t>
      </w:r>
      <w:r w:rsidR="00730ABD" w:rsidRPr="00D97135">
        <w:rPr>
          <w:rFonts w:asciiTheme="majorHAnsi" w:hAnsiTheme="majorHAnsi"/>
          <w:bCs/>
          <w:sz w:val="20"/>
          <w:szCs w:val="20"/>
          <w:lang w:val="es-ES_tradnl"/>
        </w:rPr>
        <w:t xml:space="preserve"> socio mayoritario</w:t>
      </w:r>
      <w:r w:rsidR="00C6607E" w:rsidRPr="00D97135">
        <w:rPr>
          <w:rFonts w:asciiTheme="majorHAnsi" w:hAnsiTheme="majorHAnsi"/>
          <w:bCs/>
          <w:sz w:val="20"/>
          <w:szCs w:val="20"/>
          <w:lang w:val="es-ES_tradnl"/>
        </w:rPr>
        <w:t>,</w:t>
      </w:r>
      <w:r w:rsidR="00730ABD" w:rsidRPr="00D97135">
        <w:rPr>
          <w:rFonts w:asciiTheme="majorHAnsi" w:hAnsiTheme="majorHAnsi"/>
          <w:bCs/>
          <w:sz w:val="20"/>
          <w:szCs w:val="20"/>
          <w:lang w:val="es-ES_tradnl"/>
        </w:rPr>
        <w:t xml:space="preserve"> solicitándoles indemnización por los daños morales y materiales que le causaron. </w:t>
      </w:r>
      <w:r w:rsidR="00DF3489" w:rsidRPr="00D97135">
        <w:rPr>
          <w:rFonts w:asciiTheme="majorHAnsi" w:hAnsiTheme="majorHAnsi"/>
          <w:bCs/>
          <w:sz w:val="20"/>
          <w:szCs w:val="20"/>
          <w:lang w:val="es-ES_tradnl"/>
        </w:rPr>
        <w:t xml:space="preserve">Según surge de la documentación aportada por el peticionario, el 26 de octubre de 2005 el 12° Juzgado en lo Civil, Comercial y Minas de Mendoza profirió sentencia rechazando </w:t>
      </w:r>
      <w:r w:rsidR="00C6607E" w:rsidRPr="00D97135">
        <w:rPr>
          <w:rFonts w:asciiTheme="majorHAnsi" w:hAnsiTheme="majorHAnsi"/>
          <w:bCs/>
          <w:sz w:val="20"/>
          <w:szCs w:val="20"/>
          <w:lang w:val="es-ES_tradnl"/>
        </w:rPr>
        <w:t>esta</w:t>
      </w:r>
      <w:r w:rsidR="00DF3489" w:rsidRPr="00D97135">
        <w:rPr>
          <w:rFonts w:asciiTheme="majorHAnsi" w:hAnsiTheme="majorHAnsi"/>
          <w:bCs/>
          <w:sz w:val="20"/>
          <w:szCs w:val="20"/>
          <w:lang w:val="es-ES_tradnl"/>
        </w:rPr>
        <w:t xml:space="preserve"> demanda. En la copia de la sentencia se observa que </w:t>
      </w:r>
      <w:r w:rsidR="004D6D69" w:rsidRPr="00D97135">
        <w:rPr>
          <w:rFonts w:asciiTheme="majorHAnsi" w:hAnsiTheme="majorHAnsi"/>
          <w:bCs/>
          <w:sz w:val="20"/>
          <w:szCs w:val="20"/>
          <w:lang w:val="es-ES_tradnl"/>
        </w:rPr>
        <w:t xml:space="preserve">el juzgado citó como norma aplicable el artículo 112(3) del Código Procesal de la provincia el cual indicaba que: </w:t>
      </w:r>
    </w:p>
    <w:p w14:paraId="77CF445C" w14:textId="53C7E150" w:rsidR="004D6D69" w:rsidRPr="00D97135" w:rsidRDefault="004D6D69" w:rsidP="004D6D69">
      <w:pPr>
        <w:pStyle w:val="ListParagraph"/>
        <w:spacing w:before="240" w:after="240"/>
        <w:ind w:right="720"/>
        <w:jc w:val="both"/>
        <w:rPr>
          <w:rFonts w:asciiTheme="majorHAnsi" w:hAnsiTheme="majorHAnsi"/>
          <w:bCs/>
          <w:sz w:val="20"/>
          <w:szCs w:val="20"/>
          <w:lang w:val="es-ES_tradnl"/>
        </w:rPr>
      </w:pPr>
      <w:r w:rsidRPr="00D97135">
        <w:rPr>
          <w:rFonts w:asciiTheme="majorHAnsi" w:hAnsiTheme="majorHAnsi"/>
          <w:bCs/>
          <w:sz w:val="20"/>
          <w:szCs w:val="20"/>
          <w:lang w:val="es-ES_tradnl"/>
        </w:rPr>
        <w:t>Se concederán (las medidas precautorias) bajo responsabilidad del solicitante, quien deberá otorgar la contracautela dispuesta por la ley o por el tribunal para responder de los daños y perjuicios que pudiera ocasionar en el caso de haber sido pedida sin derech</w:t>
      </w:r>
      <w:r w:rsidR="00BC3B79" w:rsidRPr="00D97135">
        <w:rPr>
          <w:rFonts w:asciiTheme="majorHAnsi" w:hAnsiTheme="majorHAnsi"/>
          <w:bCs/>
          <w:sz w:val="20"/>
          <w:szCs w:val="20"/>
          <w:lang w:val="es-ES_tradnl"/>
        </w:rPr>
        <w:t>o.</w:t>
      </w:r>
    </w:p>
    <w:p w14:paraId="3D7E2399" w14:textId="185B098F" w:rsidR="009951E5" w:rsidRPr="00D97135" w:rsidRDefault="00BC3B79" w:rsidP="005A0FB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En la </w:t>
      </w:r>
      <w:r w:rsidR="00C35F34" w:rsidRPr="00D97135">
        <w:rPr>
          <w:rFonts w:asciiTheme="majorHAnsi" w:hAnsiTheme="majorHAnsi"/>
          <w:bCs/>
          <w:sz w:val="20"/>
          <w:szCs w:val="20"/>
          <w:lang w:val="es-ES_tradnl"/>
        </w:rPr>
        <w:t>sentencia</w:t>
      </w:r>
      <w:r w:rsidRPr="00D97135">
        <w:rPr>
          <w:rFonts w:asciiTheme="majorHAnsi" w:hAnsiTheme="majorHAnsi"/>
          <w:bCs/>
          <w:sz w:val="20"/>
          <w:szCs w:val="20"/>
          <w:lang w:val="es-ES_tradnl"/>
        </w:rPr>
        <w:t xml:space="preserve"> se observa que, cita</w:t>
      </w:r>
      <w:r w:rsidR="00C6607E" w:rsidRPr="00D97135">
        <w:rPr>
          <w:rFonts w:asciiTheme="majorHAnsi" w:hAnsiTheme="majorHAnsi"/>
          <w:bCs/>
          <w:sz w:val="20"/>
          <w:szCs w:val="20"/>
          <w:lang w:val="es-ES_tradnl"/>
        </w:rPr>
        <w:t>n</w:t>
      </w:r>
      <w:r w:rsidRPr="00D97135">
        <w:rPr>
          <w:rFonts w:asciiTheme="majorHAnsi" w:hAnsiTheme="majorHAnsi"/>
          <w:bCs/>
          <w:sz w:val="20"/>
          <w:szCs w:val="20"/>
          <w:lang w:val="es-ES_tradnl"/>
        </w:rPr>
        <w:t xml:space="preserve">do </w:t>
      </w:r>
      <w:r w:rsidR="00C6607E" w:rsidRPr="00D97135">
        <w:rPr>
          <w:rFonts w:asciiTheme="majorHAnsi" w:hAnsiTheme="majorHAnsi"/>
          <w:bCs/>
          <w:sz w:val="20"/>
          <w:szCs w:val="20"/>
          <w:lang w:val="es-ES_tradnl"/>
        </w:rPr>
        <w:t>este</w:t>
      </w:r>
      <w:r w:rsidRPr="00D97135">
        <w:rPr>
          <w:rFonts w:asciiTheme="majorHAnsi" w:hAnsiTheme="majorHAnsi"/>
          <w:bCs/>
          <w:sz w:val="20"/>
          <w:szCs w:val="20"/>
          <w:lang w:val="es-ES_tradnl"/>
        </w:rPr>
        <w:t xml:space="preserve"> artículo, el</w:t>
      </w:r>
      <w:r w:rsidR="001E313A" w:rsidRPr="00D97135">
        <w:rPr>
          <w:rFonts w:asciiTheme="majorHAnsi" w:hAnsiTheme="majorHAnsi"/>
          <w:bCs/>
          <w:sz w:val="20"/>
          <w:szCs w:val="20"/>
          <w:lang w:val="es-ES_tradnl"/>
        </w:rPr>
        <w:t xml:space="preserve"> juzgado</w:t>
      </w:r>
      <w:r w:rsidRPr="00D97135">
        <w:rPr>
          <w:rFonts w:asciiTheme="majorHAnsi" w:hAnsiTheme="majorHAnsi"/>
          <w:bCs/>
          <w:sz w:val="20"/>
          <w:szCs w:val="20"/>
          <w:lang w:val="es-ES_tradnl"/>
        </w:rPr>
        <w:t xml:space="preserve"> </w:t>
      </w:r>
      <w:r w:rsidR="00C35F34" w:rsidRPr="00D97135">
        <w:rPr>
          <w:rFonts w:asciiTheme="majorHAnsi" w:hAnsiTheme="majorHAnsi"/>
          <w:bCs/>
          <w:sz w:val="20"/>
          <w:szCs w:val="20"/>
          <w:lang w:val="es-ES_tradnl"/>
        </w:rPr>
        <w:t>indicó</w:t>
      </w:r>
      <w:r w:rsidRPr="00D97135">
        <w:rPr>
          <w:rFonts w:asciiTheme="majorHAnsi" w:hAnsiTheme="majorHAnsi"/>
          <w:bCs/>
          <w:sz w:val="20"/>
          <w:szCs w:val="20"/>
          <w:lang w:val="es-ES_tradnl"/>
        </w:rPr>
        <w:t xml:space="preserve"> que existía discrepancia en la jurisprudencia y doctrina doméstica con respecto a la obligación de indemnizar </w:t>
      </w:r>
      <w:r w:rsidR="001E313A" w:rsidRPr="00D97135">
        <w:rPr>
          <w:rFonts w:asciiTheme="majorHAnsi" w:hAnsiTheme="majorHAnsi"/>
          <w:bCs/>
          <w:sz w:val="20"/>
          <w:szCs w:val="20"/>
          <w:lang w:val="es-ES_tradnl"/>
        </w:rPr>
        <w:t>por daños causados por medidas cautelares que fueron levantadas o dictadas en el marco de procesos en que el solicitante no tuvo éxito</w:t>
      </w:r>
      <w:r w:rsidR="00C35F34" w:rsidRPr="00D97135">
        <w:rPr>
          <w:rFonts w:asciiTheme="majorHAnsi" w:hAnsiTheme="majorHAnsi"/>
          <w:bCs/>
          <w:sz w:val="20"/>
          <w:szCs w:val="20"/>
          <w:lang w:val="es-ES_tradnl"/>
        </w:rPr>
        <w:t>.</w:t>
      </w:r>
      <w:r w:rsidR="001E313A" w:rsidRPr="00D97135">
        <w:rPr>
          <w:rFonts w:asciiTheme="majorHAnsi" w:hAnsiTheme="majorHAnsi"/>
          <w:bCs/>
          <w:sz w:val="20"/>
          <w:szCs w:val="20"/>
          <w:lang w:val="es-ES_tradnl"/>
        </w:rPr>
        <w:t xml:space="preserve"> </w:t>
      </w:r>
      <w:r w:rsidR="00C35F34" w:rsidRPr="00D97135">
        <w:rPr>
          <w:rFonts w:asciiTheme="majorHAnsi" w:hAnsiTheme="majorHAnsi"/>
          <w:bCs/>
          <w:sz w:val="20"/>
          <w:szCs w:val="20"/>
          <w:lang w:val="es-ES_tradnl"/>
        </w:rPr>
        <w:t>U</w:t>
      </w:r>
      <w:r w:rsidR="001E313A" w:rsidRPr="00D97135">
        <w:rPr>
          <w:rFonts w:asciiTheme="majorHAnsi" w:hAnsiTheme="majorHAnsi"/>
          <w:bCs/>
          <w:sz w:val="20"/>
          <w:szCs w:val="20"/>
          <w:lang w:val="es-ES_tradnl"/>
        </w:rPr>
        <w:t xml:space="preserve">nas fuentes defendiendo una tesis subjetiva según la </w:t>
      </w:r>
      <w:r w:rsidR="00C35F34" w:rsidRPr="00D97135">
        <w:rPr>
          <w:rFonts w:asciiTheme="majorHAnsi" w:hAnsiTheme="majorHAnsi"/>
          <w:bCs/>
          <w:sz w:val="20"/>
          <w:szCs w:val="20"/>
          <w:lang w:val="es-ES_tradnl"/>
        </w:rPr>
        <w:t>cual la</w:t>
      </w:r>
      <w:r w:rsidR="001E313A" w:rsidRPr="00D97135">
        <w:rPr>
          <w:rFonts w:asciiTheme="majorHAnsi" w:hAnsiTheme="majorHAnsi"/>
          <w:bCs/>
          <w:sz w:val="20"/>
          <w:szCs w:val="20"/>
          <w:lang w:val="es-ES_tradnl"/>
        </w:rPr>
        <w:t xml:space="preserve"> indemnización solo procede cuando el damnificado prueba que la medida cautelar fue solicitada con culpa, dolo o mala f</w:t>
      </w:r>
      <w:r w:rsidR="009B0548" w:rsidRPr="00D97135">
        <w:rPr>
          <w:rFonts w:asciiTheme="majorHAnsi" w:hAnsiTheme="majorHAnsi"/>
          <w:bCs/>
          <w:sz w:val="20"/>
          <w:szCs w:val="20"/>
          <w:lang w:val="es-ES_tradnl"/>
        </w:rPr>
        <w:t>e</w:t>
      </w:r>
      <w:r w:rsidR="00C35F34" w:rsidRPr="00D97135">
        <w:rPr>
          <w:rFonts w:asciiTheme="majorHAnsi" w:hAnsiTheme="majorHAnsi"/>
          <w:bCs/>
          <w:sz w:val="20"/>
          <w:szCs w:val="20"/>
          <w:lang w:val="es-ES_tradnl"/>
        </w:rPr>
        <w:t>;</w:t>
      </w:r>
      <w:r w:rsidR="009B0548" w:rsidRPr="00D97135">
        <w:rPr>
          <w:rFonts w:asciiTheme="majorHAnsi" w:hAnsiTheme="majorHAnsi"/>
          <w:bCs/>
          <w:sz w:val="20"/>
          <w:szCs w:val="20"/>
          <w:lang w:val="es-ES_tradnl"/>
        </w:rPr>
        <w:t xml:space="preserve"> y otras fuentes una tesis objetiva según la que la obligación de indemnizar existiría por el solo hecho del rechazo de la demanda que sustentó la cautelar.</w:t>
      </w:r>
    </w:p>
    <w:p w14:paraId="52F6AD0D" w14:textId="4D417251" w:rsidR="004D6D69" w:rsidRPr="00D97135" w:rsidRDefault="009B0548" w:rsidP="005A0FB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 El </w:t>
      </w:r>
      <w:r w:rsidR="00D35864" w:rsidRPr="00D97135">
        <w:rPr>
          <w:rFonts w:asciiTheme="majorHAnsi" w:hAnsiTheme="majorHAnsi"/>
          <w:bCs/>
          <w:sz w:val="20"/>
          <w:szCs w:val="20"/>
          <w:lang w:val="es-ES_tradnl"/>
        </w:rPr>
        <w:t>J</w:t>
      </w:r>
      <w:r w:rsidRPr="00D97135">
        <w:rPr>
          <w:rFonts w:asciiTheme="majorHAnsi" w:hAnsiTheme="majorHAnsi"/>
          <w:bCs/>
          <w:sz w:val="20"/>
          <w:szCs w:val="20"/>
          <w:lang w:val="es-ES_tradnl"/>
        </w:rPr>
        <w:t>uzgado señaló adherirse a la tesis subjetiva</w:t>
      </w:r>
      <w:r w:rsidR="00C35F34" w:rsidRPr="00D97135">
        <w:rPr>
          <w:rFonts w:asciiTheme="majorHAnsi" w:hAnsiTheme="majorHAnsi"/>
          <w:bCs/>
          <w:sz w:val="20"/>
          <w:szCs w:val="20"/>
          <w:lang w:val="es-ES_tradnl"/>
        </w:rPr>
        <w:t>,</w:t>
      </w:r>
      <w:r w:rsidR="006E0033" w:rsidRPr="00D97135">
        <w:rPr>
          <w:rFonts w:asciiTheme="majorHAnsi" w:hAnsiTheme="majorHAnsi"/>
          <w:bCs/>
          <w:sz w:val="20"/>
          <w:szCs w:val="20"/>
          <w:lang w:val="es-ES_tradnl"/>
        </w:rPr>
        <w:t xml:space="preserve"> y determinó que la empresa que demandó al peticionario no había actuado con culpa ni dolo al solicitar las medidas cautelares. </w:t>
      </w:r>
      <w:r w:rsidR="00C35F34" w:rsidRPr="00D97135">
        <w:rPr>
          <w:rFonts w:asciiTheme="majorHAnsi" w:hAnsiTheme="majorHAnsi"/>
          <w:bCs/>
          <w:sz w:val="20"/>
          <w:szCs w:val="20"/>
          <w:lang w:val="es-ES_tradnl"/>
        </w:rPr>
        <w:t>Sobre la base de</w:t>
      </w:r>
      <w:r w:rsidR="006E0033" w:rsidRPr="00D97135">
        <w:rPr>
          <w:rFonts w:asciiTheme="majorHAnsi" w:hAnsiTheme="majorHAnsi"/>
          <w:bCs/>
          <w:sz w:val="20"/>
          <w:szCs w:val="20"/>
          <w:lang w:val="es-ES_tradnl"/>
        </w:rPr>
        <w:t xml:space="preserve"> que el peticionario había </w:t>
      </w:r>
      <w:r w:rsidR="00C35F34" w:rsidRPr="00D97135">
        <w:rPr>
          <w:rFonts w:asciiTheme="majorHAnsi" w:hAnsiTheme="majorHAnsi"/>
          <w:bCs/>
          <w:sz w:val="20"/>
          <w:szCs w:val="20"/>
          <w:lang w:val="es-ES_tradnl"/>
        </w:rPr>
        <w:t>adoptado</w:t>
      </w:r>
      <w:r w:rsidR="006E0033" w:rsidRPr="00D97135">
        <w:rPr>
          <w:rFonts w:asciiTheme="majorHAnsi" w:hAnsiTheme="majorHAnsi"/>
          <w:bCs/>
          <w:sz w:val="20"/>
          <w:szCs w:val="20"/>
          <w:lang w:val="es-ES_tradnl"/>
        </w:rPr>
        <w:t xml:space="preserve"> una conducta “</w:t>
      </w:r>
      <w:r w:rsidR="006E0033" w:rsidRPr="00D97135">
        <w:rPr>
          <w:rFonts w:asciiTheme="majorHAnsi" w:hAnsiTheme="majorHAnsi"/>
          <w:bCs/>
          <w:i/>
          <w:iCs/>
          <w:sz w:val="20"/>
          <w:szCs w:val="20"/>
          <w:lang w:val="es-ES_tradnl"/>
        </w:rPr>
        <w:t>omisiva y complaciente respecto de las actividades</w:t>
      </w:r>
      <w:r w:rsidR="009951E5" w:rsidRPr="00D97135">
        <w:rPr>
          <w:rFonts w:asciiTheme="majorHAnsi" w:hAnsiTheme="majorHAnsi"/>
          <w:bCs/>
          <w:i/>
          <w:iCs/>
          <w:sz w:val="20"/>
          <w:szCs w:val="20"/>
          <w:lang w:val="es-ES_tradnl"/>
        </w:rPr>
        <w:t xml:space="preserve"> cumplidas por su esposa</w:t>
      </w:r>
      <w:r w:rsidR="009951E5" w:rsidRPr="00D97135">
        <w:rPr>
          <w:rFonts w:asciiTheme="majorHAnsi" w:hAnsiTheme="majorHAnsi"/>
          <w:bCs/>
          <w:sz w:val="20"/>
          <w:szCs w:val="20"/>
          <w:lang w:val="es-ES_tradnl"/>
        </w:rPr>
        <w:t>”</w:t>
      </w:r>
      <w:r w:rsidR="00D35864" w:rsidRPr="00D97135">
        <w:rPr>
          <w:rFonts w:asciiTheme="majorHAnsi" w:hAnsiTheme="majorHAnsi"/>
          <w:bCs/>
          <w:sz w:val="20"/>
          <w:szCs w:val="20"/>
          <w:lang w:val="es-ES_tradnl"/>
        </w:rPr>
        <w:t>;</w:t>
      </w:r>
      <w:r w:rsidR="009951E5" w:rsidRPr="00D97135">
        <w:rPr>
          <w:rFonts w:asciiTheme="majorHAnsi" w:hAnsiTheme="majorHAnsi"/>
          <w:bCs/>
          <w:sz w:val="20"/>
          <w:szCs w:val="20"/>
          <w:lang w:val="es-ES_tradnl"/>
        </w:rPr>
        <w:t xml:space="preserve"> y que la no responsabilidad de éste se determinó recién la finalización del proceso, y solo por la ausencia de una norma legal que lo obligara a denunciar los </w:t>
      </w:r>
      <w:r w:rsidR="001E508F" w:rsidRPr="00D97135">
        <w:rPr>
          <w:rFonts w:asciiTheme="majorHAnsi" w:hAnsiTheme="majorHAnsi"/>
          <w:bCs/>
          <w:sz w:val="20"/>
          <w:szCs w:val="20"/>
          <w:lang w:val="es-ES_tradnl"/>
        </w:rPr>
        <w:t>actos</w:t>
      </w:r>
      <w:r w:rsidR="009951E5" w:rsidRPr="00D97135">
        <w:rPr>
          <w:rFonts w:asciiTheme="majorHAnsi" w:hAnsiTheme="majorHAnsi"/>
          <w:bCs/>
          <w:sz w:val="20"/>
          <w:szCs w:val="20"/>
          <w:lang w:val="es-ES_tradnl"/>
        </w:rPr>
        <w:t xml:space="preserve"> </w:t>
      </w:r>
      <w:r w:rsidR="001E508F" w:rsidRPr="00D97135">
        <w:rPr>
          <w:rFonts w:asciiTheme="majorHAnsi" w:hAnsiTheme="majorHAnsi"/>
          <w:bCs/>
          <w:sz w:val="20"/>
          <w:szCs w:val="20"/>
          <w:lang w:val="es-ES_tradnl"/>
        </w:rPr>
        <w:t>perpetrados</w:t>
      </w:r>
      <w:r w:rsidR="009951E5" w:rsidRPr="00D97135">
        <w:rPr>
          <w:rFonts w:asciiTheme="majorHAnsi" w:hAnsiTheme="majorHAnsi"/>
          <w:bCs/>
          <w:sz w:val="20"/>
          <w:szCs w:val="20"/>
          <w:lang w:val="es-ES_tradnl"/>
        </w:rPr>
        <w:t xml:space="preserve"> por su </w:t>
      </w:r>
      <w:r w:rsidR="001E508F" w:rsidRPr="00D97135">
        <w:rPr>
          <w:rFonts w:asciiTheme="majorHAnsi" w:hAnsiTheme="majorHAnsi"/>
          <w:bCs/>
          <w:sz w:val="20"/>
          <w:szCs w:val="20"/>
          <w:lang w:val="es-ES_tradnl"/>
        </w:rPr>
        <w:t>ex</w:t>
      </w:r>
      <w:r w:rsidR="009951E5" w:rsidRPr="00D97135">
        <w:rPr>
          <w:rFonts w:asciiTheme="majorHAnsi" w:hAnsiTheme="majorHAnsi"/>
          <w:bCs/>
          <w:sz w:val="20"/>
          <w:szCs w:val="20"/>
          <w:lang w:val="es-ES_tradnl"/>
        </w:rPr>
        <w:t xml:space="preserve">esposa. </w:t>
      </w:r>
      <w:r w:rsidR="00B323A5" w:rsidRPr="00D97135">
        <w:rPr>
          <w:rFonts w:asciiTheme="majorHAnsi" w:hAnsiTheme="majorHAnsi"/>
          <w:bCs/>
          <w:sz w:val="20"/>
          <w:szCs w:val="20"/>
          <w:lang w:val="es-ES_tradnl"/>
        </w:rPr>
        <w:t xml:space="preserve">El juzgado además señaló que el peticionario no había probado haber sufrido daños, no bastando para ello el mero hecho de que algunos de sus bienes hubiesen </w:t>
      </w:r>
      <w:r w:rsidR="00D35864" w:rsidRPr="00D97135">
        <w:rPr>
          <w:rFonts w:asciiTheme="majorHAnsi" w:hAnsiTheme="majorHAnsi"/>
          <w:bCs/>
          <w:sz w:val="20"/>
          <w:szCs w:val="20"/>
          <w:lang w:val="es-ES_tradnl"/>
        </w:rPr>
        <w:t xml:space="preserve">sido </w:t>
      </w:r>
      <w:r w:rsidR="00B323A5" w:rsidRPr="00D97135">
        <w:rPr>
          <w:rFonts w:asciiTheme="majorHAnsi" w:hAnsiTheme="majorHAnsi"/>
          <w:bCs/>
          <w:sz w:val="20"/>
          <w:szCs w:val="20"/>
          <w:lang w:val="es-ES_tradnl"/>
        </w:rPr>
        <w:t xml:space="preserve">sujetos a una medida cautelar. </w:t>
      </w:r>
    </w:p>
    <w:p w14:paraId="085C1C7A" w14:textId="2760B6E2" w:rsidR="00E8774B" w:rsidRPr="00D97135" w:rsidRDefault="00D35864" w:rsidP="00A06456">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Contra la decisión del </w:t>
      </w:r>
      <w:r w:rsidR="005B70F2" w:rsidRPr="00D97135">
        <w:rPr>
          <w:rFonts w:asciiTheme="majorHAnsi" w:hAnsiTheme="majorHAnsi"/>
          <w:bCs/>
          <w:sz w:val="20"/>
          <w:szCs w:val="20"/>
          <w:lang w:val="es-ES_tradnl"/>
        </w:rPr>
        <w:t>j</w:t>
      </w:r>
      <w:r w:rsidRPr="00D97135">
        <w:rPr>
          <w:rFonts w:asciiTheme="majorHAnsi" w:hAnsiTheme="majorHAnsi"/>
          <w:bCs/>
          <w:sz w:val="20"/>
          <w:szCs w:val="20"/>
          <w:lang w:val="es-ES_tradnl"/>
        </w:rPr>
        <w:t xml:space="preserve">uzgado el peticionario interpuso </w:t>
      </w:r>
      <w:r w:rsidR="005B70F2" w:rsidRPr="00D97135">
        <w:rPr>
          <w:rFonts w:asciiTheme="majorHAnsi" w:hAnsiTheme="majorHAnsi"/>
          <w:bCs/>
          <w:sz w:val="20"/>
          <w:szCs w:val="20"/>
          <w:lang w:val="es-ES_tradnl"/>
        </w:rPr>
        <w:t xml:space="preserve">un </w:t>
      </w:r>
      <w:r w:rsidRPr="00D97135">
        <w:rPr>
          <w:rFonts w:asciiTheme="majorHAnsi" w:hAnsiTheme="majorHAnsi"/>
          <w:bCs/>
          <w:sz w:val="20"/>
          <w:szCs w:val="20"/>
          <w:lang w:val="es-ES_tradnl"/>
        </w:rPr>
        <w:t xml:space="preserve">recurso de apelación. </w:t>
      </w:r>
      <w:r w:rsidR="00A23125" w:rsidRPr="00D97135">
        <w:rPr>
          <w:rFonts w:asciiTheme="majorHAnsi" w:hAnsiTheme="majorHAnsi"/>
          <w:bCs/>
          <w:sz w:val="20"/>
          <w:szCs w:val="20"/>
          <w:lang w:val="es-ES_tradnl"/>
        </w:rPr>
        <w:t>En la copia del recurso se observa que el peticionario</w:t>
      </w:r>
      <w:r w:rsidR="006E393E" w:rsidRPr="00D97135">
        <w:rPr>
          <w:rFonts w:asciiTheme="majorHAnsi" w:hAnsiTheme="majorHAnsi"/>
          <w:bCs/>
          <w:sz w:val="20"/>
          <w:szCs w:val="20"/>
          <w:lang w:val="es-ES_tradnl"/>
        </w:rPr>
        <w:t xml:space="preserve"> reclamó que el </w:t>
      </w:r>
      <w:r w:rsidR="005B70F2" w:rsidRPr="00D97135">
        <w:rPr>
          <w:rFonts w:asciiTheme="majorHAnsi" w:hAnsiTheme="majorHAnsi"/>
          <w:bCs/>
          <w:sz w:val="20"/>
          <w:szCs w:val="20"/>
          <w:lang w:val="es-ES_tradnl"/>
        </w:rPr>
        <w:t>juzgado</w:t>
      </w:r>
      <w:r w:rsidR="006E393E" w:rsidRPr="00D97135">
        <w:rPr>
          <w:rFonts w:asciiTheme="majorHAnsi" w:hAnsiTheme="majorHAnsi"/>
          <w:bCs/>
          <w:sz w:val="20"/>
          <w:szCs w:val="20"/>
          <w:lang w:val="es-ES_tradnl"/>
        </w:rPr>
        <w:t xml:space="preserve"> reconoció que la norma aplicable era el referido artículo 112(3) del Código Procesal provincial</w:t>
      </w:r>
      <w:r w:rsidR="005B70F2" w:rsidRPr="00D97135">
        <w:rPr>
          <w:rFonts w:asciiTheme="majorHAnsi" w:hAnsiTheme="majorHAnsi"/>
          <w:bCs/>
          <w:sz w:val="20"/>
          <w:szCs w:val="20"/>
          <w:lang w:val="es-ES_tradnl"/>
        </w:rPr>
        <w:t>,</w:t>
      </w:r>
      <w:r w:rsidR="006E393E" w:rsidRPr="00D97135">
        <w:rPr>
          <w:rFonts w:asciiTheme="majorHAnsi" w:hAnsiTheme="majorHAnsi"/>
          <w:bCs/>
          <w:sz w:val="20"/>
          <w:szCs w:val="20"/>
          <w:lang w:val="es-ES_tradnl"/>
        </w:rPr>
        <w:t xml:space="preserve"> y que, pese a ello, injustificadamente invocó la tesis subjetivista para aplicar</w:t>
      </w:r>
      <w:r w:rsidR="00A06456" w:rsidRPr="00D97135">
        <w:rPr>
          <w:rFonts w:asciiTheme="majorHAnsi" w:hAnsiTheme="majorHAnsi"/>
          <w:bCs/>
          <w:sz w:val="20"/>
          <w:szCs w:val="20"/>
          <w:lang w:val="es-ES_tradnl"/>
        </w:rPr>
        <w:t xml:space="preserve"> </w:t>
      </w:r>
      <w:r w:rsidR="006E393E" w:rsidRPr="00D97135">
        <w:rPr>
          <w:rFonts w:asciiTheme="majorHAnsi" w:hAnsiTheme="majorHAnsi"/>
          <w:bCs/>
          <w:sz w:val="20"/>
          <w:szCs w:val="20"/>
          <w:lang w:val="es-ES_tradnl"/>
        </w:rPr>
        <w:t>un requisito de demostrar la culpa de quien solicitó las cautelares</w:t>
      </w:r>
      <w:r w:rsidR="00A06456" w:rsidRPr="00D97135">
        <w:rPr>
          <w:rFonts w:asciiTheme="majorHAnsi" w:hAnsiTheme="majorHAnsi"/>
          <w:bCs/>
          <w:sz w:val="20"/>
          <w:szCs w:val="20"/>
          <w:lang w:val="es-ES_tradnl"/>
        </w:rPr>
        <w:t xml:space="preserve"> no previsto en el texto de esa norma.</w:t>
      </w:r>
      <w:r w:rsidR="006E393E" w:rsidRPr="00D97135">
        <w:rPr>
          <w:rFonts w:asciiTheme="majorHAnsi" w:hAnsiTheme="majorHAnsi"/>
          <w:bCs/>
          <w:sz w:val="20"/>
          <w:szCs w:val="20"/>
          <w:lang w:val="es-ES_tradnl"/>
        </w:rPr>
        <w:t xml:space="preserve"> El peticionario además argumentó </w:t>
      </w:r>
      <w:r w:rsidR="004D61A6" w:rsidRPr="00D97135">
        <w:rPr>
          <w:rFonts w:asciiTheme="majorHAnsi" w:hAnsiTheme="majorHAnsi"/>
          <w:bCs/>
          <w:sz w:val="20"/>
          <w:szCs w:val="20"/>
          <w:lang w:val="es-ES_tradnl"/>
        </w:rPr>
        <w:t>que</w:t>
      </w:r>
      <w:r w:rsidR="005B70F2" w:rsidRPr="00D97135">
        <w:rPr>
          <w:rFonts w:asciiTheme="majorHAnsi" w:hAnsiTheme="majorHAnsi"/>
          <w:bCs/>
          <w:sz w:val="20"/>
          <w:szCs w:val="20"/>
          <w:lang w:val="es-ES_tradnl"/>
        </w:rPr>
        <w:t>,</w:t>
      </w:r>
      <w:r w:rsidR="006E393E" w:rsidRPr="00D97135">
        <w:rPr>
          <w:rFonts w:asciiTheme="majorHAnsi" w:hAnsiTheme="majorHAnsi"/>
          <w:bCs/>
          <w:sz w:val="20"/>
          <w:szCs w:val="20"/>
          <w:lang w:val="es-ES_tradnl"/>
        </w:rPr>
        <w:t xml:space="preserve"> </w:t>
      </w:r>
      <w:r w:rsidR="005B70F2" w:rsidRPr="00D97135">
        <w:rPr>
          <w:rFonts w:asciiTheme="majorHAnsi" w:hAnsiTheme="majorHAnsi"/>
          <w:bCs/>
          <w:sz w:val="20"/>
          <w:szCs w:val="20"/>
          <w:lang w:val="es-ES_tradnl"/>
        </w:rPr>
        <w:t>aun</w:t>
      </w:r>
      <w:r w:rsidR="006E393E" w:rsidRPr="00D97135">
        <w:rPr>
          <w:rFonts w:asciiTheme="majorHAnsi" w:hAnsiTheme="majorHAnsi"/>
          <w:bCs/>
          <w:sz w:val="20"/>
          <w:szCs w:val="20"/>
          <w:lang w:val="es-ES_tradnl"/>
        </w:rPr>
        <w:t xml:space="preserve"> acept</w:t>
      </w:r>
      <w:r w:rsidR="00371CCA" w:rsidRPr="00D97135">
        <w:rPr>
          <w:rFonts w:asciiTheme="majorHAnsi" w:hAnsiTheme="majorHAnsi"/>
          <w:bCs/>
          <w:sz w:val="20"/>
          <w:szCs w:val="20"/>
          <w:lang w:val="es-ES_tradnl"/>
        </w:rPr>
        <w:t>ándose el requisito de culpa,</w:t>
      </w:r>
      <w:r w:rsidR="004D61A6" w:rsidRPr="00D97135">
        <w:rPr>
          <w:rFonts w:asciiTheme="majorHAnsi" w:hAnsiTheme="majorHAnsi"/>
          <w:bCs/>
          <w:sz w:val="20"/>
          <w:szCs w:val="20"/>
          <w:lang w:val="es-ES_tradnl"/>
        </w:rPr>
        <w:t xml:space="preserve"> el </w:t>
      </w:r>
      <w:r w:rsidR="00895867" w:rsidRPr="00D97135">
        <w:rPr>
          <w:rFonts w:asciiTheme="majorHAnsi" w:hAnsiTheme="majorHAnsi"/>
          <w:bCs/>
          <w:sz w:val="20"/>
          <w:szCs w:val="20"/>
          <w:lang w:val="es-ES_tradnl"/>
        </w:rPr>
        <w:t>j</w:t>
      </w:r>
      <w:r w:rsidR="00371CCA" w:rsidRPr="00D97135">
        <w:rPr>
          <w:rFonts w:asciiTheme="majorHAnsi" w:hAnsiTheme="majorHAnsi"/>
          <w:bCs/>
          <w:sz w:val="20"/>
          <w:szCs w:val="20"/>
          <w:lang w:val="es-ES_tradnl"/>
        </w:rPr>
        <w:t>uzgado había actuado arbitrariamente al ignorar</w:t>
      </w:r>
      <w:r w:rsidR="004D61A6" w:rsidRPr="00D97135">
        <w:rPr>
          <w:rFonts w:asciiTheme="majorHAnsi" w:hAnsiTheme="majorHAnsi"/>
          <w:bCs/>
          <w:sz w:val="20"/>
          <w:szCs w:val="20"/>
          <w:lang w:val="es-ES_tradnl"/>
        </w:rPr>
        <w:t xml:space="preserve"> que el socio mayoritario de la empresa que lo demandó </w:t>
      </w:r>
      <w:r w:rsidR="00371CCA" w:rsidRPr="00D97135">
        <w:rPr>
          <w:rFonts w:asciiTheme="majorHAnsi" w:hAnsiTheme="majorHAnsi"/>
          <w:bCs/>
          <w:sz w:val="20"/>
          <w:szCs w:val="20"/>
          <w:lang w:val="es-ES_tradnl"/>
        </w:rPr>
        <w:t>había actuado</w:t>
      </w:r>
      <w:r w:rsidR="004D61A6" w:rsidRPr="00D97135">
        <w:rPr>
          <w:rFonts w:asciiTheme="majorHAnsi" w:hAnsiTheme="majorHAnsi"/>
          <w:bCs/>
          <w:sz w:val="20"/>
          <w:szCs w:val="20"/>
          <w:lang w:val="es-ES_tradnl"/>
        </w:rPr>
        <w:t xml:space="preserve"> en abuso de derecho</w:t>
      </w:r>
      <w:r w:rsidR="00371CCA" w:rsidRPr="00D97135">
        <w:rPr>
          <w:rFonts w:asciiTheme="majorHAnsi" w:hAnsiTheme="majorHAnsi"/>
          <w:bCs/>
          <w:sz w:val="20"/>
          <w:szCs w:val="20"/>
          <w:lang w:val="es-ES_tradnl"/>
        </w:rPr>
        <w:t>;</w:t>
      </w:r>
      <w:r w:rsidR="004D61A6" w:rsidRPr="00D97135">
        <w:rPr>
          <w:rFonts w:asciiTheme="majorHAnsi" w:hAnsiTheme="majorHAnsi"/>
          <w:bCs/>
          <w:sz w:val="20"/>
          <w:szCs w:val="20"/>
          <w:lang w:val="es-ES_tradnl"/>
        </w:rPr>
        <w:t xml:space="preserve"> pues, al ser amante de </w:t>
      </w:r>
      <w:r w:rsidR="00170906" w:rsidRPr="00D97135">
        <w:rPr>
          <w:rFonts w:asciiTheme="majorHAnsi" w:hAnsiTheme="majorHAnsi"/>
          <w:bCs/>
          <w:sz w:val="20"/>
          <w:szCs w:val="20"/>
          <w:lang w:val="es-ES_tradnl"/>
        </w:rPr>
        <w:t>su</w:t>
      </w:r>
      <w:r w:rsidR="004D61A6" w:rsidRPr="00D97135">
        <w:rPr>
          <w:rFonts w:asciiTheme="majorHAnsi" w:hAnsiTheme="majorHAnsi"/>
          <w:bCs/>
          <w:sz w:val="20"/>
          <w:szCs w:val="20"/>
          <w:lang w:val="es-ES_tradnl"/>
        </w:rPr>
        <w:t xml:space="preserve"> exesposa, conocía que </w:t>
      </w:r>
      <w:r w:rsidR="00626F6A" w:rsidRPr="00D97135">
        <w:rPr>
          <w:rFonts w:asciiTheme="majorHAnsi" w:hAnsiTheme="majorHAnsi"/>
          <w:bCs/>
          <w:sz w:val="20"/>
          <w:szCs w:val="20"/>
          <w:lang w:val="es-ES_tradnl"/>
        </w:rPr>
        <w:t>aquella</w:t>
      </w:r>
      <w:r w:rsidR="004D61A6" w:rsidRPr="00D97135">
        <w:rPr>
          <w:rFonts w:asciiTheme="majorHAnsi" w:hAnsiTheme="majorHAnsi"/>
          <w:bCs/>
          <w:sz w:val="20"/>
          <w:szCs w:val="20"/>
          <w:lang w:val="es-ES_tradnl"/>
        </w:rPr>
        <w:t xml:space="preserve"> había desarrollado las conductas antijurídicas a </w:t>
      </w:r>
      <w:r w:rsidR="00170906" w:rsidRPr="00D97135">
        <w:rPr>
          <w:rFonts w:asciiTheme="majorHAnsi" w:hAnsiTheme="majorHAnsi"/>
          <w:bCs/>
          <w:sz w:val="20"/>
          <w:szCs w:val="20"/>
          <w:lang w:val="es-ES_tradnl"/>
        </w:rPr>
        <w:t>sus espaldas</w:t>
      </w:r>
      <w:r w:rsidR="004D61A6" w:rsidRPr="00D97135">
        <w:rPr>
          <w:rFonts w:asciiTheme="majorHAnsi" w:hAnsiTheme="majorHAnsi"/>
          <w:bCs/>
          <w:sz w:val="20"/>
          <w:szCs w:val="20"/>
          <w:lang w:val="es-ES_tradnl"/>
        </w:rPr>
        <w:t xml:space="preserve">. </w:t>
      </w:r>
      <w:r w:rsidR="004C7E55" w:rsidRPr="00D97135">
        <w:rPr>
          <w:rFonts w:asciiTheme="majorHAnsi" w:hAnsiTheme="majorHAnsi"/>
          <w:bCs/>
          <w:sz w:val="20"/>
          <w:szCs w:val="20"/>
          <w:lang w:val="es-ES_tradnl"/>
        </w:rPr>
        <w:t>A esto, el peticionario agregó que la empresa demandante había actuado rayando en el dolo</w:t>
      </w:r>
      <w:r w:rsidR="00170906" w:rsidRPr="00D97135">
        <w:rPr>
          <w:rFonts w:asciiTheme="majorHAnsi" w:hAnsiTheme="majorHAnsi"/>
          <w:bCs/>
          <w:sz w:val="20"/>
          <w:szCs w:val="20"/>
          <w:lang w:val="es-ES_tradnl"/>
        </w:rPr>
        <w:t>,</w:t>
      </w:r>
      <w:r w:rsidR="004C7E55" w:rsidRPr="00D97135">
        <w:rPr>
          <w:rFonts w:asciiTheme="majorHAnsi" w:hAnsiTheme="majorHAnsi"/>
          <w:bCs/>
          <w:sz w:val="20"/>
          <w:szCs w:val="20"/>
          <w:lang w:val="es-ES_tradnl"/>
        </w:rPr>
        <w:t xml:space="preserve"> al mantener las medidas precautorias aún luego de la sentencia</w:t>
      </w:r>
      <w:r w:rsidR="00170906" w:rsidRPr="00D97135">
        <w:rPr>
          <w:rFonts w:asciiTheme="majorHAnsi" w:hAnsiTheme="majorHAnsi"/>
          <w:bCs/>
          <w:sz w:val="20"/>
          <w:szCs w:val="20"/>
          <w:lang w:val="es-ES_tradnl"/>
        </w:rPr>
        <w:t xml:space="preserve"> absolutoria</w:t>
      </w:r>
      <w:r w:rsidR="004C7E55" w:rsidRPr="00D97135">
        <w:rPr>
          <w:rFonts w:asciiTheme="majorHAnsi" w:hAnsiTheme="majorHAnsi"/>
          <w:bCs/>
          <w:sz w:val="20"/>
          <w:szCs w:val="20"/>
          <w:lang w:val="es-ES_tradnl"/>
        </w:rPr>
        <w:t xml:space="preserve"> de primera instancia</w:t>
      </w:r>
      <w:r w:rsidR="0019188E" w:rsidRPr="00D97135">
        <w:rPr>
          <w:rFonts w:asciiTheme="majorHAnsi" w:hAnsiTheme="majorHAnsi"/>
          <w:bCs/>
          <w:sz w:val="20"/>
          <w:szCs w:val="20"/>
          <w:lang w:val="es-ES_tradnl"/>
        </w:rPr>
        <w:t>,</w:t>
      </w:r>
      <w:r w:rsidR="004C7E55" w:rsidRPr="00D97135">
        <w:rPr>
          <w:rFonts w:asciiTheme="majorHAnsi" w:hAnsiTheme="majorHAnsi"/>
          <w:bCs/>
          <w:sz w:val="20"/>
          <w:szCs w:val="20"/>
          <w:lang w:val="es-ES_tradnl"/>
        </w:rPr>
        <w:t xml:space="preserve"> </w:t>
      </w:r>
      <w:r w:rsidR="0019188E" w:rsidRPr="00D97135">
        <w:rPr>
          <w:rFonts w:asciiTheme="majorHAnsi" w:hAnsiTheme="majorHAnsi"/>
          <w:bCs/>
          <w:sz w:val="20"/>
          <w:szCs w:val="20"/>
          <w:lang w:val="es-ES_tradnl"/>
        </w:rPr>
        <w:t xml:space="preserve">cuando ya existía confesión sobre la relación entre su exesposa y el socio mayoritario de la empresa. </w:t>
      </w:r>
    </w:p>
    <w:p w14:paraId="25D61F42" w14:textId="6888F7E9" w:rsidR="009951E5" w:rsidRPr="00D97135" w:rsidRDefault="00FC0862" w:rsidP="00A06456">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lastRenderedPageBreak/>
        <w:t>E</w:t>
      </w:r>
      <w:r w:rsidR="00E8774B" w:rsidRPr="00D97135">
        <w:rPr>
          <w:rFonts w:asciiTheme="majorHAnsi" w:hAnsiTheme="majorHAnsi"/>
          <w:bCs/>
          <w:sz w:val="20"/>
          <w:szCs w:val="20"/>
          <w:lang w:val="es-ES_tradnl"/>
        </w:rPr>
        <w:t>n su recurso de apelación, e</w:t>
      </w:r>
      <w:r w:rsidR="00071F1D" w:rsidRPr="00D97135">
        <w:rPr>
          <w:rFonts w:asciiTheme="majorHAnsi" w:hAnsiTheme="majorHAnsi"/>
          <w:bCs/>
          <w:sz w:val="20"/>
          <w:szCs w:val="20"/>
          <w:lang w:val="es-ES_tradnl"/>
        </w:rPr>
        <w:t>l peticionario</w:t>
      </w:r>
      <w:r w:rsidRPr="00D97135">
        <w:rPr>
          <w:rFonts w:asciiTheme="majorHAnsi" w:hAnsiTheme="majorHAnsi"/>
          <w:bCs/>
          <w:sz w:val="20"/>
          <w:szCs w:val="20"/>
          <w:lang w:val="es-ES_tradnl"/>
        </w:rPr>
        <w:t xml:space="preserve"> también</w:t>
      </w:r>
      <w:r w:rsidR="00071F1D" w:rsidRPr="00D97135">
        <w:rPr>
          <w:rFonts w:asciiTheme="majorHAnsi" w:hAnsiTheme="majorHAnsi"/>
          <w:bCs/>
          <w:sz w:val="20"/>
          <w:szCs w:val="20"/>
          <w:lang w:val="es-ES_tradnl"/>
        </w:rPr>
        <w:t xml:space="preserve"> </w:t>
      </w:r>
      <w:r w:rsidRPr="00D97135">
        <w:rPr>
          <w:rFonts w:asciiTheme="majorHAnsi" w:hAnsiTheme="majorHAnsi"/>
          <w:bCs/>
          <w:sz w:val="20"/>
          <w:szCs w:val="20"/>
          <w:lang w:val="es-ES_tradnl"/>
        </w:rPr>
        <w:t>argumentó</w:t>
      </w:r>
      <w:r w:rsidR="00071F1D" w:rsidRPr="00D97135">
        <w:rPr>
          <w:rFonts w:asciiTheme="majorHAnsi" w:hAnsiTheme="majorHAnsi"/>
          <w:bCs/>
          <w:sz w:val="20"/>
          <w:szCs w:val="20"/>
          <w:lang w:val="es-ES_tradnl"/>
        </w:rPr>
        <w:t xml:space="preserve"> que la decisión del </w:t>
      </w:r>
      <w:r w:rsidR="00EE69CC" w:rsidRPr="00D97135">
        <w:rPr>
          <w:rFonts w:asciiTheme="majorHAnsi" w:hAnsiTheme="majorHAnsi"/>
          <w:bCs/>
          <w:sz w:val="20"/>
          <w:szCs w:val="20"/>
          <w:lang w:val="es-ES_tradnl"/>
        </w:rPr>
        <w:t>j</w:t>
      </w:r>
      <w:r w:rsidR="00071F1D" w:rsidRPr="00D97135">
        <w:rPr>
          <w:rFonts w:asciiTheme="majorHAnsi" w:hAnsiTheme="majorHAnsi"/>
          <w:bCs/>
          <w:sz w:val="20"/>
          <w:szCs w:val="20"/>
          <w:lang w:val="es-ES_tradnl"/>
        </w:rPr>
        <w:t>uzgado había violentado el principio de cosa juzgada al atribuirle responsabilidades de las que ya había sido exento en los juicios penales y civiles interpuestos por la empres</w:t>
      </w:r>
      <w:r w:rsidR="00E8774B" w:rsidRPr="00D97135">
        <w:rPr>
          <w:rFonts w:asciiTheme="majorHAnsi" w:hAnsiTheme="majorHAnsi"/>
          <w:bCs/>
          <w:sz w:val="20"/>
          <w:szCs w:val="20"/>
          <w:lang w:val="es-ES_tradnl"/>
        </w:rPr>
        <w:t>a; y</w:t>
      </w:r>
      <w:r w:rsidR="00A06456" w:rsidRPr="00D97135">
        <w:rPr>
          <w:rFonts w:asciiTheme="majorHAnsi" w:hAnsiTheme="majorHAnsi"/>
          <w:bCs/>
          <w:sz w:val="20"/>
          <w:szCs w:val="20"/>
          <w:lang w:val="es-ES_tradnl"/>
        </w:rPr>
        <w:t xml:space="preserve"> que el </w:t>
      </w:r>
      <w:r w:rsidR="00EE69CC" w:rsidRPr="00D97135">
        <w:rPr>
          <w:rFonts w:asciiTheme="majorHAnsi" w:hAnsiTheme="majorHAnsi"/>
          <w:bCs/>
          <w:sz w:val="20"/>
          <w:szCs w:val="20"/>
          <w:lang w:val="es-ES_tradnl"/>
        </w:rPr>
        <w:t>j</w:t>
      </w:r>
      <w:r w:rsidR="00A06456" w:rsidRPr="00D97135">
        <w:rPr>
          <w:rFonts w:asciiTheme="majorHAnsi" w:hAnsiTheme="majorHAnsi"/>
          <w:bCs/>
          <w:sz w:val="20"/>
          <w:szCs w:val="20"/>
          <w:lang w:val="es-ES_tradnl"/>
        </w:rPr>
        <w:t>uzgado había omitido evaluar las pericias contables y psicológicas que él había aportado para demostrar los daños que sufrió.</w:t>
      </w:r>
      <w:r w:rsidR="0019188E" w:rsidRPr="00D97135">
        <w:rPr>
          <w:rFonts w:asciiTheme="majorHAnsi" w:hAnsiTheme="majorHAnsi"/>
          <w:bCs/>
          <w:sz w:val="20"/>
          <w:szCs w:val="20"/>
          <w:lang w:val="es-ES_tradnl"/>
        </w:rPr>
        <w:t xml:space="preserve"> </w:t>
      </w:r>
    </w:p>
    <w:p w14:paraId="14EDCAAA" w14:textId="7845600C" w:rsidR="007F5348" w:rsidRPr="00D97135" w:rsidRDefault="008A3CBC" w:rsidP="007F5348">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El recurso de apelación fue conocido por la Cámara de Apelaciones en lo Civil, Comercial y Minas de Mendoza, </w:t>
      </w:r>
      <w:r w:rsidR="00F81F6A" w:rsidRPr="00D97135">
        <w:rPr>
          <w:rFonts w:asciiTheme="majorHAnsi" w:hAnsiTheme="majorHAnsi"/>
          <w:bCs/>
          <w:sz w:val="20"/>
          <w:szCs w:val="20"/>
          <w:lang w:val="es-ES_tradnl"/>
        </w:rPr>
        <w:t>que mediante sentencia</w:t>
      </w:r>
      <w:r w:rsidRPr="00D97135">
        <w:rPr>
          <w:rFonts w:asciiTheme="majorHAnsi" w:hAnsiTheme="majorHAnsi"/>
          <w:bCs/>
          <w:sz w:val="20"/>
          <w:szCs w:val="20"/>
          <w:lang w:val="es-ES_tradnl"/>
        </w:rPr>
        <w:t xml:space="preserve"> </w:t>
      </w:r>
      <w:r w:rsidR="00F81F6A" w:rsidRPr="00D97135">
        <w:rPr>
          <w:rFonts w:asciiTheme="majorHAnsi" w:hAnsiTheme="majorHAnsi"/>
          <w:bCs/>
          <w:sz w:val="20"/>
          <w:szCs w:val="20"/>
          <w:lang w:val="es-ES_tradnl"/>
        </w:rPr>
        <w:t>d</w:t>
      </w:r>
      <w:r w:rsidRPr="00D97135">
        <w:rPr>
          <w:rFonts w:asciiTheme="majorHAnsi" w:hAnsiTheme="majorHAnsi"/>
          <w:bCs/>
          <w:sz w:val="20"/>
          <w:szCs w:val="20"/>
          <w:lang w:val="es-ES_tradnl"/>
        </w:rPr>
        <w:t xml:space="preserve">el 7 de febrero de 2007 </w:t>
      </w:r>
      <w:r w:rsidR="00F81F6A" w:rsidRPr="00D97135">
        <w:rPr>
          <w:rFonts w:asciiTheme="majorHAnsi" w:hAnsiTheme="majorHAnsi"/>
          <w:bCs/>
          <w:sz w:val="20"/>
          <w:szCs w:val="20"/>
          <w:lang w:val="es-ES_tradnl"/>
        </w:rPr>
        <w:t xml:space="preserve">confirmó </w:t>
      </w:r>
      <w:r w:rsidR="0050171E" w:rsidRPr="00D97135">
        <w:rPr>
          <w:rFonts w:asciiTheme="majorHAnsi" w:hAnsiTheme="majorHAnsi"/>
          <w:bCs/>
          <w:sz w:val="20"/>
          <w:szCs w:val="20"/>
          <w:lang w:val="es-ES_tradnl"/>
        </w:rPr>
        <w:t xml:space="preserve">la decisión de primera instancia. Para arribar a esta decisión la </w:t>
      </w:r>
      <w:r w:rsidR="00F81F6A" w:rsidRPr="00D97135">
        <w:rPr>
          <w:rFonts w:asciiTheme="majorHAnsi" w:hAnsiTheme="majorHAnsi"/>
          <w:bCs/>
          <w:sz w:val="20"/>
          <w:szCs w:val="20"/>
          <w:lang w:val="es-ES_tradnl"/>
        </w:rPr>
        <w:t>c</w:t>
      </w:r>
      <w:r w:rsidR="0050171E" w:rsidRPr="00D97135">
        <w:rPr>
          <w:rFonts w:asciiTheme="majorHAnsi" w:hAnsiTheme="majorHAnsi"/>
          <w:bCs/>
          <w:sz w:val="20"/>
          <w:szCs w:val="20"/>
          <w:lang w:val="es-ES_tradnl"/>
        </w:rPr>
        <w:t>ámara valoró una pericia sicológica según la</w:t>
      </w:r>
      <w:r w:rsidR="00F81F6A" w:rsidRPr="00D97135">
        <w:rPr>
          <w:rFonts w:asciiTheme="majorHAnsi" w:hAnsiTheme="majorHAnsi"/>
          <w:bCs/>
          <w:sz w:val="20"/>
          <w:szCs w:val="20"/>
          <w:lang w:val="es-ES_tradnl"/>
        </w:rPr>
        <w:t xml:space="preserve"> cual</w:t>
      </w:r>
      <w:r w:rsidR="0050171E" w:rsidRPr="00D97135">
        <w:rPr>
          <w:rFonts w:asciiTheme="majorHAnsi" w:hAnsiTheme="majorHAnsi"/>
          <w:bCs/>
          <w:sz w:val="20"/>
          <w:szCs w:val="20"/>
          <w:lang w:val="es-ES_tradnl"/>
        </w:rPr>
        <w:t xml:space="preserve"> </w:t>
      </w:r>
      <w:r w:rsidR="00F81F6A" w:rsidRPr="00D97135">
        <w:rPr>
          <w:rFonts w:asciiTheme="majorHAnsi" w:hAnsiTheme="majorHAnsi"/>
          <w:bCs/>
          <w:sz w:val="20"/>
          <w:szCs w:val="20"/>
          <w:lang w:val="es-ES_tradnl"/>
        </w:rPr>
        <w:t>la ex</w:t>
      </w:r>
      <w:r w:rsidR="0050171E" w:rsidRPr="00D97135">
        <w:rPr>
          <w:rFonts w:asciiTheme="majorHAnsi" w:hAnsiTheme="majorHAnsi"/>
          <w:bCs/>
          <w:sz w:val="20"/>
          <w:szCs w:val="20"/>
          <w:lang w:val="es-ES_tradnl"/>
        </w:rPr>
        <w:t xml:space="preserve">esposa del peticionario le había contado a </w:t>
      </w:r>
      <w:r w:rsidR="006A0AC2" w:rsidRPr="00D97135">
        <w:rPr>
          <w:rFonts w:asciiTheme="majorHAnsi" w:hAnsiTheme="majorHAnsi"/>
          <w:bCs/>
          <w:sz w:val="20"/>
          <w:szCs w:val="20"/>
          <w:lang w:val="es-ES_tradnl"/>
        </w:rPr>
        <w:t>e</w:t>
      </w:r>
      <w:r w:rsidR="0050171E" w:rsidRPr="00D97135">
        <w:rPr>
          <w:rFonts w:asciiTheme="majorHAnsi" w:hAnsiTheme="majorHAnsi"/>
          <w:bCs/>
          <w:sz w:val="20"/>
          <w:szCs w:val="20"/>
          <w:lang w:val="es-ES_tradnl"/>
        </w:rPr>
        <w:t>ste parte de la situación “</w:t>
      </w:r>
      <w:r w:rsidR="0050171E" w:rsidRPr="00D97135">
        <w:rPr>
          <w:rFonts w:asciiTheme="majorHAnsi" w:hAnsiTheme="majorHAnsi"/>
          <w:bCs/>
          <w:i/>
          <w:iCs/>
          <w:sz w:val="20"/>
          <w:szCs w:val="20"/>
          <w:lang w:val="es-ES_tradnl"/>
        </w:rPr>
        <w:t>que la involucraba en la empresa</w:t>
      </w:r>
      <w:r w:rsidR="0050171E" w:rsidRPr="00D97135">
        <w:rPr>
          <w:rFonts w:asciiTheme="majorHAnsi" w:hAnsiTheme="majorHAnsi"/>
          <w:bCs/>
          <w:sz w:val="20"/>
          <w:szCs w:val="20"/>
          <w:lang w:val="es-ES_tradnl"/>
        </w:rPr>
        <w:t>”</w:t>
      </w:r>
      <w:r w:rsidR="006A0AC2" w:rsidRPr="00D97135">
        <w:rPr>
          <w:rFonts w:asciiTheme="majorHAnsi" w:hAnsiTheme="majorHAnsi"/>
          <w:bCs/>
          <w:sz w:val="20"/>
          <w:szCs w:val="20"/>
          <w:lang w:val="es-ES_tradnl"/>
        </w:rPr>
        <w:t>. La Cámara además señaló que la demanda del peticionario contra el socio mayoritario de la empresa no tenía razón</w:t>
      </w:r>
      <w:r w:rsidR="00D23FF3" w:rsidRPr="00D97135">
        <w:rPr>
          <w:rFonts w:asciiTheme="majorHAnsi" w:hAnsiTheme="majorHAnsi"/>
          <w:bCs/>
          <w:sz w:val="20"/>
          <w:szCs w:val="20"/>
          <w:lang w:val="es-ES_tradnl"/>
        </w:rPr>
        <w:t>,</w:t>
      </w:r>
      <w:r w:rsidR="006A0AC2" w:rsidRPr="00D97135">
        <w:rPr>
          <w:rFonts w:asciiTheme="majorHAnsi" w:hAnsiTheme="majorHAnsi"/>
          <w:bCs/>
          <w:sz w:val="20"/>
          <w:szCs w:val="20"/>
          <w:lang w:val="es-ES_tradnl"/>
        </w:rPr>
        <w:t xml:space="preserve"> pues aquel no había sido parte del pleito originario. La </w:t>
      </w:r>
      <w:r w:rsidR="00934E16" w:rsidRPr="00D97135">
        <w:rPr>
          <w:rFonts w:asciiTheme="majorHAnsi" w:hAnsiTheme="majorHAnsi"/>
          <w:bCs/>
          <w:sz w:val="20"/>
          <w:szCs w:val="20"/>
          <w:lang w:val="es-ES_tradnl"/>
        </w:rPr>
        <w:t>c</w:t>
      </w:r>
      <w:r w:rsidR="006A0AC2" w:rsidRPr="00D97135">
        <w:rPr>
          <w:rFonts w:asciiTheme="majorHAnsi" w:hAnsiTheme="majorHAnsi"/>
          <w:bCs/>
          <w:sz w:val="20"/>
          <w:szCs w:val="20"/>
          <w:lang w:val="es-ES_tradnl"/>
        </w:rPr>
        <w:t xml:space="preserve">ámara además rechazó los argumentos del peticionario respecto a que el artículo 112(3) del Código Procesal de la provincia no permitiera la aplicación de tesis subjetivista. </w:t>
      </w:r>
      <w:r w:rsidR="007F5348" w:rsidRPr="00D97135">
        <w:rPr>
          <w:rFonts w:asciiTheme="majorHAnsi" w:hAnsiTheme="majorHAnsi"/>
          <w:bCs/>
          <w:sz w:val="20"/>
          <w:szCs w:val="20"/>
          <w:lang w:val="es-ES_tradnl"/>
        </w:rPr>
        <w:t xml:space="preserve">La </w:t>
      </w:r>
      <w:r w:rsidR="00664179" w:rsidRPr="00D97135">
        <w:rPr>
          <w:rFonts w:asciiTheme="majorHAnsi" w:hAnsiTheme="majorHAnsi"/>
          <w:bCs/>
          <w:sz w:val="20"/>
          <w:szCs w:val="20"/>
          <w:lang w:val="es-ES_tradnl"/>
        </w:rPr>
        <w:t>c</w:t>
      </w:r>
      <w:r w:rsidR="007F5348" w:rsidRPr="00D97135">
        <w:rPr>
          <w:rFonts w:asciiTheme="majorHAnsi" w:hAnsiTheme="majorHAnsi"/>
          <w:bCs/>
          <w:sz w:val="20"/>
          <w:szCs w:val="20"/>
          <w:lang w:val="es-ES_tradnl"/>
        </w:rPr>
        <w:t xml:space="preserve">ámara resaltó que, en todo caso, la demanda era inadmisible por la inexistencia de un daño probado. Así, la </w:t>
      </w:r>
      <w:r w:rsidR="00664179" w:rsidRPr="00D97135">
        <w:rPr>
          <w:rFonts w:asciiTheme="majorHAnsi" w:hAnsiTheme="majorHAnsi"/>
          <w:bCs/>
          <w:sz w:val="20"/>
          <w:szCs w:val="20"/>
          <w:lang w:val="es-ES_tradnl"/>
        </w:rPr>
        <w:t>c</w:t>
      </w:r>
      <w:r w:rsidR="007F5348" w:rsidRPr="00D97135">
        <w:rPr>
          <w:rFonts w:asciiTheme="majorHAnsi" w:hAnsiTheme="majorHAnsi"/>
          <w:bCs/>
          <w:sz w:val="20"/>
          <w:szCs w:val="20"/>
          <w:lang w:val="es-ES_tradnl"/>
        </w:rPr>
        <w:t>ámara señaló que:</w:t>
      </w:r>
    </w:p>
    <w:p w14:paraId="7250E913" w14:textId="22B0B5CE" w:rsidR="007F5348" w:rsidRPr="00D97135" w:rsidRDefault="007F5348" w:rsidP="00FC0862">
      <w:pPr>
        <w:pStyle w:val="ListParagraph"/>
        <w:spacing w:before="240" w:after="240"/>
        <w:ind w:right="720"/>
        <w:jc w:val="both"/>
        <w:rPr>
          <w:rFonts w:asciiTheme="majorHAnsi" w:hAnsiTheme="majorHAnsi"/>
          <w:bCs/>
          <w:sz w:val="20"/>
          <w:szCs w:val="20"/>
          <w:lang w:val="es-ES_tradnl"/>
        </w:rPr>
      </w:pPr>
      <w:r w:rsidRPr="00D97135">
        <w:rPr>
          <w:rFonts w:asciiTheme="majorHAnsi" w:hAnsiTheme="majorHAnsi"/>
          <w:bCs/>
          <w:sz w:val="20"/>
          <w:szCs w:val="20"/>
          <w:lang w:val="es-ES_tradnl"/>
        </w:rPr>
        <w:t>[E]l actor no se dedicaba a los negocios inmobiliarios y por ende no había rotación y es conjetural que la hubiese habido cuando no la hubo antes de los embargos y de allí la imposibilidad de inferir probable daño. El actor siempre compró; nunca vendió antes de los embargo</w:t>
      </w:r>
      <w:r w:rsidR="00FF56FE" w:rsidRPr="00D97135">
        <w:rPr>
          <w:rFonts w:asciiTheme="majorHAnsi" w:hAnsiTheme="majorHAnsi"/>
          <w:bCs/>
          <w:sz w:val="20"/>
          <w:szCs w:val="20"/>
          <w:lang w:val="es-ES_tradnl"/>
        </w:rPr>
        <w:t>s</w:t>
      </w:r>
      <w:r w:rsidRPr="00D97135">
        <w:rPr>
          <w:rFonts w:asciiTheme="majorHAnsi" w:hAnsiTheme="majorHAnsi"/>
          <w:bCs/>
          <w:sz w:val="20"/>
          <w:szCs w:val="20"/>
          <w:lang w:val="es-ES_tradnl"/>
        </w:rPr>
        <w:t xml:space="preserve"> y por ello y habida cuenta que conservó los bienes que incrementaron su valor según la misma pericia, el perjuicio de su </w:t>
      </w:r>
      <w:r w:rsidR="00CE7B78" w:rsidRPr="00D97135">
        <w:rPr>
          <w:rFonts w:asciiTheme="majorHAnsi" w:hAnsiTheme="majorHAnsi"/>
          <w:bCs/>
          <w:sz w:val="20"/>
          <w:szCs w:val="20"/>
          <w:lang w:val="es-ES_tradnl"/>
        </w:rPr>
        <w:t xml:space="preserve">inmovilización por cinco años hasta la caducidad de los embargos </w:t>
      </w:r>
      <w:r w:rsidR="00664179" w:rsidRPr="00D97135">
        <w:rPr>
          <w:rFonts w:asciiTheme="majorHAnsi" w:hAnsiTheme="majorHAnsi"/>
          <w:bCs/>
          <w:sz w:val="20"/>
          <w:szCs w:val="20"/>
          <w:lang w:val="es-ES_tradnl"/>
        </w:rPr>
        <w:t>[</w:t>
      </w:r>
      <w:r w:rsidR="00CE7B78" w:rsidRPr="00D97135">
        <w:rPr>
          <w:rFonts w:asciiTheme="majorHAnsi" w:hAnsiTheme="majorHAnsi"/>
          <w:bCs/>
          <w:sz w:val="20"/>
          <w:szCs w:val="20"/>
          <w:lang w:val="es-ES_tradnl"/>
        </w:rPr>
        <w:t>los embargos duraron desde 1986 a 1991</w:t>
      </w:r>
      <w:r w:rsidR="00664179" w:rsidRPr="00D97135">
        <w:rPr>
          <w:rFonts w:asciiTheme="majorHAnsi" w:hAnsiTheme="majorHAnsi"/>
          <w:bCs/>
          <w:sz w:val="20"/>
          <w:szCs w:val="20"/>
          <w:lang w:val="es-ES_tradnl"/>
        </w:rPr>
        <w:t>]</w:t>
      </w:r>
      <w:r w:rsidR="00CE7B78" w:rsidRPr="00D97135">
        <w:rPr>
          <w:rFonts w:asciiTheme="majorHAnsi" w:hAnsiTheme="majorHAnsi"/>
          <w:bCs/>
          <w:sz w:val="20"/>
          <w:szCs w:val="20"/>
          <w:lang w:val="es-ES_tradnl"/>
        </w:rPr>
        <w:t>, es solo conjetural</w:t>
      </w:r>
      <w:r w:rsidR="00D23FF3" w:rsidRPr="00D97135">
        <w:rPr>
          <w:rFonts w:asciiTheme="majorHAnsi" w:hAnsiTheme="majorHAnsi"/>
          <w:bCs/>
          <w:sz w:val="20"/>
          <w:szCs w:val="20"/>
          <w:lang w:val="es-ES_tradnl"/>
        </w:rPr>
        <w:t xml:space="preserve"> [</w:t>
      </w:r>
      <w:r w:rsidR="00CE7B78" w:rsidRPr="00D97135">
        <w:rPr>
          <w:rFonts w:asciiTheme="majorHAnsi" w:hAnsiTheme="majorHAnsi"/>
          <w:bCs/>
          <w:sz w:val="20"/>
          <w:szCs w:val="20"/>
          <w:lang w:val="es-ES_tradnl"/>
        </w:rPr>
        <w:t>…</w:t>
      </w:r>
      <w:r w:rsidR="00D23FF3" w:rsidRPr="00D97135">
        <w:rPr>
          <w:rFonts w:asciiTheme="majorHAnsi" w:hAnsiTheme="majorHAnsi"/>
          <w:bCs/>
          <w:sz w:val="20"/>
          <w:szCs w:val="20"/>
          <w:lang w:val="es-ES_tradnl"/>
        </w:rPr>
        <w:t>]</w:t>
      </w:r>
    </w:p>
    <w:p w14:paraId="36B15D19" w14:textId="7B89A056" w:rsidR="0003342C" w:rsidRPr="00D97135" w:rsidRDefault="00FF683C" w:rsidP="007D6A3B">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El peticionario impugnó la sentencia de la Cámara </w:t>
      </w:r>
      <w:r w:rsidR="00664179" w:rsidRPr="00D97135">
        <w:rPr>
          <w:rFonts w:asciiTheme="majorHAnsi" w:hAnsiTheme="majorHAnsi"/>
          <w:bCs/>
          <w:sz w:val="20"/>
          <w:szCs w:val="20"/>
          <w:lang w:val="es-ES_tradnl"/>
        </w:rPr>
        <w:t xml:space="preserve">de Apelaciones </w:t>
      </w:r>
      <w:r w:rsidRPr="00D97135">
        <w:rPr>
          <w:rFonts w:asciiTheme="majorHAnsi" w:hAnsiTheme="majorHAnsi"/>
          <w:bCs/>
          <w:sz w:val="20"/>
          <w:szCs w:val="20"/>
          <w:lang w:val="es-ES_tradnl"/>
        </w:rPr>
        <w:t xml:space="preserve">mediante recursos de inconstitucionalidad y de casación local. </w:t>
      </w:r>
      <w:r w:rsidR="0097305C" w:rsidRPr="00D97135">
        <w:rPr>
          <w:rFonts w:asciiTheme="majorHAnsi" w:hAnsiTheme="majorHAnsi"/>
          <w:bCs/>
          <w:sz w:val="20"/>
          <w:szCs w:val="20"/>
          <w:lang w:val="es-ES_tradnl"/>
        </w:rPr>
        <w:t>En estos recursos invocó argumentos similares a los que habían sustentado su recurso de apelación</w:t>
      </w:r>
      <w:r w:rsidR="0092475B" w:rsidRPr="00D97135">
        <w:rPr>
          <w:rFonts w:asciiTheme="majorHAnsi" w:hAnsiTheme="majorHAnsi"/>
          <w:bCs/>
          <w:sz w:val="20"/>
          <w:szCs w:val="20"/>
          <w:lang w:val="es-ES_tradnl"/>
        </w:rPr>
        <w:t>;</w:t>
      </w:r>
      <w:r w:rsidR="0097305C" w:rsidRPr="00D97135">
        <w:rPr>
          <w:rFonts w:asciiTheme="majorHAnsi" w:hAnsiTheme="majorHAnsi"/>
          <w:bCs/>
          <w:sz w:val="20"/>
          <w:szCs w:val="20"/>
          <w:lang w:val="es-ES_tradnl"/>
        </w:rPr>
        <w:t xml:space="preserve"> y criticó </w:t>
      </w:r>
      <w:r w:rsidR="0092475B" w:rsidRPr="00D97135">
        <w:rPr>
          <w:rFonts w:asciiTheme="majorHAnsi" w:hAnsiTheme="majorHAnsi"/>
          <w:bCs/>
          <w:sz w:val="20"/>
          <w:szCs w:val="20"/>
          <w:lang w:val="es-ES_tradnl"/>
        </w:rPr>
        <w:t xml:space="preserve">además </w:t>
      </w:r>
      <w:r w:rsidR="0097305C" w:rsidRPr="00D97135">
        <w:rPr>
          <w:rFonts w:asciiTheme="majorHAnsi" w:hAnsiTheme="majorHAnsi"/>
          <w:bCs/>
          <w:sz w:val="20"/>
          <w:szCs w:val="20"/>
          <w:lang w:val="es-ES_tradnl"/>
        </w:rPr>
        <w:t xml:space="preserve">el fallo de la </w:t>
      </w:r>
      <w:r w:rsidR="00664179" w:rsidRPr="00D97135">
        <w:rPr>
          <w:rFonts w:asciiTheme="majorHAnsi" w:hAnsiTheme="majorHAnsi"/>
          <w:bCs/>
          <w:sz w:val="20"/>
          <w:szCs w:val="20"/>
          <w:lang w:val="es-ES_tradnl"/>
        </w:rPr>
        <w:t>c</w:t>
      </w:r>
      <w:r w:rsidR="0097305C" w:rsidRPr="00D97135">
        <w:rPr>
          <w:rFonts w:asciiTheme="majorHAnsi" w:hAnsiTheme="majorHAnsi"/>
          <w:bCs/>
          <w:sz w:val="20"/>
          <w:szCs w:val="20"/>
          <w:lang w:val="es-ES_tradnl"/>
        </w:rPr>
        <w:t xml:space="preserve">ámara indicando que este se fundamentó en la ausencia de lucro cesante ignorando su derecho a </w:t>
      </w:r>
      <w:r w:rsidR="00D97135" w:rsidRPr="00D97135">
        <w:rPr>
          <w:rFonts w:asciiTheme="majorHAnsi" w:hAnsiTheme="majorHAnsi"/>
          <w:bCs/>
          <w:sz w:val="20"/>
          <w:szCs w:val="20"/>
          <w:lang w:val="es-ES_tradnl"/>
        </w:rPr>
        <w:t>ser</w:t>
      </w:r>
      <w:r w:rsidR="0097305C" w:rsidRPr="00D97135">
        <w:rPr>
          <w:rFonts w:asciiTheme="majorHAnsi" w:hAnsiTheme="majorHAnsi"/>
          <w:bCs/>
          <w:sz w:val="20"/>
          <w:szCs w:val="20"/>
          <w:lang w:val="es-ES_tradnl"/>
        </w:rPr>
        <w:t xml:space="preserve"> indemnizado por la “</w:t>
      </w:r>
      <w:r w:rsidR="0097305C" w:rsidRPr="00D97135">
        <w:rPr>
          <w:rFonts w:asciiTheme="majorHAnsi" w:hAnsiTheme="majorHAnsi"/>
          <w:bCs/>
          <w:i/>
          <w:iCs/>
          <w:sz w:val="20"/>
          <w:szCs w:val="20"/>
          <w:lang w:val="es-ES_tradnl"/>
        </w:rPr>
        <w:t>pérdida de chance</w:t>
      </w:r>
      <w:r w:rsidR="0097305C" w:rsidRPr="00D97135">
        <w:rPr>
          <w:rFonts w:asciiTheme="majorHAnsi" w:hAnsiTheme="majorHAnsi"/>
          <w:bCs/>
          <w:sz w:val="20"/>
          <w:szCs w:val="20"/>
          <w:lang w:val="es-ES_tradnl"/>
        </w:rPr>
        <w:t xml:space="preserve">”. </w:t>
      </w:r>
      <w:r w:rsidR="00EF3C4E" w:rsidRPr="00D97135">
        <w:rPr>
          <w:rFonts w:asciiTheme="majorHAnsi" w:hAnsiTheme="majorHAnsi"/>
          <w:bCs/>
          <w:sz w:val="20"/>
          <w:szCs w:val="20"/>
          <w:lang w:val="es-ES_tradnl"/>
        </w:rPr>
        <w:t xml:space="preserve">El peticionario también reclamó que la sentencia solo se hubiera pronunciado sobre los embargos que duraron de 1986 hasta 1991, sin contemplar la medida cautelar de inhibición general que también le fue impuesta y que también inmovilizó su patrimonio. </w:t>
      </w:r>
      <w:r w:rsidR="00AA3FAE" w:rsidRPr="00D97135">
        <w:rPr>
          <w:rFonts w:asciiTheme="majorHAnsi" w:hAnsiTheme="majorHAnsi"/>
          <w:bCs/>
          <w:sz w:val="20"/>
          <w:szCs w:val="20"/>
          <w:lang w:val="es-ES_tradnl"/>
        </w:rPr>
        <w:t>Ambos recursos resultaron inadmitidos el 20 de</w:t>
      </w:r>
      <w:r w:rsidR="00606672" w:rsidRPr="00D97135">
        <w:rPr>
          <w:rFonts w:asciiTheme="majorHAnsi" w:hAnsiTheme="majorHAnsi"/>
          <w:bCs/>
          <w:sz w:val="20"/>
          <w:szCs w:val="20"/>
          <w:lang w:val="es-ES_tradnl"/>
        </w:rPr>
        <w:t xml:space="preserve"> junio de</w:t>
      </w:r>
      <w:r w:rsidR="00AA3FAE" w:rsidRPr="00D97135">
        <w:rPr>
          <w:rFonts w:asciiTheme="majorHAnsi" w:hAnsiTheme="majorHAnsi"/>
          <w:bCs/>
          <w:sz w:val="20"/>
          <w:szCs w:val="20"/>
          <w:lang w:val="es-ES_tradnl"/>
        </w:rPr>
        <w:t xml:space="preserve"> 2007 por la Suprema Corte de Justicia de Mendoza. Tras esa decisión, el peticionario interpuso un recurso extraordinario federal</w:t>
      </w:r>
      <w:r w:rsidR="004016A6" w:rsidRPr="00D97135">
        <w:rPr>
          <w:rFonts w:asciiTheme="majorHAnsi" w:hAnsiTheme="majorHAnsi"/>
          <w:bCs/>
          <w:sz w:val="20"/>
          <w:szCs w:val="20"/>
          <w:lang w:val="es-ES_tradnl"/>
        </w:rPr>
        <w:t xml:space="preserve">. El 6 de septiembre de 2007 </w:t>
      </w:r>
      <w:r w:rsidR="00F72EC1" w:rsidRPr="00D97135">
        <w:rPr>
          <w:rFonts w:asciiTheme="majorHAnsi" w:hAnsiTheme="majorHAnsi"/>
          <w:bCs/>
          <w:sz w:val="20"/>
          <w:szCs w:val="20"/>
          <w:lang w:val="es-ES_tradnl"/>
        </w:rPr>
        <w:t>la S</w:t>
      </w:r>
      <w:r w:rsidR="00FF56FE" w:rsidRPr="00D97135">
        <w:rPr>
          <w:rFonts w:asciiTheme="majorHAnsi" w:hAnsiTheme="majorHAnsi"/>
          <w:bCs/>
          <w:sz w:val="20"/>
          <w:szCs w:val="20"/>
          <w:lang w:val="es-ES_tradnl"/>
        </w:rPr>
        <w:t xml:space="preserve">uprema Corte de Justicia de Mendoza determinó no otorgar el recurso extraordinario federal. Contra el no otorgamiento el peticionario interpuso un recurso de queja </w:t>
      </w:r>
      <w:r w:rsidR="0003342C" w:rsidRPr="00D97135">
        <w:rPr>
          <w:rFonts w:asciiTheme="majorHAnsi" w:hAnsiTheme="majorHAnsi"/>
          <w:bCs/>
          <w:sz w:val="20"/>
          <w:szCs w:val="20"/>
          <w:lang w:val="es-ES_tradnl"/>
        </w:rPr>
        <w:t>resultando en que el 18 de junio de 2008 la Corte Suprema de Justicia de la Nación declarara inadmisible el recurso invocando el artículo 280 del Código Procesal Civil y Comercial de la Nación</w:t>
      </w:r>
      <w:r w:rsidR="008C0E2E" w:rsidRPr="00D97135">
        <w:rPr>
          <w:rFonts w:asciiTheme="majorHAnsi" w:hAnsiTheme="majorHAnsi"/>
          <w:bCs/>
          <w:sz w:val="20"/>
          <w:szCs w:val="20"/>
          <w:lang w:val="es-ES_tradnl"/>
        </w:rPr>
        <w:t xml:space="preserve"> (</w:t>
      </w:r>
      <w:r w:rsidR="008C0E2E" w:rsidRPr="00D97135">
        <w:rPr>
          <w:rFonts w:asciiTheme="majorHAnsi" w:hAnsiTheme="majorHAnsi"/>
          <w:bCs/>
          <w:i/>
          <w:iCs/>
          <w:sz w:val="20"/>
          <w:szCs w:val="20"/>
          <w:lang w:val="es-ES_tradnl"/>
        </w:rPr>
        <w:t>certiorari</w:t>
      </w:r>
      <w:r w:rsidR="008C0E2E" w:rsidRPr="00D97135">
        <w:rPr>
          <w:rFonts w:asciiTheme="majorHAnsi" w:hAnsiTheme="majorHAnsi"/>
          <w:bCs/>
          <w:sz w:val="20"/>
          <w:szCs w:val="20"/>
          <w:lang w:val="es-ES_tradnl"/>
        </w:rPr>
        <w:t>)</w:t>
      </w:r>
      <w:r w:rsidR="0003342C" w:rsidRPr="00D97135">
        <w:rPr>
          <w:rFonts w:asciiTheme="majorHAnsi" w:hAnsiTheme="majorHAnsi"/>
          <w:bCs/>
          <w:sz w:val="20"/>
          <w:szCs w:val="20"/>
          <w:lang w:val="es-ES_tradnl"/>
        </w:rPr>
        <w:t>.</w:t>
      </w:r>
      <w:r w:rsidR="007D6A3B" w:rsidRPr="00D97135">
        <w:rPr>
          <w:rFonts w:asciiTheme="majorHAnsi" w:hAnsiTheme="majorHAnsi"/>
          <w:bCs/>
          <w:sz w:val="20"/>
          <w:szCs w:val="20"/>
          <w:lang w:val="es-ES_tradnl"/>
        </w:rPr>
        <w:t xml:space="preserve"> </w:t>
      </w:r>
    </w:p>
    <w:p w14:paraId="5D83138F" w14:textId="33763EB1" w:rsidR="004149B3" w:rsidRPr="00D97135" w:rsidRDefault="0036487B" w:rsidP="001E26DE">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Por su parte, e</w:t>
      </w:r>
      <w:r w:rsidR="0004177B" w:rsidRPr="00D97135">
        <w:rPr>
          <w:rFonts w:asciiTheme="majorHAnsi" w:hAnsiTheme="majorHAnsi"/>
          <w:bCs/>
          <w:sz w:val="20"/>
          <w:szCs w:val="20"/>
          <w:lang w:val="es-ES_tradnl"/>
        </w:rPr>
        <w:t xml:space="preserve">l Estado </w:t>
      </w:r>
      <w:r w:rsidRPr="00D97135">
        <w:rPr>
          <w:rFonts w:asciiTheme="majorHAnsi" w:hAnsiTheme="majorHAnsi"/>
          <w:bCs/>
          <w:sz w:val="20"/>
          <w:szCs w:val="20"/>
          <w:lang w:val="es-ES_tradnl"/>
        </w:rPr>
        <w:t xml:space="preserve">argentino alega </w:t>
      </w:r>
      <w:r w:rsidR="001E26DE" w:rsidRPr="00D97135">
        <w:rPr>
          <w:rFonts w:asciiTheme="majorHAnsi" w:hAnsiTheme="majorHAnsi"/>
          <w:bCs/>
          <w:sz w:val="20"/>
          <w:szCs w:val="20"/>
          <w:lang w:val="es-ES_tradnl"/>
        </w:rPr>
        <w:t>que</w:t>
      </w:r>
      <w:r w:rsidR="003D3CD5" w:rsidRPr="00D97135">
        <w:rPr>
          <w:rFonts w:asciiTheme="majorHAnsi" w:hAnsiTheme="majorHAnsi"/>
          <w:bCs/>
          <w:sz w:val="20"/>
          <w:szCs w:val="20"/>
          <w:lang w:val="es-ES_tradnl"/>
        </w:rPr>
        <w:t xml:space="preserve"> la petición no expone hechos que caractericen violaciones a </w:t>
      </w:r>
      <w:r w:rsidR="00204A1A" w:rsidRPr="00D97135">
        <w:rPr>
          <w:rFonts w:asciiTheme="majorHAnsi" w:hAnsiTheme="majorHAnsi"/>
          <w:bCs/>
          <w:sz w:val="20"/>
          <w:szCs w:val="20"/>
          <w:lang w:val="es-ES_tradnl"/>
        </w:rPr>
        <w:t>derechos amparados por la Convención Americana</w:t>
      </w:r>
      <w:r w:rsidR="002D5C8D" w:rsidRPr="00D97135">
        <w:rPr>
          <w:rFonts w:asciiTheme="majorHAnsi" w:hAnsiTheme="majorHAnsi"/>
          <w:bCs/>
          <w:sz w:val="20"/>
          <w:szCs w:val="20"/>
          <w:lang w:val="es-ES_tradnl"/>
        </w:rPr>
        <w:t>,</w:t>
      </w:r>
      <w:r w:rsidR="00821CE5" w:rsidRPr="00D97135">
        <w:rPr>
          <w:rFonts w:asciiTheme="majorHAnsi" w:hAnsiTheme="majorHAnsi"/>
          <w:bCs/>
          <w:sz w:val="20"/>
          <w:szCs w:val="20"/>
          <w:lang w:val="es-ES_tradnl"/>
        </w:rPr>
        <w:t xml:space="preserve"> y</w:t>
      </w:r>
      <w:r w:rsidR="00DB2489" w:rsidRPr="00D97135">
        <w:rPr>
          <w:rFonts w:asciiTheme="majorHAnsi" w:hAnsiTheme="majorHAnsi"/>
          <w:bCs/>
          <w:sz w:val="20"/>
          <w:szCs w:val="20"/>
          <w:lang w:val="es-ES_tradnl"/>
        </w:rPr>
        <w:t xml:space="preserve"> aspira a que la Comisión actúe fueras de sus competencias como un tribunal de alzada o “cuarto instancia”; y que</w:t>
      </w:r>
      <w:r w:rsidR="00204A1A" w:rsidRPr="00D97135">
        <w:rPr>
          <w:rFonts w:asciiTheme="majorHAnsi" w:hAnsiTheme="majorHAnsi"/>
          <w:bCs/>
          <w:sz w:val="20"/>
          <w:szCs w:val="20"/>
          <w:lang w:val="es-ES_tradnl"/>
        </w:rPr>
        <w:t xml:space="preserve"> los reclamos d</w:t>
      </w:r>
      <w:r w:rsidR="00DB2489" w:rsidRPr="00D97135">
        <w:rPr>
          <w:rFonts w:asciiTheme="majorHAnsi" w:hAnsiTheme="majorHAnsi"/>
          <w:bCs/>
          <w:sz w:val="20"/>
          <w:szCs w:val="20"/>
          <w:lang w:val="es-ES_tradnl"/>
        </w:rPr>
        <w:t xml:space="preserve">el peticionario </w:t>
      </w:r>
      <w:r w:rsidR="00204A1A" w:rsidRPr="00D97135">
        <w:rPr>
          <w:rFonts w:asciiTheme="majorHAnsi" w:hAnsiTheme="majorHAnsi"/>
          <w:bCs/>
          <w:sz w:val="20"/>
          <w:szCs w:val="20"/>
          <w:lang w:val="es-ES_tradnl"/>
        </w:rPr>
        <w:t xml:space="preserve">se dirigen esencialmente a cuestionar la valoración de las pruebas que las distintas instancias judiciales efectuaron </w:t>
      </w:r>
      <w:r w:rsidR="002D5C8D" w:rsidRPr="00D97135">
        <w:rPr>
          <w:rFonts w:asciiTheme="majorHAnsi" w:hAnsiTheme="majorHAnsi"/>
          <w:bCs/>
          <w:sz w:val="20"/>
          <w:szCs w:val="20"/>
          <w:lang w:val="es-ES_tradnl"/>
        </w:rPr>
        <w:t>en el</w:t>
      </w:r>
      <w:r w:rsidR="00204A1A" w:rsidRPr="00D97135">
        <w:rPr>
          <w:rFonts w:asciiTheme="majorHAnsi" w:hAnsiTheme="majorHAnsi"/>
          <w:bCs/>
          <w:sz w:val="20"/>
          <w:szCs w:val="20"/>
          <w:lang w:val="es-ES_tradnl"/>
        </w:rPr>
        <w:t xml:space="preserve"> marco del proceso civil que impulsó</w:t>
      </w:r>
      <w:r w:rsidR="00DB2489" w:rsidRPr="00D97135">
        <w:rPr>
          <w:rFonts w:asciiTheme="majorHAnsi" w:hAnsiTheme="majorHAnsi"/>
          <w:bCs/>
          <w:sz w:val="20"/>
          <w:szCs w:val="20"/>
          <w:lang w:val="es-ES_tradnl"/>
        </w:rPr>
        <w:t>.</w:t>
      </w:r>
      <w:r w:rsidR="000515B8" w:rsidRPr="00D97135">
        <w:rPr>
          <w:rFonts w:asciiTheme="majorHAnsi" w:hAnsiTheme="majorHAnsi"/>
          <w:bCs/>
          <w:sz w:val="20"/>
          <w:szCs w:val="20"/>
          <w:lang w:val="es-ES_tradnl"/>
        </w:rPr>
        <w:t xml:space="preserve"> </w:t>
      </w:r>
      <w:r w:rsidR="00F53854" w:rsidRPr="00D97135">
        <w:rPr>
          <w:rFonts w:asciiTheme="majorHAnsi" w:hAnsiTheme="majorHAnsi"/>
          <w:bCs/>
          <w:sz w:val="20"/>
          <w:szCs w:val="20"/>
          <w:lang w:val="es-ES_tradnl"/>
        </w:rPr>
        <w:t xml:space="preserve">Por ello, el Estado estima que la petición debe ser inadmitida conforme los artículos 47(b) de la Convención Americana y 34(a) del Reglamento de la Comisión. </w:t>
      </w:r>
    </w:p>
    <w:p w14:paraId="51144E13" w14:textId="591D2969" w:rsidR="00FB4125" w:rsidRPr="00D97135" w:rsidRDefault="002D5C8D" w:rsidP="0055702C">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En este sentido sostiene</w:t>
      </w:r>
      <w:r w:rsidR="00670B24" w:rsidRPr="00D97135">
        <w:rPr>
          <w:rFonts w:asciiTheme="majorHAnsi" w:hAnsiTheme="majorHAnsi"/>
          <w:bCs/>
          <w:sz w:val="20"/>
          <w:szCs w:val="20"/>
          <w:lang w:val="es-ES_tradnl"/>
        </w:rPr>
        <w:t xml:space="preserve"> </w:t>
      </w:r>
      <w:r w:rsidR="000515B8" w:rsidRPr="00D97135">
        <w:rPr>
          <w:rFonts w:asciiTheme="majorHAnsi" w:hAnsiTheme="majorHAnsi"/>
          <w:bCs/>
          <w:sz w:val="20"/>
          <w:szCs w:val="20"/>
          <w:lang w:val="es-ES_tradnl"/>
        </w:rPr>
        <w:t xml:space="preserve">que el peticionario </w:t>
      </w:r>
      <w:r w:rsidR="005502FF" w:rsidRPr="00D97135">
        <w:rPr>
          <w:rFonts w:asciiTheme="majorHAnsi" w:hAnsiTheme="majorHAnsi"/>
          <w:bCs/>
          <w:sz w:val="20"/>
          <w:szCs w:val="20"/>
          <w:lang w:val="es-ES_tradnl"/>
        </w:rPr>
        <w:t>ejerció</w:t>
      </w:r>
      <w:r w:rsidR="0055702C" w:rsidRPr="00D97135">
        <w:rPr>
          <w:rFonts w:asciiTheme="majorHAnsi" w:hAnsiTheme="majorHAnsi"/>
          <w:bCs/>
          <w:sz w:val="20"/>
          <w:szCs w:val="20"/>
          <w:lang w:val="es-ES_tradnl"/>
        </w:rPr>
        <w:t>,</w:t>
      </w:r>
      <w:r w:rsidR="005502FF" w:rsidRPr="00D97135">
        <w:rPr>
          <w:rFonts w:asciiTheme="majorHAnsi" w:hAnsiTheme="majorHAnsi"/>
          <w:bCs/>
          <w:sz w:val="20"/>
          <w:szCs w:val="20"/>
          <w:lang w:val="es-ES_tradnl"/>
        </w:rPr>
        <w:t xml:space="preserve"> sin obstáculo alguno, su derecho a ser oído por órganos judiciales competentes, independientes e imparciales; que las autoridades judiciales domésticas dieron respuestas oportunas </w:t>
      </w:r>
      <w:r w:rsidR="001C7D2D" w:rsidRPr="00D97135">
        <w:rPr>
          <w:rFonts w:asciiTheme="majorHAnsi" w:hAnsiTheme="majorHAnsi"/>
          <w:bCs/>
          <w:sz w:val="20"/>
          <w:szCs w:val="20"/>
          <w:lang w:val="es-ES_tradnl"/>
        </w:rPr>
        <w:t>y debidamente fundadas a los planteos de</w:t>
      </w:r>
      <w:r w:rsidR="00670B24" w:rsidRPr="00D97135">
        <w:rPr>
          <w:rFonts w:asciiTheme="majorHAnsi" w:hAnsiTheme="majorHAnsi"/>
          <w:bCs/>
          <w:sz w:val="20"/>
          <w:szCs w:val="20"/>
          <w:lang w:val="es-ES_tradnl"/>
        </w:rPr>
        <w:t xml:space="preserve"> éste</w:t>
      </w:r>
      <w:r w:rsidR="001C7D2D" w:rsidRPr="00D97135">
        <w:rPr>
          <w:rFonts w:asciiTheme="majorHAnsi" w:hAnsiTheme="majorHAnsi"/>
          <w:bCs/>
          <w:sz w:val="20"/>
          <w:szCs w:val="20"/>
          <w:lang w:val="es-ES_tradnl"/>
        </w:rPr>
        <w:t xml:space="preserve">; y que </w:t>
      </w:r>
      <w:r w:rsidR="0005166C" w:rsidRPr="00D97135">
        <w:rPr>
          <w:rFonts w:asciiTheme="majorHAnsi" w:hAnsiTheme="majorHAnsi"/>
          <w:bCs/>
          <w:sz w:val="20"/>
          <w:szCs w:val="20"/>
          <w:lang w:val="es-ES_tradnl"/>
        </w:rPr>
        <w:t xml:space="preserve">los procesos que </w:t>
      </w:r>
      <w:r w:rsidR="00670B24" w:rsidRPr="00D97135">
        <w:rPr>
          <w:rFonts w:asciiTheme="majorHAnsi" w:hAnsiTheme="majorHAnsi"/>
          <w:bCs/>
          <w:sz w:val="20"/>
          <w:szCs w:val="20"/>
          <w:lang w:val="es-ES_tradnl"/>
        </w:rPr>
        <w:t xml:space="preserve">lo involucraron </w:t>
      </w:r>
      <w:r w:rsidR="0005166C" w:rsidRPr="00D97135">
        <w:rPr>
          <w:rFonts w:asciiTheme="majorHAnsi" w:hAnsiTheme="majorHAnsi"/>
          <w:bCs/>
          <w:sz w:val="20"/>
          <w:szCs w:val="20"/>
          <w:lang w:val="es-ES_tradnl"/>
        </w:rPr>
        <w:t xml:space="preserve">se adelantaron en conformidad con las normas del debido proceso legal y las garantías judiciales. </w:t>
      </w:r>
      <w:r w:rsidR="00670B24" w:rsidRPr="00D97135">
        <w:rPr>
          <w:rFonts w:asciiTheme="majorHAnsi" w:hAnsiTheme="majorHAnsi"/>
          <w:bCs/>
          <w:sz w:val="20"/>
          <w:szCs w:val="20"/>
          <w:lang w:val="es-ES_tradnl"/>
        </w:rPr>
        <w:t xml:space="preserve">Explica además </w:t>
      </w:r>
      <w:r w:rsidR="0055702C" w:rsidRPr="00D97135">
        <w:rPr>
          <w:rFonts w:asciiTheme="majorHAnsi" w:hAnsiTheme="majorHAnsi"/>
          <w:bCs/>
          <w:sz w:val="20"/>
          <w:szCs w:val="20"/>
          <w:lang w:val="es-ES_tradnl"/>
        </w:rPr>
        <w:t>que</w:t>
      </w:r>
      <w:r w:rsidR="00670B24" w:rsidRPr="00D97135">
        <w:rPr>
          <w:rFonts w:asciiTheme="majorHAnsi" w:hAnsiTheme="majorHAnsi"/>
          <w:bCs/>
          <w:sz w:val="20"/>
          <w:szCs w:val="20"/>
          <w:lang w:val="es-ES_tradnl"/>
        </w:rPr>
        <w:t xml:space="preserve"> las instancias judiciales domésticas analizaron los argumentos del peticionario sobre el supuesto daño que habría sufrido a partir de la imposición de un embargo, concluyendo la inexistencia de ese daño.</w:t>
      </w:r>
      <w:r w:rsidR="00FB4125" w:rsidRPr="00D97135">
        <w:rPr>
          <w:rFonts w:asciiTheme="majorHAnsi" w:hAnsiTheme="majorHAnsi"/>
          <w:bCs/>
          <w:sz w:val="20"/>
          <w:szCs w:val="20"/>
          <w:lang w:val="es-ES_tradnl"/>
        </w:rPr>
        <w:t xml:space="preserve"> Así</w:t>
      </w:r>
      <w:r w:rsidR="0055702C" w:rsidRPr="00D97135">
        <w:rPr>
          <w:rFonts w:asciiTheme="majorHAnsi" w:hAnsiTheme="majorHAnsi"/>
          <w:bCs/>
          <w:sz w:val="20"/>
          <w:szCs w:val="20"/>
          <w:lang w:val="es-ES_tradnl"/>
        </w:rPr>
        <w:t>,</w:t>
      </w:r>
      <w:r w:rsidR="00FB4125" w:rsidRPr="00D97135">
        <w:rPr>
          <w:rFonts w:asciiTheme="majorHAnsi" w:hAnsiTheme="majorHAnsi"/>
          <w:bCs/>
          <w:sz w:val="20"/>
          <w:szCs w:val="20"/>
          <w:lang w:val="es-ES_tradnl"/>
        </w:rPr>
        <w:t xml:space="preserve"> </w:t>
      </w:r>
      <w:r w:rsidR="0055702C" w:rsidRPr="00D97135">
        <w:rPr>
          <w:rFonts w:asciiTheme="majorHAnsi" w:hAnsiTheme="majorHAnsi"/>
          <w:bCs/>
          <w:sz w:val="20"/>
          <w:szCs w:val="20"/>
          <w:lang w:val="es-ES_tradnl"/>
        </w:rPr>
        <w:t>destaca</w:t>
      </w:r>
      <w:r w:rsidR="00FB4125" w:rsidRPr="00D97135">
        <w:rPr>
          <w:rFonts w:asciiTheme="majorHAnsi" w:hAnsiTheme="majorHAnsi"/>
          <w:bCs/>
          <w:sz w:val="20"/>
          <w:szCs w:val="20"/>
          <w:lang w:val="es-ES_tradnl"/>
        </w:rPr>
        <w:t xml:space="preserve"> que la sentencia de primera instancia determinó que “</w:t>
      </w:r>
      <w:r w:rsidR="00FB4125" w:rsidRPr="00D97135">
        <w:rPr>
          <w:rFonts w:asciiTheme="majorHAnsi" w:hAnsiTheme="majorHAnsi"/>
          <w:bCs/>
          <w:i/>
          <w:iCs/>
          <w:sz w:val="20"/>
          <w:szCs w:val="20"/>
          <w:lang w:val="es-ES_tradnl"/>
        </w:rPr>
        <w:t xml:space="preserve">el mero hecho de que los inmuebles estuviesen sujetos a una cautelar en modo alguno le </w:t>
      </w:r>
      <w:r w:rsidRPr="00D97135">
        <w:rPr>
          <w:rFonts w:asciiTheme="majorHAnsi" w:hAnsiTheme="majorHAnsi"/>
          <w:bCs/>
          <w:i/>
          <w:iCs/>
          <w:sz w:val="20"/>
          <w:szCs w:val="20"/>
          <w:lang w:val="es-ES_tradnl"/>
        </w:rPr>
        <w:t>impedía</w:t>
      </w:r>
      <w:r w:rsidR="00FB4125" w:rsidRPr="00D97135">
        <w:rPr>
          <w:rFonts w:asciiTheme="majorHAnsi" w:hAnsiTheme="majorHAnsi"/>
          <w:bCs/>
          <w:i/>
          <w:iCs/>
          <w:sz w:val="20"/>
          <w:szCs w:val="20"/>
          <w:lang w:val="es-ES_tradnl"/>
        </w:rPr>
        <w:t xml:space="preserve"> </w:t>
      </w:r>
      <w:r w:rsidR="00FB4125" w:rsidRPr="00D97135">
        <w:rPr>
          <w:rFonts w:asciiTheme="majorHAnsi" w:hAnsiTheme="majorHAnsi"/>
          <w:bCs/>
          <w:sz w:val="20"/>
          <w:szCs w:val="20"/>
          <w:lang w:val="es-ES_tradnl"/>
        </w:rPr>
        <w:t>[al señor Nicolau]</w:t>
      </w:r>
      <w:r w:rsidR="00FB4125" w:rsidRPr="00D97135">
        <w:rPr>
          <w:rFonts w:asciiTheme="majorHAnsi" w:hAnsiTheme="majorHAnsi"/>
          <w:bCs/>
          <w:i/>
          <w:iCs/>
          <w:sz w:val="20"/>
          <w:szCs w:val="20"/>
          <w:lang w:val="es-ES_tradnl"/>
        </w:rPr>
        <w:t xml:space="preserve"> ejercer sus derechos sobre los mismos</w:t>
      </w:r>
      <w:r w:rsidR="00FB4125" w:rsidRPr="00D97135">
        <w:rPr>
          <w:rFonts w:asciiTheme="majorHAnsi" w:hAnsiTheme="majorHAnsi"/>
          <w:bCs/>
          <w:sz w:val="20"/>
          <w:szCs w:val="20"/>
          <w:lang w:val="es-ES_tradnl"/>
        </w:rPr>
        <w:t>”</w:t>
      </w:r>
      <w:r w:rsidRPr="00D97135">
        <w:rPr>
          <w:rFonts w:asciiTheme="majorHAnsi" w:hAnsiTheme="majorHAnsi"/>
          <w:bCs/>
          <w:sz w:val="20"/>
          <w:szCs w:val="20"/>
          <w:lang w:val="es-ES_tradnl"/>
        </w:rPr>
        <w:t>;</w:t>
      </w:r>
      <w:r w:rsidR="00FB4125" w:rsidRPr="00D97135">
        <w:rPr>
          <w:rFonts w:asciiTheme="majorHAnsi" w:hAnsiTheme="majorHAnsi"/>
          <w:bCs/>
          <w:sz w:val="20"/>
          <w:szCs w:val="20"/>
          <w:lang w:val="es-ES_tradnl"/>
        </w:rPr>
        <w:t xml:space="preserve"> y que </w:t>
      </w:r>
      <w:r w:rsidR="005C7DF4" w:rsidRPr="00D97135">
        <w:rPr>
          <w:rFonts w:asciiTheme="majorHAnsi" w:hAnsiTheme="majorHAnsi"/>
          <w:bCs/>
          <w:sz w:val="20"/>
          <w:szCs w:val="20"/>
          <w:lang w:val="es-ES_tradnl"/>
        </w:rPr>
        <w:t>los inmuebles del peticionario “</w:t>
      </w:r>
      <w:r w:rsidR="005C7DF4" w:rsidRPr="00D97135">
        <w:rPr>
          <w:rFonts w:asciiTheme="majorHAnsi" w:hAnsiTheme="majorHAnsi"/>
          <w:bCs/>
          <w:i/>
          <w:iCs/>
          <w:sz w:val="20"/>
          <w:szCs w:val="20"/>
          <w:lang w:val="es-ES_tradnl"/>
        </w:rPr>
        <w:t>en su mayoría fueron transferidos con anterioridad a la acción en trato</w:t>
      </w:r>
      <w:r w:rsidR="00A90054" w:rsidRPr="00D97135">
        <w:rPr>
          <w:rFonts w:asciiTheme="majorHAnsi" w:hAnsiTheme="majorHAnsi"/>
          <w:bCs/>
          <w:i/>
          <w:iCs/>
          <w:sz w:val="20"/>
          <w:szCs w:val="20"/>
          <w:lang w:val="es-ES_tradnl"/>
        </w:rPr>
        <w:t xml:space="preserve"> </w:t>
      </w:r>
      <w:r w:rsidR="00A90054" w:rsidRPr="00D97135">
        <w:rPr>
          <w:rFonts w:asciiTheme="majorHAnsi" w:hAnsiTheme="majorHAnsi"/>
          <w:bCs/>
          <w:sz w:val="20"/>
          <w:szCs w:val="20"/>
          <w:lang w:val="es-ES_tradnl"/>
        </w:rPr>
        <w:t>[</w:t>
      </w:r>
      <w:r w:rsidR="005C7DF4" w:rsidRPr="00D97135">
        <w:rPr>
          <w:rFonts w:asciiTheme="majorHAnsi" w:hAnsiTheme="majorHAnsi"/>
          <w:bCs/>
          <w:sz w:val="20"/>
          <w:szCs w:val="20"/>
          <w:lang w:val="es-ES_tradnl"/>
        </w:rPr>
        <w:t>…</w:t>
      </w:r>
      <w:r w:rsidR="00A90054" w:rsidRPr="00D97135">
        <w:rPr>
          <w:rFonts w:asciiTheme="majorHAnsi" w:hAnsiTheme="majorHAnsi"/>
          <w:bCs/>
          <w:sz w:val="20"/>
          <w:szCs w:val="20"/>
          <w:lang w:val="es-ES_tradnl"/>
        </w:rPr>
        <w:t>]</w:t>
      </w:r>
      <w:r w:rsidR="005C7DF4" w:rsidRPr="00D97135">
        <w:rPr>
          <w:rFonts w:asciiTheme="majorHAnsi" w:hAnsiTheme="majorHAnsi"/>
          <w:bCs/>
          <w:i/>
          <w:iCs/>
          <w:sz w:val="20"/>
          <w:szCs w:val="20"/>
          <w:lang w:val="es-ES_tradnl"/>
        </w:rPr>
        <w:t xml:space="preserve"> más aún algunos de ellos fueron subastados por otras causas ajenas a la causa que iniciara</w:t>
      </w:r>
      <w:r w:rsidR="005C7DF4" w:rsidRPr="00D97135">
        <w:rPr>
          <w:rFonts w:asciiTheme="majorHAnsi" w:hAnsiTheme="majorHAnsi"/>
          <w:bCs/>
          <w:sz w:val="20"/>
          <w:szCs w:val="20"/>
          <w:lang w:val="es-ES_tradnl"/>
        </w:rPr>
        <w:t xml:space="preserve"> [la empresa]”. </w:t>
      </w:r>
    </w:p>
    <w:p w14:paraId="7FBA011D" w14:textId="488B2D87" w:rsidR="0005166C" w:rsidRPr="00D97135" w:rsidRDefault="00670B24" w:rsidP="00FB4125">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lastRenderedPageBreak/>
        <w:t xml:space="preserve"> </w:t>
      </w:r>
      <w:r w:rsidR="005B72CD" w:rsidRPr="00D97135">
        <w:rPr>
          <w:rFonts w:asciiTheme="majorHAnsi" w:hAnsiTheme="majorHAnsi"/>
          <w:bCs/>
          <w:sz w:val="20"/>
          <w:szCs w:val="20"/>
          <w:lang w:val="es-ES_tradnl"/>
        </w:rPr>
        <w:t>El Estado también destaca</w:t>
      </w:r>
      <w:r w:rsidR="007C0D5E" w:rsidRPr="00D97135">
        <w:rPr>
          <w:rFonts w:asciiTheme="majorHAnsi" w:hAnsiTheme="majorHAnsi"/>
          <w:bCs/>
          <w:sz w:val="20"/>
          <w:szCs w:val="20"/>
          <w:lang w:val="es-ES_tradnl"/>
        </w:rPr>
        <w:t xml:space="preserve"> que </w:t>
      </w:r>
      <w:r w:rsidR="005C4810" w:rsidRPr="00D97135">
        <w:rPr>
          <w:rFonts w:asciiTheme="majorHAnsi" w:hAnsiTheme="majorHAnsi"/>
          <w:bCs/>
          <w:sz w:val="20"/>
          <w:szCs w:val="20"/>
          <w:lang w:val="es-ES_tradnl"/>
        </w:rPr>
        <w:t>en su</w:t>
      </w:r>
      <w:r w:rsidR="00485257" w:rsidRPr="00D97135">
        <w:rPr>
          <w:rFonts w:asciiTheme="majorHAnsi" w:hAnsiTheme="majorHAnsi"/>
          <w:bCs/>
          <w:sz w:val="20"/>
          <w:szCs w:val="20"/>
          <w:lang w:val="es-ES_tradnl"/>
        </w:rPr>
        <w:t xml:space="preserve"> petición </w:t>
      </w:r>
      <w:r w:rsidR="005C4810" w:rsidRPr="00D97135">
        <w:rPr>
          <w:rFonts w:asciiTheme="majorHAnsi" w:hAnsiTheme="majorHAnsi"/>
          <w:bCs/>
          <w:sz w:val="20"/>
          <w:szCs w:val="20"/>
          <w:lang w:val="es-ES_tradnl"/>
        </w:rPr>
        <w:t xml:space="preserve">inicial el peticionario </w:t>
      </w:r>
      <w:r w:rsidR="00485257" w:rsidRPr="00D97135">
        <w:rPr>
          <w:rFonts w:asciiTheme="majorHAnsi" w:hAnsiTheme="majorHAnsi"/>
          <w:bCs/>
          <w:sz w:val="20"/>
          <w:szCs w:val="20"/>
          <w:lang w:val="es-ES_tradnl"/>
        </w:rPr>
        <w:t xml:space="preserve">no </w:t>
      </w:r>
      <w:r w:rsidR="005C4810" w:rsidRPr="00D97135">
        <w:rPr>
          <w:rFonts w:asciiTheme="majorHAnsi" w:hAnsiTheme="majorHAnsi"/>
          <w:bCs/>
          <w:sz w:val="20"/>
          <w:szCs w:val="20"/>
          <w:lang w:val="es-ES_tradnl"/>
        </w:rPr>
        <w:t>argumentó por qué</w:t>
      </w:r>
      <w:r w:rsidR="007C0D5E" w:rsidRPr="00D97135">
        <w:rPr>
          <w:rFonts w:asciiTheme="majorHAnsi" w:hAnsiTheme="majorHAnsi"/>
          <w:bCs/>
          <w:sz w:val="20"/>
          <w:szCs w:val="20"/>
          <w:lang w:val="es-ES_tradnl"/>
        </w:rPr>
        <w:t xml:space="preserve"> cabría indemnizarlo</w:t>
      </w:r>
      <w:r w:rsidR="005C4810" w:rsidRPr="00D97135">
        <w:rPr>
          <w:rFonts w:asciiTheme="majorHAnsi" w:hAnsiTheme="majorHAnsi"/>
          <w:bCs/>
          <w:sz w:val="20"/>
          <w:szCs w:val="20"/>
          <w:lang w:val="es-ES_tradnl"/>
        </w:rPr>
        <w:t>,</w:t>
      </w:r>
      <w:r w:rsidR="007C0D5E" w:rsidRPr="00D97135">
        <w:rPr>
          <w:rFonts w:asciiTheme="majorHAnsi" w:hAnsiTheme="majorHAnsi"/>
          <w:bCs/>
          <w:sz w:val="20"/>
          <w:szCs w:val="20"/>
          <w:lang w:val="es-ES_tradnl"/>
        </w:rPr>
        <w:t xml:space="preserve"> o porqué la sentencia que le negó indemnización resultaría absurda o arbitraria. Ta</w:t>
      </w:r>
      <w:r w:rsidR="00485257" w:rsidRPr="00D97135">
        <w:rPr>
          <w:rFonts w:asciiTheme="majorHAnsi" w:hAnsiTheme="majorHAnsi"/>
          <w:bCs/>
          <w:sz w:val="20"/>
          <w:szCs w:val="20"/>
          <w:lang w:val="es-ES_tradnl"/>
        </w:rPr>
        <w:t xml:space="preserve">mpoco incluyó respecto a porqué los embargos </w:t>
      </w:r>
      <w:r w:rsidR="00E7757A" w:rsidRPr="00D97135">
        <w:rPr>
          <w:rFonts w:asciiTheme="majorHAnsi" w:hAnsiTheme="majorHAnsi"/>
          <w:bCs/>
          <w:sz w:val="20"/>
          <w:szCs w:val="20"/>
          <w:lang w:val="es-ES_tradnl"/>
        </w:rPr>
        <w:t>que se le impusieron</w:t>
      </w:r>
      <w:r w:rsidR="00485257" w:rsidRPr="00D97135">
        <w:rPr>
          <w:rFonts w:asciiTheme="majorHAnsi" w:hAnsiTheme="majorHAnsi"/>
          <w:bCs/>
          <w:sz w:val="20"/>
          <w:szCs w:val="20"/>
          <w:lang w:val="es-ES_tradnl"/>
        </w:rPr>
        <w:t xml:space="preserve"> habrían sido </w:t>
      </w:r>
      <w:r w:rsidR="00E7757A" w:rsidRPr="00D97135">
        <w:rPr>
          <w:rFonts w:asciiTheme="majorHAnsi" w:hAnsiTheme="majorHAnsi"/>
          <w:bCs/>
          <w:sz w:val="20"/>
          <w:szCs w:val="20"/>
          <w:lang w:val="es-ES_tradnl"/>
        </w:rPr>
        <w:t>decretados</w:t>
      </w:r>
      <w:r w:rsidR="00485257" w:rsidRPr="00D97135">
        <w:rPr>
          <w:rFonts w:asciiTheme="majorHAnsi" w:hAnsiTheme="majorHAnsi"/>
          <w:bCs/>
          <w:sz w:val="20"/>
          <w:szCs w:val="20"/>
          <w:lang w:val="es-ES_tradnl"/>
        </w:rPr>
        <w:t xml:space="preserve"> sin justificación ni derecho. También señala que el peticionario no ha sustentado que los embargos en realidad hayan durado los nueve años que alega, lo que es poco probable dado que ello excedería el plazo máximo para la vigencia de ese tipo de medias. En este sentido destaca que la sentencia de segunda instancia</w:t>
      </w:r>
      <w:r w:rsidR="00E7757A" w:rsidRPr="00D97135">
        <w:rPr>
          <w:rFonts w:asciiTheme="majorHAnsi" w:hAnsiTheme="majorHAnsi"/>
          <w:bCs/>
          <w:sz w:val="20"/>
          <w:szCs w:val="20"/>
          <w:lang w:val="es-ES_tradnl"/>
        </w:rPr>
        <w:t>,</w:t>
      </w:r>
      <w:r w:rsidR="00485257" w:rsidRPr="00D97135">
        <w:rPr>
          <w:rFonts w:asciiTheme="majorHAnsi" w:hAnsiTheme="majorHAnsi"/>
          <w:bCs/>
          <w:sz w:val="20"/>
          <w:szCs w:val="20"/>
          <w:lang w:val="es-ES_tradnl"/>
        </w:rPr>
        <w:t xml:space="preserve"> cuya copia fue aportada por el propio peticionario</w:t>
      </w:r>
      <w:r w:rsidR="00E7757A" w:rsidRPr="00D97135">
        <w:rPr>
          <w:rFonts w:asciiTheme="majorHAnsi" w:hAnsiTheme="majorHAnsi"/>
          <w:bCs/>
          <w:sz w:val="20"/>
          <w:szCs w:val="20"/>
          <w:lang w:val="es-ES_tradnl"/>
        </w:rPr>
        <w:t>,</w:t>
      </w:r>
      <w:r w:rsidR="00485257" w:rsidRPr="00D97135">
        <w:rPr>
          <w:rFonts w:asciiTheme="majorHAnsi" w:hAnsiTheme="majorHAnsi"/>
          <w:bCs/>
          <w:sz w:val="20"/>
          <w:szCs w:val="20"/>
          <w:lang w:val="es-ES_tradnl"/>
        </w:rPr>
        <w:t xml:space="preserve"> indicó que los embargos duraron entre 1986 y 1991. </w:t>
      </w:r>
      <w:r w:rsidR="00CC3CCB" w:rsidRPr="00D97135">
        <w:rPr>
          <w:rFonts w:asciiTheme="majorHAnsi" w:hAnsiTheme="majorHAnsi"/>
          <w:bCs/>
          <w:sz w:val="20"/>
          <w:szCs w:val="20"/>
          <w:lang w:val="es-ES_tradnl"/>
        </w:rPr>
        <w:t xml:space="preserve">A ello, el Estado agrega que la expectativa que el peticionario abrigaba respecto a su triunfo en una demanda civil no puede entenderse amparada por el artículo 21 de la Convención Americana. </w:t>
      </w:r>
    </w:p>
    <w:p w14:paraId="4CC39BD8" w14:textId="5E22BDB6" w:rsidR="00053F8B" w:rsidRPr="00D97135" w:rsidRDefault="00D02463" w:rsidP="00C675B0">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 xml:space="preserve">En adición, el Estado reclama que la petición le fue trasladada cerca de ocho años luego de su presentación a la Comisión, lo que considera extemporáneo e incompatible con su derecho a la defensa. </w:t>
      </w:r>
    </w:p>
    <w:p w14:paraId="51F68C92" w14:textId="77777777" w:rsidR="003239B8" w:rsidRPr="00D97135" w:rsidRDefault="003239B8" w:rsidP="003239B8">
      <w:pPr>
        <w:spacing w:before="240" w:after="240"/>
        <w:ind w:firstLine="720"/>
        <w:jc w:val="both"/>
        <w:rPr>
          <w:rFonts w:ascii="Cambria" w:hAnsi="Cambria"/>
          <w:sz w:val="20"/>
          <w:szCs w:val="20"/>
          <w:lang w:val="es-ES_tradnl"/>
        </w:rPr>
      </w:pPr>
      <w:r w:rsidRPr="00D97135">
        <w:rPr>
          <w:rFonts w:asciiTheme="majorHAnsi" w:eastAsia="Cambria" w:hAnsiTheme="majorHAnsi" w:cs="Cambria"/>
          <w:b/>
          <w:bCs/>
          <w:color w:val="000000"/>
          <w:sz w:val="20"/>
          <w:szCs w:val="20"/>
          <w:u w:color="000000"/>
          <w:lang w:val="es-ES_tradnl" w:eastAsia="es-ES"/>
        </w:rPr>
        <w:t>VI.</w:t>
      </w:r>
      <w:r w:rsidRPr="00D97135">
        <w:rPr>
          <w:rFonts w:asciiTheme="majorHAnsi" w:eastAsia="Cambria" w:hAnsiTheme="majorHAnsi" w:cs="Cambria"/>
          <w:b/>
          <w:bCs/>
          <w:color w:val="000000"/>
          <w:sz w:val="20"/>
          <w:szCs w:val="20"/>
          <w:u w:color="000000"/>
          <w:lang w:val="es-ES_tradnl" w:eastAsia="es-ES"/>
        </w:rPr>
        <w:tab/>
      </w:r>
      <w:r w:rsidR="004A6A54" w:rsidRPr="00D97135">
        <w:rPr>
          <w:rFonts w:asciiTheme="majorHAnsi" w:hAnsiTheme="majorHAnsi"/>
          <w:b/>
          <w:bCs/>
          <w:sz w:val="20"/>
          <w:szCs w:val="20"/>
          <w:lang w:val="es-ES_tradnl"/>
        </w:rPr>
        <w:t xml:space="preserve">ANÁLISIS DE </w:t>
      </w:r>
      <w:r w:rsidR="00C21FEF" w:rsidRPr="00D97135">
        <w:rPr>
          <w:rFonts w:asciiTheme="majorHAnsi" w:hAnsiTheme="majorHAnsi"/>
          <w:b/>
          <w:sz w:val="20"/>
          <w:szCs w:val="20"/>
          <w:lang w:val="es-ES_tradnl"/>
        </w:rPr>
        <w:t>AGOTAMIENTO DE LOS RECURSOS INTERNOS Y PLAZO DE PRESENTACIÓN</w:t>
      </w:r>
      <w:r w:rsidR="00C21FEF" w:rsidRPr="00D97135">
        <w:rPr>
          <w:rFonts w:asciiTheme="majorHAnsi" w:eastAsia="Cambria" w:hAnsiTheme="majorHAnsi" w:cs="Cambria"/>
          <w:b/>
          <w:bCs/>
          <w:color w:val="000000"/>
          <w:sz w:val="20"/>
          <w:szCs w:val="20"/>
          <w:u w:color="000000"/>
          <w:lang w:val="es-ES_tradnl" w:eastAsia="es-ES"/>
        </w:rPr>
        <w:t xml:space="preserve"> </w:t>
      </w:r>
    </w:p>
    <w:p w14:paraId="6593D205" w14:textId="36A4982E" w:rsidR="004E165B" w:rsidRPr="00D97135" w:rsidRDefault="004E165B" w:rsidP="00D0246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color w:val="000000" w:themeColor="text1"/>
          <w:sz w:val="20"/>
          <w:szCs w:val="20"/>
          <w:lang w:val="es-ES_tradnl"/>
        </w:rPr>
        <w:t>Según su práctica sostenida, la Comisión debe identificar el objeto de la petición presentada a su conocimiento a fines de determinar la vía procesal adecuada que debía ser agotada a nivel doméstico para dar cumplimiento al requisito de agotamiento de los recursos internos</w:t>
      </w:r>
      <w:r w:rsidRPr="00D97135">
        <w:rPr>
          <w:rStyle w:val="FootnoteReference"/>
          <w:rFonts w:cs="Calibri"/>
          <w:color w:val="000000" w:themeColor="text1"/>
          <w:sz w:val="20"/>
          <w:szCs w:val="20"/>
          <w:lang w:val="es-ES_tradnl"/>
        </w:rPr>
        <w:footnoteReference w:id="4"/>
      </w:r>
      <w:r w:rsidRPr="00D97135">
        <w:rPr>
          <w:rFonts w:cs="Calibri"/>
          <w:color w:val="000000" w:themeColor="text1"/>
          <w:sz w:val="20"/>
          <w:szCs w:val="20"/>
          <w:lang w:val="es-ES_tradnl"/>
        </w:rPr>
        <w:t xml:space="preserve">. En el presente caso, la Comisión observa que el objeto de la petición es reclamar </w:t>
      </w:r>
      <w:r w:rsidR="001E26DE" w:rsidRPr="00D97135">
        <w:rPr>
          <w:rFonts w:cs="Calibri"/>
          <w:color w:val="000000" w:themeColor="text1"/>
          <w:sz w:val="20"/>
          <w:szCs w:val="20"/>
          <w:lang w:val="es-ES_tradnl"/>
        </w:rPr>
        <w:t>que</w:t>
      </w:r>
      <w:r w:rsidRPr="00D97135">
        <w:rPr>
          <w:rFonts w:cs="Calibri"/>
          <w:color w:val="000000" w:themeColor="text1"/>
          <w:sz w:val="20"/>
          <w:szCs w:val="20"/>
          <w:lang w:val="es-ES_tradnl"/>
        </w:rPr>
        <w:t xml:space="preserve"> las autoridades judiciales se rehusaron a reconocer daños </w:t>
      </w:r>
      <w:r w:rsidR="00072FBC" w:rsidRPr="00D97135">
        <w:rPr>
          <w:rFonts w:cs="Calibri"/>
          <w:color w:val="000000" w:themeColor="text1"/>
          <w:sz w:val="20"/>
          <w:szCs w:val="20"/>
          <w:lang w:val="es-ES_tradnl"/>
        </w:rPr>
        <w:t>que habría sufrido el</w:t>
      </w:r>
      <w:r w:rsidRPr="00D97135">
        <w:rPr>
          <w:rFonts w:cs="Calibri"/>
          <w:color w:val="000000" w:themeColor="text1"/>
          <w:sz w:val="20"/>
          <w:szCs w:val="20"/>
          <w:lang w:val="es-ES_tradnl"/>
        </w:rPr>
        <w:t xml:space="preserve"> peticionario</w:t>
      </w:r>
      <w:r w:rsidR="001E26DE" w:rsidRPr="00D97135">
        <w:rPr>
          <w:rFonts w:cs="Calibri"/>
          <w:color w:val="000000" w:themeColor="text1"/>
          <w:sz w:val="20"/>
          <w:szCs w:val="20"/>
          <w:lang w:val="es-ES_tradnl"/>
        </w:rPr>
        <w:t>,</w:t>
      </w:r>
      <w:r w:rsidRPr="00D97135">
        <w:rPr>
          <w:rFonts w:cs="Calibri"/>
          <w:color w:val="000000" w:themeColor="text1"/>
          <w:sz w:val="20"/>
          <w:szCs w:val="20"/>
          <w:lang w:val="es-ES_tradnl"/>
        </w:rPr>
        <w:t xml:space="preserve"> y a ordenar el pago de indemnizaciones a la</w:t>
      </w:r>
      <w:r w:rsidR="00072FBC" w:rsidRPr="00D97135">
        <w:rPr>
          <w:rFonts w:cs="Calibri"/>
          <w:color w:val="000000" w:themeColor="text1"/>
          <w:sz w:val="20"/>
          <w:szCs w:val="20"/>
          <w:lang w:val="es-ES_tradnl"/>
        </w:rPr>
        <w:t>s</w:t>
      </w:r>
      <w:r w:rsidRPr="00D97135">
        <w:rPr>
          <w:rFonts w:cs="Calibri"/>
          <w:color w:val="000000" w:themeColor="text1"/>
          <w:sz w:val="20"/>
          <w:szCs w:val="20"/>
          <w:lang w:val="es-ES_tradnl"/>
        </w:rPr>
        <w:t xml:space="preserve"> que </w:t>
      </w:r>
      <w:r w:rsidR="00072FBC" w:rsidRPr="00D97135">
        <w:rPr>
          <w:rFonts w:cs="Calibri"/>
          <w:color w:val="000000" w:themeColor="text1"/>
          <w:sz w:val="20"/>
          <w:szCs w:val="20"/>
          <w:lang w:val="es-ES_tradnl"/>
        </w:rPr>
        <w:t>éste estima tener derecho.</w:t>
      </w:r>
      <w:r w:rsidRPr="00D97135">
        <w:rPr>
          <w:rFonts w:cs="Calibri"/>
          <w:color w:val="000000" w:themeColor="text1"/>
          <w:sz w:val="20"/>
          <w:szCs w:val="20"/>
          <w:lang w:val="es-ES_tradnl"/>
        </w:rPr>
        <w:t xml:space="preserve"> </w:t>
      </w:r>
    </w:p>
    <w:p w14:paraId="05FAAD70" w14:textId="44DC71F4" w:rsidR="004E165B" w:rsidRPr="00D97135" w:rsidRDefault="00072FBC" w:rsidP="00D0246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Surge del expediente que a fines de solicitar la indemnización pretendida el peticionario interpuso una demanda civil de daños y perjuicios</w:t>
      </w:r>
      <w:r w:rsidR="001E26DE" w:rsidRPr="00D97135">
        <w:rPr>
          <w:rFonts w:asciiTheme="majorHAnsi" w:hAnsiTheme="majorHAnsi"/>
          <w:bCs/>
          <w:sz w:val="20"/>
          <w:szCs w:val="20"/>
          <w:lang w:val="es-ES_tradnl"/>
        </w:rPr>
        <w:t>,</w:t>
      </w:r>
      <w:r w:rsidRPr="00D97135">
        <w:rPr>
          <w:rFonts w:asciiTheme="majorHAnsi" w:hAnsiTheme="majorHAnsi"/>
          <w:bCs/>
          <w:sz w:val="20"/>
          <w:szCs w:val="20"/>
          <w:lang w:val="es-ES_tradnl"/>
        </w:rPr>
        <w:t xml:space="preserve"> que le fue rechazada en primera instancia</w:t>
      </w:r>
      <w:r w:rsidR="00704FA7" w:rsidRPr="00D97135">
        <w:rPr>
          <w:rFonts w:asciiTheme="majorHAnsi" w:hAnsiTheme="majorHAnsi"/>
          <w:bCs/>
          <w:sz w:val="20"/>
          <w:szCs w:val="20"/>
          <w:lang w:val="es-ES_tradnl"/>
        </w:rPr>
        <w:t xml:space="preserve"> el 26 de octubre de 2005 por el 12° Juzgado en lo Civil, Comercial y Minas de Mendoza. Ese rechazo fue luego confirmado el 7 de febrero de 2007 por la Cámara de Apelaciones en lo Civil, Comercial y Minas de Mendoza. Contra esa decisión, el peticionario interpuso recursos de inconstitucionalidad y casación </w:t>
      </w:r>
      <w:r w:rsidR="00606672" w:rsidRPr="00D97135">
        <w:rPr>
          <w:rFonts w:asciiTheme="majorHAnsi" w:hAnsiTheme="majorHAnsi"/>
          <w:bCs/>
          <w:sz w:val="20"/>
          <w:szCs w:val="20"/>
          <w:lang w:val="es-ES_tradnl"/>
        </w:rPr>
        <w:t>que resultaron inadmitidos el 20 de junio de 2007 por la Suprema Corte de Justicia de Mendoza</w:t>
      </w:r>
      <w:r w:rsidR="009C2319" w:rsidRPr="00D97135">
        <w:rPr>
          <w:rFonts w:asciiTheme="majorHAnsi" w:hAnsiTheme="majorHAnsi"/>
          <w:bCs/>
          <w:sz w:val="20"/>
          <w:szCs w:val="20"/>
          <w:lang w:val="es-ES_tradnl"/>
        </w:rPr>
        <w:t>. Luego, interpuso un recurso extraordinario federal que la Suprema Corte de Justicia de Mendoza determinó no otorgar el 6 de septiembre de 2007.</w:t>
      </w:r>
      <w:r w:rsidR="006B2C4A" w:rsidRPr="00D97135">
        <w:rPr>
          <w:rFonts w:asciiTheme="majorHAnsi" w:hAnsiTheme="majorHAnsi"/>
          <w:bCs/>
          <w:sz w:val="20"/>
          <w:szCs w:val="20"/>
          <w:lang w:val="es-ES_tradnl"/>
        </w:rPr>
        <w:t xml:space="preserve"> </w:t>
      </w:r>
      <w:r w:rsidR="009C2319" w:rsidRPr="00D97135">
        <w:rPr>
          <w:rFonts w:asciiTheme="majorHAnsi" w:hAnsiTheme="majorHAnsi"/>
          <w:bCs/>
          <w:sz w:val="20"/>
          <w:szCs w:val="20"/>
          <w:lang w:val="es-ES_tradnl"/>
        </w:rPr>
        <w:t xml:space="preserve">Contra el no otorgamiento el peticionario interpuso un recurso de queja que la Corte Suprema de Justicia de la Nación </w:t>
      </w:r>
      <w:r w:rsidR="001E26DE" w:rsidRPr="00D97135">
        <w:rPr>
          <w:rFonts w:asciiTheme="majorHAnsi" w:hAnsiTheme="majorHAnsi"/>
          <w:bCs/>
          <w:sz w:val="20"/>
          <w:szCs w:val="20"/>
          <w:lang w:val="es-ES_tradnl"/>
        </w:rPr>
        <w:t>inadmitió</w:t>
      </w:r>
      <w:r w:rsidR="009C2319" w:rsidRPr="00D97135">
        <w:rPr>
          <w:rFonts w:asciiTheme="majorHAnsi" w:hAnsiTheme="majorHAnsi"/>
          <w:bCs/>
          <w:sz w:val="20"/>
          <w:szCs w:val="20"/>
          <w:lang w:val="es-ES_tradnl"/>
        </w:rPr>
        <w:t xml:space="preserve"> </w:t>
      </w:r>
      <w:r w:rsidR="006B2C4A" w:rsidRPr="00D97135">
        <w:rPr>
          <w:rFonts w:asciiTheme="majorHAnsi" w:hAnsiTheme="majorHAnsi"/>
          <w:bCs/>
          <w:sz w:val="20"/>
          <w:szCs w:val="20"/>
          <w:lang w:val="es-ES_tradnl"/>
        </w:rPr>
        <w:t>el 18 de junio de 2008</w:t>
      </w:r>
      <w:r w:rsidR="001E26DE" w:rsidRPr="00D97135">
        <w:rPr>
          <w:rFonts w:asciiTheme="majorHAnsi" w:hAnsiTheme="majorHAnsi"/>
          <w:bCs/>
          <w:sz w:val="20"/>
          <w:szCs w:val="20"/>
          <w:lang w:val="es-ES_tradnl"/>
        </w:rPr>
        <w:t>,</w:t>
      </w:r>
      <w:r w:rsidR="006B2C4A" w:rsidRPr="00D97135">
        <w:rPr>
          <w:rFonts w:asciiTheme="majorHAnsi" w:hAnsiTheme="majorHAnsi"/>
          <w:bCs/>
          <w:sz w:val="20"/>
          <w:szCs w:val="20"/>
          <w:lang w:val="es-ES_tradnl"/>
        </w:rPr>
        <w:t xml:space="preserve"> decisión notificada al peticionario el 30 de octubre de 2008.</w:t>
      </w:r>
    </w:p>
    <w:p w14:paraId="2B686580" w14:textId="2D54625A" w:rsidR="006B2C4A" w:rsidRPr="00D97135" w:rsidRDefault="006B2C4A" w:rsidP="00D02463">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bCs/>
          <w:sz w:val="20"/>
          <w:szCs w:val="20"/>
          <w:lang w:val="es-ES_tradnl"/>
        </w:rPr>
        <w:t>El Estado no ha indicado ni surge del expediente que</w:t>
      </w:r>
      <w:r w:rsidR="00A7577A" w:rsidRPr="00D97135">
        <w:rPr>
          <w:rFonts w:asciiTheme="majorHAnsi" w:hAnsiTheme="majorHAnsi"/>
          <w:bCs/>
          <w:sz w:val="20"/>
          <w:szCs w:val="20"/>
          <w:lang w:val="es-ES_tradnl"/>
        </w:rPr>
        <w:t xml:space="preserve"> los recursos agotados por el peticionario no fueran los </w:t>
      </w:r>
      <w:r w:rsidR="004E47A3" w:rsidRPr="00D97135">
        <w:rPr>
          <w:rFonts w:asciiTheme="majorHAnsi" w:hAnsiTheme="majorHAnsi"/>
          <w:bCs/>
          <w:sz w:val="20"/>
          <w:szCs w:val="20"/>
          <w:lang w:val="es-ES_tradnl"/>
        </w:rPr>
        <w:t xml:space="preserve">apropiados </w:t>
      </w:r>
      <w:r w:rsidR="001E26DE" w:rsidRPr="00D97135">
        <w:rPr>
          <w:rFonts w:asciiTheme="majorHAnsi" w:hAnsiTheme="majorHAnsi"/>
          <w:bCs/>
          <w:sz w:val="20"/>
          <w:szCs w:val="20"/>
          <w:lang w:val="es-ES_tradnl"/>
        </w:rPr>
        <w:t>con relación al</w:t>
      </w:r>
      <w:r w:rsidR="004E47A3" w:rsidRPr="00D97135">
        <w:rPr>
          <w:rFonts w:asciiTheme="majorHAnsi" w:hAnsiTheme="majorHAnsi"/>
          <w:bCs/>
          <w:sz w:val="20"/>
          <w:szCs w:val="20"/>
          <w:lang w:val="es-ES_tradnl"/>
        </w:rPr>
        <w:t xml:space="preserve"> objeto de la petición</w:t>
      </w:r>
      <w:r w:rsidR="001E26DE" w:rsidRPr="00D97135">
        <w:rPr>
          <w:rFonts w:asciiTheme="majorHAnsi" w:hAnsiTheme="majorHAnsi"/>
          <w:bCs/>
          <w:sz w:val="20"/>
          <w:szCs w:val="20"/>
          <w:lang w:val="es-ES_tradnl"/>
        </w:rPr>
        <w:t>,</w:t>
      </w:r>
      <w:r w:rsidR="004E47A3" w:rsidRPr="00D97135">
        <w:rPr>
          <w:rFonts w:asciiTheme="majorHAnsi" w:hAnsiTheme="majorHAnsi"/>
          <w:bCs/>
          <w:sz w:val="20"/>
          <w:szCs w:val="20"/>
          <w:lang w:val="es-ES_tradnl"/>
        </w:rPr>
        <w:t xml:space="preserve"> ni</w:t>
      </w:r>
      <w:r w:rsidR="00A7577A" w:rsidRPr="00D97135">
        <w:rPr>
          <w:rFonts w:asciiTheme="majorHAnsi" w:hAnsiTheme="majorHAnsi"/>
          <w:bCs/>
          <w:sz w:val="20"/>
          <w:szCs w:val="20"/>
          <w:lang w:val="es-ES_tradnl"/>
        </w:rPr>
        <w:t xml:space="preserve"> que </w:t>
      </w:r>
      <w:r w:rsidRPr="00D97135">
        <w:rPr>
          <w:rFonts w:asciiTheme="majorHAnsi" w:hAnsiTheme="majorHAnsi"/>
          <w:bCs/>
          <w:sz w:val="20"/>
          <w:szCs w:val="20"/>
          <w:lang w:val="es-ES_tradnl"/>
        </w:rPr>
        <w:t>existieran recursos adicionales no agotados que pudieran haber sido idóneos para que el peticionario procurar</w:t>
      </w:r>
      <w:r w:rsidR="00A7577A" w:rsidRPr="00D97135">
        <w:rPr>
          <w:rFonts w:asciiTheme="majorHAnsi" w:hAnsiTheme="majorHAnsi"/>
          <w:bCs/>
          <w:sz w:val="20"/>
          <w:szCs w:val="20"/>
          <w:lang w:val="es-ES_tradnl"/>
        </w:rPr>
        <w:t xml:space="preserve">a la indemnización que pretendía. En consecuencia, la Comisión concluye que la presente petición cumple con el requisito </w:t>
      </w:r>
      <w:r w:rsidR="004E47A3" w:rsidRPr="00D97135">
        <w:rPr>
          <w:rFonts w:asciiTheme="majorHAnsi" w:hAnsiTheme="majorHAnsi"/>
          <w:bCs/>
          <w:sz w:val="20"/>
          <w:szCs w:val="20"/>
          <w:lang w:val="es-ES_tradnl"/>
        </w:rPr>
        <w:t>del artículo 46.1</w:t>
      </w:r>
      <w:r w:rsidR="001E26DE" w:rsidRPr="00D97135">
        <w:rPr>
          <w:rFonts w:asciiTheme="majorHAnsi" w:hAnsiTheme="majorHAnsi"/>
          <w:bCs/>
          <w:sz w:val="20"/>
          <w:szCs w:val="20"/>
          <w:lang w:val="es-ES_tradnl"/>
        </w:rPr>
        <w:t>.</w:t>
      </w:r>
      <w:r w:rsidR="004E47A3" w:rsidRPr="00D97135">
        <w:rPr>
          <w:rFonts w:asciiTheme="majorHAnsi" w:hAnsiTheme="majorHAnsi"/>
          <w:bCs/>
          <w:sz w:val="20"/>
          <w:szCs w:val="20"/>
          <w:lang w:val="es-ES_tradnl"/>
        </w:rPr>
        <w:t>a) de la Convención Americana. Dado que la decisión definitiva de la jurisdicción doméstica fue notificada al peticionario el 18 de junio de 2008</w:t>
      </w:r>
      <w:r w:rsidR="001E26DE" w:rsidRPr="00D97135">
        <w:rPr>
          <w:rFonts w:asciiTheme="majorHAnsi" w:hAnsiTheme="majorHAnsi"/>
          <w:bCs/>
          <w:sz w:val="20"/>
          <w:szCs w:val="20"/>
          <w:lang w:val="es-ES_tradnl"/>
        </w:rPr>
        <w:t>,</w:t>
      </w:r>
      <w:r w:rsidR="004E47A3" w:rsidRPr="00D97135">
        <w:rPr>
          <w:rFonts w:asciiTheme="majorHAnsi" w:hAnsiTheme="majorHAnsi"/>
          <w:bCs/>
          <w:sz w:val="20"/>
          <w:szCs w:val="20"/>
          <w:lang w:val="es-ES_tradnl"/>
        </w:rPr>
        <w:t xml:space="preserve"> y la petición presentada el 30 de diciembre de 2008, la Comisión concluye que </w:t>
      </w:r>
      <w:r w:rsidR="001E26DE" w:rsidRPr="00D97135">
        <w:rPr>
          <w:rFonts w:asciiTheme="majorHAnsi" w:hAnsiTheme="majorHAnsi"/>
          <w:bCs/>
          <w:sz w:val="20"/>
          <w:szCs w:val="20"/>
          <w:lang w:val="es-ES_tradnl"/>
        </w:rPr>
        <w:t>esta</w:t>
      </w:r>
      <w:r w:rsidR="004E47A3" w:rsidRPr="00D97135">
        <w:rPr>
          <w:rFonts w:asciiTheme="majorHAnsi" w:hAnsiTheme="majorHAnsi"/>
          <w:bCs/>
          <w:sz w:val="20"/>
          <w:szCs w:val="20"/>
          <w:lang w:val="es-ES_tradnl"/>
        </w:rPr>
        <w:t xml:space="preserve"> también cumple con el requisito del artículo 46.1</w:t>
      </w:r>
      <w:r w:rsidR="001E26DE" w:rsidRPr="00D97135">
        <w:rPr>
          <w:rFonts w:asciiTheme="majorHAnsi" w:hAnsiTheme="majorHAnsi"/>
          <w:bCs/>
          <w:sz w:val="20"/>
          <w:szCs w:val="20"/>
          <w:lang w:val="es-ES_tradnl"/>
        </w:rPr>
        <w:t>.</w:t>
      </w:r>
      <w:r w:rsidR="004E47A3" w:rsidRPr="00D97135">
        <w:rPr>
          <w:rFonts w:asciiTheme="majorHAnsi" w:hAnsiTheme="majorHAnsi"/>
          <w:bCs/>
          <w:sz w:val="20"/>
          <w:szCs w:val="20"/>
          <w:lang w:val="es-ES_tradnl"/>
        </w:rPr>
        <w:t xml:space="preserve">b) de la Convención Americana. </w:t>
      </w:r>
    </w:p>
    <w:p w14:paraId="65DEC30D" w14:textId="785CDDF1" w:rsidR="00172FE4" w:rsidRPr="00D97135" w:rsidRDefault="00172FE4" w:rsidP="00172FE4">
      <w:pPr>
        <w:pStyle w:val="ListParagraph"/>
        <w:numPr>
          <w:ilvl w:val="0"/>
          <w:numId w:val="60"/>
        </w:numPr>
        <w:spacing w:before="240" w:after="240"/>
        <w:ind w:left="0" w:firstLine="720"/>
        <w:jc w:val="both"/>
        <w:rPr>
          <w:rFonts w:asciiTheme="majorHAnsi" w:hAnsiTheme="majorHAnsi"/>
          <w:bCs/>
          <w:sz w:val="20"/>
          <w:szCs w:val="20"/>
          <w:lang w:val="es-ES_tradnl"/>
        </w:rPr>
      </w:pPr>
      <w:r w:rsidRPr="00D97135">
        <w:rPr>
          <w:rFonts w:asciiTheme="majorHAnsi" w:hAnsiTheme="majorHAnsi"/>
          <w:sz w:val="20"/>
          <w:szCs w:val="20"/>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D97135">
        <w:rPr>
          <w:rFonts w:asciiTheme="majorHAnsi" w:hAnsiTheme="majorHAnsi"/>
          <w:sz w:val="20"/>
          <w:szCs w:val="20"/>
          <w:vertAlign w:val="superscript"/>
          <w:lang w:val="es-ES_tradnl"/>
        </w:rPr>
        <w:footnoteReference w:id="5"/>
      </w:r>
      <w:r w:rsidRPr="00D97135">
        <w:rPr>
          <w:rFonts w:asciiTheme="majorHAnsi" w:hAnsiTheme="majorHAnsi"/>
          <w:sz w:val="20"/>
          <w:szCs w:val="20"/>
          <w:lang w:val="es-ES_tradnl"/>
        </w:rPr>
        <w:t>. Asimismo, la CIDH en su Informe de Admisibilidad No. 79/08</w:t>
      </w:r>
      <w:r w:rsidRPr="00D97135">
        <w:rPr>
          <w:rStyle w:val="FootnoteReference"/>
          <w:rFonts w:asciiTheme="majorHAnsi" w:hAnsiTheme="majorHAnsi"/>
          <w:sz w:val="20"/>
          <w:szCs w:val="20"/>
          <w:lang w:val="es-ES_tradnl"/>
        </w:rPr>
        <w:footnoteReference w:id="6"/>
      </w:r>
      <w:r w:rsidRPr="00D97135">
        <w:rPr>
          <w:rFonts w:asciiTheme="majorHAnsi" w:hAnsiTheme="majorHAnsi"/>
          <w:sz w:val="20"/>
          <w:szCs w:val="20"/>
          <w:lang w:val="es-ES_tradnl"/>
        </w:rPr>
        <w:t>, aclaró que:</w:t>
      </w:r>
    </w:p>
    <w:p w14:paraId="2DEDAC41" w14:textId="77777777" w:rsidR="00172FE4" w:rsidRPr="00D97135" w:rsidRDefault="00172FE4" w:rsidP="00172FE4">
      <w:pPr>
        <w:pStyle w:val="ListParagraph"/>
        <w:suppressAutoHyphens/>
        <w:spacing w:after="240"/>
        <w:ind w:right="720"/>
        <w:jc w:val="both"/>
        <w:rPr>
          <w:rFonts w:asciiTheme="majorHAnsi" w:hAnsiTheme="majorHAnsi"/>
          <w:sz w:val="20"/>
          <w:szCs w:val="20"/>
          <w:lang w:val="es-ES_tradnl"/>
        </w:rPr>
      </w:pPr>
      <w:r w:rsidRPr="00D97135">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D97135">
        <w:rPr>
          <w:rFonts w:asciiTheme="majorHAnsi" w:hAnsiTheme="majorHAnsi"/>
          <w:i/>
          <w:iCs/>
          <w:sz w:val="20"/>
          <w:szCs w:val="20"/>
          <w:lang w:val="es-ES_tradnl"/>
        </w:rPr>
        <w:t xml:space="preserve">en la tramitación de casos individuales ante la Comisión, no existe el concepto de caducidad de </w:t>
      </w:r>
      <w:r w:rsidRPr="00D97135">
        <w:rPr>
          <w:rFonts w:asciiTheme="majorHAnsi" w:hAnsiTheme="majorHAnsi"/>
          <w:i/>
          <w:iCs/>
          <w:sz w:val="20"/>
          <w:szCs w:val="20"/>
          <w:lang w:val="es-ES_tradnl"/>
        </w:rPr>
        <w:lastRenderedPageBreak/>
        <w:t>instancia como una medida ipso jure, por el mero transcurso del tiempo</w:t>
      </w:r>
      <w:r w:rsidRPr="00D97135">
        <w:rPr>
          <w:rFonts w:asciiTheme="majorHAnsi" w:hAnsiTheme="majorHAnsi"/>
          <w:sz w:val="20"/>
          <w:szCs w:val="20"/>
          <w:lang w:val="es-ES_tradnl"/>
        </w:rPr>
        <w:t>” [CIDH, Informe Nº 33/98, Caso 10.545 Clemente Ayala Torres y otros(México), 15 de mayo de 1998, párrafo 28.]</w:t>
      </w:r>
    </w:p>
    <w:p w14:paraId="11F60DFC" w14:textId="77777777" w:rsidR="00172FE4" w:rsidRPr="00D97135" w:rsidRDefault="00172FE4" w:rsidP="00172FE4">
      <w:pPr>
        <w:suppressAutoHyphens/>
        <w:spacing w:after="240"/>
        <w:jc w:val="both"/>
        <w:rPr>
          <w:rFonts w:asciiTheme="majorHAnsi" w:hAnsiTheme="majorHAnsi"/>
          <w:sz w:val="20"/>
          <w:szCs w:val="20"/>
          <w:lang w:val="es-ES_tradnl"/>
        </w:rPr>
      </w:pPr>
      <w:r w:rsidRPr="00D97135">
        <w:rPr>
          <w:rFonts w:asciiTheme="majorHAnsi" w:hAnsiTheme="majorHAnsi"/>
          <w:sz w:val="20"/>
          <w:szCs w:val="20"/>
          <w:lang w:val="es-ES_tradnl"/>
        </w:rPr>
        <w:t>Asimismo, en refuerzo de lo anterior, la Corte Interamericana de Derechos Humanos ha establecido precisamente respecto a este punto que:</w:t>
      </w:r>
    </w:p>
    <w:p w14:paraId="27834441" w14:textId="77777777" w:rsidR="00172FE4" w:rsidRPr="00D97135" w:rsidRDefault="00172FE4" w:rsidP="00172FE4">
      <w:pPr>
        <w:pStyle w:val="ListParagraph"/>
        <w:suppressAutoHyphens/>
        <w:spacing w:after="240"/>
        <w:ind w:right="720"/>
        <w:jc w:val="both"/>
        <w:rPr>
          <w:rFonts w:asciiTheme="majorHAnsi" w:hAnsiTheme="majorHAnsi"/>
          <w:sz w:val="20"/>
          <w:szCs w:val="20"/>
          <w:lang w:val="es-ES_tradnl"/>
        </w:rPr>
      </w:pPr>
      <w:r w:rsidRPr="00D97135">
        <w:rPr>
          <w:rFonts w:asciiTheme="majorHAnsi" w:hAnsiTheme="majorHAnsi"/>
          <w:sz w:val="20"/>
          <w:szCs w:val="20"/>
          <w:lang w:val="es-ES_tradnl"/>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 por acciones u omisiones de la Comisión Interamericana sobre las cuales las presuntas víctimas no tienen ningún tipo de control. […]</w:t>
      </w:r>
      <w:r w:rsidRPr="00D97135">
        <w:rPr>
          <w:rStyle w:val="FootnoteReference"/>
          <w:rFonts w:asciiTheme="majorHAnsi" w:hAnsiTheme="majorHAnsi"/>
          <w:sz w:val="20"/>
          <w:szCs w:val="20"/>
          <w:lang w:val="es-ES_tradnl"/>
        </w:rPr>
        <w:footnoteReference w:id="7"/>
      </w:r>
    </w:p>
    <w:p w14:paraId="663176D9" w14:textId="682EE662" w:rsidR="00172FE4" w:rsidRPr="00D97135" w:rsidRDefault="00172FE4" w:rsidP="00172FE4">
      <w:pPr>
        <w:suppressAutoHyphens/>
        <w:spacing w:after="240"/>
        <w:jc w:val="both"/>
        <w:rPr>
          <w:rFonts w:asciiTheme="majorHAnsi" w:hAnsiTheme="majorHAnsi"/>
          <w:sz w:val="20"/>
          <w:szCs w:val="20"/>
          <w:lang w:val="es-ES_tradnl"/>
        </w:rPr>
      </w:pPr>
      <w:r w:rsidRPr="00D97135">
        <w:rPr>
          <w:rFonts w:asciiTheme="majorHAnsi" w:hAnsiTheme="majorHAnsi"/>
          <w:sz w:val="20"/>
          <w:szCs w:val="20"/>
          <w:lang w:val="es-ES_tradnl"/>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673598AF" w14:textId="77777777" w:rsidR="003239B8" w:rsidRPr="00D97135" w:rsidRDefault="003239B8" w:rsidP="003239B8">
      <w:pPr>
        <w:pStyle w:val="ListParagraph"/>
        <w:spacing w:before="240" w:after="240"/>
        <w:jc w:val="both"/>
        <w:rPr>
          <w:rFonts w:asciiTheme="majorHAnsi" w:hAnsiTheme="majorHAnsi"/>
          <w:b/>
          <w:sz w:val="20"/>
          <w:szCs w:val="20"/>
          <w:lang w:val="es-ES_tradnl"/>
        </w:rPr>
      </w:pPr>
      <w:r w:rsidRPr="00D97135">
        <w:rPr>
          <w:rFonts w:asciiTheme="majorHAnsi" w:hAnsiTheme="majorHAnsi"/>
          <w:b/>
          <w:bCs/>
          <w:sz w:val="20"/>
          <w:szCs w:val="20"/>
          <w:lang w:val="es-ES_tradnl"/>
        </w:rPr>
        <w:t>VII.</w:t>
      </w:r>
      <w:r w:rsidRPr="00D97135">
        <w:rPr>
          <w:rFonts w:asciiTheme="majorHAnsi" w:hAnsiTheme="majorHAnsi"/>
          <w:b/>
          <w:bCs/>
          <w:sz w:val="20"/>
          <w:szCs w:val="20"/>
          <w:lang w:val="es-ES_tradnl"/>
        </w:rPr>
        <w:tab/>
      </w:r>
      <w:r w:rsidR="004A6A54" w:rsidRPr="00D97135">
        <w:rPr>
          <w:rFonts w:asciiTheme="majorHAnsi" w:hAnsiTheme="majorHAnsi"/>
          <w:b/>
          <w:bCs/>
          <w:sz w:val="20"/>
          <w:szCs w:val="20"/>
          <w:lang w:val="es-ES_tradnl"/>
        </w:rPr>
        <w:t xml:space="preserve">ANÁLISIS DE </w:t>
      </w:r>
      <w:r w:rsidR="00C21FEF" w:rsidRPr="00D97135">
        <w:rPr>
          <w:rFonts w:asciiTheme="majorHAnsi" w:hAnsiTheme="majorHAnsi"/>
          <w:b/>
          <w:bCs/>
          <w:sz w:val="20"/>
          <w:szCs w:val="20"/>
          <w:lang w:val="es-ES_tradnl"/>
        </w:rPr>
        <w:t>CARACTERIZACIÓN DE LOS HECHOS ALEGADOS</w:t>
      </w:r>
    </w:p>
    <w:p w14:paraId="55E7260A" w14:textId="66E9CCF9" w:rsidR="008B1268" w:rsidRPr="00D97135" w:rsidRDefault="008B1268" w:rsidP="008B126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97135">
        <w:rPr>
          <w:rFonts w:asciiTheme="majorHAnsi" w:hAnsiTheme="majorHAnsi"/>
          <w:sz w:val="20"/>
          <w:szCs w:val="20"/>
          <w:lang w:val="es-ES_tradnl"/>
        </w:rPr>
        <w:t xml:space="preserve">Preliminarmente y dado que el Estado ha presentado argumentos relacionados con la fórmula de la “cuarta instancia”, </w:t>
      </w:r>
      <w:r w:rsidRPr="00D97135">
        <w:rPr>
          <w:sz w:val="20"/>
          <w:szCs w:val="20"/>
          <w:lang w:val="es-ES_tradnl"/>
        </w:rPr>
        <w:t xml:space="preserve">la Comisión reitera que </w:t>
      </w:r>
      <w:r w:rsidR="003432E7" w:rsidRPr="00D97135">
        <w:rPr>
          <w:sz w:val="20"/>
          <w:szCs w:val="20"/>
          <w:lang w:val="es-ES_tradnl"/>
        </w:rPr>
        <w:t>–</w:t>
      </w:r>
      <w:r w:rsidRPr="00D97135">
        <w:rPr>
          <w:sz w:val="20"/>
          <w:szCs w:val="20"/>
          <w:lang w:val="es-ES_tradnl"/>
        </w:rPr>
        <w:t>a efectos de la admisibilidad</w:t>
      </w:r>
      <w:r w:rsidR="003432E7" w:rsidRPr="00D97135">
        <w:rPr>
          <w:sz w:val="20"/>
          <w:szCs w:val="20"/>
          <w:lang w:val="es-ES_tradnl"/>
        </w:rPr>
        <w:t>–</w:t>
      </w:r>
      <w:r w:rsidRPr="00D97135">
        <w:rPr>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w:t>
      </w:r>
    </w:p>
    <w:p w14:paraId="0CCD8E27" w14:textId="77777777" w:rsidR="00172FE4" w:rsidRPr="00D97135" w:rsidRDefault="00172FE4" w:rsidP="00172FE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DE2BDA9" w14:textId="1171F0E5" w:rsidR="00D97135" w:rsidRPr="00D97135" w:rsidRDefault="003432E7" w:rsidP="008B126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97135">
        <w:rPr>
          <w:rFonts w:asciiTheme="majorHAnsi" w:hAnsiTheme="majorHAnsi"/>
          <w:sz w:val="20"/>
          <w:szCs w:val="20"/>
          <w:lang w:val="es-ES_tradnl"/>
        </w:rPr>
        <w:t xml:space="preserve">En el presente asunto, luego de analizar en detalle los alegatos y las decisiones judiciales aportadas por las partes, y sin entrar a realizar valoraciones de fondo, sino analizando los procesos judiciales internos como un todo, la Comisión Interamericana no observa que </w:t>
      </w:r>
      <w:r w:rsidRPr="00D97135">
        <w:rPr>
          <w:rFonts w:asciiTheme="majorHAnsi" w:hAnsiTheme="majorHAnsi"/>
          <w:i/>
          <w:iCs/>
          <w:sz w:val="20"/>
          <w:szCs w:val="20"/>
          <w:lang w:val="es-ES_tradnl"/>
        </w:rPr>
        <w:t>prima facie</w:t>
      </w:r>
      <w:r w:rsidRPr="00D97135">
        <w:rPr>
          <w:rFonts w:asciiTheme="majorHAnsi" w:hAnsiTheme="majorHAnsi"/>
          <w:sz w:val="20"/>
          <w:szCs w:val="20"/>
          <w:lang w:val="es-ES_tradnl"/>
        </w:rPr>
        <w:t xml:space="preserve"> se hayan cometido violaciones a los derechos humanos del peticionario durante la tramitación de los procesos judiciales internos; específicamente en los términos de los artículos 8 (garantías judiciales) y 25 (protección de la Convención Americana)</w:t>
      </w:r>
      <w:r w:rsidR="005255CB" w:rsidRPr="00D97135">
        <w:rPr>
          <w:rFonts w:asciiTheme="majorHAnsi" w:hAnsiTheme="majorHAnsi"/>
          <w:sz w:val="20"/>
          <w:szCs w:val="20"/>
          <w:lang w:val="es-ES_tradnl"/>
        </w:rPr>
        <w:t xml:space="preserve">. Asimismo, </w:t>
      </w:r>
      <w:r w:rsidR="00FA65DF" w:rsidRPr="00D97135">
        <w:rPr>
          <w:rFonts w:asciiTheme="majorHAnsi" w:hAnsiTheme="majorHAnsi"/>
          <w:sz w:val="20"/>
          <w:szCs w:val="20"/>
          <w:lang w:val="es-ES_tradnl"/>
        </w:rPr>
        <w:t xml:space="preserve">la Comisión observa que en todo momento el peticionario pudo ejercer su derecho de defensa, y tuvo ampliamente la posibilidad de presentar los recursos judiciales pertinente, obteniendo respuestas motivadas y en plazo razonable por parte de los tribunales internos. </w:t>
      </w:r>
      <w:r w:rsidR="00D97135" w:rsidRPr="00D97135">
        <w:rPr>
          <w:rFonts w:asciiTheme="majorHAnsi" w:hAnsiTheme="majorHAnsi"/>
          <w:sz w:val="20"/>
          <w:szCs w:val="20"/>
          <w:lang w:val="es-ES_tradnl"/>
        </w:rPr>
        <w:t>En línea con lo anterior, la Comisión considera que para establecer</w:t>
      </w:r>
      <w:r w:rsidR="005255CB" w:rsidRPr="00D97135">
        <w:rPr>
          <w:rFonts w:asciiTheme="majorHAnsi" w:hAnsiTheme="majorHAnsi"/>
          <w:sz w:val="20"/>
          <w:szCs w:val="20"/>
          <w:lang w:val="es-ES_tradnl"/>
        </w:rPr>
        <w:t xml:space="preserve"> </w:t>
      </w:r>
      <w:r w:rsidR="00D97135" w:rsidRPr="00D97135">
        <w:rPr>
          <w:rFonts w:asciiTheme="majorHAnsi" w:hAnsiTheme="majorHAnsi"/>
          <w:sz w:val="20"/>
          <w:szCs w:val="20"/>
          <w:lang w:val="es-ES_tradnl"/>
        </w:rPr>
        <w:t>si los tribunales internos debieron o no reconocer al peticionario una compensación económica por la restricción que sufrió a la libre disposición de sus bienes, por un periodo de algunos años entre finales de los 80s y principios de los 90s, tendría que entrar a evaluar la interpretación que realizaron los tribunales internos de normas procesales domésticas, lo que en un caso como el presente no le correspondería realizar a la CIDH. Además, y como señalaron los tribunales internos y alega el Estado, el peticionario no ha mostrado el daño concreto, material, que habría sufrido con esta medida de embargo.</w:t>
      </w:r>
    </w:p>
    <w:p w14:paraId="580E0A09" w14:textId="77777777" w:rsidR="00D97135" w:rsidRPr="00D97135" w:rsidRDefault="00D97135" w:rsidP="00D9713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50E0988" w14:textId="2DBBEE8B" w:rsidR="00392F7F" w:rsidRPr="00D97135" w:rsidRDefault="005255CB" w:rsidP="0031276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97135">
        <w:rPr>
          <w:rFonts w:asciiTheme="majorHAnsi" w:hAnsiTheme="majorHAnsi"/>
          <w:sz w:val="20"/>
          <w:szCs w:val="20"/>
          <w:lang w:val="es-ES_tradnl"/>
        </w:rPr>
        <w:t xml:space="preserve">       </w:t>
      </w:r>
      <w:r w:rsidR="00D97135" w:rsidRPr="00D97135">
        <w:rPr>
          <w:rFonts w:asciiTheme="majorHAnsi" w:hAnsiTheme="majorHAnsi"/>
          <w:sz w:val="20"/>
          <w:szCs w:val="20"/>
          <w:lang w:val="es-ES_tradnl"/>
        </w:rPr>
        <w:t>En atención a lo anterior, la Comisión Interamericana considera que la presente petición resulta inadmisible en los términos del artículo 47.b) de la Convención Americana.</w:t>
      </w:r>
      <w:r w:rsidRPr="00D97135">
        <w:rPr>
          <w:rFonts w:asciiTheme="majorHAnsi" w:hAnsiTheme="majorHAnsi"/>
          <w:sz w:val="20"/>
          <w:szCs w:val="20"/>
          <w:lang w:val="es-ES_tradnl"/>
        </w:rPr>
        <w:t xml:space="preserve">                            </w:t>
      </w:r>
    </w:p>
    <w:p w14:paraId="445BF42E" w14:textId="77777777" w:rsidR="003239B8" w:rsidRPr="00D97135" w:rsidRDefault="003239B8" w:rsidP="003239B8">
      <w:pPr>
        <w:pStyle w:val="ListParagraph"/>
        <w:spacing w:before="240" w:after="240"/>
        <w:jc w:val="both"/>
        <w:rPr>
          <w:rFonts w:asciiTheme="majorHAnsi" w:hAnsiTheme="majorHAnsi"/>
          <w:b/>
          <w:bCs/>
          <w:sz w:val="20"/>
          <w:szCs w:val="20"/>
          <w:lang w:val="es-ES_tradnl"/>
        </w:rPr>
      </w:pPr>
      <w:r w:rsidRPr="00D97135">
        <w:rPr>
          <w:rFonts w:asciiTheme="majorHAnsi" w:hAnsiTheme="majorHAnsi"/>
          <w:b/>
          <w:bCs/>
          <w:sz w:val="20"/>
          <w:szCs w:val="20"/>
          <w:lang w:val="es-ES_tradnl"/>
        </w:rPr>
        <w:t xml:space="preserve">VIII. </w:t>
      </w:r>
      <w:r w:rsidRPr="00D97135">
        <w:rPr>
          <w:rFonts w:asciiTheme="majorHAnsi" w:hAnsiTheme="majorHAnsi"/>
          <w:b/>
          <w:bCs/>
          <w:sz w:val="20"/>
          <w:szCs w:val="20"/>
          <w:lang w:val="es-ES_tradnl"/>
        </w:rPr>
        <w:tab/>
        <w:t>DECISIÓN</w:t>
      </w:r>
    </w:p>
    <w:p w14:paraId="7CCCB663" w14:textId="113EDE45" w:rsidR="000419AD" w:rsidRPr="00D97135" w:rsidRDefault="000419AD" w:rsidP="00305835">
      <w:pPr>
        <w:pStyle w:val="ListParagraph"/>
        <w:numPr>
          <w:ilvl w:val="0"/>
          <w:numId w:val="55"/>
        </w:numPr>
        <w:rPr>
          <w:rFonts w:eastAsia="Arial Unicode MS" w:cs="Times New Roman"/>
          <w:color w:val="auto"/>
          <w:sz w:val="20"/>
          <w:szCs w:val="20"/>
          <w:lang w:val="es-ES_tradnl" w:eastAsia="en-US"/>
        </w:rPr>
      </w:pPr>
      <w:r w:rsidRPr="00D97135">
        <w:rPr>
          <w:rFonts w:eastAsia="Arial Unicode MS" w:cs="Times New Roman"/>
          <w:color w:val="auto"/>
          <w:sz w:val="20"/>
          <w:szCs w:val="20"/>
          <w:lang w:val="es-ES_tradnl" w:eastAsia="en-US"/>
        </w:rPr>
        <w:t>Declarar inadmisible la presente petición</w:t>
      </w:r>
      <w:r w:rsidR="00444A77">
        <w:rPr>
          <w:rFonts w:eastAsia="Arial Unicode MS" w:cs="Times New Roman"/>
          <w:color w:val="auto"/>
          <w:sz w:val="20"/>
          <w:szCs w:val="20"/>
          <w:lang w:val="es-ES_tradnl" w:eastAsia="en-US"/>
        </w:rPr>
        <w:t>; y</w:t>
      </w:r>
    </w:p>
    <w:p w14:paraId="547DFF8E" w14:textId="77777777" w:rsidR="000419AD" w:rsidRPr="00D97135" w:rsidRDefault="000419AD" w:rsidP="00B02045">
      <w:pPr>
        <w:pStyle w:val="ListParagraph"/>
        <w:rPr>
          <w:rFonts w:eastAsia="Arial Unicode MS" w:cs="Times New Roman"/>
          <w:color w:val="auto"/>
          <w:sz w:val="20"/>
          <w:szCs w:val="20"/>
          <w:lang w:val="es-ES_tradnl" w:eastAsia="en-US"/>
        </w:rPr>
      </w:pPr>
    </w:p>
    <w:p w14:paraId="02C904B2" w14:textId="03A89430" w:rsidR="009A56CE" w:rsidRDefault="004A6A54" w:rsidP="00D971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97135">
        <w:rPr>
          <w:rFonts w:asciiTheme="majorHAnsi" w:hAnsiTheme="majorHAnsi"/>
          <w:sz w:val="20"/>
          <w:szCs w:val="20"/>
          <w:lang w:val="es-ES_tradnl"/>
        </w:rPr>
        <w:t>Notificar a las partes la presente decisión</w:t>
      </w:r>
      <w:r w:rsidR="00B02045" w:rsidRPr="00D97135">
        <w:rPr>
          <w:rFonts w:asciiTheme="majorHAnsi" w:hAnsiTheme="majorHAnsi"/>
          <w:sz w:val="20"/>
          <w:szCs w:val="20"/>
          <w:lang w:val="es-ES_tradnl"/>
        </w:rPr>
        <w:t xml:space="preserve">; </w:t>
      </w:r>
      <w:r w:rsidRPr="00D97135">
        <w:rPr>
          <w:rFonts w:asciiTheme="majorHAnsi" w:hAnsiTheme="majorHAnsi"/>
          <w:sz w:val="20"/>
          <w:szCs w:val="20"/>
          <w:lang w:val="es-ES_tradnl"/>
        </w:rPr>
        <w:t>y publicar esta decisión e incluirla en su Informe Anual a la Asamblea General de la Orga</w:t>
      </w:r>
      <w:r w:rsidRPr="009B7794">
        <w:rPr>
          <w:rFonts w:asciiTheme="majorHAnsi" w:hAnsiTheme="majorHAnsi"/>
          <w:sz w:val="20"/>
          <w:szCs w:val="20"/>
          <w:lang w:val="es-ES"/>
        </w:rPr>
        <w:t>nización de los Estados Americanos.</w:t>
      </w:r>
    </w:p>
    <w:p w14:paraId="357DFE70" w14:textId="77777777" w:rsidR="00881852" w:rsidRDefault="00881852" w:rsidP="00881852">
      <w:pPr>
        <w:pStyle w:val="ListParagraph"/>
        <w:rPr>
          <w:rFonts w:asciiTheme="majorHAnsi" w:hAnsiTheme="majorHAnsi"/>
          <w:sz w:val="20"/>
          <w:szCs w:val="20"/>
          <w:lang w:val="es-ES"/>
        </w:rPr>
      </w:pPr>
    </w:p>
    <w:p w14:paraId="67F17763" w14:textId="5F764635" w:rsidR="00881852" w:rsidRPr="00DB21A3" w:rsidRDefault="009341F5" w:rsidP="00DB21A3">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C11444">
        <w:rPr>
          <w:rFonts w:asciiTheme="majorHAnsi" w:hAnsiTheme="majorHAnsi" w:cs="Arial"/>
          <w:noProof/>
          <w:spacing w:val="-2"/>
          <w:sz w:val="20"/>
          <w:szCs w:val="20"/>
          <w:lang w:val="es-CL"/>
        </w:rPr>
        <w:t>19</w:t>
      </w:r>
      <w:r w:rsidRPr="00B76FE0">
        <w:rPr>
          <w:rFonts w:asciiTheme="majorHAnsi" w:hAnsiTheme="majorHAnsi" w:cs="Arial"/>
          <w:noProof/>
          <w:spacing w:val="-2"/>
          <w:sz w:val="20"/>
          <w:szCs w:val="20"/>
          <w:lang w:val="es-CL"/>
        </w:rPr>
        <w:t xml:space="preserve"> días del mes de </w:t>
      </w:r>
      <w:r w:rsidR="00C11444">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11444">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DB21A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sectPr w:rsidR="00881852" w:rsidRPr="00DB21A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22EA" w14:textId="77777777" w:rsidR="00FD1F57" w:rsidRDefault="00FD1F57">
      <w:r>
        <w:separator/>
      </w:r>
    </w:p>
  </w:endnote>
  <w:endnote w:type="continuationSeparator" w:id="0">
    <w:p w14:paraId="435989EE" w14:textId="77777777" w:rsidR="00FD1F57" w:rsidRDefault="00FD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E672" w14:textId="77777777" w:rsidR="00FD1F57" w:rsidRPr="000F35ED" w:rsidRDefault="00FD1F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BF7BCC" w14:textId="77777777" w:rsidR="00FD1F57" w:rsidRPr="000F35ED" w:rsidRDefault="00FD1F57" w:rsidP="000F35ED">
      <w:pPr>
        <w:rPr>
          <w:rFonts w:asciiTheme="majorHAnsi" w:hAnsiTheme="majorHAnsi"/>
          <w:sz w:val="16"/>
          <w:szCs w:val="16"/>
        </w:rPr>
      </w:pPr>
      <w:r w:rsidRPr="000F35ED">
        <w:rPr>
          <w:rFonts w:asciiTheme="majorHAnsi" w:hAnsiTheme="majorHAnsi"/>
          <w:sz w:val="16"/>
          <w:szCs w:val="16"/>
        </w:rPr>
        <w:separator/>
      </w:r>
    </w:p>
    <w:p w14:paraId="1AFCF6FC" w14:textId="77777777" w:rsidR="00FD1F57" w:rsidRPr="000F35ED" w:rsidRDefault="00FD1F5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BA9125" w14:textId="77777777" w:rsidR="00FD1F57" w:rsidRPr="000F35ED" w:rsidRDefault="00FD1F5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B2D019" w14:textId="70EFB27B" w:rsidR="00595C78" w:rsidRPr="00172FE4" w:rsidRDefault="00595C78" w:rsidP="00172FE4">
      <w:pPr>
        <w:pStyle w:val="FootnoteText"/>
        <w:ind w:firstLine="720"/>
        <w:jc w:val="both"/>
        <w:rPr>
          <w:rFonts w:asciiTheme="majorHAnsi" w:hAnsiTheme="majorHAnsi"/>
          <w:sz w:val="16"/>
          <w:szCs w:val="16"/>
          <w:lang w:val="es-PA"/>
        </w:rPr>
      </w:pPr>
      <w:r w:rsidRPr="00172FE4">
        <w:rPr>
          <w:rStyle w:val="FootnoteReference"/>
          <w:rFonts w:asciiTheme="majorHAnsi" w:hAnsiTheme="majorHAnsi"/>
          <w:sz w:val="16"/>
          <w:szCs w:val="16"/>
        </w:rPr>
        <w:footnoteRef/>
      </w:r>
      <w:r w:rsidRPr="00172FE4">
        <w:rPr>
          <w:rFonts w:asciiTheme="majorHAnsi" w:hAnsiTheme="majorHAnsi"/>
          <w:sz w:val="16"/>
          <w:szCs w:val="16"/>
          <w:lang w:val="es-PA"/>
        </w:rPr>
        <w:t xml:space="preserve"> En adelante “la Convención Americana”.</w:t>
      </w:r>
    </w:p>
  </w:footnote>
  <w:footnote w:id="3">
    <w:p w14:paraId="1AFEF3B0" w14:textId="31511093" w:rsidR="008E3BFE" w:rsidRPr="00172FE4" w:rsidRDefault="008E3BFE" w:rsidP="00172FE4">
      <w:pPr>
        <w:pStyle w:val="FootnoteText"/>
        <w:ind w:firstLine="720"/>
        <w:jc w:val="both"/>
        <w:rPr>
          <w:rFonts w:asciiTheme="majorHAnsi" w:hAnsiTheme="majorHAnsi"/>
          <w:sz w:val="16"/>
          <w:szCs w:val="16"/>
          <w:lang w:val="es-ES"/>
        </w:rPr>
      </w:pPr>
      <w:r w:rsidRPr="00172FE4">
        <w:rPr>
          <w:rStyle w:val="FootnoteReference"/>
          <w:rFonts w:asciiTheme="majorHAnsi" w:hAnsiTheme="majorHAnsi"/>
          <w:sz w:val="16"/>
          <w:szCs w:val="16"/>
        </w:rPr>
        <w:footnoteRef/>
      </w:r>
      <w:r w:rsidRPr="00172FE4">
        <w:rPr>
          <w:rFonts w:asciiTheme="majorHAnsi" w:hAnsiTheme="majorHAnsi"/>
          <w:sz w:val="16"/>
          <w:szCs w:val="16"/>
          <w:lang w:val="es-ES"/>
        </w:rPr>
        <w:t xml:space="preserve"> Las observaciones de cada parte fueron debidamente trasladadas a la parte contraria.</w:t>
      </w:r>
      <w:r w:rsidR="009A56CE" w:rsidRPr="00172FE4">
        <w:rPr>
          <w:rFonts w:asciiTheme="majorHAnsi" w:hAnsiTheme="majorHAnsi"/>
          <w:sz w:val="16"/>
          <w:szCs w:val="16"/>
          <w:lang w:val="es-ES"/>
        </w:rPr>
        <w:t xml:space="preserve"> </w:t>
      </w:r>
    </w:p>
  </w:footnote>
  <w:footnote w:id="4">
    <w:p w14:paraId="71A36C31" w14:textId="77777777" w:rsidR="004E165B" w:rsidRPr="00172FE4" w:rsidRDefault="004E165B" w:rsidP="00172FE4">
      <w:pPr>
        <w:ind w:firstLine="720"/>
        <w:contextualSpacing/>
        <w:jc w:val="both"/>
        <w:rPr>
          <w:rFonts w:asciiTheme="majorHAnsi" w:hAnsiTheme="majorHAnsi" w:cs="Calibri"/>
          <w:sz w:val="16"/>
          <w:szCs w:val="16"/>
          <w:lang w:val="es-ES_tradnl"/>
        </w:rPr>
      </w:pPr>
      <w:r w:rsidRPr="00172FE4">
        <w:rPr>
          <w:rStyle w:val="FootnoteReference"/>
          <w:rFonts w:asciiTheme="majorHAnsi" w:hAnsiTheme="majorHAnsi" w:cs="Calibri"/>
          <w:sz w:val="16"/>
          <w:szCs w:val="16"/>
        </w:rPr>
        <w:footnoteRef/>
      </w:r>
      <w:r w:rsidRPr="00172FE4">
        <w:rPr>
          <w:rFonts w:asciiTheme="majorHAnsi" w:hAnsiTheme="majorHAnsi" w:cs="Calibri"/>
          <w:sz w:val="16"/>
          <w:szCs w:val="16"/>
          <w:lang w:val="es-ES"/>
        </w:rPr>
        <w:t xml:space="preserve">  </w:t>
      </w:r>
      <w:r w:rsidRPr="00172FE4">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5">
    <w:p w14:paraId="77075E10" w14:textId="77777777" w:rsidR="00172FE4" w:rsidRPr="00172FE4" w:rsidRDefault="00172FE4" w:rsidP="00E817A1">
      <w:pPr>
        <w:pStyle w:val="FootnoteText"/>
        <w:ind w:firstLine="720"/>
        <w:jc w:val="both"/>
        <w:rPr>
          <w:rFonts w:asciiTheme="majorHAnsi" w:hAnsiTheme="majorHAnsi"/>
          <w:color w:val="auto"/>
          <w:sz w:val="16"/>
          <w:szCs w:val="16"/>
          <w:lang w:val="es-ES"/>
        </w:rPr>
      </w:pPr>
      <w:r w:rsidRPr="00172FE4">
        <w:rPr>
          <w:rStyle w:val="FootnoteReference"/>
          <w:rFonts w:asciiTheme="majorHAnsi" w:hAnsiTheme="majorHAnsi"/>
          <w:color w:val="auto"/>
          <w:sz w:val="16"/>
          <w:szCs w:val="16"/>
        </w:rPr>
        <w:footnoteRef/>
      </w:r>
      <w:r w:rsidRPr="00172FE4">
        <w:rPr>
          <w:rFonts w:asciiTheme="majorHAnsi" w:hAnsiTheme="majorHAnsi"/>
          <w:color w:val="auto"/>
          <w:sz w:val="16"/>
          <w:szCs w:val="16"/>
          <w:lang w:val="es-ES"/>
        </w:rPr>
        <w:t xml:space="preserve"> Véase por ejemplo CIDH, Informe No. 56/16. </w:t>
      </w:r>
      <w:r w:rsidRPr="00172FE4">
        <w:rPr>
          <w:rFonts w:asciiTheme="majorHAnsi" w:hAnsiTheme="majorHAnsi"/>
          <w:color w:val="auto"/>
          <w:sz w:val="16"/>
          <w:szCs w:val="16"/>
          <w:lang w:val="es-ES_tradnl"/>
        </w:rPr>
        <w:t xml:space="preserve">Petición 666-03. Admisibilidad. Luis Alberto Leiva. Argentina. </w:t>
      </w:r>
      <w:r w:rsidRPr="00172FE4">
        <w:rPr>
          <w:rFonts w:asciiTheme="majorHAnsi" w:hAnsiTheme="majorHAnsi"/>
          <w:color w:val="auto"/>
          <w:sz w:val="16"/>
          <w:szCs w:val="16"/>
          <w:lang w:val="es-ES"/>
        </w:rPr>
        <w:t xml:space="preserve">6 de diciembre de 2016, párr. 25. </w:t>
      </w:r>
      <w:bookmarkStart w:id="2" w:name="_Hlk113360759"/>
    </w:p>
    <w:bookmarkEnd w:id="2"/>
  </w:footnote>
  <w:footnote w:id="6">
    <w:p w14:paraId="70B07289" w14:textId="77777777" w:rsidR="00172FE4" w:rsidRPr="00172FE4" w:rsidRDefault="00172FE4" w:rsidP="00172FE4">
      <w:pPr>
        <w:pStyle w:val="FootnoteText"/>
        <w:ind w:firstLine="720"/>
        <w:jc w:val="both"/>
        <w:rPr>
          <w:rFonts w:asciiTheme="majorHAnsi" w:hAnsiTheme="majorHAnsi"/>
          <w:sz w:val="16"/>
          <w:szCs w:val="16"/>
          <w:lang w:val="es-US"/>
        </w:rPr>
      </w:pPr>
      <w:r w:rsidRPr="00172FE4">
        <w:rPr>
          <w:rStyle w:val="FootnoteReference"/>
          <w:rFonts w:asciiTheme="majorHAnsi" w:hAnsiTheme="majorHAnsi"/>
          <w:sz w:val="16"/>
          <w:szCs w:val="16"/>
        </w:rPr>
        <w:footnoteRef/>
      </w:r>
      <w:r w:rsidRPr="00172FE4">
        <w:rPr>
          <w:rFonts w:asciiTheme="majorHAnsi" w:hAnsiTheme="majorHAnsi"/>
          <w:sz w:val="16"/>
          <w:szCs w:val="16"/>
          <w:lang w:val="es-US"/>
        </w:rPr>
        <w:t xml:space="preserve"> CIDH, Informe No. 79/08, Petición 95-01. Admisibilidad. Marcos Alejandro Martin. Argentina. 17 de octubre de 2008, párr. 27.</w:t>
      </w:r>
    </w:p>
  </w:footnote>
  <w:footnote w:id="7">
    <w:p w14:paraId="3C26F32C" w14:textId="77777777" w:rsidR="00172FE4" w:rsidRPr="00172FE4" w:rsidRDefault="00172FE4" w:rsidP="00172FE4">
      <w:pPr>
        <w:pStyle w:val="FootnoteText"/>
        <w:ind w:firstLine="720"/>
        <w:jc w:val="both"/>
        <w:rPr>
          <w:rFonts w:asciiTheme="majorHAnsi" w:hAnsiTheme="majorHAnsi"/>
          <w:sz w:val="16"/>
          <w:szCs w:val="16"/>
          <w:lang w:val="es-US"/>
        </w:rPr>
      </w:pPr>
      <w:r w:rsidRPr="00172FE4">
        <w:rPr>
          <w:rStyle w:val="FootnoteReference"/>
          <w:rFonts w:asciiTheme="majorHAnsi" w:hAnsiTheme="majorHAnsi"/>
          <w:sz w:val="16"/>
          <w:szCs w:val="16"/>
        </w:rPr>
        <w:footnoteRef/>
      </w:r>
      <w:r w:rsidRPr="00DB21A3">
        <w:rPr>
          <w:rFonts w:asciiTheme="majorHAnsi" w:hAnsiTheme="majorHAnsi"/>
          <w:sz w:val="16"/>
          <w:szCs w:val="16"/>
          <w:lang w:val="pt-BR"/>
        </w:rPr>
        <w:t xml:space="preserve"> </w:t>
      </w:r>
      <w:r w:rsidRPr="00DB21A3">
        <w:rPr>
          <w:rFonts w:asciiTheme="majorHAnsi" w:hAnsiTheme="majorHAnsi"/>
          <w:color w:val="auto"/>
          <w:sz w:val="16"/>
          <w:szCs w:val="16"/>
          <w:lang w:val="pt-BR"/>
        </w:rPr>
        <w:t xml:space="preserve">Corte IDH, </w:t>
      </w:r>
      <w:r w:rsidRPr="00DB21A3">
        <w:rPr>
          <w:rFonts w:asciiTheme="majorHAnsi" w:hAnsiTheme="majorHAnsi"/>
          <w:i/>
          <w:color w:val="auto"/>
          <w:sz w:val="16"/>
          <w:szCs w:val="16"/>
          <w:lang w:val="pt-BR"/>
        </w:rPr>
        <w:t xml:space="preserve">Caso Mémoli vs. Argentina. </w:t>
      </w:r>
      <w:r w:rsidRPr="00172FE4">
        <w:rPr>
          <w:rFonts w:asciiTheme="majorHAnsi" w:hAnsiTheme="majorHAnsi"/>
          <w:color w:val="auto"/>
          <w:sz w:val="16"/>
          <w:szCs w:val="16"/>
          <w:lang w:val="es-ES"/>
        </w:rPr>
        <w:t xml:space="preserve">Excepciones Preliminares, </w:t>
      </w:r>
      <w:r w:rsidRPr="00172FE4">
        <w:rPr>
          <w:rFonts w:asciiTheme="majorHAnsi" w:hAnsiTheme="majorHAnsi"/>
          <w:color w:val="auto"/>
          <w:sz w:val="16"/>
          <w:szCs w:val="16"/>
          <w:lang w:val="es-CO"/>
        </w:rPr>
        <w:t xml:space="preserve">Fondo, Reparaciones y Costas. Sentencia de 22 de agosto de 2013. Serie C No. 295, </w:t>
      </w:r>
      <w:r w:rsidRPr="00172FE4">
        <w:rPr>
          <w:rFonts w:asciiTheme="majorHAnsi" w:hAnsiTheme="majorHAnsi"/>
          <w:color w:val="auto"/>
          <w:sz w:val="16"/>
          <w:szCs w:val="16"/>
          <w:lang w:val="es-AR"/>
        </w:rPr>
        <w:t>p</w:t>
      </w:r>
      <w:r w:rsidRPr="00172FE4">
        <w:rPr>
          <w:rFonts w:asciiTheme="majorHAnsi" w:hAnsiTheme="majorHAnsi"/>
          <w:color w:val="auto"/>
          <w:sz w:val="16"/>
          <w:szCs w:val="16"/>
          <w:lang w:val="es-ES_tradnl"/>
        </w:rPr>
        <w:t>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449E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53ABA56"/>
    <w:lvl w:ilvl="0" w:tplc="188AEDB0">
      <w:start w:val="1"/>
      <w:numFmt w:val="decimal"/>
      <w:lvlText w:val="%1."/>
      <w:lvlJc w:val="left"/>
      <w:pPr>
        <w:tabs>
          <w:tab w:val="num" w:pos="720"/>
        </w:tabs>
        <w:ind w:firstLine="720"/>
      </w:pPr>
      <w:rPr>
        <w:rFonts w:cs="Times New Roman" w:hint="default"/>
        <w:b w:val="0"/>
        <w:bCs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3364BF"/>
    <w:multiLevelType w:val="hybridMultilevel"/>
    <w:tmpl w:val="0E0648C6"/>
    <w:lvl w:ilvl="0" w:tplc="58C4C31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BC1515"/>
    <w:multiLevelType w:val="hybridMultilevel"/>
    <w:tmpl w:val="F06E3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11995340">
    <w:abstractNumId w:val="3"/>
  </w:num>
  <w:num w:numId="2" w16cid:durableId="974994031">
    <w:abstractNumId w:val="5"/>
  </w:num>
  <w:num w:numId="3" w16cid:durableId="1044216199">
    <w:abstractNumId w:val="55"/>
  </w:num>
  <w:num w:numId="4" w16cid:durableId="2116361231">
    <w:abstractNumId w:val="22"/>
  </w:num>
  <w:num w:numId="5" w16cid:durableId="624698282">
    <w:abstractNumId w:val="49"/>
  </w:num>
  <w:num w:numId="6" w16cid:durableId="228805819">
    <w:abstractNumId w:val="29"/>
  </w:num>
  <w:num w:numId="7" w16cid:durableId="1489517561">
    <w:abstractNumId w:val="6"/>
  </w:num>
  <w:num w:numId="8" w16cid:durableId="729111522">
    <w:abstractNumId w:val="18"/>
  </w:num>
  <w:num w:numId="9" w16cid:durableId="1247227591">
    <w:abstractNumId w:val="44"/>
  </w:num>
  <w:num w:numId="10" w16cid:durableId="822936837">
    <w:abstractNumId w:val="0"/>
  </w:num>
  <w:num w:numId="11" w16cid:durableId="2000694306">
    <w:abstractNumId w:val="39"/>
  </w:num>
  <w:num w:numId="12" w16cid:durableId="1811631314">
    <w:abstractNumId w:val="40"/>
  </w:num>
  <w:num w:numId="13" w16cid:durableId="1034621905">
    <w:abstractNumId w:val="46"/>
  </w:num>
  <w:num w:numId="14" w16cid:durableId="1838381655">
    <w:abstractNumId w:val="1"/>
  </w:num>
  <w:num w:numId="15" w16cid:durableId="1946425279">
    <w:abstractNumId w:val="2"/>
  </w:num>
  <w:num w:numId="16" w16cid:durableId="92628853">
    <w:abstractNumId w:val="7"/>
  </w:num>
  <w:num w:numId="17" w16cid:durableId="614361256">
    <w:abstractNumId w:val="8"/>
  </w:num>
  <w:num w:numId="18" w16cid:durableId="474956570">
    <w:abstractNumId w:val="9"/>
  </w:num>
  <w:num w:numId="19" w16cid:durableId="2103452112">
    <w:abstractNumId w:val="10"/>
  </w:num>
  <w:num w:numId="20" w16cid:durableId="1398280796">
    <w:abstractNumId w:val="11"/>
  </w:num>
  <w:num w:numId="21" w16cid:durableId="816806025">
    <w:abstractNumId w:val="13"/>
  </w:num>
  <w:num w:numId="22" w16cid:durableId="210700040">
    <w:abstractNumId w:val="14"/>
  </w:num>
  <w:num w:numId="23" w16cid:durableId="1306082489">
    <w:abstractNumId w:val="15"/>
  </w:num>
  <w:num w:numId="24" w16cid:durableId="1178811092">
    <w:abstractNumId w:val="16"/>
  </w:num>
  <w:num w:numId="25" w16cid:durableId="1234972907">
    <w:abstractNumId w:val="19"/>
  </w:num>
  <w:num w:numId="26" w16cid:durableId="1738431824">
    <w:abstractNumId w:val="20"/>
  </w:num>
  <w:num w:numId="27" w16cid:durableId="130636935">
    <w:abstractNumId w:val="23"/>
  </w:num>
  <w:num w:numId="28" w16cid:durableId="322778800">
    <w:abstractNumId w:val="24"/>
  </w:num>
  <w:num w:numId="29" w16cid:durableId="363409851">
    <w:abstractNumId w:val="25"/>
  </w:num>
  <w:num w:numId="30" w16cid:durableId="1403137956">
    <w:abstractNumId w:val="27"/>
  </w:num>
  <w:num w:numId="31" w16cid:durableId="1762331371">
    <w:abstractNumId w:val="30"/>
  </w:num>
  <w:num w:numId="32" w16cid:durableId="2141875516">
    <w:abstractNumId w:val="31"/>
  </w:num>
  <w:num w:numId="33" w16cid:durableId="935868501">
    <w:abstractNumId w:val="32"/>
  </w:num>
  <w:num w:numId="34" w16cid:durableId="993530980">
    <w:abstractNumId w:val="33"/>
  </w:num>
  <w:num w:numId="35" w16cid:durableId="387919339">
    <w:abstractNumId w:val="34"/>
  </w:num>
  <w:num w:numId="36" w16cid:durableId="1400598213">
    <w:abstractNumId w:val="35"/>
  </w:num>
  <w:num w:numId="37" w16cid:durableId="525558035">
    <w:abstractNumId w:val="36"/>
  </w:num>
  <w:num w:numId="38" w16cid:durableId="1098137337">
    <w:abstractNumId w:val="37"/>
  </w:num>
  <w:num w:numId="39" w16cid:durableId="521673233">
    <w:abstractNumId w:val="41"/>
  </w:num>
  <w:num w:numId="40" w16cid:durableId="1779644954">
    <w:abstractNumId w:val="42"/>
  </w:num>
  <w:num w:numId="41" w16cid:durableId="53239074">
    <w:abstractNumId w:val="48"/>
  </w:num>
  <w:num w:numId="42" w16cid:durableId="535969843">
    <w:abstractNumId w:val="50"/>
  </w:num>
  <w:num w:numId="43" w16cid:durableId="229077482">
    <w:abstractNumId w:val="51"/>
  </w:num>
  <w:num w:numId="44" w16cid:durableId="148525698">
    <w:abstractNumId w:val="53"/>
  </w:num>
  <w:num w:numId="45" w16cid:durableId="188302010">
    <w:abstractNumId w:val="54"/>
  </w:num>
  <w:num w:numId="46" w16cid:durableId="407113319">
    <w:abstractNumId w:val="56"/>
  </w:num>
  <w:num w:numId="47" w16cid:durableId="903679253">
    <w:abstractNumId w:val="57"/>
  </w:num>
  <w:num w:numId="48" w16cid:durableId="1782071748">
    <w:abstractNumId w:val="58"/>
  </w:num>
  <w:num w:numId="49" w16cid:durableId="778842312">
    <w:abstractNumId w:val="59"/>
  </w:num>
  <w:num w:numId="50" w16cid:durableId="947741648">
    <w:abstractNumId w:val="60"/>
  </w:num>
  <w:num w:numId="51" w16cid:durableId="1276325033">
    <w:abstractNumId w:val="21"/>
  </w:num>
  <w:num w:numId="52" w16cid:durableId="1507095280">
    <w:abstractNumId w:val="43"/>
  </w:num>
  <w:num w:numId="53" w16cid:durableId="1085104696">
    <w:abstractNumId w:val="52"/>
  </w:num>
  <w:num w:numId="54" w16cid:durableId="1742101423">
    <w:abstractNumId w:val="47"/>
  </w:num>
  <w:num w:numId="55" w16cid:durableId="84500976">
    <w:abstractNumId w:val="45"/>
  </w:num>
  <w:num w:numId="56" w16cid:durableId="1116022157">
    <w:abstractNumId w:val="28"/>
  </w:num>
  <w:num w:numId="57" w16cid:durableId="648749852">
    <w:abstractNumId w:val="26"/>
  </w:num>
  <w:num w:numId="58" w16cid:durableId="1600681044">
    <w:abstractNumId w:val="38"/>
  </w:num>
  <w:num w:numId="59" w16cid:durableId="1197698640">
    <w:abstractNumId w:val="17"/>
  </w:num>
  <w:num w:numId="60" w16cid:durableId="1002120016">
    <w:abstractNumId w:val="12"/>
  </w:num>
  <w:num w:numId="61" w16cid:durableId="314114135">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42C"/>
    <w:rsid w:val="000337EF"/>
    <w:rsid w:val="00040C3A"/>
    <w:rsid w:val="0004177B"/>
    <w:rsid w:val="000419AD"/>
    <w:rsid w:val="000433C9"/>
    <w:rsid w:val="000515B8"/>
    <w:rsid w:val="0005166C"/>
    <w:rsid w:val="00053F8B"/>
    <w:rsid w:val="00063543"/>
    <w:rsid w:val="00071174"/>
    <w:rsid w:val="000716C5"/>
    <w:rsid w:val="00071F1D"/>
    <w:rsid w:val="00072FBC"/>
    <w:rsid w:val="00075E23"/>
    <w:rsid w:val="00077575"/>
    <w:rsid w:val="0009344A"/>
    <w:rsid w:val="000A22BC"/>
    <w:rsid w:val="000A392E"/>
    <w:rsid w:val="000A564F"/>
    <w:rsid w:val="000A575F"/>
    <w:rsid w:val="000D05CB"/>
    <w:rsid w:val="000D10DB"/>
    <w:rsid w:val="000E5EB5"/>
    <w:rsid w:val="000F35ED"/>
    <w:rsid w:val="001004FE"/>
    <w:rsid w:val="00107131"/>
    <w:rsid w:val="0010736F"/>
    <w:rsid w:val="00113F73"/>
    <w:rsid w:val="0012107F"/>
    <w:rsid w:val="00121CC2"/>
    <w:rsid w:val="00131425"/>
    <w:rsid w:val="00133EE5"/>
    <w:rsid w:val="00167A34"/>
    <w:rsid w:val="00170906"/>
    <w:rsid w:val="00172199"/>
    <w:rsid w:val="00172FE4"/>
    <w:rsid w:val="00184E0A"/>
    <w:rsid w:val="00190D3B"/>
    <w:rsid w:val="0019188E"/>
    <w:rsid w:val="00194DAB"/>
    <w:rsid w:val="001A520D"/>
    <w:rsid w:val="001A7870"/>
    <w:rsid w:val="001B3A00"/>
    <w:rsid w:val="001B478B"/>
    <w:rsid w:val="001C1B41"/>
    <w:rsid w:val="001C7D2D"/>
    <w:rsid w:val="001D65EF"/>
    <w:rsid w:val="001D7F96"/>
    <w:rsid w:val="001E26DE"/>
    <w:rsid w:val="001E313A"/>
    <w:rsid w:val="001E49E7"/>
    <w:rsid w:val="001E508F"/>
    <w:rsid w:val="001F7201"/>
    <w:rsid w:val="00204A1A"/>
    <w:rsid w:val="00223A29"/>
    <w:rsid w:val="002250A3"/>
    <w:rsid w:val="00235217"/>
    <w:rsid w:val="00243C33"/>
    <w:rsid w:val="00246D1F"/>
    <w:rsid w:val="00247403"/>
    <w:rsid w:val="00247542"/>
    <w:rsid w:val="00252541"/>
    <w:rsid w:val="00266B61"/>
    <w:rsid w:val="0026712A"/>
    <w:rsid w:val="002704DB"/>
    <w:rsid w:val="002743B4"/>
    <w:rsid w:val="00276A96"/>
    <w:rsid w:val="00296CC1"/>
    <w:rsid w:val="002A0AAE"/>
    <w:rsid w:val="002A13A3"/>
    <w:rsid w:val="002A5820"/>
    <w:rsid w:val="002D2B26"/>
    <w:rsid w:val="002D57BF"/>
    <w:rsid w:val="002D5C8D"/>
    <w:rsid w:val="002D7EA2"/>
    <w:rsid w:val="002E187C"/>
    <w:rsid w:val="00302733"/>
    <w:rsid w:val="00305835"/>
    <w:rsid w:val="00306F33"/>
    <w:rsid w:val="0031276D"/>
    <w:rsid w:val="00314078"/>
    <w:rsid w:val="0031535D"/>
    <w:rsid w:val="0031791D"/>
    <w:rsid w:val="003239B8"/>
    <w:rsid w:val="0033169F"/>
    <w:rsid w:val="003432E7"/>
    <w:rsid w:val="00344977"/>
    <w:rsid w:val="00346C95"/>
    <w:rsid w:val="00356185"/>
    <w:rsid w:val="00360380"/>
    <w:rsid w:val="0036487B"/>
    <w:rsid w:val="00371CCA"/>
    <w:rsid w:val="00373BED"/>
    <w:rsid w:val="0037519E"/>
    <w:rsid w:val="003818A5"/>
    <w:rsid w:val="0038196D"/>
    <w:rsid w:val="003867AF"/>
    <w:rsid w:val="00386CF0"/>
    <w:rsid w:val="00386F3D"/>
    <w:rsid w:val="00392F7F"/>
    <w:rsid w:val="00394073"/>
    <w:rsid w:val="003A3773"/>
    <w:rsid w:val="003B70FB"/>
    <w:rsid w:val="003C676B"/>
    <w:rsid w:val="003D3BC2"/>
    <w:rsid w:val="003D3CD5"/>
    <w:rsid w:val="003E6CA1"/>
    <w:rsid w:val="003F5154"/>
    <w:rsid w:val="004016A6"/>
    <w:rsid w:val="00405F9C"/>
    <w:rsid w:val="004065A8"/>
    <w:rsid w:val="004149B3"/>
    <w:rsid w:val="004165C2"/>
    <w:rsid w:val="004167B3"/>
    <w:rsid w:val="004228EE"/>
    <w:rsid w:val="004241A0"/>
    <w:rsid w:val="0043374C"/>
    <w:rsid w:val="00441ECB"/>
    <w:rsid w:val="00444A77"/>
    <w:rsid w:val="00445193"/>
    <w:rsid w:val="0045220D"/>
    <w:rsid w:val="00462C1B"/>
    <w:rsid w:val="00467B7E"/>
    <w:rsid w:val="00473BB4"/>
    <w:rsid w:val="00477592"/>
    <w:rsid w:val="00485257"/>
    <w:rsid w:val="00486F1C"/>
    <w:rsid w:val="0049419D"/>
    <w:rsid w:val="004A057B"/>
    <w:rsid w:val="004A6A54"/>
    <w:rsid w:val="004A77AA"/>
    <w:rsid w:val="004B421C"/>
    <w:rsid w:val="004B6840"/>
    <w:rsid w:val="004C20D2"/>
    <w:rsid w:val="004C2312"/>
    <w:rsid w:val="004C3110"/>
    <w:rsid w:val="004C4B62"/>
    <w:rsid w:val="004C54C9"/>
    <w:rsid w:val="004C7E55"/>
    <w:rsid w:val="004D4ABA"/>
    <w:rsid w:val="004D6025"/>
    <w:rsid w:val="004D61A6"/>
    <w:rsid w:val="004D6D69"/>
    <w:rsid w:val="004E165B"/>
    <w:rsid w:val="004E2649"/>
    <w:rsid w:val="004E47A3"/>
    <w:rsid w:val="004F2C72"/>
    <w:rsid w:val="004F626F"/>
    <w:rsid w:val="00501399"/>
    <w:rsid w:val="0050171E"/>
    <w:rsid w:val="005047ED"/>
    <w:rsid w:val="0050633D"/>
    <w:rsid w:val="00507BC4"/>
    <w:rsid w:val="005128E4"/>
    <w:rsid w:val="005133DB"/>
    <w:rsid w:val="00514504"/>
    <w:rsid w:val="00521E1F"/>
    <w:rsid w:val="00525560"/>
    <w:rsid w:val="005255CB"/>
    <w:rsid w:val="0052755E"/>
    <w:rsid w:val="00544C49"/>
    <w:rsid w:val="005502FF"/>
    <w:rsid w:val="005516A1"/>
    <w:rsid w:val="005559EF"/>
    <w:rsid w:val="0055702C"/>
    <w:rsid w:val="00563557"/>
    <w:rsid w:val="0057402A"/>
    <w:rsid w:val="005771D0"/>
    <w:rsid w:val="005832F0"/>
    <w:rsid w:val="0059191A"/>
    <w:rsid w:val="005921FF"/>
    <w:rsid w:val="00595C78"/>
    <w:rsid w:val="005A0FB3"/>
    <w:rsid w:val="005A24ED"/>
    <w:rsid w:val="005A6D0E"/>
    <w:rsid w:val="005B52B0"/>
    <w:rsid w:val="005B6806"/>
    <w:rsid w:val="005B70F2"/>
    <w:rsid w:val="005B72CD"/>
    <w:rsid w:val="005C4225"/>
    <w:rsid w:val="005C4810"/>
    <w:rsid w:val="005C7DF4"/>
    <w:rsid w:val="005F0DAD"/>
    <w:rsid w:val="005F0F33"/>
    <w:rsid w:val="00600DEB"/>
    <w:rsid w:val="00601A62"/>
    <w:rsid w:val="00606672"/>
    <w:rsid w:val="0061080A"/>
    <w:rsid w:val="00614B1E"/>
    <w:rsid w:val="00626D8F"/>
    <w:rsid w:val="00626F6A"/>
    <w:rsid w:val="00627C9F"/>
    <w:rsid w:val="006311E9"/>
    <w:rsid w:val="00632354"/>
    <w:rsid w:val="00635421"/>
    <w:rsid w:val="00642810"/>
    <w:rsid w:val="00650627"/>
    <w:rsid w:val="00652333"/>
    <w:rsid w:val="00664179"/>
    <w:rsid w:val="00670B24"/>
    <w:rsid w:val="0068009E"/>
    <w:rsid w:val="00692219"/>
    <w:rsid w:val="006A0AC2"/>
    <w:rsid w:val="006A17D2"/>
    <w:rsid w:val="006A73E6"/>
    <w:rsid w:val="006B2C4A"/>
    <w:rsid w:val="006B2D5C"/>
    <w:rsid w:val="006B7D44"/>
    <w:rsid w:val="006C0ECF"/>
    <w:rsid w:val="006C4EB1"/>
    <w:rsid w:val="006C7D9E"/>
    <w:rsid w:val="006D1A0D"/>
    <w:rsid w:val="006D2C61"/>
    <w:rsid w:val="006D4336"/>
    <w:rsid w:val="006E0033"/>
    <w:rsid w:val="006E0166"/>
    <w:rsid w:val="006E2FFB"/>
    <w:rsid w:val="006E393E"/>
    <w:rsid w:val="006E7B34"/>
    <w:rsid w:val="00704FA7"/>
    <w:rsid w:val="0070697F"/>
    <w:rsid w:val="007103C4"/>
    <w:rsid w:val="0072199C"/>
    <w:rsid w:val="00722C9F"/>
    <w:rsid w:val="007253B8"/>
    <w:rsid w:val="00730ABD"/>
    <w:rsid w:val="00733DEE"/>
    <w:rsid w:val="0073741F"/>
    <w:rsid w:val="0076643F"/>
    <w:rsid w:val="00777F63"/>
    <w:rsid w:val="007A5817"/>
    <w:rsid w:val="007B05C4"/>
    <w:rsid w:val="007B60E9"/>
    <w:rsid w:val="007B6CC3"/>
    <w:rsid w:val="007B76D3"/>
    <w:rsid w:val="007C0D5E"/>
    <w:rsid w:val="007C3334"/>
    <w:rsid w:val="007D2B98"/>
    <w:rsid w:val="007D6A3B"/>
    <w:rsid w:val="007E21BC"/>
    <w:rsid w:val="007E7C82"/>
    <w:rsid w:val="007F2AA1"/>
    <w:rsid w:val="007F5348"/>
    <w:rsid w:val="007F588D"/>
    <w:rsid w:val="00801E3B"/>
    <w:rsid w:val="00803F1C"/>
    <w:rsid w:val="0080600E"/>
    <w:rsid w:val="00814688"/>
    <w:rsid w:val="00817612"/>
    <w:rsid w:val="00821CE5"/>
    <w:rsid w:val="008338A4"/>
    <w:rsid w:val="00834D49"/>
    <w:rsid w:val="00837C45"/>
    <w:rsid w:val="00844730"/>
    <w:rsid w:val="008457C2"/>
    <w:rsid w:val="00857A82"/>
    <w:rsid w:val="00873836"/>
    <w:rsid w:val="00881852"/>
    <w:rsid w:val="00885737"/>
    <w:rsid w:val="00890650"/>
    <w:rsid w:val="008944DC"/>
    <w:rsid w:val="00895867"/>
    <w:rsid w:val="00897E12"/>
    <w:rsid w:val="008A3CBC"/>
    <w:rsid w:val="008A5AE0"/>
    <w:rsid w:val="008A7E0F"/>
    <w:rsid w:val="008B1268"/>
    <w:rsid w:val="008B12F5"/>
    <w:rsid w:val="008C0E2E"/>
    <w:rsid w:val="008C5E2D"/>
    <w:rsid w:val="008D768D"/>
    <w:rsid w:val="008E3759"/>
    <w:rsid w:val="008E3BFE"/>
    <w:rsid w:val="008F10EC"/>
    <w:rsid w:val="008F1912"/>
    <w:rsid w:val="0090270B"/>
    <w:rsid w:val="009041DC"/>
    <w:rsid w:val="00914B3A"/>
    <w:rsid w:val="00917B5A"/>
    <w:rsid w:val="00920A58"/>
    <w:rsid w:val="00920A8C"/>
    <w:rsid w:val="0092475B"/>
    <w:rsid w:val="009341F5"/>
    <w:rsid w:val="00934A2C"/>
    <w:rsid w:val="00934E16"/>
    <w:rsid w:val="00935222"/>
    <w:rsid w:val="00955511"/>
    <w:rsid w:val="00955F7E"/>
    <w:rsid w:val="0096706E"/>
    <w:rsid w:val="0097305C"/>
    <w:rsid w:val="00974491"/>
    <w:rsid w:val="00975C4E"/>
    <w:rsid w:val="00975DAC"/>
    <w:rsid w:val="00981FBA"/>
    <w:rsid w:val="009951E5"/>
    <w:rsid w:val="00997BC5"/>
    <w:rsid w:val="009A4F41"/>
    <w:rsid w:val="009A56CE"/>
    <w:rsid w:val="009B0548"/>
    <w:rsid w:val="009B381B"/>
    <w:rsid w:val="009C2319"/>
    <w:rsid w:val="009D1753"/>
    <w:rsid w:val="009D7611"/>
    <w:rsid w:val="009E0B61"/>
    <w:rsid w:val="009E53DE"/>
    <w:rsid w:val="00A06456"/>
    <w:rsid w:val="00A11212"/>
    <w:rsid w:val="00A11E44"/>
    <w:rsid w:val="00A15562"/>
    <w:rsid w:val="00A23125"/>
    <w:rsid w:val="00A30100"/>
    <w:rsid w:val="00A328B3"/>
    <w:rsid w:val="00A329E4"/>
    <w:rsid w:val="00A50FCF"/>
    <w:rsid w:val="00A528D1"/>
    <w:rsid w:val="00A57856"/>
    <w:rsid w:val="00A610CD"/>
    <w:rsid w:val="00A7577A"/>
    <w:rsid w:val="00A758AA"/>
    <w:rsid w:val="00A90054"/>
    <w:rsid w:val="00AA09A2"/>
    <w:rsid w:val="00AA3FAE"/>
    <w:rsid w:val="00AA7996"/>
    <w:rsid w:val="00AB1A49"/>
    <w:rsid w:val="00AC19CB"/>
    <w:rsid w:val="00AE5488"/>
    <w:rsid w:val="00AE6F91"/>
    <w:rsid w:val="00AF041F"/>
    <w:rsid w:val="00AF2BB6"/>
    <w:rsid w:val="00AF5571"/>
    <w:rsid w:val="00B01D2F"/>
    <w:rsid w:val="00B02045"/>
    <w:rsid w:val="00B04818"/>
    <w:rsid w:val="00B07341"/>
    <w:rsid w:val="00B30539"/>
    <w:rsid w:val="00B314C9"/>
    <w:rsid w:val="00B314DB"/>
    <w:rsid w:val="00B323A5"/>
    <w:rsid w:val="00B361F2"/>
    <w:rsid w:val="00B3718B"/>
    <w:rsid w:val="00B3745F"/>
    <w:rsid w:val="00B37C91"/>
    <w:rsid w:val="00B4632A"/>
    <w:rsid w:val="00B52A78"/>
    <w:rsid w:val="00B530F1"/>
    <w:rsid w:val="00B82E6C"/>
    <w:rsid w:val="00B86075"/>
    <w:rsid w:val="00B868C4"/>
    <w:rsid w:val="00B93D7F"/>
    <w:rsid w:val="00BA276C"/>
    <w:rsid w:val="00BB019D"/>
    <w:rsid w:val="00BB2132"/>
    <w:rsid w:val="00BB306F"/>
    <w:rsid w:val="00BC3B79"/>
    <w:rsid w:val="00BD0FF5"/>
    <w:rsid w:val="00BD4295"/>
    <w:rsid w:val="00BD4B89"/>
    <w:rsid w:val="00BD5922"/>
    <w:rsid w:val="00BF02CB"/>
    <w:rsid w:val="00BF6FD8"/>
    <w:rsid w:val="00C03680"/>
    <w:rsid w:val="00C054DF"/>
    <w:rsid w:val="00C11444"/>
    <w:rsid w:val="00C21762"/>
    <w:rsid w:val="00C21FEF"/>
    <w:rsid w:val="00C23BA4"/>
    <w:rsid w:val="00C24543"/>
    <w:rsid w:val="00C256A2"/>
    <w:rsid w:val="00C25ADB"/>
    <w:rsid w:val="00C35F34"/>
    <w:rsid w:val="00C449EE"/>
    <w:rsid w:val="00C45BAD"/>
    <w:rsid w:val="00C51515"/>
    <w:rsid w:val="00C51C82"/>
    <w:rsid w:val="00C5660B"/>
    <w:rsid w:val="00C6607E"/>
    <w:rsid w:val="00C66B72"/>
    <w:rsid w:val="00C675B0"/>
    <w:rsid w:val="00C87AC4"/>
    <w:rsid w:val="00C9567A"/>
    <w:rsid w:val="00CA4283"/>
    <w:rsid w:val="00CB212D"/>
    <w:rsid w:val="00CB2660"/>
    <w:rsid w:val="00CC3CCB"/>
    <w:rsid w:val="00CC5923"/>
    <w:rsid w:val="00CC5E90"/>
    <w:rsid w:val="00CD046C"/>
    <w:rsid w:val="00CE076C"/>
    <w:rsid w:val="00CE5199"/>
    <w:rsid w:val="00CE66D5"/>
    <w:rsid w:val="00CE7B78"/>
    <w:rsid w:val="00CF637A"/>
    <w:rsid w:val="00D02463"/>
    <w:rsid w:val="00D059DE"/>
    <w:rsid w:val="00D05ABD"/>
    <w:rsid w:val="00D12DB4"/>
    <w:rsid w:val="00D13FCE"/>
    <w:rsid w:val="00D17CF9"/>
    <w:rsid w:val="00D23FF3"/>
    <w:rsid w:val="00D306D1"/>
    <w:rsid w:val="00D30800"/>
    <w:rsid w:val="00D338BB"/>
    <w:rsid w:val="00D340C1"/>
    <w:rsid w:val="00D34786"/>
    <w:rsid w:val="00D34A42"/>
    <w:rsid w:val="00D35864"/>
    <w:rsid w:val="00D3738A"/>
    <w:rsid w:val="00D37BFC"/>
    <w:rsid w:val="00D4175C"/>
    <w:rsid w:val="00D47A8E"/>
    <w:rsid w:val="00D52D14"/>
    <w:rsid w:val="00D606D7"/>
    <w:rsid w:val="00D645F0"/>
    <w:rsid w:val="00D712D3"/>
    <w:rsid w:val="00D71422"/>
    <w:rsid w:val="00D72DC6"/>
    <w:rsid w:val="00D7558D"/>
    <w:rsid w:val="00D81D92"/>
    <w:rsid w:val="00D876F9"/>
    <w:rsid w:val="00D97135"/>
    <w:rsid w:val="00DA7B5F"/>
    <w:rsid w:val="00DB21A3"/>
    <w:rsid w:val="00DB2489"/>
    <w:rsid w:val="00DC11E7"/>
    <w:rsid w:val="00DC24E3"/>
    <w:rsid w:val="00DC7023"/>
    <w:rsid w:val="00DC769A"/>
    <w:rsid w:val="00DD3D86"/>
    <w:rsid w:val="00DD4AD2"/>
    <w:rsid w:val="00DE2862"/>
    <w:rsid w:val="00DF17A3"/>
    <w:rsid w:val="00DF1EC4"/>
    <w:rsid w:val="00DF3489"/>
    <w:rsid w:val="00DF72F4"/>
    <w:rsid w:val="00E0340B"/>
    <w:rsid w:val="00E04A90"/>
    <w:rsid w:val="00E0551F"/>
    <w:rsid w:val="00E219C7"/>
    <w:rsid w:val="00E4118C"/>
    <w:rsid w:val="00E43157"/>
    <w:rsid w:val="00E461CE"/>
    <w:rsid w:val="00E573E4"/>
    <w:rsid w:val="00E64C3D"/>
    <w:rsid w:val="00E720CA"/>
    <w:rsid w:val="00E7757A"/>
    <w:rsid w:val="00E817A1"/>
    <w:rsid w:val="00E82CAE"/>
    <w:rsid w:val="00E84EB5"/>
    <w:rsid w:val="00E85662"/>
    <w:rsid w:val="00E85BFC"/>
    <w:rsid w:val="00E8774B"/>
    <w:rsid w:val="00E8789F"/>
    <w:rsid w:val="00E964AF"/>
    <w:rsid w:val="00E97B71"/>
    <w:rsid w:val="00EA3D34"/>
    <w:rsid w:val="00EB454D"/>
    <w:rsid w:val="00ED549D"/>
    <w:rsid w:val="00ED5E10"/>
    <w:rsid w:val="00ED76BE"/>
    <w:rsid w:val="00EE00E9"/>
    <w:rsid w:val="00EE3D5E"/>
    <w:rsid w:val="00EE69CC"/>
    <w:rsid w:val="00EF1AAA"/>
    <w:rsid w:val="00EF3C4E"/>
    <w:rsid w:val="00EF619B"/>
    <w:rsid w:val="00F00B55"/>
    <w:rsid w:val="00F02AD1"/>
    <w:rsid w:val="00F24C96"/>
    <w:rsid w:val="00F253CC"/>
    <w:rsid w:val="00F37106"/>
    <w:rsid w:val="00F3793E"/>
    <w:rsid w:val="00F44E25"/>
    <w:rsid w:val="00F519CF"/>
    <w:rsid w:val="00F53854"/>
    <w:rsid w:val="00F56BA5"/>
    <w:rsid w:val="00F56ECB"/>
    <w:rsid w:val="00F60E22"/>
    <w:rsid w:val="00F61014"/>
    <w:rsid w:val="00F72EC1"/>
    <w:rsid w:val="00F81395"/>
    <w:rsid w:val="00F81BB8"/>
    <w:rsid w:val="00F81F6A"/>
    <w:rsid w:val="00F90C64"/>
    <w:rsid w:val="00F917D1"/>
    <w:rsid w:val="00F9653B"/>
    <w:rsid w:val="00FA65DF"/>
    <w:rsid w:val="00FB4125"/>
    <w:rsid w:val="00FB62CF"/>
    <w:rsid w:val="00FC0862"/>
    <w:rsid w:val="00FC4BEC"/>
    <w:rsid w:val="00FD1F57"/>
    <w:rsid w:val="00FD3C3B"/>
    <w:rsid w:val="00FE07DD"/>
    <w:rsid w:val="00FE6B45"/>
    <w:rsid w:val="00FF0004"/>
    <w:rsid w:val="00FF55F3"/>
    <w:rsid w:val="00FF56FE"/>
    <w:rsid w:val="00FF5851"/>
    <w:rsid w:val="00FF68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E165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955511"/>
    <w:rPr>
      <w:rFonts w:ascii="Calibri" w:eastAsia="Times New Roman" w:hAnsi="Calibri"/>
      <w:color w:val="000000"/>
      <w:u w:color="000000"/>
      <w:lang w:val="en-US"/>
    </w:rPr>
  </w:style>
  <w:style w:type="character" w:styleId="CommentReference">
    <w:name w:val="annotation reference"/>
    <w:basedOn w:val="DefaultParagraphFont"/>
    <w:uiPriority w:val="99"/>
    <w:semiHidden/>
    <w:unhideWhenUsed/>
    <w:rsid w:val="00B02045"/>
    <w:rPr>
      <w:sz w:val="16"/>
      <w:szCs w:val="16"/>
    </w:rPr>
  </w:style>
  <w:style w:type="paragraph" w:styleId="CommentText">
    <w:name w:val="annotation text"/>
    <w:basedOn w:val="Normal"/>
    <w:link w:val="CommentTextChar"/>
    <w:uiPriority w:val="99"/>
    <w:semiHidden/>
    <w:unhideWhenUsed/>
    <w:rsid w:val="00B02045"/>
    <w:rPr>
      <w:sz w:val="20"/>
      <w:szCs w:val="20"/>
    </w:rPr>
  </w:style>
  <w:style w:type="character" w:customStyle="1" w:styleId="CommentTextChar">
    <w:name w:val="Comment Text Char"/>
    <w:basedOn w:val="DefaultParagraphFont"/>
    <w:link w:val="CommentText"/>
    <w:uiPriority w:val="99"/>
    <w:semiHidden/>
    <w:rsid w:val="00B02045"/>
    <w:rPr>
      <w:lang w:val="en-US" w:eastAsia="en-US"/>
    </w:rPr>
  </w:style>
  <w:style w:type="paragraph" w:styleId="CommentSubject">
    <w:name w:val="annotation subject"/>
    <w:basedOn w:val="CommentText"/>
    <w:next w:val="CommentText"/>
    <w:link w:val="CommentSubjectChar"/>
    <w:uiPriority w:val="99"/>
    <w:semiHidden/>
    <w:unhideWhenUsed/>
    <w:rsid w:val="00B02045"/>
    <w:rPr>
      <w:b/>
      <w:bCs/>
    </w:rPr>
  </w:style>
  <w:style w:type="character" w:customStyle="1" w:styleId="CommentSubjectChar">
    <w:name w:val="Comment Subject Char"/>
    <w:basedOn w:val="CommentTextChar"/>
    <w:link w:val="CommentSubject"/>
    <w:uiPriority w:val="99"/>
    <w:semiHidden/>
    <w:rsid w:val="00B0204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2D79"/>
    <w:rsid w:val="001057C3"/>
    <w:rsid w:val="00190313"/>
    <w:rsid w:val="00200821"/>
    <w:rsid w:val="0025245B"/>
    <w:rsid w:val="002A3923"/>
    <w:rsid w:val="00394049"/>
    <w:rsid w:val="003B0C71"/>
    <w:rsid w:val="004B5BBB"/>
    <w:rsid w:val="004F2DF8"/>
    <w:rsid w:val="00517E2A"/>
    <w:rsid w:val="006A59D2"/>
    <w:rsid w:val="006D3128"/>
    <w:rsid w:val="006F24A1"/>
    <w:rsid w:val="00856146"/>
    <w:rsid w:val="00875B8A"/>
    <w:rsid w:val="008953BC"/>
    <w:rsid w:val="009A261B"/>
    <w:rsid w:val="00AA2E17"/>
    <w:rsid w:val="00AC15A4"/>
    <w:rsid w:val="00B0336C"/>
    <w:rsid w:val="00B7216D"/>
    <w:rsid w:val="00BE6CFE"/>
    <w:rsid w:val="00D241E9"/>
    <w:rsid w:val="00D7750D"/>
    <w:rsid w:val="00F00D2F"/>
    <w:rsid w:val="00F128DF"/>
    <w:rsid w:val="00F2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3019</Words>
  <Characters>17209</Characters>
  <Application>Microsoft Office Word</Application>
  <DocSecurity>0</DocSecurity>
  <Lines>143</Lines>
  <Paragraphs>40</Paragraphs>
  <ScaleCrop>false</ScaleCrop>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2023-01-25T16:51:00Z</dcterms:created>
  <dcterms:modified xsi:type="dcterms:W3CDTF">2023-01-25T16:51:00Z</dcterms:modified>
</cp:coreProperties>
</file>