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69C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3D1AE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D54A7">
                              <w:rPr>
                                <w:rFonts w:asciiTheme="majorHAnsi" w:hAnsiTheme="majorHAnsi" w:cs="Arial"/>
                                <w:b/>
                                <w:bCs/>
                                <w:color w:val="0D0D0D" w:themeColor="text1" w:themeTint="F2"/>
                                <w:sz w:val="36"/>
                                <w:szCs w:val="22"/>
                                <w:lang w:val="es-ES_tradnl"/>
                              </w:rPr>
                              <w:t>237</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1570EA">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11351D03"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1212">
                              <w:rPr>
                                <w:rFonts w:asciiTheme="majorHAnsi" w:hAnsiTheme="majorHAnsi" w:cs="Arial"/>
                                <w:b/>
                                <w:color w:val="0D0D0D" w:themeColor="text1" w:themeTint="F2"/>
                                <w:sz w:val="36"/>
                                <w:szCs w:val="22"/>
                                <w:lang w:val="es-ES_tradnl"/>
                              </w:rPr>
                              <w:t>17</w:t>
                            </w:r>
                            <w:r w:rsidR="00CD232B">
                              <w:rPr>
                                <w:rFonts w:asciiTheme="majorHAnsi" w:hAnsiTheme="majorHAnsi" w:cs="Arial"/>
                                <w:b/>
                                <w:color w:val="0D0D0D" w:themeColor="text1" w:themeTint="F2"/>
                                <w:sz w:val="36"/>
                                <w:szCs w:val="22"/>
                                <w:lang w:val="es-ES_tradnl"/>
                              </w:rPr>
                              <w:t>89-14</w:t>
                            </w:r>
                          </w:p>
                          <w:p w14:paraId="44097965" w14:textId="58CAE8DD"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A0727">
                              <w:rPr>
                                <w:rFonts w:asciiTheme="majorHAnsi" w:hAnsiTheme="majorHAnsi" w:cs="Arial"/>
                                <w:color w:val="0D0D0D" w:themeColor="text1" w:themeTint="F2"/>
                                <w:szCs w:val="22"/>
                                <w:lang w:val="es-ES_tradnl"/>
                              </w:rPr>
                              <w:t>IN</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0" w:name="_ftnref1"/>
                          </w:p>
                          <w:p w14:paraId="4E5BAA5A" w14:textId="1DEF7FB6" w:rsidR="00CC395D" w:rsidRPr="00A01212" w:rsidRDefault="00CD232B"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JOSÉ NICOLÁS CHAIN</w:t>
                            </w:r>
                          </w:p>
                          <w:bookmarkEnd w:id="0"/>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73D1AE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D54A7">
                        <w:rPr>
                          <w:rFonts w:asciiTheme="majorHAnsi" w:hAnsiTheme="majorHAnsi" w:cs="Arial"/>
                          <w:b/>
                          <w:bCs/>
                          <w:color w:val="0D0D0D" w:themeColor="text1" w:themeTint="F2"/>
                          <w:sz w:val="36"/>
                          <w:szCs w:val="22"/>
                          <w:lang w:val="es-ES_tradnl"/>
                        </w:rPr>
                        <w:t>237</w:t>
                      </w:r>
                      <w:r w:rsidR="007B05C4">
                        <w:rPr>
                          <w:rFonts w:asciiTheme="majorHAnsi" w:hAnsiTheme="majorHAnsi" w:cs="Arial"/>
                          <w:b/>
                          <w:bCs/>
                          <w:color w:val="0D0D0D" w:themeColor="text1" w:themeTint="F2"/>
                          <w:sz w:val="36"/>
                          <w:szCs w:val="22"/>
                          <w:lang w:val="es-ES_tradnl"/>
                        </w:rPr>
                        <w:t>/</w:t>
                      </w:r>
                      <w:r w:rsidR="00A777B4">
                        <w:rPr>
                          <w:rFonts w:asciiTheme="majorHAnsi" w:hAnsiTheme="majorHAnsi" w:cs="Arial"/>
                          <w:b/>
                          <w:bCs/>
                          <w:color w:val="0D0D0D" w:themeColor="text1" w:themeTint="F2"/>
                          <w:sz w:val="36"/>
                          <w:szCs w:val="22"/>
                          <w:lang w:val="es-ES_tradnl"/>
                        </w:rPr>
                        <w:t>2</w:t>
                      </w:r>
                      <w:r w:rsidR="001570EA">
                        <w:rPr>
                          <w:rFonts w:asciiTheme="majorHAnsi" w:hAnsiTheme="majorHAnsi" w:cs="Arial"/>
                          <w:b/>
                          <w:bCs/>
                          <w:color w:val="0D0D0D" w:themeColor="text1" w:themeTint="F2"/>
                          <w:sz w:val="36"/>
                          <w:szCs w:val="22"/>
                          <w:lang w:val="es-ES_tradnl"/>
                        </w:rPr>
                        <w:t>2</w:t>
                      </w:r>
                      <w:r w:rsidR="00A777B4">
                        <w:rPr>
                          <w:rFonts w:asciiTheme="majorHAnsi" w:hAnsiTheme="majorHAnsi" w:cs="Arial"/>
                          <w:b/>
                          <w:bCs/>
                          <w:color w:val="0D0D0D" w:themeColor="text1" w:themeTint="F2"/>
                          <w:sz w:val="36"/>
                          <w:szCs w:val="22"/>
                          <w:lang w:val="es-ES_tradnl"/>
                        </w:rPr>
                        <w:tab/>
                      </w:r>
                    </w:p>
                    <w:p w14:paraId="7E880A8B" w14:textId="11351D03" w:rsidR="00CC395D" w:rsidRDefault="00CC395D" w:rsidP="00CC395D">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01212">
                        <w:rPr>
                          <w:rFonts w:asciiTheme="majorHAnsi" w:hAnsiTheme="majorHAnsi" w:cs="Arial"/>
                          <w:b/>
                          <w:color w:val="0D0D0D" w:themeColor="text1" w:themeTint="F2"/>
                          <w:sz w:val="36"/>
                          <w:szCs w:val="22"/>
                          <w:lang w:val="es-ES_tradnl"/>
                        </w:rPr>
                        <w:t>17</w:t>
                      </w:r>
                      <w:r w:rsidR="00CD232B">
                        <w:rPr>
                          <w:rFonts w:asciiTheme="majorHAnsi" w:hAnsiTheme="majorHAnsi" w:cs="Arial"/>
                          <w:b/>
                          <w:color w:val="0D0D0D" w:themeColor="text1" w:themeTint="F2"/>
                          <w:sz w:val="36"/>
                          <w:szCs w:val="22"/>
                          <w:lang w:val="es-ES_tradnl"/>
                        </w:rPr>
                        <w:t>89-14</w:t>
                      </w:r>
                    </w:p>
                    <w:p w14:paraId="44097965" w14:textId="58CAE8DD" w:rsidR="00CC395D" w:rsidRPr="0010736F" w:rsidRDefault="00CC395D" w:rsidP="00CC395D">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A0727">
                        <w:rPr>
                          <w:rFonts w:asciiTheme="majorHAnsi" w:hAnsiTheme="majorHAnsi" w:cs="Arial"/>
                          <w:color w:val="0D0D0D" w:themeColor="text1" w:themeTint="F2"/>
                          <w:szCs w:val="22"/>
                          <w:lang w:val="es-ES_tradnl"/>
                        </w:rPr>
                        <w:t>IN</w:t>
                      </w:r>
                      <w:r w:rsidR="002636E9">
                        <w:rPr>
                          <w:rFonts w:asciiTheme="majorHAnsi" w:hAnsiTheme="majorHAnsi" w:cs="Arial"/>
                          <w:color w:val="0D0D0D" w:themeColor="text1" w:themeTint="F2"/>
                          <w:szCs w:val="22"/>
                          <w:lang w:val="es-ES_tradnl"/>
                        </w:rPr>
                        <w:t xml:space="preserve">ADMISIBILIDAD </w:t>
                      </w:r>
                      <w:r w:rsidRPr="0010736F">
                        <w:rPr>
                          <w:rFonts w:asciiTheme="majorHAnsi" w:hAnsiTheme="majorHAnsi" w:cs="Arial"/>
                          <w:color w:val="0D0D0D" w:themeColor="text1" w:themeTint="F2"/>
                          <w:szCs w:val="22"/>
                          <w:lang w:val="es-ES_tradnl"/>
                        </w:rPr>
                        <w:t xml:space="preserve"> </w:t>
                      </w:r>
                    </w:p>
                    <w:p w14:paraId="3A82FE1E" w14:textId="77777777" w:rsidR="00CC395D" w:rsidRPr="0010736F" w:rsidRDefault="00CC395D" w:rsidP="00CC395D">
                      <w:pPr>
                        <w:spacing w:line="276" w:lineRule="auto"/>
                        <w:rPr>
                          <w:rFonts w:asciiTheme="majorHAnsi" w:hAnsiTheme="majorHAnsi" w:cs="Arial"/>
                          <w:color w:val="0D0D0D" w:themeColor="text1" w:themeTint="F2"/>
                          <w:szCs w:val="22"/>
                          <w:lang w:val="es-ES_tradnl"/>
                        </w:rPr>
                      </w:pPr>
                      <w:bookmarkStart w:id="1" w:name="_ftnref1"/>
                    </w:p>
                    <w:p w14:paraId="4E5BAA5A" w14:textId="1DEF7FB6" w:rsidR="00CC395D" w:rsidRPr="00A01212" w:rsidRDefault="00CD232B" w:rsidP="00CC395D">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JOSÉ NICOLÁS CHAIN</w:t>
                      </w:r>
                    </w:p>
                    <w:bookmarkEnd w:id="1"/>
                    <w:p w14:paraId="575DFD52" w14:textId="445125B6" w:rsidR="005B52B0" w:rsidRPr="00AE5488" w:rsidRDefault="00026DF5"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2C4048B" w:rsidR="00627C9F" w:rsidRPr="00C04235" w:rsidRDefault="00834D49" w:rsidP="007A5817">
                            <w:pPr>
                              <w:spacing w:line="276" w:lineRule="auto"/>
                              <w:jc w:val="right"/>
                              <w:rPr>
                                <w:rFonts w:asciiTheme="minorHAnsi" w:hAnsiTheme="minorHAnsi"/>
                                <w:color w:val="FFFFFF" w:themeColor="background1"/>
                                <w:sz w:val="22"/>
                                <w:lang w:val="es-AR"/>
                              </w:rPr>
                            </w:pPr>
                            <w:r w:rsidRPr="00C04235">
                              <w:rPr>
                                <w:rFonts w:asciiTheme="minorHAnsi" w:hAnsiTheme="minorHAnsi"/>
                                <w:color w:val="FFFFFF" w:themeColor="background1"/>
                                <w:sz w:val="22"/>
                                <w:lang w:val="es-AR"/>
                              </w:rPr>
                              <w:t>OEA/Ser.L/V/II</w:t>
                            </w:r>
                          </w:p>
                          <w:p w14:paraId="6A41611B" w14:textId="06216ED7" w:rsidR="00627C9F" w:rsidRPr="00C04235" w:rsidRDefault="00627C9F" w:rsidP="007A5817">
                            <w:pPr>
                              <w:spacing w:line="276" w:lineRule="auto"/>
                              <w:jc w:val="right"/>
                              <w:rPr>
                                <w:rFonts w:asciiTheme="minorHAnsi" w:hAnsiTheme="minorHAnsi"/>
                                <w:color w:val="FFFFFF" w:themeColor="background1"/>
                                <w:sz w:val="22"/>
                                <w:lang w:val="es-AR"/>
                              </w:rPr>
                            </w:pPr>
                            <w:r w:rsidRPr="00C04235">
                              <w:rPr>
                                <w:rFonts w:asciiTheme="minorHAnsi" w:hAnsiTheme="minorHAnsi"/>
                                <w:color w:val="FFFFFF" w:themeColor="background1"/>
                                <w:sz w:val="22"/>
                                <w:lang w:val="es-AR"/>
                              </w:rPr>
                              <w:t xml:space="preserve">Doc. </w:t>
                            </w:r>
                            <w:r w:rsidR="007415AB" w:rsidRPr="00C04235">
                              <w:rPr>
                                <w:rFonts w:asciiTheme="minorHAnsi" w:hAnsiTheme="minorHAnsi"/>
                                <w:color w:val="FFFFFF" w:themeColor="background1"/>
                                <w:sz w:val="22"/>
                                <w:lang w:val="es-AR"/>
                              </w:rPr>
                              <w:t>240</w:t>
                            </w:r>
                          </w:p>
                          <w:p w14:paraId="69373ED2" w14:textId="21ACC072" w:rsidR="00627C9F" w:rsidRPr="001B4C00" w:rsidRDefault="007415A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 septiembre</w:t>
                            </w:r>
                            <w:r w:rsidR="00627C9F" w:rsidRPr="001B4C00">
                              <w:rPr>
                                <w:rFonts w:asciiTheme="minorHAnsi" w:hAnsiTheme="minorHAnsi"/>
                                <w:color w:val="FFFFFF" w:themeColor="background1"/>
                                <w:sz w:val="22"/>
                                <w:lang w:val="es-ES"/>
                              </w:rPr>
                              <w:t xml:space="preserve"> 20</w:t>
                            </w:r>
                            <w:r w:rsidR="001570EA">
                              <w:rPr>
                                <w:rFonts w:asciiTheme="minorHAnsi" w:hAnsiTheme="minorHAnsi"/>
                                <w:color w:val="FFFFFF" w:themeColor="background1"/>
                                <w:sz w:val="22"/>
                                <w:lang w:val="es-ES"/>
                              </w:rPr>
                              <w:t>22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2C4048B" w:rsidR="00627C9F" w:rsidRPr="00C04235" w:rsidRDefault="00834D49" w:rsidP="007A5817">
                      <w:pPr>
                        <w:spacing w:line="276" w:lineRule="auto"/>
                        <w:jc w:val="right"/>
                        <w:rPr>
                          <w:rFonts w:asciiTheme="minorHAnsi" w:hAnsiTheme="minorHAnsi"/>
                          <w:color w:val="FFFFFF" w:themeColor="background1"/>
                          <w:sz w:val="22"/>
                          <w:lang w:val="es-AR"/>
                        </w:rPr>
                      </w:pPr>
                      <w:r w:rsidRPr="00C04235">
                        <w:rPr>
                          <w:rFonts w:asciiTheme="minorHAnsi" w:hAnsiTheme="minorHAnsi"/>
                          <w:color w:val="FFFFFF" w:themeColor="background1"/>
                          <w:sz w:val="22"/>
                          <w:lang w:val="es-AR"/>
                        </w:rPr>
                        <w:t>OEA/Ser.L/V/II</w:t>
                      </w:r>
                    </w:p>
                    <w:p w14:paraId="6A41611B" w14:textId="06216ED7" w:rsidR="00627C9F" w:rsidRPr="00C04235" w:rsidRDefault="00627C9F" w:rsidP="007A5817">
                      <w:pPr>
                        <w:spacing w:line="276" w:lineRule="auto"/>
                        <w:jc w:val="right"/>
                        <w:rPr>
                          <w:rFonts w:asciiTheme="minorHAnsi" w:hAnsiTheme="minorHAnsi"/>
                          <w:color w:val="FFFFFF" w:themeColor="background1"/>
                          <w:sz w:val="22"/>
                          <w:lang w:val="es-AR"/>
                        </w:rPr>
                      </w:pPr>
                      <w:r w:rsidRPr="00C04235">
                        <w:rPr>
                          <w:rFonts w:asciiTheme="minorHAnsi" w:hAnsiTheme="minorHAnsi"/>
                          <w:color w:val="FFFFFF" w:themeColor="background1"/>
                          <w:sz w:val="22"/>
                          <w:lang w:val="es-AR"/>
                        </w:rPr>
                        <w:t xml:space="preserve">Doc. </w:t>
                      </w:r>
                      <w:r w:rsidR="007415AB" w:rsidRPr="00C04235">
                        <w:rPr>
                          <w:rFonts w:asciiTheme="minorHAnsi" w:hAnsiTheme="minorHAnsi"/>
                          <w:color w:val="FFFFFF" w:themeColor="background1"/>
                          <w:sz w:val="22"/>
                          <w:lang w:val="es-AR"/>
                        </w:rPr>
                        <w:t>240</w:t>
                      </w:r>
                    </w:p>
                    <w:p w14:paraId="69373ED2" w14:textId="21ACC072" w:rsidR="00627C9F" w:rsidRPr="001B4C00" w:rsidRDefault="007415A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15 septiembre</w:t>
                      </w:r>
                      <w:r w:rsidR="00627C9F" w:rsidRPr="001B4C00">
                        <w:rPr>
                          <w:rFonts w:asciiTheme="minorHAnsi" w:hAnsiTheme="minorHAnsi"/>
                          <w:color w:val="FFFFFF" w:themeColor="background1"/>
                          <w:sz w:val="22"/>
                          <w:lang w:val="es-ES"/>
                        </w:rPr>
                        <w:t xml:space="preserve"> 20</w:t>
                      </w:r>
                      <w:r w:rsidR="001570EA">
                        <w:rPr>
                          <w:rFonts w:asciiTheme="minorHAnsi" w:hAnsiTheme="minorHAnsi"/>
                          <w:color w:val="FFFFFF" w:themeColor="background1"/>
                          <w:sz w:val="22"/>
                          <w:lang w:val="es-ES"/>
                        </w:rPr>
                        <w:t>22</w:t>
                      </w:r>
                    </w:p>
                    <w:p w14:paraId="0771DB5B" w14:textId="77777777" w:rsidR="00627C9F" w:rsidRPr="001B4C00" w:rsidRDefault="00E0340B"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 xml:space="preserve">Original: </w:t>
                      </w:r>
                      <w:r w:rsidR="008B12F5" w:rsidRPr="001B4C00">
                        <w:rPr>
                          <w:rFonts w:asciiTheme="minorHAnsi" w:hAnsiTheme="minorHAnsi"/>
                          <w:color w:val="FFFFFF" w:themeColor="background1"/>
                          <w:sz w:val="22"/>
                          <w:lang w:val="es-ES"/>
                        </w:rPr>
                        <w:t>e</w:t>
                      </w:r>
                      <w:r w:rsidR="00627C9F" w:rsidRPr="001B4C00">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CC7AF0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415AB">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7415AB">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466820">
                              <w:rPr>
                                <w:rFonts w:asciiTheme="majorHAnsi" w:hAnsiTheme="majorHAnsi"/>
                                <w:color w:val="0D0D0D" w:themeColor="text1" w:themeTint="F2"/>
                                <w:sz w:val="18"/>
                                <w:szCs w:val="22"/>
                                <w:lang w:val="es-ES"/>
                              </w:rPr>
                              <w:t>2</w:t>
                            </w:r>
                            <w:r w:rsidR="007415A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CC7AF0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415AB">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7415AB">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A777B4">
                        <w:rPr>
                          <w:rFonts w:asciiTheme="majorHAnsi" w:hAnsiTheme="majorHAnsi"/>
                          <w:color w:val="0D0D0D" w:themeColor="text1" w:themeTint="F2"/>
                          <w:sz w:val="18"/>
                          <w:szCs w:val="22"/>
                          <w:lang w:val="es-ES"/>
                        </w:rPr>
                        <w:t>2</w:t>
                      </w:r>
                      <w:r w:rsidR="00466820">
                        <w:rPr>
                          <w:rFonts w:asciiTheme="majorHAnsi" w:hAnsiTheme="majorHAnsi"/>
                          <w:color w:val="0D0D0D" w:themeColor="text1" w:themeTint="F2"/>
                          <w:sz w:val="18"/>
                          <w:szCs w:val="22"/>
                          <w:lang w:val="es-ES"/>
                        </w:rPr>
                        <w:t>2</w:t>
                      </w:r>
                      <w:r w:rsidR="007415AB">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8A5ED" w14:textId="77777777" w:rsidR="007415AB"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415AB" w:rsidRPr="007415AB">
                              <w:rPr>
                                <w:rFonts w:asciiTheme="majorHAnsi" w:hAnsiTheme="majorHAnsi"/>
                                <w:color w:val="595959" w:themeColor="text1" w:themeTint="A6"/>
                                <w:sz w:val="18"/>
                                <w:szCs w:val="18"/>
                                <w:lang w:val="pt-BR"/>
                              </w:rPr>
                              <w:t>237</w:t>
                            </w:r>
                            <w:r w:rsidR="007B05C4" w:rsidRPr="007415AB">
                              <w:rPr>
                                <w:rFonts w:asciiTheme="majorHAnsi" w:hAnsiTheme="majorHAnsi"/>
                                <w:color w:val="595959" w:themeColor="text1" w:themeTint="A6"/>
                                <w:sz w:val="18"/>
                                <w:szCs w:val="18"/>
                                <w:lang w:val="pt-BR"/>
                              </w:rPr>
                              <w:t>/</w:t>
                            </w:r>
                            <w:r w:rsidR="00A777B4" w:rsidRPr="007415AB">
                              <w:rPr>
                                <w:rFonts w:asciiTheme="majorHAnsi" w:hAnsiTheme="majorHAnsi"/>
                                <w:color w:val="595959" w:themeColor="text1" w:themeTint="A6"/>
                                <w:sz w:val="18"/>
                                <w:szCs w:val="18"/>
                                <w:lang w:val="pt-BR"/>
                              </w:rPr>
                              <w:t>2</w:t>
                            </w:r>
                            <w:r w:rsidR="007415AB" w:rsidRPr="007415AB">
                              <w:rPr>
                                <w:rFonts w:asciiTheme="majorHAnsi" w:hAnsiTheme="majorHAnsi"/>
                                <w:color w:val="595959" w:themeColor="text1" w:themeTint="A6"/>
                                <w:sz w:val="18"/>
                                <w:szCs w:val="18"/>
                                <w:lang w:val="pt-BR"/>
                              </w:rPr>
                              <w:t>2</w:t>
                            </w:r>
                            <w:r w:rsidRPr="007415AB">
                              <w:rPr>
                                <w:rFonts w:asciiTheme="majorHAnsi" w:hAnsiTheme="majorHAnsi"/>
                                <w:color w:val="595959" w:themeColor="text1" w:themeTint="A6"/>
                                <w:sz w:val="18"/>
                                <w:szCs w:val="18"/>
                                <w:lang w:val="pt-BR"/>
                              </w:rPr>
                              <w:t xml:space="preserve">. </w:t>
                            </w:r>
                            <w:r w:rsidR="007415AB" w:rsidRPr="007415AB">
                              <w:rPr>
                                <w:rFonts w:asciiTheme="majorHAnsi" w:hAnsiTheme="majorHAnsi"/>
                                <w:color w:val="595959" w:themeColor="text1" w:themeTint="A6"/>
                                <w:sz w:val="18"/>
                                <w:szCs w:val="18"/>
                                <w:lang w:val="es-419"/>
                              </w:rPr>
                              <w:t>I</w:t>
                            </w:r>
                            <w:r w:rsidR="00D30555">
                              <w:rPr>
                                <w:rFonts w:asciiTheme="majorHAnsi" w:hAnsiTheme="majorHAnsi"/>
                                <w:color w:val="595959" w:themeColor="text1" w:themeTint="A6"/>
                                <w:sz w:val="18"/>
                                <w:szCs w:val="18"/>
                                <w:lang w:val="es-ES_tradnl"/>
                              </w:rPr>
                              <w:t>n</w:t>
                            </w:r>
                            <w:r w:rsidRPr="00890650">
                              <w:rPr>
                                <w:rFonts w:asciiTheme="majorHAnsi" w:hAnsiTheme="majorHAnsi"/>
                                <w:color w:val="595959" w:themeColor="text1" w:themeTint="A6"/>
                                <w:sz w:val="18"/>
                                <w:szCs w:val="18"/>
                                <w:lang w:val="es-ES_tradnl"/>
                              </w:rPr>
                              <w:t xml:space="preserve">admisibilidad. </w:t>
                            </w:r>
                            <w:r w:rsidR="00CD232B">
                              <w:rPr>
                                <w:rFonts w:asciiTheme="majorHAnsi" w:hAnsiTheme="majorHAnsi"/>
                                <w:color w:val="595959" w:themeColor="text1" w:themeTint="A6"/>
                                <w:sz w:val="18"/>
                                <w:szCs w:val="18"/>
                                <w:lang w:val="es-ES_tradnl"/>
                              </w:rPr>
                              <w:t>José Nicolás Chain</w:t>
                            </w:r>
                            <w:r w:rsidRPr="00890650">
                              <w:rPr>
                                <w:rFonts w:asciiTheme="majorHAnsi" w:hAnsiTheme="majorHAnsi"/>
                                <w:color w:val="595959" w:themeColor="text1" w:themeTint="A6"/>
                                <w:sz w:val="18"/>
                                <w:szCs w:val="18"/>
                                <w:lang w:val="es-ES_tradnl"/>
                              </w:rPr>
                              <w:t xml:space="preserve">. </w:t>
                            </w:r>
                            <w:r w:rsidR="007415AB">
                              <w:rPr>
                                <w:rFonts w:asciiTheme="majorHAnsi" w:hAnsiTheme="majorHAnsi"/>
                                <w:color w:val="595959" w:themeColor="text1" w:themeTint="A6"/>
                                <w:sz w:val="18"/>
                                <w:szCs w:val="18"/>
                                <w:lang w:val="es-ES"/>
                              </w:rPr>
                              <w:t xml:space="preserve">Argentina. </w:t>
                            </w:r>
                          </w:p>
                          <w:p w14:paraId="0D1B22CF" w14:textId="17275BC7" w:rsidR="00113F73" w:rsidRPr="007B05C4" w:rsidRDefault="007415A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15 de septiembre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BF8A5ED" w14:textId="77777777" w:rsidR="007415AB"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415AB" w:rsidRPr="007415AB">
                        <w:rPr>
                          <w:rFonts w:asciiTheme="majorHAnsi" w:hAnsiTheme="majorHAnsi"/>
                          <w:color w:val="595959" w:themeColor="text1" w:themeTint="A6"/>
                          <w:sz w:val="18"/>
                          <w:szCs w:val="18"/>
                          <w:lang w:val="pt-BR"/>
                        </w:rPr>
                        <w:t>237</w:t>
                      </w:r>
                      <w:r w:rsidR="007B05C4" w:rsidRPr="007415AB">
                        <w:rPr>
                          <w:rFonts w:asciiTheme="majorHAnsi" w:hAnsiTheme="majorHAnsi"/>
                          <w:color w:val="595959" w:themeColor="text1" w:themeTint="A6"/>
                          <w:sz w:val="18"/>
                          <w:szCs w:val="18"/>
                          <w:lang w:val="pt-BR"/>
                        </w:rPr>
                        <w:t>/</w:t>
                      </w:r>
                      <w:r w:rsidR="00A777B4" w:rsidRPr="007415AB">
                        <w:rPr>
                          <w:rFonts w:asciiTheme="majorHAnsi" w:hAnsiTheme="majorHAnsi"/>
                          <w:color w:val="595959" w:themeColor="text1" w:themeTint="A6"/>
                          <w:sz w:val="18"/>
                          <w:szCs w:val="18"/>
                          <w:lang w:val="pt-BR"/>
                        </w:rPr>
                        <w:t>2</w:t>
                      </w:r>
                      <w:r w:rsidR="007415AB" w:rsidRPr="007415AB">
                        <w:rPr>
                          <w:rFonts w:asciiTheme="majorHAnsi" w:hAnsiTheme="majorHAnsi"/>
                          <w:color w:val="595959" w:themeColor="text1" w:themeTint="A6"/>
                          <w:sz w:val="18"/>
                          <w:szCs w:val="18"/>
                          <w:lang w:val="pt-BR"/>
                        </w:rPr>
                        <w:t>2</w:t>
                      </w:r>
                      <w:r w:rsidRPr="007415AB">
                        <w:rPr>
                          <w:rFonts w:asciiTheme="majorHAnsi" w:hAnsiTheme="majorHAnsi"/>
                          <w:color w:val="595959" w:themeColor="text1" w:themeTint="A6"/>
                          <w:sz w:val="18"/>
                          <w:szCs w:val="18"/>
                          <w:lang w:val="pt-BR"/>
                        </w:rPr>
                        <w:t xml:space="preserve">. </w:t>
                      </w:r>
                      <w:r w:rsidR="007415AB" w:rsidRPr="007415AB">
                        <w:rPr>
                          <w:rFonts w:asciiTheme="majorHAnsi" w:hAnsiTheme="majorHAnsi"/>
                          <w:color w:val="595959" w:themeColor="text1" w:themeTint="A6"/>
                          <w:sz w:val="18"/>
                          <w:szCs w:val="18"/>
                          <w:lang w:val="es-419"/>
                        </w:rPr>
                        <w:t>I</w:t>
                      </w:r>
                      <w:r w:rsidR="00D30555">
                        <w:rPr>
                          <w:rFonts w:asciiTheme="majorHAnsi" w:hAnsiTheme="majorHAnsi"/>
                          <w:color w:val="595959" w:themeColor="text1" w:themeTint="A6"/>
                          <w:sz w:val="18"/>
                          <w:szCs w:val="18"/>
                          <w:lang w:val="es-ES_tradnl"/>
                        </w:rPr>
                        <w:t>n</w:t>
                      </w:r>
                      <w:r w:rsidRPr="00890650">
                        <w:rPr>
                          <w:rFonts w:asciiTheme="majorHAnsi" w:hAnsiTheme="majorHAnsi"/>
                          <w:color w:val="595959" w:themeColor="text1" w:themeTint="A6"/>
                          <w:sz w:val="18"/>
                          <w:szCs w:val="18"/>
                          <w:lang w:val="es-ES_tradnl"/>
                        </w:rPr>
                        <w:t xml:space="preserve">admisibilidad. </w:t>
                      </w:r>
                      <w:r w:rsidR="00CD232B">
                        <w:rPr>
                          <w:rFonts w:asciiTheme="majorHAnsi" w:hAnsiTheme="majorHAnsi"/>
                          <w:color w:val="595959" w:themeColor="text1" w:themeTint="A6"/>
                          <w:sz w:val="18"/>
                          <w:szCs w:val="18"/>
                          <w:lang w:val="es-ES_tradnl"/>
                        </w:rPr>
                        <w:t>José Nicolás Chain</w:t>
                      </w:r>
                      <w:r w:rsidRPr="00890650">
                        <w:rPr>
                          <w:rFonts w:asciiTheme="majorHAnsi" w:hAnsiTheme="majorHAnsi"/>
                          <w:color w:val="595959" w:themeColor="text1" w:themeTint="A6"/>
                          <w:sz w:val="18"/>
                          <w:szCs w:val="18"/>
                          <w:lang w:val="es-ES_tradnl"/>
                        </w:rPr>
                        <w:t xml:space="preserve">. </w:t>
                      </w:r>
                      <w:r w:rsidR="007415AB">
                        <w:rPr>
                          <w:rFonts w:asciiTheme="majorHAnsi" w:hAnsiTheme="majorHAnsi"/>
                          <w:color w:val="595959" w:themeColor="text1" w:themeTint="A6"/>
                          <w:sz w:val="18"/>
                          <w:szCs w:val="18"/>
                          <w:lang w:val="es-ES"/>
                        </w:rPr>
                        <w:t xml:space="preserve">Argentina. </w:t>
                      </w:r>
                    </w:p>
                    <w:p w14:paraId="0D1B22CF" w14:textId="17275BC7" w:rsidR="00113F73" w:rsidRPr="007B05C4" w:rsidRDefault="007415A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15 de septiembre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13494D43"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59D546F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E25B251" w:rsidR="0070697F" w:rsidRPr="00006B74" w:rsidRDefault="007415AB" w:rsidP="005516A1">
      <w:pPr>
        <w:tabs>
          <w:tab w:val="center" w:pos="5400"/>
        </w:tabs>
        <w:suppressAutoHyphens/>
        <w:jc w:val="center"/>
        <w:rPr>
          <w:rFonts w:asciiTheme="majorHAnsi" w:hAnsiTheme="majorHAnsi"/>
          <w:b/>
          <w:sz w:val="20"/>
          <w:lang w:val="es-ES"/>
        </w:rPr>
        <w:sectPr w:rsidR="0070697F" w:rsidRPr="00006B74"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0B010BB3">
                <wp:simplePos x="0" y="0"/>
                <wp:positionH relativeFrom="column">
                  <wp:posOffset>1328057</wp:posOffset>
                </wp:positionH>
                <wp:positionV relativeFrom="paragraph">
                  <wp:posOffset>490220</wp:posOffset>
                </wp:positionV>
                <wp:extent cx="4096385" cy="610326"/>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103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55pt;margin-top:38.6pt;width:322.55pt;height:4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72AC5E93">
                            <wp:extent cx="2036446" cy="523875"/>
                            <wp:effectExtent l="0" t="0" r="190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38988" cy="524529"/>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E40792" w:rsidRDefault="003239B8" w:rsidP="007C402A">
      <w:pPr>
        <w:spacing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lastRenderedPageBreak/>
        <w:t>I.</w:t>
      </w:r>
      <w:r w:rsidRPr="00E4079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3239B8" w:rsidRPr="00C04235" w14:paraId="5A79D1F7" w14:textId="77777777" w:rsidTr="001570EA">
        <w:tc>
          <w:tcPr>
            <w:tcW w:w="3487" w:type="dxa"/>
            <w:tcBorders>
              <w:top w:val="single" w:sz="4" w:space="0" w:color="auto"/>
              <w:bottom w:val="single" w:sz="6" w:space="0" w:color="auto"/>
            </w:tcBorders>
            <w:shd w:val="clear" w:color="auto" w:fill="386294"/>
            <w:vAlign w:val="center"/>
          </w:tcPr>
          <w:p w14:paraId="0CB2A43B" w14:textId="6FB89BFC"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Parte peticionaria</w:t>
            </w:r>
          </w:p>
        </w:tc>
        <w:tc>
          <w:tcPr>
            <w:tcW w:w="5760" w:type="dxa"/>
            <w:vAlign w:val="center"/>
          </w:tcPr>
          <w:p w14:paraId="3C5315D8" w14:textId="2EE80459" w:rsidR="003239B8" w:rsidRPr="00E40792" w:rsidRDefault="00CD232B" w:rsidP="008D2290">
            <w:pPr>
              <w:jc w:val="both"/>
              <w:rPr>
                <w:rFonts w:asciiTheme="majorHAnsi" w:hAnsiTheme="majorHAnsi"/>
                <w:bCs/>
                <w:sz w:val="20"/>
                <w:szCs w:val="20"/>
                <w:lang w:val="es-PA"/>
              </w:rPr>
            </w:pPr>
            <w:r>
              <w:rPr>
                <w:rFonts w:asciiTheme="majorHAnsi" w:hAnsiTheme="majorHAnsi"/>
                <w:bCs/>
                <w:sz w:val="20"/>
                <w:szCs w:val="20"/>
                <w:lang w:val="es-PA"/>
              </w:rPr>
              <w:t>José Nicolás Chain y Carlos A.B. P</w:t>
            </w:r>
            <w:r w:rsidR="00466820">
              <w:rPr>
                <w:rFonts w:asciiTheme="majorHAnsi" w:hAnsiTheme="majorHAnsi"/>
                <w:bCs/>
                <w:sz w:val="20"/>
                <w:szCs w:val="20"/>
                <w:lang w:val="es-PA"/>
              </w:rPr>
              <w:t>é</w:t>
            </w:r>
            <w:r>
              <w:rPr>
                <w:rFonts w:asciiTheme="majorHAnsi" w:hAnsiTheme="majorHAnsi"/>
                <w:bCs/>
                <w:sz w:val="20"/>
                <w:szCs w:val="20"/>
                <w:lang w:val="es-PA"/>
              </w:rPr>
              <w:t>rez Galindo</w:t>
            </w:r>
          </w:p>
        </w:tc>
      </w:tr>
      <w:tr w:rsidR="003239B8" w:rsidRPr="00026DF5" w14:paraId="593A7E45" w14:textId="77777777" w:rsidTr="001570EA">
        <w:tc>
          <w:tcPr>
            <w:tcW w:w="3487" w:type="dxa"/>
            <w:tcBorders>
              <w:top w:val="single" w:sz="6" w:space="0" w:color="auto"/>
              <w:bottom w:val="single" w:sz="6" w:space="0" w:color="auto"/>
            </w:tcBorders>
            <w:shd w:val="clear" w:color="auto" w:fill="386294"/>
            <w:vAlign w:val="center"/>
          </w:tcPr>
          <w:p w14:paraId="0E78CA0C" w14:textId="6191E4A1" w:rsidR="003239B8" w:rsidRPr="00E40792" w:rsidRDefault="002355A9"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Presunta víctima</w:t>
            </w:r>
          </w:p>
        </w:tc>
        <w:tc>
          <w:tcPr>
            <w:tcW w:w="5760" w:type="dxa"/>
            <w:vAlign w:val="center"/>
          </w:tcPr>
          <w:p w14:paraId="4AEBF59E" w14:textId="41960A9C" w:rsidR="003239B8" w:rsidRPr="00E40792" w:rsidRDefault="00CD232B" w:rsidP="005B6D22">
            <w:pPr>
              <w:jc w:val="both"/>
              <w:rPr>
                <w:rFonts w:asciiTheme="majorHAnsi" w:hAnsiTheme="majorHAnsi"/>
                <w:bCs/>
                <w:sz w:val="20"/>
                <w:szCs w:val="20"/>
                <w:lang w:val="es-ES"/>
              </w:rPr>
            </w:pPr>
            <w:r>
              <w:rPr>
                <w:rFonts w:asciiTheme="majorHAnsi" w:hAnsiTheme="majorHAnsi"/>
                <w:bCs/>
                <w:sz w:val="20"/>
                <w:szCs w:val="20"/>
                <w:lang w:val="es-ES"/>
              </w:rPr>
              <w:t xml:space="preserve">José Nicolás Chain </w:t>
            </w:r>
          </w:p>
        </w:tc>
      </w:tr>
      <w:tr w:rsidR="003239B8" w:rsidRPr="00E40792" w14:paraId="3E62E1D3" w14:textId="77777777" w:rsidTr="001570EA">
        <w:tc>
          <w:tcPr>
            <w:tcW w:w="3487" w:type="dxa"/>
            <w:tcBorders>
              <w:top w:val="single" w:sz="6" w:space="0" w:color="auto"/>
              <w:bottom w:val="single" w:sz="6" w:space="0" w:color="auto"/>
            </w:tcBorders>
            <w:shd w:val="clear" w:color="auto" w:fill="386294"/>
            <w:vAlign w:val="center"/>
          </w:tcPr>
          <w:p w14:paraId="340B0F09" w14:textId="16C11299"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Estado denunciado</w:t>
            </w:r>
          </w:p>
        </w:tc>
        <w:tc>
          <w:tcPr>
            <w:tcW w:w="5760" w:type="dxa"/>
            <w:vAlign w:val="center"/>
          </w:tcPr>
          <w:p w14:paraId="274C8A50" w14:textId="364C85B2" w:rsidR="003239B8" w:rsidRPr="00E40792" w:rsidRDefault="00026DF5" w:rsidP="008D2290">
            <w:pPr>
              <w:jc w:val="both"/>
              <w:rPr>
                <w:rFonts w:asciiTheme="majorHAnsi" w:hAnsiTheme="majorHAnsi"/>
                <w:bCs/>
                <w:sz w:val="20"/>
                <w:szCs w:val="20"/>
                <w:lang w:val="es-ES"/>
              </w:rPr>
            </w:pPr>
            <w:r>
              <w:rPr>
                <w:rFonts w:asciiTheme="majorHAnsi" w:hAnsiTheme="majorHAnsi"/>
                <w:bCs/>
                <w:sz w:val="20"/>
                <w:szCs w:val="20"/>
                <w:lang w:val="es-ES"/>
              </w:rPr>
              <w:t>Argentina</w:t>
            </w:r>
          </w:p>
        </w:tc>
      </w:tr>
      <w:tr w:rsidR="00223A29" w:rsidRPr="00C04235" w14:paraId="632511BC" w14:textId="77777777" w:rsidTr="001570EA">
        <w:trPr>
          <w:trHeight w:val="408"/>
        </w:trPr>
        <w:tc>
          <w:tcPr>
            <w:tcW w:w="3487" w:type="dxa"/>
            <w:tcBorders>
              <w:top w:val="single" w:sz="6" w:space="0" w:color="auto"/>
              <w:bottom w:val="single" w:sz="6" w:space="0" w:color="auto"/>
            </w:tcBorders>
            <w:shd w:val="clear" w:color="auto" w:fill="386294"/>
            <w:vAlign w:val="center"/>
          </w:tcPr>
          <w:p w14:paraId="727E2F6B" w14:textId="1D86EADA" w:rsidR="00223A29" w:rsidRPr="00E40792" w:rsidRDefault="001B3A00" w:rsidP="00E4118C">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Derechos </w:t>
            </w:r>
            <w:r w:rsidR="00E4118C" w:rsidRPr="00E40792">
              <w:rPr>
                <w:rFonts w:asciiTheme="majorHAnsi" w:hAnsiTheme="majorHAnsi"/>
                <w:b/>
                <w:color w:val="FFFFFF" w:themeColor="background1"/>
                <w:sz w:val="20"/>
                <w:szCs w:val="20"/>
                <w:lang w:val="es-ES"/>
              </w:rPr>
              <w:t>invocados</w:t>
            </w:r>
          </w:p>
        </w:tc>
        <w:tc>
          <w:tcPr>
            <w:tcW w:w="5760" w:type="dxa"/>
            <w:vAlign w:val="center"/>
          </w:tcPr>
          <w:p w14:paraId="6DEE1EEB" w14:textId="494A30A9" w:rsidR="00223A29" w:rsidRPr="00E40792" w:rsidRDefault="0098113F" w:rsidP="0034224A">
            <w:pPr>
              <w:jc w:val="both"/>
              <w:rPr>
                <w:rFonts w:asciiTheme="majorHAnsi" w:hAnsiTheme="majorHAnsi"/>
                <w:bCs/>
                <w:sz w:val="20"/>
                <w:szCs w:val="20"/>
                <w:lang w:val="es-ES"/>
              </w:rPr>
            </w:pPr>
            <w:r>
              <w:rPr>
                <w:rFonts w:asciiTheme="majorHAnsi" w:hAnsiTheme="majorHAnsi"/>
                <w:bCs/>
                <w:sz w:val="20"/>
                <w:szCs w:val="20"/>
                <w:lang w:val="es-PA"/>
              </w:rPr>
              <w:t>Artículos 7 (libertad personal), 8 (garantías judiciales), 11 (honra y dignidad) y 25 (protección judicial) de la Convención Americana sobre Derechos Humanos</w:t>
            </w:r>
            <w:r>
              <w:rPr>
                <w:rStyle w:val="FootnoteReference"/>
                <w:rFonts w:asciiTheme="majorHAnsi" w:hAnsiTheme="majorHAnsi"/>
                <w:bCs/>
                <w:sz w:val="20"/>
                <w:szCs w:val="20"/>
                <w:lang w:val="es-PA"/>
              </w:rPr>
              <w:footnoteReference w:id="2"/>
            </w:r>
          </w:p>
        </w:tc>
      </w:tr>
    </w:tbl>
    <w:p w14:paraId="20263696" w14:textId="4C873868" w:rsidR="003239B8" w:rsidRPr="00E40792" w:rsidRDefault="002636E9"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 </w:t>
      </w:r>
      <w:r w:rsidR="003239B8" w:rsidRPr="00E40792">
        <w:rPr>
          <w:rFonts w:asciiTheme="majorHAnsi" w:hAnsiTheme="majorHAnsi"/>
          <w:b/>
          <w:bCs/>
          <w:sz w:val="20"/>
          <w:szCs w:val="20"/>
          <w:lang w:val="es-ES"/>
        </w:rPr>
        <w:t>II.</w:t>
      </w:r>
      <w:r w:rsidR="003239B8" w:rsidRPr="00E40792">
        <w:rPr>
          <w:rFonts w:asciiTheme="majorHAnsi" w:hAnsiTheme="majorHAnsi"/>
          <w:b/>
          <w:bCs/>
          <w:sz w:val="20"/>
          <w:szCs w:val="20"/>
          <w:lang w:val="es-ES"/>
        </w:rPr>
        <w:tab/>
        <w:t>TRÁMITE ANTE LA CIDH</w:t>
      </w:r>
      <w:r w:rsidR="008E3BFE" w:rsidRPr="00E40792">
        <w:rPr>
          <w:rStyle w:val="FootnoteReference"/>
          <w:rFonts w:asciiTheme="majorHAnsi" w:hAnsiTheme="majorHAnsi"/>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487"/>
        <w:gridCol w:w="5760"/>
      </w:tblGrid>
      <w:tr w:rsidR="004C2312" w:rsidRPr="00E40792" w14:paraId="306EFCB0" w14:textId="77777777" w:rsidTr="001570EA">
        <w:tc>
          <w:tcPr>
            <w:tcW w:w="3487" w:type="dxa"/>
            <w:tcBorders>
              <w:top w:val="single" w:sz="6" w:space="0" w:color="auto"/>
              <w:bottom w:val="single" w:sz="6" w:space="0" w:color="auto"/>
            </w:tcBorders>
            <w:shd w:val="clear" w:color="auto" w:fill="386294"/>
            <w:vAlign w:val="center"/>
          </w:tcPr>
          <w:p w14:paraId="7508D16F" w14:textId="2A4C7FC3" w:rsidR="004C2312" w:rsidRPr="00E40792" w:rsidRDefault="000C1C69"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Recepción</w:t>
            </w:r>
            <w:r w:rsidR="00D77503" w:rsidRPr="00E40792">
              <w:rPr>
                <w:rFonts w:asciiTheme="majorHAnsi" w:hAnsiTheme="majorHAnsi"/>
                <w:b/>
                <w:color w:val="FFFFFF" w:themeColor="background1"/>
                <w:sz w:val="20"/>
                <w:szCs w:val="20"/>
                <w:lang w:val="es-ES"/>
              </w:rPr>
              <w:t xml:space="preserve"> de la petición</w:t>
            </w:r>
          </w:p>
        </w:tc>
        <w:tc>
          <w:tcPr>
            <w:tcW w:w="5760" w:type="dxa"/>
            <w:vAlign w:val="center"/>
          </w:tcPr>
          <w:p w14:paraId="6E579153" w14:textId="3E5C67C6" w:rsidR="004C2312" w:rsidRPr="00E40792" w:rsidRDefault="00333A9E" w:rsidP="002625EA">
            <w:pPr>
              <w:jc w:val="both"/>
              <w:rPr>
                <w:rFonts w:asciiTheme="majorHAnsi" w:hAnsiTheme="majorHAnsi"/>
                <w:bCs/>
                <w:sz w:val="20"/>
                <w:szCs w:val="20"/>
                <w:lang w:val="es-ES"/>
              </w:rPr>
            </w:pPr>
            <w:r>
              <w:rPr>
                <w:rFonts w:asciiTheme="majorHAnsi" w:hAnsiTheme="majorHAnsi"/>
                <w:bCs/>
                <w:sz w:val="20"/>
                <w:szCs w:val="20"/>
                <w:lang w:val="es-ES"/>
              </w:rPr>
              <w:t>12 de diciembre de 2014</w:t>
            </w:r>
            <w:r w:rsidR="002636E9" w:rsidRPr="00E40792">
              <w:rPr>
                <w:rFonts w:asciiTheme="majorHAnsi" w:hAnsiTheme="majorHAnsi"/>
                <w:bCs/>
                <w:sz w:val="20"/>
                <w:szCs w:val="20"/>
                <w:lang w:val="es-ES"/>
              </w:rPr>
              <w:t xml:space="preserve"> </w:t>
            </w:r>
          </w:p>
        </w:tc>
      </w:tr>
      <w:tr w:rsidR="006E772A" w:rsidRPr="00C04235" w14:paraId="68F509DA" w14:textId="77777777" w:rsidTr="001570EA">
        <w:tc>
          <w:tcPr>
            <w:tcW w:w="3487" w:type="dxa"/>
            <w:tcBorders>
              <w:top w:val="single" w:sz="6" w:space="0" w:color="auto"/>
              <w:bottom w:val="single" w:sz="6" w:space="0" w:color="auto"/>
            </w:tcBorders>
            <w:shd w:val="clear" w:color="auto" w:fill="386294"/>
            <w:vAlign w:val="center"/>
          </w:tcPr>
          <w:p w14:paraId="62C9F91B" w14:textId="65F3AB1A" w:rsidR="006E772A" w:rsidRPr="00E40792" w:rsidRDefault="006E772A" w:rsidP="004A6A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Información adicional </w:t>
            </w:r>
            <w:r w:rsidR="002355A9" w:rsidRPr="00E40792">
              <w:rPr>
                <w:rFonts w:asciiTheme="majorHAnsi" w:hAnsiTheme="majorHAnsi"/>
                <w:b/>
                <w:color w:val="FFFFFF" w:themeColor="background1"/>
                <w:sz w:val="20"/>
                <w:szCs w:val="20"/>
                <w:lang w:val="es-ES"/>
              </w:rPr>
              <w:t>recibida en la etapa de estudio</w:t>
            </w:r>
          </w:p>
        </w:tc>
        <w:tc>
          <w:tcPr>
            <w:tcW w:w="5760" w:type="dxa"/>
            <w:vAlign w:val="center"/>
          </w:tcPr>
          <w:p w14:paraId="796669C8" w14:textId="7D8F7E30" w:rsidR="006E772A" w:rsidRPr="00E40792" w:rsidRDefault="003130A5" w:rsidP="002625EA">
            <w:pPr>
              <w:jc w:val="both"/>
              <w:rPr>
                <w:rFonts w:asciiTheme="majorHAnsi" w:hAnsiTheme="majorHAnsi"/>
                <w:bCs/>
                <w:sz w:val="20"/>
                <w:szCs w:val="20"/>
                <w:lang w:val="es-ES"/>
              </w:rPr>
            </w:pPr>
            <w:r>
              <w:rPr>
                <w:rFonts w:asciiTheme="majorHAnsi" w:hAnsiTheme="majorHAnsi"/>
                <w:bCs/>
                <w:sz w:val="20"/>
                <w:szCs w:val="20"/>
                <w:lang w:val="es-ES"/>
              </w:rPr>
              <w:t>23 de diciembre de 2014 y 10 de febrero, 23 de junio y 13 de julio de 2017</w:t>
            </w:r>
            <w:r>
              <w:rPr>
                <w:rStyle w:val="FootnoteReference"/>
                <w:rFonts w:asciiTheme="majorHAnsi" w:hAnsiTheme="majorHAnsi"/>
                <w:bCs/>
                <w:sz w:val="20"/>
                <w:szCs w:val="20"/>
                <w:lang w:val="es-ES"/>
              </w:rPr>
              <w:footnoteReference w:id="4"/>
            </w:r>
          </w:p>
        </w:tc>
      </w:tr>
      <w:tr w:rsidR="004C2312" w:rsidRPr="00E40792" w14:paraId="1BDCD5C6" w14:textId="77777777" w:rsidTr="001570EA">
        <w:tc>
          <w:tcPr>
            <w:tcW w:w="3487" w:type="dxa"/>
            <w:tcBorders>
              <w:top w:val="single" w:sz="6" w:space="0" w:color="auto"/>
              <w:bottom w:val="single" w:sz="6" w:space="0" w:color="auto"/>
            </w:tcBorders>
            <w:shd w:val="clear" w:color="auto" w:fill="386294"/>
            <w:vAlign w:val="center"/>
          </w:tcPr>
          <w:p w14:paraId="7A18664F" w14:textId="53CE1B14" w:rsidR="004C2312" w:rsidRPr="00E40792" w:rsidRDefault="004A6A54" w:rsidP="000C1C69">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N</w:t>
            </w:r>
            <w:r w:rsidR="004C2312" w:rsidRPr="00E40792">
              <w:rPr>
                <w:rFonts w:asciiTheme="majorHAnsi" w:hAnsiTheme="majorHAnsi"/>
                <w:b/>
                <w:color w:val="FFFFFF" w:themeColor="background1"/>
                <w:sz w:val="20"/>
                <w:szCs w:val="20"/>
                <w:lang w:val="es-ES"/>
              </w:rPr>
              <w:t>otificación de la petición</w:t>
            </w:r>
          </w:p>
        </w:tc>
        <w:tc>
          <w:tcPr>
            <w:tcW w:w="5760" w:type="dxa"/>
            <w:vAlign w:val="center"/>
          </w:tcPr>
          <w:p w14:paraId="1519DA6A" w14:textId="60A7ED29" w:rsidR="004C2312" w:rsidRPr="00E40792" w:rsidRDefault="003130A5" w:rsidP="008D2290">
            <w:pPr>
              <w:jc w:val="both"/>
              <w:rPr>
                <w:rFonts w:asciiTheme="majorHAnsi" w:hAnsiTheme="majorHAnsi"/>
                <w:bCs/>
                <w:sz w:val="20"/>
                <w:szCs w:val="20"/>
                <w:lang w:val="es-ES"/>
              </w:rPr>
            </w:pPr>
            <w:r>
              <w:rPr>
                <w:rFonts w:asciiTheme="majorHAnsi" w:hAnsiTheme="majorHAnsi"/>
                <w:bCs/>
                <w:sz w:val="20"/>
                <w:szCs w:val="20"/>
                <w:lang w:val="es-ES"/>
              </w:rPr>
              <w:t>18 de julio de 2019</w:t>
            </w:r>
          </w:p>
        </w:tc>
      </w:tr>
      <w:tr w:rsidR="00F06354" w:rsidRPr="00E40792" w14:paraId="6147A8D5" w14:textId="77777777" w:rsidTr="001570EA">
        <w:tc>
          <w:tcPr>
            <w:tcW w:w="3487" w:type="dxa"/>
            <w:tcBorders>
              <w:top w:val="single" w:sz="6" w:space="0" w:color="auto"/>
              <w:bottom w:val="single" w:sz="6" w:space="0" w:color="auto"/>
            </w:tcBorders>
            <w:shd w:val="clear" w:color="auto" w:fill="386294"/>
            <w:vAlign w:val="center"/>
          </w:tcPr>
          <w:p w14:paraId="0201C86D" w14:textId="678B514E" w:rsidR="00F06354" w:rsidRPr="00E40792" w:rsidRDefault="00D77503" w:rsidP="00F06354">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Primera respuesta del Estado</w:t>
            </w:r>
          </w:p>
        </w:tc>
        <w:tc>
          <w:tcPr>
            <w:tcW w:w="5760" w:type="dxa"/>
            <w:vAlign w:val="center"/>
          </w:tcPr>
          <w:p w14:paraId="1972B99E" w14:textId="59106773" w:rsidR="00F06354" w:rsidRPr="00E40792" w:rsidRDefault="003130A5" w:rsidP="00F06354">
            <w:pPr>
              <w:jc w:val="both"/>
              <w:rPr>
                <w:rFonts w:asciiTheme="majorHAnsi" w:hAnsiTheme="majorHAnsi"/>
                <w:bCs/>
                <w:sz w:val="20"/>
                <w:szCs w:val="20"/>
                <w:lang w:val="es-ES"/>
              </w:rPr>
            </w:pPr>
            <w:r>
              <w:rPr>
                <w:rFonts w:asciiTheme="majorHAnsi" w:hAnsiTheme="majorHAnsi"/>
                <w:bCs/>
                <w:sz w:val="20"/>
                <w:szCs w:val="20"/>
                <w:lang w:val="es-ES"/>
              </w:rPr>
              <w:t>16 de enero de 2020</w:t>
            </w:r>
          </w:p>
        </w:tc>
      </w:tr>
    </w:tbl>
    <w:p w14:paraId="21DAA666" w14:textId="5065046E"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III. </w:t>
      </w:r>
      <w:r w:rsidRPr="00E40792">
        <w:rPr>
          <w:rFonts w:asciiTheme="majorHAnsi" w:hAnsiTheme="majorHAnsi"/>
          <w:b/>
          <w:bCs/>
          <w:sz w:val="20"/>
          <w:szCs w:val="20"/>
          <w:lang w:val="es-ES"/>
        </w:rPr>
        <w:tab/>
        <w:t>COMPETENCIA</w:t>
      </w:r>
      <w:r w:rsidR="00EE00E9" w:rsidRPr="00E4079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3239B8" w:rsidRPr="00E40792" w14:paraId="072532AD" w14:textId="77777777" w:rsidTr="00E40792">
        <w:trPr>
          <w:cantSplit/>
        </w:trPr>
        <w:tc>
          <w:tcPr>
            <w:tcW w:w="3487" w:type="dxa"/>
            <w:tcBorders>
              <w:top w:val="single" w:sz="4" w:space="0" w:color="auto"/>
              <w:bottom w:val="single" w:sz="6" w:space="0" w:color="auto"/>
            </w:tcBorders>
            <w:shd w:val="clear" w:color="auto" w:fill="386294"/>
            <w:vAlign w:val="center"/>
          </w:tcPr>
          <w:p w14:paraId="5C2E4B34" w14:textId="7281AAF8" w:rsidR="003239B8" w:rsidRPr="00E40792" w:rsidRDefault="00D77503" w:rsidP="008D2290">
            <w:pPr>
              <w:jc w:val="center"/>
              <w:rPr>
                <w:rFonts w:asciiTheme="majorHAnsi" w:hAnsiTheme="majorHAnsi"/>
                <w:b/>
                <w:i/>
                <w:color w:val="FFFFFF" w:themeColor="background1"/>
                <w:sz w:val="20"/>
                <w:szCs w:val="20"/>
                <w:lang w:val="es-ES"/>
              </w:rPr>
            </w:pPr>
            <w:r w:rsidRPr="00E40792">
              <w:rPr>
                <w:rFonts w:asciiTheme="majorHAnsi" w:hAnsiTheme="majorHAnsi"/>
                <w:b/>
                <w:i/>
                <w:color w:val="FFFFFF" w:themeColor="background1"/>
                <w:sz w:val="20"/>
                <w:szCs w:val="20"/>
                <w:lang w:val="es-ES"/>
              </w:rPr>
              <w:t>Ratione personae</w:t>
            </w:r>
          </w:p>
        </w:tc>
        <w:tc>
          <w:tcPr>
            <w:tcW w:w="5755" w:type="dxa"/>
            <w:vAlign w:val="center"/>
          </w:tcPr>
          <w:p w14:paraId="7707F3E9" w14:textId="5413C97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B8802DA" w14:textId="77777777" w:rsidTr="00E40792">
        <w:trPr>
          <w:cantSplit/>
        </w:trPr>
        <w:tc>
          <w:tcPr>
            <w:tcW w:w="3487" w:type="dxa"/>
            <w:tcBorders>
              <w:top w:val="single" w:sz="6" w:space="0" w:color="auto"/>
              <w:bottom w:val="single" w:sz="6" w:space="0" w:color="auto"/>
            </w:tcBorders>
            <w:shd w:val="clear" w:color="auto" w:fill="386294"/>
            <w:vAlign w:val="center"/>
          </w:tcPr>
          <w:p w14:paraId="3915C23B" w14:textId="629F623D" w:rsidR="003239B8" w:rsidRPr="00E40792" w:rsidRDefault="003239B8" w:rsidP="00D77503">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loci</w:t>
            </w:r>
          </w:p>
        </w:tc>
        <w:tc>
          <w:tcPr>
            <w:tcW w:w="5755" w:type="dxa"/>
            <w:vAlign w:val="center"/>
          </w:tcPr>
          <w:p w14:paraId="12C931CB" w14:textId="40C87F4E"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E40792" w14:paraId="4362FDF3" w14:textId="77777777" w:rsidTr="00E40792">
        <w:trPr>
          <w:cantSplit/>
        </w:trPr>
        <w:tc>
          <w:tcPr>
            <w:tcW w:w="3487" w:type="dxa"/>
            <w:tcBorders>
              <w:top w:val="single" w:sz="6" w:space="0" w:color="auto"/>
              <w:bottom w:val="single" w:sz="6" w:space="0" w:color="auto"/>
            </w:tcBorders>
            <w:shd w:val="clear" w:color="auto" w:fill="386294"/>
            <w:vAlign w:val="center"/>
          </w:tcPr>
          <w:p w14:paraId="3BE23153" w14:textId="1788B5D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temporis</w:t>
            </w:r>
          </w:p>
        </w:tc>
        <w:tc>
          <w:tcPr>
            <w:tcW w:w="5755" w:type="dxa"/>
            <w:vAlign w:val="center"/>
          </w:tcPr>
          <w:p w14:paraId="6F8B059B" w14:textId="3897AC54" w:rsidR="003239B8" w:rsidRPr="00E40792" w:rsidRDefault="00253195" w:rsidP="008D2290">
            <w:pPr>
              <w:rPr>
                <w:rFonts w:asciiTheme="majorHAnsi" w:hAnsiTheme="majorHAnsi"/>
                <w:bCs/>
                <w:sz w:val="20"/>
                <w:szCs w:val="20"/>
                <w:lang w:val="es-ES"/>
              </w:rPr>
            </w:pPr>
            <w:r w:rsidRPr="00E40792">
              <w:rPr>
                <w:rFonts w:asciiTheme="majorHAnsi" w:hAnsiTheme="majorHAnsi"/>
                <w:bCs/>
                <w:sz w:val="20"/>
                <w:szCs w:val="20"/>
                <w:lang w:val="es-ES"/>
              </w:rPr>
              <w:t>Sí</w:t>
            </w:r>
          </w:p>
        </w:tc>
      </w:tr>
      <w:tr w:rsidR="003239B8" w:rsidRPr="00C04235" w14:paraId="30ABEC3E" w14:textId="77777777" w:rsidTr="00E40792">
        <w:trPr>
          <w:cantSplit/>
        </w:trPr>
        <w:tc>
          <w:tcPr>
            <w:tcW w:w="3487" w:type="dxa"/>
            <w:tcBorders>
              <w:top w:val="single" w:sz="6" w:space="0" w:color="auto"/>
              <w:bottom w:val="single" w:sz="6" w:space="0" w:color="auto"/>
            </w:tcBorders>
            <w:shd w:val="clear" w:color="auto" w:fill="386294"/>
            <w:vAlign w:val="center"/>
          </w:tcPr>
          <w:p w14:paraId="47B529D2" w14:textId="72B41633" w:rsidR="003239B8" w:rsidRPr="00E40792" w:rsidRDefault="003239B8" w:rsidP="008D2290">
            <w:pPr>
              <w:jc w:val="center"/>
              <w:rPr>
                <w:rFonts w:asciiTheme="majorHAnsi" w:hAnsiTheme="majorHAnsi"/>
                <w:b/>
                <w:color w:val="FFFFFF" w:themeColor="background1"/>
                <w:sz w:val="20"/>
                <w:szCs w:val="20"/>
                <w:lang w:val="es-ES"/>
              </w:rPr>
            </w:pPr>
            <w:r w:rsidRPr="00E40792">
              <w:rPr>
                <w:rFonts w:asciiTheme="majorHAnsi" w:hAnsiTheme="majorHAnsi"/>
                <w:b/>
                <w:i/>
                <w:color w:val="FFFFFF" w:themeColor="background1"/>
                <w:sz w:val="20"/>
                <w:szCs w:val="20"/>
                <w:lang w:val="es-ES"/>
              </w:rPr>
              <w:t>Ratione materia</w:t>
            </w:r>
            <w:r w:rsidR="00EE00E9" w:rsidRPr="00E40792">
              <w:rPr>
                <w:rFonts w:asciiTheme="majorHAnsi" w:hAnsiTheme="majorHAnsi"/>
                <w:b/>
                <w:i/>
                <w:color w:val="FFFFFF" w:themeColor="background1"/>
                <w:sz w:val="20"/>
                <w:szCs w:val="20"/>
                <w:lang w:val="es-ES"/>
              </w:rPr>
              <w:t>e</w:t>
            </w:r>
          </w:p>
        </w:tc>
        <w:tc>
          <w:tcPr>
            <w:tcW w:w="5755" w:type="dxa"/>
            <w:vAlign w:val="center"/>
          </w:tcPr>
          <w:p w14:paraId="0C122F44" w14:textId="09E5549F" w:rsidR="003239B8" w:rsidRPr="00E40792" w:rsidRDefault="00253195" w:rsidP="008D2290">
            <w:pPr>
              <w:jc w:val="both"/>
              <w:rPr>
                <w:rFonts w:asciiTheme="majorHAnsi" w:hAnsiTheme="majorHAnsi"/>
                <w:bCs/>
                <w:sz w:val="20"/>
                <w:szCs w:val="20"/>
                <w:lang w:val="es-ES"/>
              </w:rPr>
            </w:pPr>
            <w:r w:rsidRPr="00E40792">
              <w:rPr>
                <w:rFonts w:asciiTheme="majorHAnsi" w:hAnsiTheme="majorHAnsi"/>
                <w:bCs/>
                <w:sz w:val="20"/>
                <w:szCs w:val="20"/>
                <w:lang w:val="es-ES"/>
              </w:rPr>
              <w:t xml:space="preserve">Sí, Convención Americana (depósito del instrumento realizado el </w:t>
            </w:r>
            <w:r w:rsidR="00D314F3">
              <w:rPr>
                <w:rFonts w:asciiTheme="majorHAnsi" w:hAnsiTheme="majorHAnsi"/>
                <w:bCs/>
                <w:sz w:val="20"/>
                <w:szCs w:val="20"/>
                <w:lang w:val="es-ES"/>
              </w:rPr>
              <w:t>5 de septiembre de 1984)</w:t>
            </w:r>
          </w:p>
        </w:tc>
      </w:tr>
    </w:tbl>
    <w:p w14:paraId="4E92C444" w14:textId="44A3FC3C" w:rsidR="003239B8" w:rsidRPr="00E40792" w:rsidRDefault="003239B8" w:rsidP="007C402A">
      <w:pPr>
        <w:spacing w:before="120" w:after="120"/>
        <w:ind w:firstLine="720"/>
        <w:jc w:val="both"/>
        <w:rPr>
          <w:rFonts w:asciiTheme="majorHAnsi" w:hAnsiTheme="majorHAnsi"/>
          <w:b/>
          <w:bCs/>
          <w:sz w:val="20"/>
          <w:szCs w:val="20"/>
          <w:lang w:val="es-ES"/>
        </w:rPr>
      </w:pPr>
      <w:r w:rsidRPr="00E40792">
        <w:rPr>
          <w:rFonts w:asciiTheme="majorHAnsi" w:hAnsiTheme="majorHAnsi"/>
          <w:b/>
          <w:bCs/>
          <w:sz w:val="20"/>
          <w:szCs w:val="20"/>
          <w:lang w:val="es-ES"/>
        </w:rPr>
        <w:t xml:space="preserve">IV. </w:t>
      </w:r>
      <w:r w:rsidRPr="00E40792">
        <w:rPr>
          <w:rFonts w:asciiTheme="majorHAnsi" w:hAnsiTheme="majorHAnsi"/>
          <w:b/>
          <w:bCs/>
          <w:sz w:val="20"/>
          <w:szCs w:val="20"/>
          <w:lang w:val="es-ES"/>
        </w:rPr>
        <w:tab/>
      </w:r>
      <w:r w:rsidR="00EE00E9" w:rsidRPr="00E40792">
        <w:rPr>
          <w:rFonts w:asciiTheme="majorHAnsi" w:hAnsiTheme="majorHAnsi"/>
          <w:b/>
          <w:bCs/>
          <w:sz w:val="20"/>
          <w:szCs w:val="20"/>
          <w:lang w:val="es-ES"/>
        </w:rPr>
        <w:t>DUPLICACIÓN</w:t>
      </w:r>
      <w:r w:rsidR="00EE00E9" w:rsidRPr="00E40792">
        <w:rPr>
          <w:rFonts w:asciiTheme="majorHAnsi" w:hAnsiTheme="majorHAnsi"/>
          <w:b/>
          <w:bCs/>
          <w:color w:val="FFFFFF" w:themeColor="background1"/>
          <w:sz w:val="20"/>
          <w:szCs w:val="20"/>
          <w:lang w:val="es-ES"/>
        </w:rPr>
        <w:t xml:space="preserve"> </w:t>
      </w:r>
      <w:r w:rsidR="00EE00E9" w:rsidRPr="00E40792">
        <w:rPr>
          <w:rFonts w:asciiTheme="majorHAnsi" w:hAnsiTheme="majorHAnsi"/>
          <w:b/>
          <w:bCs/>
          <w:sz w:val="20"/>
          <w:szCs w:val="20"/>
          <w:lang w:val="es-ES"/>
        </w:rPr>
        <w:t>DE PROCEDIMIENTOS Y COSA JUZGADA</w:t>
      </w:r>
      <w:r w:rsidR="00EE00E9" w:rsidRPr="00E40792">
        <w:rPr>
          <w:rFonts w:asciiTheme="majorHAnsi" w:hAnsiTheme="majorHAnsi"/>
          <w:b/>
          <w:bCs/>
          <w:i/>
          <w:sz w:val="20"/>
          <w:szCs w:val="20"/>
          <w:lang w:val="es-ES"/>
        </w:rPr>
        <w:t xml:space="preserve"> </w:t>
      </w:r>
      <w:r w:rsidR="00E40792" w:rsidRPr="00E40792">
        <w:rPr>
          <w:rFonts w:asciiTheme="majorHAnsi" w:hAnsiTheme="majorHAnsi"/>
          <w:b/>
          <w:bCs/>
          <w:sz w:val="20"/>
          <w:szCs w:val="20"/>
          <w:lang w:val="es-ES"/>
        </w:rPr>
        <w:t>INTERNACIONAL, CARACTERIZACIÓN</w:t>
      </w:r>
      <w:r w:rsidRPr="00E40792">
        <w:rPr>
          <w:rFonts w:asciiTheme="majorHAnsi" w:hAnsiTheme="majorHAnsi"/>
          <w:b/>
          <w:bCs/>
          <w:sz w:val="20"/>
          <w:szCs w:val="20"/>
          <w:lang w:val="es-ES"/>
        </w:rPr>
        <w:t xml:space="preserve">, </w:t>
      </w:r>
      <w:r w:rsidRPr="00E4079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87"/>
        <w:gridCol w:w="5755"/>
      </w:tblGrid>
      <w:tr w:rsidR="00EE00E9" w:rsidRPr="00E40792" w14:paraId="1231C988" w14:textId="77777777" w:rsidTr="00E40792">
        <w:trPr>
          <w:cantSplit/>
        </w:trPr>
        <w:tc>
          <w:tcPr>
            <w:tcW w:w="3487" w:type="dxa"/>
            <w:tcBorders>
              <w:top w:val="single" w:sz="4" w:space="0" w:color="auto"/>
              <w:bottom w:val="single" w:sz="6" w:space="0" w:color="auto"/>
            </w:tcBorders>
            <w:shd w:val="clear" w:color="auto" w:fill="386294"/>
            <w:vAlign w:val="center"/>
          </w:tcPr>
          <w:p w14:paraId="6F8031F4" w14:textId="03D8D2D1" w:rsidR="00EE00E9" w:rsidRPr="00E40792" w:rsidRDefault="00EE00E9" w:rsidP="00954B82">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 xml:space="preserve">Duplicación </w:t>
            </w:r>
            <w:r w:rsidR="00D77503" w:rsidRPr="00E40792">
              <w:rPr>
                <w:rFonts w:asciiTheme="majorHAnsi" w:hAnsiTheme="majorHAnsi"/>
                <w:b/>
                <w:color w:val="FFFFFF" w:themeColor="background1"/>
                <w:sz w:val="20"/>
                <w:szCs w:val="20"/>
                <w:lang w:val="es-ES"/>
              </w:rPr>
              <w:t>y cosa juzgada internacional</w:t>
            </w:r>
          </w:p>
        </w:tc>
        <w:tc>
          <w:tcPr>
            <w:tcW w:w="5755" w:type="dxa"/>
            <w:vAlign w:val="center"/>
          </w:tcPr>
          <w:p w14:paraId="240941E6" w14:textId="6C8799BB" w:rsidR="00EE00E9" w:rsidRPr="00E40792" w:rsidRDefault="00B84C70" w:rsidP="008D2290">
            <w:pPr>
              <w:jc w:val="both"/>
              <w:rPr>
                <w:rFonts w:asciiTheme="majorHAnsi" w:hAnsiTheme="majorHAnsi"/>
                <w:bCs/>
                <w:sz w:val="20"/>
                <w:szCs w:val="20"/>
                <w:lang w:val="es-ES"/>
              </w:rPr>
            </w:pPr>
            <w:r w:rsidRPr="00E40792">
              <w:rPr>
                <w:rFonts w:asciiTheme="majorHAnsi" w:hAnsiTheme="majorHAnsi"/>
                <w:bCs/>
                <w:sz w:val="20"/>
                <w:szCs w:val="20"/>
                <w:lang w:val="es-ES"/>
              </w:rPr>
              <w:t>No</w:t>
            </w:r>
          </w:p>
        </w:tc>
      </w:tr>
      <w:tr w:rsidR="003239B8" w:rsidRPr="001570EA" w14:paraId="15FAA7D1" w14:textId="77777777" w:rsidTr="00E40792">
        <w:trPr>
          <w:cantSplit/>
        </w:trPr>
        <w:tc>
          <w:tcPr>
            <w:tcW w:w="3487" w:type="dxa"/>
            <w:tcBorders>
              <w:top w:val="single" w:sz="4" w:space="0" w:color="auto"/>
              <w:bottom w:val="single" w:sz="6" w:space="0" w:color="auto"/>
            </w:tcBorders>
            <w:shd w:val="clear" w:color="auto" w:fill="386294"/>
            <w:vAlign w:val="center"/>
          </w:tcPr>
          <w:p w14:paraId="1B0D29FF" w14:textId="4FE01870" w:rsidR="003239B8" w:rsidRPr="00E40792" w:rsidRDefault="003239B8" w:rsidP="00954B82">
            <w:pPr>
              <w:jc w:val="center"/>
              <w:rPr>
                <w:rFonts w:asciiTheme="majorHAnsi" w:hAnsiTheme="majorHAnsi"/>
                <w:b/>
                <w:i/>
                <w:color w:val="FFFFFF" w:themeColor="background1"/>
                <w:sz w:val="20"/>
                <w:szCs w:val="20"/>
                <w:lang w:val="es-ES"/>
              </w:rPr>
            </w:pPr>
            <w:r w:rsidRPr="00E40792">
              <w:rPr>
                <w:rFonts w:asciiTheme="majorHAnsi" w:hAnsiTheme="majorHAnsi"/>
                <w:b/>
                <w:color w:val="FFFFFF" w:themeColor="background1"/>
                <w:sz w:val="20"/>
                <w:szCs w:val="20"/>
                <w:lang w:val="es-ES"/>
              </w:rPr>
              <w:t>Derechos admi</w:t>
            </w:r>
            <w:r w:rsidR="00954B82" w:rsidRPr="00E40792">
              <w:rPr>
                <w:rFonts w:asciiTheme="majorHAnsi" w:hAnsiTheme="majorHAnsi"/>
                <w:b/>
                <w:color w:val="FFFFFF" w:themeColor="background1"/>
                <w:sz w:val="20"/>
                <w:szCs w:val="20"/>
                <w:lang w:val="es-ES"/>
              </w:rPr>
              <w:t>tidos</w:t>
            </w:r>
          </w:p>
        </w:tc>
        <w:tc>
          <w:tcPr>
            <w:tcW w:w="5755" w:type="dxa"/>
            <w:vAlign w:val="center"/>
          </w:tcPr>
          <w:p w14:paraId="6310C8F7" w14:textId="6D8D18F9" w:rsidR="003239B8" w:rsidRPr="00E40792" w:rsidRDefault="00EA0727" w:rsidP="001479C0">
            <w:pPr>
              <w:jc w:val="both"/>
              <w:rPr>
                <w:rFonts w:asciiTheme="majorHAnsi" w:hAnsiTheme="majorHAnsi"/>
                <w:bCs/>
                <w:sz w:val="20"/>
                <w:szCs w:val="20"/>
                <w:lang w:val="es-ES"/>
              </w:rPr>
            </w:pPr>
            <w:r>
              <w:rPr>
                <w:rFonts w:asciiTheme="majorHAnsi" w:hAnsiTheme="majorHAnsi"/>
                <w:bCs/>
                <w:sz w:val="20"/>
                <w:szCs w:val="20"/>
                <w:lang w:val="es-ES"/>
              </w:rPr>
              <w:t>Ninguno</w:t>
            </w:r>
          </w:p>
        </w:tc>
      </w:tr>
      <w:tr w:rsidR="003239B8" w:rsidRPr="00C04235" w14:paraId="4EFD141E" w14:textId="77777777" w:rsidTr="00E40792">
        <w:trPr>
          <w:cantSplit/>
        </w:trPr>
        <w:tc>
          <w:tcPr>
            <w:tcW w:w="3487" w:type="dxa"/>
            <w:tcBorders>
              <w:top w:val="single" w:sz="6" w:space="0" w:color="auto"/>
              <w:bottom w:val="single" w:sz="6" w:space="0" w:color="auto"/>
            </w:tcBorders>
            <w:shd w:val="clear" w:color="auto" w:fill="386294"/>
            <w:vAlign w:val="center"/>
          </w:tcPr>
          <w:p w14:paraId="4C04A89C" w14:textId="058482B9" w:rsidR="003239B8" w:rsidRPr="00E40792" w:rsidRDefault="003239B8" w:rsidP="006775AB">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Agotamiento de</w:t>
            </w:r>
            <w:r w:rsidR="0069402E" w:rsidRPr="00E40792">
              <w:rPr>
                <w:rFonts w:asciiTheme="majorHAnsi" w:hAnsiTheme="majorHAnsi"/>
                <w:b/>
                <w:color w:val="FFFFFF" w:themeColor="background1"/>
                <w:sz w:val="20"/>
                <w:szCs w:val="20"/>
                <w:lang w:val="es-ES"/>
              </w:rPr>
              <w:t xml:space="preserve"> </w:t>
            </w:r>
            <w:r w:rsidRPr="00E40792">
              <w:rPr>
                <w:rFonts w:asciiTheme="majorHAnsi" w:hAnsiTheme="majorHAnsi"/>
                <w:b/>
                <w:color w:val="FFFFFF" w:themeColor="background1"/>
                <w:sz w:val="20"/>
                <w:szCs w:val="20"/>
                <w:lang w:val="es-ES"/>
              </w:rPr>
              <w:t xml:space="preserve">recursos </w:t>
            </w:r>
            <w:r w:rsidR="00D77503" w:rsidRPr="00E40792">
              <w:rPr>
                <w:rFonts w:asciiTheme="majorHAnsi" w:hAnsiTheme="majorHAnsi"/>
                <w:b/>
                <w:color w:val="FFFFFF" w:themeColor="background1"/>
                <w:sz w:val="20"/>
                <w:szCs w:val="20"/>
                <w:lang w:val="es-ES"/>
              </w:rPr>
              <w:t>o procedencia de una excepción</w:t>
            </w:r>
          </w:p>
        </w:tc>
        <w:tc>
          <w:tcPr>
            <w:tcW w:w="5755" w:type="dxa"/>
            <w:vAlign w:val="center"/>
          </w:tcPr>
          <w:p w14:paraId="69C53E8A" w14:textId="7D940015" w:rsidR="003239B8" w:rsidRPr="00E40792" w:rsidRDefault="00E37026" w:rsidP="00BB3FBD">
            <w:pPr>
              <w:rPr>
                <w:rFonts w:asciiTheme="majorHAnsi" w:hAnsiTheme="majorHAnsi"/>
                <w:bCs/>
                <w:sz w:val="20"/>
                <w:szCs w:val="20"/>
                <w:lang w:val="es-ES"/>
              </w:rPr>
            </w:pPr>
            <w:r w:rsidRPr="00E40792">
              <w:rPr>
                <w:rFonts w:asciiTheme="majorHAnsi" w:hAnsiTheme="majorHAnsi"/>
                <w:bCs/>
                <w:sz w:val="20"/>
                <w:szCs w:val="20"/>
                <w:lang w:val="es-ES"/>
              </w:rPr>
              <w:t>Sí,</w:t>
            </w:r>
            <w:r w:rsidR="007034AD">
              <w:rPr>
                <w:rFonts w:asciiTheme="majorHAnsi" w:hAnsiTheme="majorHAnsi"/>
                <w:bCs/>
                <w:sz w:val="20"/>
                <w:szCs w:val="20"/>
                <w:lang w:val="es-ES"/>
              </w:rPr>
              <w:t xml:space="preserve"> </w:t>
            </w:r>
            <w:r w:rsidR="001570EA">
              <w:rPr>
                <w:rFonts w:asciiTheme="majorHAnsi" w:hAnsiTheme="majorHAnsi"/>
                <w:bCs/>
                <w:sz w:val="20"/>
                <w:szCs w:val="20"/>
                <w:lang w:val="es-ES"/>
              </w:rPr>
              <w:t xml:space="preserve">el </w:t>
            </w:r>
            <w:r w:rsidR="0034788B">
              <w:rPr>
                <w:rFonts w:asciiTheme="majorHAnsi" w:hAnsiTheme="majorHAnsi"/>
                <w:bCs/>
                <w:sz w:val="20"/>
                <w:szCs w:val="20"/>
                <w:lang w:val="es-ES"/>
              </w:rPr>
              <w:t>30 de septiembre de 2014</w:t>
            </w:r>
            <w:r w:rsidR="007034AD">
              <w:rPr>
                <w:rFonts w:asciiTheme="majorHAnsi" w:hAnsiTheme="majorHAnsi"/>
                <w:bCs/>
                <w:sz w:val="20"/>
                <w:szCs w:val="20"/>
                <w:lang w:val="es-ES"/>
              </w:rPr>
              <w:t xml:space="preserve"> </w:t>
            </w:r>
          </w:p>
        </w:tc>
      </w:tr>
      <w:tr w:rsidR="003239B8" w:rsidRPr="00CD232B" w14:paraId="52B5BA17" w14:textId="77777777" w:rsidTr="00E40792">
        <w:trPr>
          <w:cantSplit/>
        </w:trPr>
        <w:tc>
          <w:tcPr>
            <w:tcW w:w="3487" w:type="dxa"/>
            <w:tcBorders>
              <w:top w:val="single" w:sz="6" w:space="0" w:color="auto"/>
              <w:bottom w:val="single" w:sz="6" w:space="0" w:color="auto"/>
            </w:tcBorders>
            <w:shd w:val="clear" w:color="auto" w:fill="386294"/>
            <w:vAlign w:val="center"/>
          </w:tcPr>
          <w:p w14:paraId="5DF99086" w14:textId="392A0ECF" w:rsidR="003239B8" w:rsidRPr="00E40792" w:rsidRDefault="00D77503" w:rsidP="008D2290">
            <w:pPr>
              <w:jc w:val="center"/>
              <w:rPr>
                <w:rFonts w:asciiTheme="majorHAnsi" w:hAnsiTheme="majorHAnsi"/>
                <w:b/>
                <w:color w:val="FFFFFF" w:themeColor="background1"/>
                <w:sz w:val="20"/>
                <w:szCs w:val="20"/>
                <w:lang w:val="es-ES"/>
              </w:rPr>
            </w:pPr>
            <w:r w:rsidRPr="00E40792">
              <w:rPr>
                <w:rFonts w:asciiTheme="majorHAnsi" w:hAnsiTheme="majorHAnsi"/>
                <w:b/>
                <w:color w:val="FFFFFF" w:themeColor="background1"/>
                <w:sz w:val="20"/>
                <w:szCs w:val="20"/>
                <w:lang w:val="es-ES"/>
              </w:rPr>
              <w:t>Presentación dentro de plazo</w:t>
            </w:r>
          </w:p>
        </w:tc>
        <w:tc>
          <w:tcPr>
            <w:tcW w:w="5755" w:type="dxa"/>
            <w:vAlign w:val="center"/>
          </w:tcPr>
          <w:p w14:paraId="4A2A4569" w14:textId="5D812E47" w:rsidR="003239B8" w:rsidRPr="00E40792" w:rsidRDefault="00E37026" w:rsidP="008D2290">
            <w:pPr>
              <w:rPr>
                <w:rFonts w:asciiTheme="majorHAnsi" w:hAnsiTheme="majorHAnsi"/>
                <w:bCs/>
                <w:sz w:val="20"/>
                <w:szCs w:val="20"/>
                <w:lang w:val="es-US"/>
              </w:rPr>
            </w:pPr>
            <w:r w:rsidRPr="00E40792">
              <w:rPr>
                <w:rFonts w:asciiTheme="majorHAnsi" w:hAnsiTheme="majorHAnsi"/>
                <w:bCs/>
                <w:sz w:val="20"/>
                <w:szCs w:val="20"/>
                <w:lang w:val="es-ES"/>
              </w:rPr>
              <w:t>Sí</w:t>
            </w:r>
          </w:p>
        </w:tc>
      </w:tr>
    </w:tbl>
    <w:p w14:paraId="1786C34C" w14:textId="77777777" w:rsidR="00150195" w:rsidRDefault="00150195" w:rsidP="00AB3E36">
      <w:pPr>
        <w:spacing w:after="120"/>
        <w:jc w:val="both"/>
        <w:rPr>
          <w:rFonts w:asciiTheme="majorHAnsi" w:hAnsiTheme="majorHAnsi"/>
          <w:b/>
          <w:sz w:val="20"/>
          <w:szCs w:val="20"/>
          <w:lang w:val="es-ES"/>
        </w:rPr>
      </w:pPr>
    </w:p>
    <w:p w14:paraId="18E6423B" w14:textId="2A1234F7" w:rsidR="003239B8" w:rsidRPr="00466820" w:rsidRDefault="00223A29" w:rsidP="00F628F6">
      <w:pPr>
        <w:spacing w:after="120"/>
        <w:ind w:firstLine="720"/>
        <w:jc w:val="both"/>
        <w:rPr>
          <w:rFonts w:asciiTheme="majorHAnsi" w:hAnsiTheme="majorHAnsi"/>
          <w:b/>
          <w:sz w:val="20"/>
          <w:szCs w:val="20"/>
          <w:lang w:val="es-ES_tradnl"/>
        </w:rPr>
      </w:pPr>
      <w:r w:rsidRPr="00466820">
        <w:rPr>
          <w:rFonts w:asciiTheme="majorHAnsi" w:hAnsiTheme="majorHAnsi"/>
          <w:b/>
          <w:sz w:val="20"/>
          <w:szCs w:val="20"/>
          <w:lang w:val="es-ES_tradnl"/>
        </w:rPr>
        <w:t xml:space="preserve">V. </w:t>
      </w:r>
      <w:r w:rsidRPr="00466820">
        <w:rPr>
          <w:rFonts w:asciiTheme="majorHAnsi" w:hAnsiTheme="majorHAnsi"/>
          <w:b/>
          <w:sz w:val="20"/>
          <w:szCs w:val="20"/>
          <w:lang w:val="es-ES_tradnl"/>
        </w:rPr>
        <w:tab/>
      </w:r>
      <w:r w:rsidR="004D7C0D" w:rsidRPr="00466820">
        <w:rPr>
          <w:rFonts w:asciiTheme="majorHAnsi" w:hAnsiTheme="majorHAnsi"/>
          <w:b/>
          <w:sz w:val="20"/>
          <w:szCs w:val="20"/>
          <w:lang w:val="es-ES_tradnl"/>
        </w:rPr>
        <w:t>POSICIÓN DE LAS PARTES</w:t>
      </w:r>
    </w:p>
    <w:p w14:paraId="7C664263" w14:textId="17475653" w:rsidR="00F30AE2" w:rsidRPr="00466820" w:rsidRDefault="003D54C4"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Se</w:t>
      </w:r>
      <w:r w:rsidR="0098113F" w:rsidRPr="00466820">
        <w:rPr>
          <w:rFonts w:asciiTheme="majorHAnsi" w:hAnsiTheme="majorHAnsi"/>
          <w:sz w:val="20"/>
          <w:szCs w:val="20"/>
          <w:lang w:val="es-ES_tradnl"/>
        </w:rPr>
        <w:t xml:space="preserve"> denuncia que la presunta víctima era un perito médico legal que se rehusó </w:t>
      </w:r>
      <w:r w:rsidR="00BE7155" w:rsidRPr="00466820">
        <w:rPr>
          <w:rFonts w:asciiTheme="majorHAnsi" w:hAnsiTheme="majorHAnsi"/>
          <w:sz w:val="20"/>
          <w:szCs w:val="20"/>
          <w:lang w:val="es-ES_tradnl"/>
        </w:rPr>
        <w:t>a colaborar con la policía en la fabricación de procesos contra personas inocentes</w:t>
      </w:r>
      <w:r w:rsidRPr="00466820">
        <w:rPr>
          <w:rFonts w:asciiTheme="majorHAnsi" w:hAnsiTheme="majorHAnsi"/>
          <w:sz w:val="20"/>
          <w:szCs w:val="20"/>
          <w:lang w:val="es-ES_tradnl"/>
        </w:rPr>
        <w:t>,</w:t>
      </w:r>
      <w:r w:rsidR="00BE7155" w:rsidRPr="00466820">
        <w:rPr>
          <w:rFonts w:asciiTheme="majorHAnsi" w:hAnsiTheme="majorHAnsi"/>
          <w:sz w:val="20"/>
          <w:szCs w:val="20"/>
          <w:lang w:val="es-ES_tradnl"/>
        </w:rPr>
        <w:t xml:space="preserve"> y que en represalia lo sometieron a un proceso penal “armado” en el que resultó </w:t>
      </w:r>
      <w:r w:rsidR="0098113F" w:rsidRPr="00466820">
        <w:rPr>
          <w:rFonts w:asciiTheme="majorHAnsi" w:hAnsiTheme="majorHAnsi"/>
          <w:sz w:val="20"/>
          <w:szCs w:val="20"/>
          <w:lang w:val="es-ES_tradnl"/>
        </w:rPr>
        <w:t xml:space="preserve">condenado </w:t>
      </w:r>
      <w:r w:rsidR="00BE7155" w:rsidRPr="00466820">
        <w:rPr>
          <w:rFonts w:asciiTheme="majorHAnsi" w:hAnsiTheme="majorHAnsi"/>
          <w:sz w:val="20"/>
          <w:szCs w:val="20"/>
          <w:lang w:val="es-ES_tradnl"/>
        </w:rPr>
        <w:t>bajo una tesis de responsabilidad ilógica</w:t>
      </w:r>
      <w:r w:rsidRPr="00466820">
        <w:rPr>
          <w:rFonts w:asciiTheme="majorHAnsi" w:hAnsiTheme="majorHAnsi"/>
          <w:sz w:val="20"/>
          <w:szCs w:val="20"/>
          <w:lang w:val="es-ES_tradnl"/>
        </w:rPr>
        <w:t>,</w:t>
      </w:r>
      <w:r w:rsidR="00BE7155" w:rsidRPr="00466820">
        <w:rPr>
          <w:rFonts w:asciiTheme="majorHAnsi" w:hAnsiTheme="majorHAnsi"/>
          <w:sz w:val="20"/>
          <w:szCs w:val="20"/>
          <w:lang w:val="es-ES_tradnl"/>
        </w:rPr>
        <w:t xml:space="preserve"> y</w:t>
      </w:r>
      <w:r w:rsidR="0098113F" w:rsidRPr="00466820">
        <w:rPr>
          <w:rFonts w:asciiTheme="majorHAnsi" w:hAnsiTheme="majorHAnsi"/>
          <w:sz w:val="20"/>
          <w:szCs w:val="20"/>
          <w:lang w:val="es-ES_tradnl"/>
        </w:rPr>
        <w:t xml:space="preserve"> con fundamento exclusivamente en declaraciones de un coimputado que fueron extraídas mediante tortura</w:t>
      </w:r>
      <w:r w:rsidR="00BE7155" w:rsidRPr="00466820">
        <w:rPr>
          <w:rFonts w:asciiTheme="majorHAnsi" w:hAnsiTheme="majorHAnsi"/>
          <w:sz w:val="20"/>
          <w:szCs w:val="20"/>
          <w:lang w:val="es-ES_tradnl"/>
        </w:rPr>
        <w:t xml:space="preserve">. </w:t>
      </w:r>
    </w:p>
    <w:p w14:paraId="6DBEC8D0" w14:textId="0ED8D39B" w:rsidR="00BE7155" w:rsidRPr="00466820" w:rsidRDefault="003D54C4"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La parte peticionaria narra que</w:t>
      </w:r>
      <w:r w:rsidR="009026D0" w:rsidRPr="00466820">
        <w:rPr>
          <w:rFonts w:asciiTheme="majorHAnsi" w:hAnsiTheme="majorHAnsi"/>
          <w:sz w:val="20"/>
          <w:szCs w:val="20"/>
          <w:lang w:val="es-ES_tradnl"/>
        </w:rPr>
        <w:t xml:space="preserve"> la presunta víctima se desempeñaba como médico y perito policial en la Policía de la Provincia de Buenos Aires donde se rehusó reiteradamente a convalidar irregularidades periciales, efectuar dictámenes falsos y a colaborar en el “armado” de procesos fraudulentos contra personas inocentes. A consecuencia de esto, el Departamento Judicial de Mercedes desarrolló animosidad contra la presunta víctima quien comenzó a ser objeto de intimidación </w:t>
      </w:r>
      <w:r w:rsidR="005D53B3" w:rsidRPr="00466820">
        <w:rPr>
          <w:rFonts w:asciiTheme="majorHAnsi" w:hAnsiTheme="majorHAnsi"/>
          <w:sz w:val="20"/>
          <w:szCs w:val="20"/>
          <w:lang w:val="es-ES_tradnl"/>
        </w:rPr>
        <w:t xml:space="preserve">y persecución por parte agentes policiales y judiciales. El peticionario habría denunciado esta situación en un expediente contencioso administrativo que fue tramitado ante la Secretaría de Demandas Originarias de la Suprema Corte de Justicia de Buenos Aires. </w:t>
      </w:r>
    </w:p>
    <w:p w14:paraId="46F7D576" w14:textId="51D11079" w:rsidR="00B23907" w:rsidRPr="00466820" w:rsidRDefault="005D53B3"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Conforme continúa el relato, </w:t>
      </w:r>
      <w:r w:rsidR="001B490A" w:rsidRPr="00466820">
        <w:rPr>
          <w:rFonts w:asciiTheme="majorHAnsi" w:hAnsiTheme="majorHAnsi"/>
          <w:sz w:val="20"/>
          <w:szCs w:val="20"/>
          <w:lang w:val="es-ES_tradnl"/>
        </w:rPr>
        <w:t xml:space="preserve">una mujer </w:t>
      </w:r>
      <w:r w:rsidR="00CE78B8" w:rsidRPr="00466820">
        <w:rPr>
          <w:rFonts w:asciiTheme="majorHAnsi" w:hAnsiTheme="majorHAnsi"/>
          <w:sz w:val="20"/>
          <w:szCs w:val="20"/>
          <w:lang w:val="es-ES_tradnl"/>
        </w:rPr>
        <w:t>que</w:t>
      </w:r>
      <w:r w:rsidR="001B490A" w:rsidRPr="00466820">
        <w:rPr>
          <w:rFonts w:asciiTheme="majorHAnsi" w:hAnsiTheme="majorHAnsi"/>
          <w:sz w:val="20"/>
          <w:szCs w:val="20"/>
          <w:lang w:val="es-ES_tradnl"/>
        </w:rPr>
        <w:t xml:space="preserve"> había sido pareja</w:t>
      </w:r>
      <w:r w:rsidRPr="00466820">
        <w:rPr>
          <w:rFonts w:asciiTheme="majorHAnsi" w:hAnsiTheme="majorHAnsi"/>
          <w:sz w:val="20"/>
          <w:szCs w:val="20"/>
          <w:lang w:val="es-ES_tradnl"/>
        </w:rPr>
        <w:t xml:space="preserve"> de la presunta víctima</w:t>
      </w:r>
      <w:r w:rsidR="00CE78B8" w:rsidRPr="00466820">
        <w:rPr>
          <w:rFonts w:asciiTheme="majorHAnsi" w:hAnsiTheme="majorHAnsi"/>
          <w:sz w:val="20"/>
          <w:szCs w:val="20"/>
          <w:lang w:val="es-ES_tradnl"/>
        </w:rPr>
        <w:t>,</w:t>
      </w:r>
      <w:r w:rsidR="001B490A" w:rsidRPr="00466820">
        <w:rPr>
          <w:rFonts w:asciiTheme="majorHAnsi" w:hAnsiTheme="majorHAnsi"/>
          <w:sz w:val="20"/>
          <w:szCs w:val="20"/>
          <w:lang w:val="es-ES_tradnl"/>
        </w:rPr>
        <w:t xml:space="preserve"> y que era la madre su hija</w:t>
      </w:r>
      <w:r w:rsidR="00CE78B8" w:rsidRPr="00466820">
        <w:rPr>
          <w:rFonts w:asciiTheme="majorHAnsi" w:hAnsiTheme="majorHAnsi"/>
          <w:sz w:val="20"/>
          <w:szCs w:val="20"/>
          <w:lang w:val="es-ES_tradnl"/>
        </w:rPr>
        <w:t>,</w:t>
      </w:r>
      <w:r w:rsidRPr="00466820">
        <w:rPr>
          <w:rFonts w:asciiTheme="majorHAnsi" w:hAnsiTheme="majorHAnsi"/>
          <w:sz w:val="20"/>
          <w:szCs w:val="20"/>
          <w:lang w:val="es-ES_tradnl"/>
        </w:rPr>
        <w:t xml:space="preserve"> fue encontrada muerta el 10 de abril de 2000</w:t>
      </w:r>
      <w:r w:rsidR="00B23907" w:rsidRPr="00466820">
        <w:rPr>
          <w:rFonts w:asciiTheme="majorHAnsi" w:hAnsiTheme="majorHAnsi"/>
          <w:sz w:val="20"/>
          <w:szCs w:val="20"/>
          <w:lang w:val="es-ES_tradnl"/>
        </w:rPr>
        <w:t xml:space="preserve"> (</w:t>
      </w:r>
      <w:r w:rsidRPr="00466820">
        <w:rPr>
          <w:rFonts w:asciiTheme="majorHAnsi" w:hAnsiTheme="majorHAnsi"/>
          <w:sz w:val="20"/>
          <w:szCs w:val="20"/>
          <w:lang w:val="es-ES_tradnl"/>
        </w:rPr>
        <w:t xml:space="preserve">alrededor de </w:t>
      </w:r>
      <w:r w:rsidR="00C74179" w:rsidRPr="00466820">
        <w:rPr>
          <w:rFonts w:asciiTheme="majorHAnsi" w:hAnsiTheme="majorHAnsi"/>
          <w:sz w:val="20"/>
          <w:szCs w:val="20"/>
          <w:lang w:val="es-ES_tradnl"/>
        </w:rPr>
        <w:t>tres</w:t>
      </w:r>
      <w:r w:rsidRPr="00466820">
        <w:rPr>
          <w:rFonts w:asciiTheme="majorHAnsi" w:hAnsiTheme="majorHAnsi"/>
          <w:sz w:val="20"/>
          <w:szCs w:val="20"/>
          <w:lang w:val="es-ES_tradnl"/>
        </w:rPr>
        <w:t xml:space="preserve"> años </w:t>
      </w:r>
      <w:r w:rsidR="00ED0084" w:rsidRPr="00466820">
        <w:rPr>
          <w:rFonts w:asciiTheme="majorHAnsi" w:hAnsiTheme="majorHAnsi"/>
          <w:sz w:val="20"/>
          <w:szCs w:val="20"/>
          <w:lang w:val="es-ES_tradnl"/>
        </w:rPr>
        <w:t xml:space="preserve">luego </w:t>
      </w:r>
      <w:r w:rsidRPr="00466820">
        <w:rPr>
          <w:rFonts w:asciiTheme="majorHAnsi" w:hAnsiTheme="majorHAnsi"/>
          <w:sz w:val="20"/>
          <w:szCs w:val="20"/>
          <w:lang w:val="es-ES_tradnl"/>
        </w:rPr>
        <w:t xml:space="preserve">de que hubiesen </w:t>
      </w:r>
      <w:r w:rsidRPr="00466820">
        <w:rPr>
          <w:rFonts w:asciiTheme="majorHAnsi" w:hAnsiTheme="majorHAnsi"/>
          <w:sz w:val="20"/>
          <w:szCs w:val="20"/>
          <w:lang w:val="es-ES_tradnl"/>
        </w:rPr>
        <w:lastRenderedPageBreak/>
        <w:t>iniciados los conflictos entre la presunta víctima y las autoridades policiales y judiciales</w:t>
      </w:r>
      <w:r w:rsidR="00B23907" w:rsidRPr="00466820">
        <w:rPr>
          <w:rFonts w:asciiTheme="majorHAnsi" w:hAnsiTheme="majorHAnsi"/>
          <w:sz w:val="20"/>
          <w:szCs w:val="20"/>
          <w:lang w:val="es-ES_tradnl"/>
        </w:rPr>
        <w:t>)</w:t>
      </w:r>
      <w:r w:rsidRPr="00466820">
        <w:rPr>
          <w:rFonts w:asciiTheme="majorHAnsi" w:hAnsiTheme="majorHAnsi"/>
          <w:sz w:val="20"/>
          <w:szCs w:val="20"/>
          <w:lang w:val="es-ES_tradnl"/>
        </w:rPr>
        <w:t xml:space="preserve">. La petición alega que </w:t>
      </w:r>
      <w:r w:rsidR="00E902E1" w:rsidRPr="00466820">
        <w:rPr>
          <w:rFonts w:asciiTheme="majorHAnsi" w:hAnsiTheme="majorHAnsi"/>
          <w:sz w:val="20"/>
          <w:szCs w:val="20"/>
          <w:lang w:val="es-ES_tradnl"/>
        </w:rPr>
        <w:t>este suceso fue utilizado por agentes policiales y judiciales para el “armado</w:t>
      </w:r>
      <w:r w:rsidR="001B490A" w:rsidRPr="00466820">
        <w:rPr>
          <w:rFonts w:asciiTheme="majorHAnsi" w:hAnsiTheme="majorHAnsi"/>
          <w:sz w:val="20"/>
          <w:szCs w:val="20"/>
          <w:lang w:val="es-ES_tradnl"/>
        </w:rPr>
        <w:t>”</w:t>
      </w:r>
      <w:r w:rsidR="00E902E1" w:rsidRPr="00466820">
        <w:rPr>
          <w:rFonts w:asciiTheme="majorHAnsi" w:hAnsiTheme="majorHAnsi"/>
          <w:sz w:val="20"/>
          <w:szCs w:val="20"/>
          <w:lang w:val="es-ES_tradnl"/>
        </w:rPr>
        <w:t xml:space="preserve"> de un proceso penal contra la presunta víctima. La parte peticionaria resalta que </w:t>
      </w:r>
      <w:r w:rsidR="001B490A" w:rsidRPr="00466820">
        <w:rPr>
          <w:rFonts w:asciiTheme="majorHAnsi" w:hAnsiTheme="majorHAnsi"/>
          <w:sz w:val="20"/>
          <w:szCs w:val="20"/>
          <w:lang w:val="es-ES_tradnl"/>
        </w:rPr>
        <w:t>la presunta víctima se había separado de la mujer en cuestión muchos años antes de la muerte de esta</w:t>
      </w:r>
      <w:r w:rsidR="00C74179" w:rsidRPr="00466820">
        <w:rPr>
          <w:rFonts w:asciiTheme="majorHAnsi" w:hAnsiTheme="majorHAnsi"/>
          <w:sz w:val="20"/>
          <w:szCs w:val="20"/>
          <w:lang w:val="es-ES_tradnl"/>
        </w:rPr>
        <w:t>;</w:t>
      </w:r>
      <w:r w:rsidR="001B490A" w:rsidRPr="00466820">
        <w:rPr>
          <w:rFonts w:asciiTheme="majorHAnsi" w:hAnsiTheme="majorHAnsi"/>
          <w:sz w:val="20"/>
          <w:szCs w:val="20"/>
          <w:lang w:val="es-ES_tradnl"/>
        </w:rPr>
        <w:t xml:space="preserve"> y que tanto él como ella habían reconstituido sus vidas formando nuevas relaciones con otras parejas. La petición</w:t>
      </w:r>
      <w:r w:rsidR="00B23907" w:rsidRPr="00466820">
        <w:rPr>
          <w:rFonts w:asciiTheme="majorHAnsi" w:hAnsiTheme="majorHAnsi"/>
          <w:sz w:val="20"/>
          <w:szCs w:val="20"/>
          <w:lang w:val="es-ES_tradnl"/>
        </w:rPr>
        <w:t xml:space="preserve"> también explica que al momento de muerte la mujer mantenía un reclamo judicial contra la presunta víctima para solicitarle un aumento de la pensión alimentaria que est</w:t>
      </w:r>
      <w:r w:rsidR="00653C7C" w:rsidRPr="00466820">
        <w:rPr>
          <w:rFonts w:asciiTheme="majorHAnsi" w:hAnsiTheme="majorHAnsi"/>
          <w:sz w:val="20"/>
          <w:szCs w:val="20"/>
          <w:lang w:val="es-ES_tradnl"/>
        </w:rPr>
        <w:t>e</w:t>
      </w:r>
      <w:r w:rsidR="00B23907" w:rsidRPr="00466820">
        <w:rPr>
          <w:rFonts w:asciiTheme="majorHAnsi" w:hAnsiTheme="majorHAnsi"/>
          <w:sz w:val="20"/>
          <w:szCs w:val="20"/>
          <w:lang w:val="es-ES_tradnl"/>
        </w:rPr>
        <w:t xml:space="preserve"> pagaba a favor de su hija en común; pero argumenta que esta es una circunstancia normal </w:t>
      </w:r>
      <w:r w:rsidR="00C74179" w:rsidRPr="00466820">
        <w:rPr>
          <w:rFonts w:asciiTheme="majorHAnsi" w:hAnsiTheme="majorHAnsi"/>
          <w:sz w:val="20"/>
          <w:szCs w:val="20"/>
          <w:lang w:val="es-ES_tradnl"/>
        </w:rPr>
        <w:t>en</w:t>
      </w:r>
      <w:r w:rsidR="00B23907" w:rsidRPr="00466820">
        <w:rPr>
          <w:rFonts w:asciiTheme="majorHAnsi" w:hAnsiTheme="majorHAnsi"/>
          <w:sz w:val="20"/>
          <w:szCs w:val="20"/>
          <w:lang w:val="es-ES_tradnl"/>
        </w:rPr>
        <w:t xml:space="preserve"> la vida de las parejas separadas que mantienen hijos en común. Por estas razones, argumenta que la presunta víctima no tenía motivo alguno para desear la muerte de la mujer.</w:t>
      </w:r>
    </w:p>
    <w:p w14:paraId="23C90239" w14:textId="70CFB305" w:rsidR="00ED0084" w:rsidRPr="00466820" w:rsidRDefault="00642664"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Así, la petición señala que el proceso contra </w:t>
      </w:r>
      <w:r w:rsidR="00C74179" w:rsidRPr="00466820">
        <w:rPr>
          <w:rFonts w:asciiTheme="majorHAnsi" w:hAnsiTheme="majorHAnsi"/>
          <w:sz w:val="20"/>
          <w:szCs w:val="20"/>
          <w:lang w:val="es-ES_tradnl"/>
        </w:rPr>
        <w:t>Sr. José Chain</w:t>
      </w:r>
      <w:r w:rsidRPr="00466820">
        <w:rPr>
          <w:rFonts w:asciiTheme="majorHAnsi" w:hAnsiTheme="majorHAnsi"/>
          <w:sz w:val="20"/>
          <w:szCs w:val="20"/>
          <w:lang w:val="es-ES_tradnl"/>
        </w:rPr>
        <w:t xml:space="preserve"> inició en la Comisaría 1</w:t>
      </w:r>
      <w:r w:rsidR="00C74179" w:rsidRPr="00466820">
        <w:rPr>
          <w:rFonts w:asciiTheme="majorHAnsi" w:hAnsiTheme="majorHAnsi"/>
          <w:sz w:val="20"/>
          <w:szCs w:val="20"/>
          <w:lang w:val="es-ES_tradnl"/>
        </w:rPr>
        <w:t>º</w:t>
      </w:r>
      <w:r w:rsidRPr="00466820">
        <w:rPr>
          <w:rFonts w:asciiTheme="majorHAnsi" w:hAnsiTheme="majorHAnsi"/>
          <w:sz w:val="20"/>
          <w:szCs w:val="20"/>
          <w:lang w:val="es-ES_tradnl"/>
        </w:rPr>
        <w:t xml:space="preserve"> de Luján</w:t>
      </w:r>
      <w:r w:rsidR="00C74179" w:rsidRPr="00466820">
        <w:rPr>
          <w:rFonts w:asciiTheme="majorHAnsi" w:hAnsiTheme="majorHAnsi"/>
          <w:sz w:val="20"/>
          <w:szCs w:val="20"/>
          <w:lang w:val="es-ES_tradnl"/>
        </w:rPr>
        <w:t xml:space="preserve">, </w:t>
      </w:r>
      <w:r w:rsidRPr="00466820">
        <w:rPr>
          <w:rFonts w:asciiTheme="majorHAnsi" w:hAnsiTheme="majorHAnsi"/>
          <w:sz w:val="20"/>
          <w:szCs w:val="20"/>
          <w:lang w:val="es-ES_tradnl"/>
        </w:rPr>
        <w:t>Provincia de Buenos Aires</w:t>
      </w:r>
      <w:r w:rsidR="00C74179" w:rsidRPr="00466820">
        <w:rPr>
          <w:rFonts w:asciiTheme="majorHAnsi" w:hAnsiTheme="majorHAnsi"/>
          <w:sz w:val="20"/>
          <w:szCs w:val="20"/>
          <w:lang w:val="es-ES_tradnl"/>
        </w:rPr>
        <w:t>, y l</w:t>
      </w:r>
      <w:r w:rsidR="002274A2" w:rsidRPr="00466820">
        <w:rPr>
          <w:rFonts w:asciiTheme="majorHAnsi" w:hAnsiTheme="majorHAnsi"/>
          <w:sz w:val="20"/>
          <w:szCs w:val="20"/>
          <w:lang w:val="es-ES_tradnl"/>
        </w:rPr>
        <w:t>uego llegó a conocimiento del Tribunal Criminal No. 2 del Departamento Judicial de Mercedes</w:t>
      </w:r>
      <w:r w:rsidR="00C74179" w:rsidRPr="00466820">
        <w:rPr>
          <w:rFonts w:asciiTheme="majorHAnsi" w:hAnsiTheme="majorHAnsi"/>
          <w:sz w:val="20"/>
          <w:szCs w:val="20"/>
          <w:lang w:val="es-ES_tradnl"/>
        </w:rPr>
        <w:t>, que</w:t>
      </w:r>
      <w:r w:rsidR="00495908" w:rsidRPr="00466820">
        <w:rPr>
          <w:rFonts w:asciiTheme="majorHAnsi" w:hAnsiTheme="majorHAnsi"/>
          <w:sz w:val="20"/>
          <w:szCs w:val="20"/>
          <w:lang w:val="es-ES_tradnl"/>
        </w:rPr>
        <w:t xml:space="preserve"> </w:t>
      </w:r>
      <w:r w:rsidR="005F24A8" w:rsidRPr="00466820">
        <w:rPr>
          <w:rFonts w:asciiTheme="majorHAnsi" w:hAnsiTheme="majorHAnsi"/>
          <w:sz w:val="20"/>
          <w:szCs w:val="20"/>
          <w:lang w:val="es-ES_tradnl"/>
        </w:rPr>
        <w:t>el 6 de julio de 2004</w:t>
      </w:r>
      <w:r w:rsidR="00495908" w:rsidRPr="00466820">
        <w:rPr>
          <w:rFonts w:asciiTheme="majorHAnsi" w:hAnsiTheme="majorHAnsi"/>
          <w:sz w:val="20"/>
          <w:szCs w:val="20"/>
          <w:lang w:val="es-ES_tradnl"/>
        </w:rPr>
        <w:t xml:space="preserve"> </w:t>
      </w:r>
      <w:r w:rsidR="000D2A85" w:rsidRPr="00466820">
        <w:rPr>
          <w:rFonts w:asciiTheme="majorHAnsi" w:hAnsiTheme="majorHAnsi"/>
          <w:sz w:val="20"/>
          <w:szCs w:val="20"/>
          <w:lang w:val="es-ES_tradnl"/>
        </w:rPr>
        <w:t>emitió sentencia declarando</w:t>
      </w:r>
      <w:r w:rsidR="00F902B4" w:rsidRPr="00466820">
        <w:rPr>
          <w:rFonts w:asciiTheme="majorHAnsi" w:hAnsiTheme="majorHAnsi"/>
          <w:sz w:val="20"/>
          <w:szCs w:val="20"/>
          <w:lang w:val="es-ES_tradnl"/>
        </w:rPr>
        <w:t xml:space="preserve"> a la presunta víctima instigador penalmente responsables del delito de homicidio agravado por promesa remuneratoria</w:t>
      </w:r>
      <w:r w:rsidR="006B5ECC" w:rsidRPr="00466820">
        <w:rPr>
          <w:rFonts w:asciiTheme="majorHAnsi" w:hAnsiTheme="majorHAnsi"/>
          <w:sz w:val="20"/>
          <w:szCs w:val="20"/>
          <w:lang w:val="es-ES_tradnl"/>
        </w:rPr>
        <w:t xml:space="preserve">. </w:t>
      </w:r>
    </w:p>
    <w:p w14:paraId="00509437" w14:textId="5F00480E" w:rsidR="006D6581" w:rsidRPr="00466820" w:rsidRDefault="006B5ECC"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La petición</w:t>
      </w:r>
      <w:r w:rsidR="000D2A85" w:rsidRPr="00466820">
        <w:rPr>
          <w:rFonts w:asciiTheme="majorHAnsi" w:hAnsiTheme="majorHAnsi"/>
          <w:sz w:val="20"/>
          <w:szCs w:val="20"/>
          <w:lang w:val="es-ES_tradnl"/>
        </w:rPr>
        <w:t xml:space="preserve"> aduce </w:t>
      </w:r>
      <w:r w:rsidRPr="00466820">
        <w:rPr>
          <w:rFonts w:asciiTheme="majorHAnsi" w:hAnsiTheme="majorHAnsi"/>
          <w:sz w:val="20"/>
          <w:szCs w:val="20"/>
          <w:lang w:val="es-ES_tradnl"/>
        </w:rPr>
        <w:t>que</w:t>
      </w:r>
      <w:r w:rsidR="00ED0084" w:rsidRPr="00466820">
        <w:rPr>
          <w:rFonts w:asciiTheme="majorHAnsi" w:hAnsiTheme="majorHAnsi"/>
          <w:sz w:val="20"/>
          <w:szCs w:val="20"/>
          <w:lang w:val="es-ES_tradnl"/>
        </w:rPr>
        <w:t xml:space="preserve"> la sentencia conde</w:t>
      </w:r>
      <w:r w:rsidR="006D6581" w:rsidRPr="00466820">
        <w:rPr>
          <w:rFonts w:asciiTheme="majorHAnsi" w:hAnsiTheme="majorHAnsi"/>
          <w:sz w:val="20"/>
          <w:szCs w:val="20"/>
          <w:lang w:val="es-ES_tradnl"/>
        </w:rPr>
        <w:t>natoria</w:t>
      </w:r>
      <w:r w:rsidR="000D2A85" w:rsidRPr="00466820">
        <w:rPr>
          <w:rFonts w:asciiTheme="majorHAnsi" w:hAnsiTheme="majorHAnsi"/>
          <w:sz w:val="20"/>
          <w:szCs w:val="20"/>
          <w:lang w:val="es-ES_tradnl"/>
        </w:rPr>
        <w:t xml:space="preserve"> </w:t>
      </w:r>
      <w:r w:rsidRPr="00466820">
        <w:rPr>
          <w:rFonts w:asciiTheme="majorHAnsi" w:hAnsiTheme="majorHAnsi"/>
          <w:sz w:val="20"/>
          <w:szCs w:val="20"/>
          <w:lang w:val="es-ES_tradnl"/>
        </w:rPr>
        <w:t>se fundó</w:t>
      </w:r>
      <w:r w:rsidR="00611CA5" w:rsidRPr="00466820">
        <w:rPr>
          <w:rFonts w:asciiTheme="majorHAnsi" w:hAnsiTheme="majorHAnsi"/>
          <w:sz w:val="20"/>
          <w:szCs w:val="20"/>
          <w:lang w:val="es-ES_tradnl"/>
        </w:rPr>
        <w:t xml:space="preserve"> exclusivamente</w:t>
      </w:r>
      <w:r w:rsidRPr="00466820">
        <w:rPr>
          <w:rFonts w:asciiTheme="majorHAnsi" w:hAnsiTheme="majorHAnsi"/>
          <w:sz w:val="20"/>
          <w:szCs w:val="20"/>
          <w:lang w:val="es-ES_tradnl"/>
        </w:rPr>
        <w:t xml:space="preserve"> en la declaración de un coimputado, condenado en la misma sentencia </w:t>
      </w:r>
      <w:r w:rsidR="000F4F84" w:rsidRPr="00466820">
        <w:rPr>
          <w:rFonts w:asciiTheme="majorHAnsi" w:hAnsiTheme="majorHAnsi"/>
          <w:sz w:val="20"/>
          <w:szCs w:val="20"/>
          <w:lang w:val="es-ES_tradnl"/>
        </w:rPr>
        <w:t>como autor penalmente responsable del delito de robo simple en concurso real con homicidio agravado por promesa remuneratoria. El coimputado en cuestión declaró que la presunta víctima le había encargado acercarse a la casa de la mujer para retirar una caja a cambio</w:t>
      </w:r>
      <w:r w:rsidR="00611CA5" w:rsidRPr="00466820">
        <w:rPr>
          <w:rFonts w:asciiTheme="majorHAnsi" w:hAnsiTheme="majorHAnsi"/>
          <w:sz w:val="20"/>
          <w:szCs w:val="20"/>
          <w:lang w:val="es-ES_tradnl"/>
        </w:rPr>
        <w:t xml:space="preserve"> de una suma equivalente a $1</w:t>
      </w:r>
      <w:r w:rsidR="00556D04" w:rsidRPr="00466820">
        <w:rPr>
          <w:rFonts w:asciiTheme="majorHAnsi" w:hAnsiTheme="majorHAnsi"/>
          <w:sz w:val="20"/>
          <w:szCs w:val="20"/>
          <w:lang w:val="es-ES_tradnl"/>
        </w:rPr>
        <w:t>,</w:t>
      </w:r>
      <w:r w:rsidR="00611CA5" w:rsidRPr="00466820">
        <w:rPr>
          <w:rFonts w:asciiTheme="majorHAnsi" w:hAnsiTheme="majorHAnsi"/>
          <w:sz w:val="20"/>
          <w:szCs w:val="20"/>
          <w:lang w:val="es-ES_tradnl"/>
        </w:rPr>
        <w:t xml:space="preserve">300 dólares </w:t>
      </w:r>
      <w:r w:rsidR="00556D04" w:rsidRPr="00466820">
        <w:rPr>
          <w:rFonts w:asciiTheme="majorHAnsi" w:hAnsiTheme="majorHAnsi"/>
          <w:sz w:val="20"/>
          <w:szCs w:val="20"/>
          <w:lang w:val="es-ES_tradnl"/>
        </w:rPr>
        <w:t>estadounidenses</w:t>
      </w:r>
      <w:r w:rsidR="000F4F84" w:rsidRPr="00466820">
        <w:rPr>
          <w:rFonts w:asciiTheme="majorHAnsi" w:hAnsiTheme="majorHAnsi"/>
          <w:sz w:val="20"/>
          <w:szCs w:val="20"/>
          <w:lang w:val="es-ES_tradnl"/>
        </w:rPr>
        <w:t xml:space="preserve">. </w:t>
      </w:r>
      <w:r w:rsidR="00611CA5" w:rsidRPr="00466820">
        <w:rPr>
          <w:rFonts w:asciiTheme="majorHAnsi" w:hAnsiTheme="majorHAnsi"/>
          <w:sz w:val="20"/>
          <w:szCs w:val="20"/>
          <w:lang w:val="es-ES_tradnl"/>
        </w:rPr>
        <w:t xml:space="preserve">Según la petición, esta declaración fue utilizada para fundar la tesis de que el homicidio fue </w:t>
      </w:r>
      <w:r w:rsidR="009C4DD2" w:rsidRPr="00466820">
        <w:rPr>
          <w:rFonts w:asciiTheme="majorHAnsi" w:hAnsiTheme="majorHAnsi"/>
          <w:sz w:val="20"/>
          <w:szCs w:val="20"/>
          <w:lang w:val="es-ES_tradnl"/>
        </w:rPr>
        <w:t>ejecutado materialmente</w:t>
      </w:r>
      <w:r w:rsidR="00611CA5" w:rsidRPr="00466820">
        <w:rPr>
          <w:rFonts w:asciiTheme="majorHAnsi" w:hAnsiTheme="majorHAnsi"/>
          <w:sz w:val="20"/>
          <w:szCs w:val="20"/>
          <w:lang w:val="es-ES_tradnl"/>
        </w:rPr>
        <w:t xml:space="preserve"> por el coimputado por encargo </w:t>
      </w:r>
      <w:r w:rsidR="00556D04" w:rsidRPr="00466820">
        <w:rPr>
          <w:rFonts w:asciiTheme="majorHAnsi" w:hAnsiTheme="majorHAnsi"/>
          <w:sz w:val="20"/>
          <w:szCs w:val="20"/>
          <w:lang w:val="es-ES_tradnl"/>
        </w:rPr>
        <w:t>del Sr. José Chain</w:t>
      </w:r>
      <w:r w:rsidR="00611CA5" w:rsidRPr="00466820">
        <w:rPr>
          <w:rFonts w:asciiTheme="majorHAnsi" w:hAnsiTheme="majorHAnsi"/>
          <w:sz w:val="20"/>
          <w:szCs w:val="20"/>
          <w:lang w:val="es-ES_tradnl"/>
        </w:rPr>
        <w:t xml:space="preserve">. </w:t>
      </w:r>
    </w:p>
    <w:p w14:paraId="15F18F23" w14:textId="67FC22EE" w:rsidR="009C4DD2" w:rsidRPr="00466820" w:rsidRDefault="000F4F84"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La parte peticionaria sostiene que </w:t>
      </w:r>
      <w:r w:rsidR="006D6581" w:rsidRPr="00466820">
        <w:rPr>
          <w:rFonts w:asciiTheme="majorHAnsi" w:hAnsiTheme="majorHAnsi"/>
          <w:sz w:val="20"/>
          <w:szCs w:val="20"/>
          <w:lang w:val="es-ES_tradnl"/>
        </w:rPr>
        <w:t>la referida</w:t>
      </w:r>
      <w:r w:rsidRPr="00466820">
        <w:rPr>
          <w:rFonts w:asciiTheme="majorHAnsi" w:hAnsiTheme="majorHAnsi"/>
          <w:sz w:val="20"/>
          <w:szCs w:val="20"/>
          <w:lang w:val="es-ES_tradnl"/>
        </w:rPr>
        <w:t xml:space="preserve"> declaración</w:t>
      </w:r>
      <w:r w:rsidR="006D6581" w:rsidRPr="00466820">
        <w:rPr>
          <w:rFonts w:asciiTheme="majorHAnsi" w:hAnsiTheme="majorHAnsi"/>
          <w:sz w:val="20"/>
          <w:szCs w:val="20"/>
          <w:lang w:val="es-ES_tradnl"/>
        </w:rPr>
        <w:t xml:space="preserve"> del coimputado</w:t>
      </w:r>
      <w:r w:rsidRPr="00466820">
        <w:rPr>
          <w:rFonts w:asciiTheme="majorHAnsi" w:hAnsiTheme="majorHAnsi"/>
          <w:sz w:val="20"/>
          <w:szCs w:val="20"/>
          <w:lang w:val="es-ES_tradnl"/>
        </w:rPr>
        <w:t xml:space="preserve"> es totalmente falsa</w:t>
      </w:r>
      <w:r w:rsidR="00556D04" w:rsidRPr="00466820">
        <w:rPr>
          <w:rFonts w:asciiTheme="majorHAnsi" w:hAnsiTheme="majorHAnsi"/>
          <w:sz w:val="20"/>
          <w:szCs w:val="20"/>
          <w:lang w:val="es-ES_tradnl"/>
        </w:rPr>
        <w:t>,</w:t>
      </w:r>
      <w:r w:rsidRPr="00466820">
        <w:rPr>
          <w:rFonts w:asciiTheme="majorHAnsi" w:hAnsiTheme="majorHAnsi"/>
          <w:sz w:val="20"/>
          <w:szCs w:val="20"/>
          <w:lang w:val="es-ES_tradnl"/>
        </w:rPr>
        <w:t xml:space="preserve"> puesto que la presunta víctima no realizó ningún encargo ni prome</w:t>
      </w:r>
      <w:r w:rsidR="00611CA5" w:rsidRPr="00466820">
        <w:rPr>
          <w:rFonts w:asciiTheme="majorHAnsi" w:hAnsiTheme="majorHAnsi"/>
          <w:sz w:val="20"/>
          <w:szCs w:val="20"/>
          <w:lang w:val="es-ES_tradnl"/>
        </w:rPr>
        <w:t>tió ninguna suma de dinero al coimputado.</w:t>
      </w:r>
      <w:r w:rsidR="00BB0ED7" w:rsidRPr="00466820">
        <w:rPr>
          <w:rFonts w:asciiTheme="majorHAnsi" w:hAnsiTheme="majorHAnsi"/>
          <w:sz w:val="20"/>
          <w:szCs w:val="20"/>
          <w:lang w:val="es-ES_tradnl"/>
        </w:rPr>
        <w:t xml:space="preserve"> La petición también explica que tiempo después de la condena la presunta víctima tuvo conocimiento que el referido coimputado presentó una petición ante </w:t>
      </w:r>
      <w:r w:rsidR="006D6581" w:rsidRPr="00466820">
        <w:rPr>
          <w:rFonts w:asciiTheme="majorHAnsi" w:hAnsiTheme="majorHAnsi"/>
          <w:sz w:val="20"/>
          <w:szCs w:val="20"/>
          <w:lang w:val="es-ES_tradnl"/>
        </w:rPr>
        <w:t>la CIDH</w:t>
      </w:r>
      <w:r w:rsidR="00BB0ED7" w:rsidRPr="00466820">
        <w:rPr>
          <w:rFonts w:asciiTheme="majorHAnsi" w:hAnsiTheme="majorHAnsi"/>
          <w:sz w:val="20"/>
          <w:szCs w:val="20"/>
          <w:lang w:val="es-ES_tradnl"/>
        </w:rPr>
        <w:t xml:space="preserve"> en la que denunció que agentes policiales le forzaron a realizar la declaración en cuestión mediante actos de tortura</w:t>
      </w:r>
      <w:r w:rsidR="00556D04" w:rsidRPr="00466820">
        <w:rPr>
          <w:rFonts w:asciiTheme="majorHAnsi" w:hAnsiTheme="majorHAnsi"/>
          <w:sz w:val="20"/>
          <w:szCs w:val="20"/>
          <w:lang w:val="es-ES_tradnl"/>
        </w:rPr>
        <w:t xml:space="preserve"> –En efecto, se trata de la P-1768-11 (Caso 14.959), actualmente en etapa de fondo–</w:t>
      </w:r>
      <w:r w:rsidR="00BB0ED7" w:rsidRPr="00466820">
        <w:rPr>
          <w:rFonts w:asciiTheme="majorHAnsi" w:hAnsiTheme="majorHAnsi"/>
          <w:sz w:val="20"/>
          <w:szCs w:val="20"/>
          <w:lang w:val="es-ES_tradnl"/>
        </w:rPr>
        <w:t xml:space="preserve">. </w:t>
      </w:r>
      <w:r w:rsidR="00611CA5" w:rsidRPr="00466820">
        <w:rPr>
          <w:rFonts w:asciiTheme="majorHAnsi" w:hAnsiTheme="majorHAnsi"/>
          <w:sz w:val="20"/>
          <w:szCs w:val="20"/>
          <w:lang w:val="es-ES_tradnl"/>
        </w:rPr>
        <w:t>También argumenta que</w:t>
      </w:r>
      <w:r w:rsidR="006D6581" w:rsidRPr="00466820">
        <w:rPr>
          <w:rFonts w:asciiTheme="majorHAnsi" w:hAnsiTheme="majorHAnsi"/>
          <w:sz w:val="20"/>
          <w:szCs w:val="20"/>
          <w:lang w:val="es-ES_tradnl"/>
        </w:rPr>
        <w:t>,</w:t>
      </w:r>
      <w:r w:rsidR="00611CA5" w:rsidRPr="00466820">
        <w:rPr>
          <w:rFonts w:asciiTheme="majorHAnsi" w:hAnsiTheme="majorHAnsi"/>
          <w:sz w:val="20"/>
          <w:szCs w:val="20"/>
          <w:lang w:val="es-ES_tradnl"/>
        </w:rPr>
        <w:t xml:space="preserve"> en todo caso</w:t>
      </w:r>
      <w:r w:rsidR="006D6581" w:rsidRPr="00466820">
        <w:rPr>
          <w:rFonts w:asciiTheme="majorHAnsi" w:hAnsiTheme="majorHAnsi"/>
          <w:sz w:val="20"/>
          <w:szCs w:val="20"/>
          <w:lang w:val="es-ES_tradnl"/>
        </w:rPr>
        <w:t>,</w:t>
      </w:r>
      <w:r w:rsidR="00611CA5" w:rsidRPr="00466820">
        <w:rPr>
          <w:rFonts w:asciiTheme="majorHAnsi" w:hAnsiTheme="majorHAnsi"/>
          <w:sz w:val="20"/>
          <w:szCs w:val="20"/>
          <w:lang w:val="es-ES_tradnl"/>
        </w:rPr>
        <w:t xml:space="preserve"> </w:t>
      </w:r>
      <w:r w:rsidR="006D6581" w:rsidRPr="00466820">
        <w:rPr>
          <w:rFonts w:asciiTheme="majorHAnsi" w:hAnsiTheme="majorHAnsi"/>
          <w:sz w:val="20"/>
          <w:szCs w:val="20"/>
          <w:lang w:val="es-ES_tradnl"/>
        </w:rPr>
        <w:t>la declaración del coimputado</w:t>
      </w:r>
      <w:r w:rsidR="00611CA5" w:rsidRPr="00466820">
        <w:rPr>
          <w:rFonts w:asciiTheme="majorHAnsi" w:hAnsiTheme="majorHAnsi"/>
          <w:sz w:val="20"/>
          <w:szCs w:val="20"/>
          <w:lang w:val="es-ES_tradnl"/>
        </w:rPr>
        <w:t xml:space="preserve"> no le imputaba a la presunta víctima un homicidio por encargo ni ningún otro delito</w:t>
      </w:r>
      <w:r w:rsidR="00556D04" w:rsidRPr="00466820">
        <w:rPr>
          <w:rFonts w:asciiTheme="majorHAnsi" w:hAnsiTheme="majorHAnsi"/>
          <w:sz w:val="20"/>
          <w:szCs w:val="20"/>
          <w:lang w:val="es-ES_tradnl"/>
        </w:rPr>
        <w:t>;</w:t>
      </w:r>
      <w:r w:rsidR="00BB0ED7" w:rsidRPr="00466820">
        <w:rPr>
          <w:rFonts w:asciiTheme="majorHAnsi" w:hAnsiTheme="majorHAnsi"/>
          <w:sz w:val="20"/>
          <w:szCs w:val="20"/>
          <w:lang w:val="es-ES_tradnl"/>
        </w:rPr>
        <w:t xml:space="preserve"> y que no es creíble que una persona pudiera cometer un homicidio por encargo por la suma irrisoria de $1</w:t>
      </w:r>
      <w:r w:rsidR="00556D04" w:rsidRPr="00466820">
        <w:rPr>
          <w:rFonts w:asciiTheme="majorHAnsi" w:hAnsiTheme="majorHAnsi"/>
          <w:sz w:val="20"/>
          <w:szCs w:val="20"/>
          <w:lang w:val="es-ES_tradnl"/>
        </w:rPr>
        <w:t>,</w:t>
      </w:r>
      <w:r w:rsidR="00BB0ED7" w:rsidRPr="00466820">
        <w:rPr>
          <w:rFonts w:asciiTheme="majorHAnsi" w:hAnsiTheme="majorHAnsi"/>
          <w:sz w:val="20"/>
          <w:szCs w:val="20"/>
          <w:lang w:val="es-ES_tradnl"/>
        </w:rPr>
        <w:t xml:space="preserve">300 dólares </w:t>
      </w:r>
      <w:r w:rsidR="00556D04" w:rsidRPr="00466820">
        <w:rPr>
          <w:rFonts w:asciiTheme="majorHAnsi" w:hAnsiTheme="majorHAnsi"/>
          <w:sz w:val="20"/>
          <w:szCs w:val="20"/>
          <w:lang w:val="es-ES_tradnl"/>
        </w:rPr>
        <w:t>estadounidenses</w:t>
      </w:r>
      <w:r w:rsidR="00611CA5" w:rsidRPr="00466820">
        <w:rPr>
          <w:rFonts w:asciiTheme="majorHAnsi" w:hAnsiTheme="majorHAnsi"/>
          <w:sz w:val="20"/>
          <w:szCs w:val="20"/>
          <w:lang w:val="es-ES_tradnl"/>
        </w:rPr>
        <w:t>.</w:t>
      </w:r>
      <w:r w:rsidR="009C4DD2" w:rsidRPr="00466820">
        <w:rPr>
          <w:rFonts w:asciiTheme="majorHAnsi" w:hAnsiTheme="majorHAnsi"/>
          <w:sz w:val="20"/>
          <w:szCs w:val="20"/>
          <w:lang w:val="es-ES_tradnl"/>
        </w:rPr>
        <w:t xml:space="preserve"> </w:t>
      </w:r>
      <w:r w:rsidR="000D2A85" w:rsidRPr="00466820">
        <w:rPr>
          <w:rFonts w:asciiTheme="majorHAnsi" w:hAnsiTheme="majorHAnsi"/>
          <w:sz w:val="20"/>
          <w:szCs w:val="20"/>
          <w:lang w:val="es-ES_tradnl"/>
        </w:rPr>
        <w:t xml:space="preserve"> Por estas razones, la petición tacha la sentencia de disparatada y arbitraria</w:t>
      </w:r>
      <w:r w:rsidR="00BB0ED7" w:rsidRPr="00466820">
        <w:rPr>
          <w:rFonts w:asciiTheme="majorHAnsi" w:hAnsiTheme="majorHAnsi"/>
          <w:sz w:val="20"/>
          <w:szCs w:val="20"/>
          <w:lang w:val="es-ES_tradnl"/>
        </w:rPr>
        <w:t>.</w:t>
      </w:r>
    </w:p>
    <w:p w14:paraId="2668ACED" w14:textId="5758A72B" w:rsidR="005D7EB7" w:rsidRPr="00466820" w:rsidRDefault="00AF475D"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La parte peticionaria denuncia que durante el juicio se falsearon y alteraron los testimonios de las personas que testificaron, asentándose en las actas cuestiones distintas a las realmente declaradas. También alega que el primer médico que revisó el cuerpo de la mujer había manifestado a la policía que esta no presentaba signos de violencia, pero que pocas horas después se hizo constar</w:t>
      </w:r>
      <w:r w:rsidR="00653C7C" w:rsidRPr="00466820">
        <w:rPr>
          <w:rFonts w:asciiTheme="majorHAnsi" w:hAnsiTheme="majorHAnsi"/>
          <w:sz w:val="20"/>
          <w:szCs w:val="20"/>
          <w:lang w:val="es-ES_tradnl"/>
        </w:rPr>
        <w:t xml:space="preserve"> en forma sospechosa</w:t>
      </w:r>
      <w:r w:rsidRPr="00466820">
        <w:rPr>
          <w:rFonts w:asciiTheme="majorHAnsi" w:hAnsiTheme="majorHAnsi"/>
          <w:sz w:val="20"/>
          <w:szCs w:val="20"/>
          <w:lang w:val="es-ES_tradnl"/>
        </w:rPr>
        <w:t xml:space="preserve"> que esta había muerto por “asfixia por electrocución”</w:t>
      </w:r>
      <w:r w:rsidR="00556D04" w:rsidRPr="00466820">
        <w:rPr>
          <w:rFonts w:asciiTheme="majorHAnsi" w:hAnsiTheme="majorHAnsi"/>
          <w:sz w:val="20"/>
          <w:szCs w:val="20"/>
          <w:lang w:val="es-ES_tradnl"/>
        </w:rPr>
        <w:t>,</w:t>
      </w:r>
      <w:r w:rsidRPr="00466820">
        <w:rPr>
          <w:rFonts w:asciiTheme="majorHAnsi" w:hAnsiTheme="majorHAnsi"/>
          <w:sz w:val="20"/>
          <w:szCs w:val="20"/>
          <w:lang w:val="es-ES_tradnl"/>
        </w:rPr>
        <w:t xml:space="preserve"> lo que </w:t>
      </w:r>
      <w:r w:rsidR="00C0497E" w:rsidRPr="00466820">
        <w:rPr>
          <w:rFonts w:asciiTheme="majorHAnsi" w:hAnsiTheme="majorHAnsi"/>
          <w:sz w:val="20"/>
          <w:szCs w:val="20"/>
          <w:lang w:val="es-ES_tradnl"/>
        </w:rPr>
        <w:t>la parte peticionaria</w:t>
      </w:r>
      <w:r w:rsidRPr="00466820">
        <w:rPr>
          <w:rFonts w:asciiTheme="majorHAnsi" w:hAnsiTheme="majorHAnsi"/>
          <w:sz w:val="20"/>
          <w:szCs w:val="20"/>
          <w:lang w:val="es-ES_tradnl"/>
        </w:rPr>
        <w:t xml:space="preserve"> tacha de “disparate” médico legal. </w:t>
      </w:r>
    </w:p>
    <w:p w14:paraId="1314B529" w14:textId="097A19A1" w:rsidR="00AF475D" w:rsidRPr="00466820" w:rsidRDefault="00B66990"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La </w:t>
      </w:r>
      <w:r w:rsidR="00D97A73" w:rsidRPr="00466820">
        <w:rPr>
          <w:rFonts w:asciiTheme="majorHAnsi" w:hAnsiTheme="majorHAnsi"/>
          <w:sz w:val="20"/>
          <w:szCs w:val="20"/>
          <w:lang w:val="es-ES_tradnl"/>
        </w:rPr>
        <w:t>parte peticionaria</w:t>
      </w:r>
      <w:r w:rsidRPr="00466820">
        <w:rPr>
          <w:rFonts w:asciiTheme="majorHAnsi" w:hAnsiTheme="majorHAnsi"/>
          <w:sz w:val="20"/>
          <w:szCs w:val="20"/>
          <w:lang w:val="es-ES_tradnl"/>
        </w:rPr>
        <w:t xml:space="preserve"> también reclama que del juicio oral se eliminó lo testificado por la mejor amiga de la </w:t>
      </w:r>
      <w:r w:rsidR="00D97A73" w:rsidRPr="00466820">
        <w:rPr>
          <w:rFonts w:asciiTheme="majorHAnsi" w:hAnsiTheme="majorHAnsi"/>
          <w:sz w:val="20"/>
          <w:szCs w:val="20"/>
          <w:lang w:val="es-ES_tradnl"/>
        </w:rPr>
        <w:t>difunta</w:t>
      </w:r>
      <w:r w:rsidRPr="00466820">
        <w:rPr>
          <w:rFonts w:asciiTheme="majorHAnsi" w:hAnsiTheme="majorHAnsi"/>
          <w:sz w:val="20"/>
          <w:szCs w:val="20"/>
          <w:lang w:val="es-ES_tradnl"/>
        </w:rPr>
        <w:t xml:space="preserve"> </w:t>
      </w:r>
      <w:r w:rsidR="005D7EB7" w:rsidRPr="00466820">
        <w:rPr>
          <w:rFonts w:asciiTheme="majorHAnsi" w:hAnsiTheme="majorHAnsi"/>
          <w:sz w:val="20"/>
          <w:szCs w:val="20"/>
          <w:lang w:val="es-ES_tradnl"/>
        </w:rPr>
        <w:t xml:space="preserve">respecto a </w:t>
      </w:r>
      <w:r w:rsidRPr="00466820">
        <w:rPr>
          <w:rFonts w:asciiTheme="majorHAnsi" w:hAnsiTheme="majorHAnsi"/>
          <w:sz w:val="20"/>
          <w:szCs w:val="20"/>
          <w:lang w:val="es-ES_tradnl"/>
        </w:rPr>
        <w:t>que el hombre que era</w:t>
      </w:r>
      <w:r w:rsidR="00D97A73" w:rsidRPr="00466820">
        <w:rPr>
          <w:rFonts w:asciiTheme="majorHAnsi" w:hAnsiTheme="majorHAnsi"/>
          <w:sz w:val="20"/>
          <w:szCs w:val="20"/>
          <w:lang w:val="es-ES_tradnl"/>
        </w:rPr>
        <w:t xml:space="preserve"> su</w:t>
      </w:r>
      <w:r w:rsidRPr="00466820">
        <w:rPr>
          <w:rFonts w:asciiTheme="majorHAnsi" w:hAnsiTheme="majorHAnsi"/>
          <w:sz w:val="20"/>
          <w:szCs w:val="20"/>
          <w:lang w:val="es-ES_tradnl"/>
        </w:rPr>
        <w:t xml:space="preserve"> pareja al momento de su muerte constantemente la golpeaba</w:t>
      </w:r>
      <w:r w:rsidR="00D97A73" w:rsidRPr="00466820">
        <w:rPr>
          <w:rFonts w:asciiTheme="majorHAnsi" w:hAnsiTheme="majorHAnsi"/>
          <w:sz w:val="20"/>
          <w:szCs w:val="20"/>
          <w:lang w:val="es-ES_tradnl"/>
        </w:rPr>
        <w:t>,</w:t>
      </w:r>
      <w:r w:rsidRPr="00466820">
        <w:rPr>
          <w:rFonts w:asciiTheme="majorHAnsi" w:hAnsiTheme="majorHAnsi"/>
          <w:sz w:val="20"/>
          <w:szCs w:val="20"/>
          <w:lang w:val="es-ES_tradnl"/>
        </w:rPr>
        <w:t xml:space="preserve"> e incluso había golpeado </w:t>
      </w:r>
      <w:r w:rsidR="00D97A73" w:rsidRPr="00466820">
        <w:rPr>
          <w:rFonts w:asciiTheme="majorHAnsi" w:hAnsiTheme="majorHAnsi"/>
          <w:sz w:val="20"/>
          <w:szCs w:val="20"/>
          <w:lang w:val="es-ES_tradnl"/>
        </w:rPr>
        <w:t>al padre de la difunta</w:t>
      </w:r>
      <w:r w:rsidRPr="00466820">
        <w:rPr>
          <w:rFonts w:asciiTheme="majorHAnsi" w:hAnsiTheme="majorHAnsi"/>
          <w:sz w:val="20"/>
          <w:szCs w:val="20"/>
          <w:lang w:val="es-ES_tradnl"/>
        </w:rPr>
        <w:t>. Agrega que esto es de relevancia pues no se encontraron signos de violencia en la puerta de la residencia de la mujer y el hombre que era</w:t>
      </w:r>
      <w:r w:rsidR="00D97A73" w:rsidRPr="00466820">
        <w:rPr>
          <w:rFonts w:asciiTheme="majorHAnsi" w:hAnsiTheme="majorHAnsi"/>
          <w:sz w:val="20"/>
          <w:szCs w:val="20"/>
          <w:lang w:val="es-ES_tradnl"/>
        </w:rPr>
        <w:t xml:space="preserve"> su</w:t>
      </w:r>
      <w:r w:rsidRPr="00466820">
        <w:rPr>
          <w:rFonts w:asciiTheme="majorHAnsi" w:hAnsiTheme="majorHAnsi"/>
          <w:sz w:val="20"/>
          <w:szCs w:val="20"/>
          <w:lang w:val="es-ES_tradnl"/>
        </w:rPr>
        <w:t xml:space="preserve"> pareja testificó que la encontró tirada en la cama y en ropa de cama</w:t>
      </w:r>
      <w:r w:rsidR="00415352" w:rsidRPr="00466820">
        <w:rPr>
          <w:rFonts w:asciiTheme="majorHAnsi" w:hAnsiTheme="majorHAnsi"/>
          <w:sz w:val="20"/>
          <w:szCs w:val="20"/>
          <w:lang w:val="es-ES_tradnl"/>
        </w:rPr>
        <w:t>.</w:t>
      </w:r>
      <w:r w:rsidRPr="00466820">
        <w:rPr>
          <w:rFonts w:asciiTheme="majorHAnsi" w:hAnsiTheme="majorHAnsi"/>
          <w:sz w:val="20"/>
          <w:szCs w:val="20"/>
          <w:lang w:val="es-ES_tradnl"/>
        </w:rPr>
        <w:t xml:space="preserve"> </w:t>
      </w:r>
      <w:r w:rsidR="00415352" w:rsidRPr="00466820">
        <w:rPr>
          <w:rFonts w:asciiTheme="majorHAnsi" w:hAnsiTheme="majorHAnsi"/>
          <w:sz w:val="20"/>
          <w:szCs w:val="20"/>
          <w:lang w:val="es-ES_tradnl"/>
        </w:rPr>
        <w:t>L</w:t>
      </w:r>
      <w:r w:rsidRPr="00466820">
        <w:rPr>
          <w:rFonts w:asciiTheme="majorHAnsi" w:hAnsiTheme="majorHAnsi"/>
          <w:sz w:val="20"/>
          <w:szCs w:val="20"/>
          <w:lang w:val="es-ES_tradnl"/>
        </w:rPr>
        <w:t xml:space="preserve">a parte peticionaria considera inverosímil que la mujer hubiere abierto la puerta y recibido en ropa íntima a una persona extraña para ella como lo era el coimputado que supuestamente la asesinó. Por estas razones, la parte peticionaria apunta al hombre que era pareja de la mujer al momento de su muerte como posible responsable de lo ocurrido. </w:t>
      </w:r>
    </w:p>
    <w:p w14:paraId="128A8FD0" w14:textId="5C2996CF" w:rsidR="00A833B4" w:rsidRPr="00466820" w:rsidRDefault="00294BD9"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La presunta víctima impugnó la condena en su contra resultando en que la Sala II del Tribunal de Casación de Buenos Aires casara parcialmente la sentencia modificando la calificación legal para pasar a considerar a la presunta víctima cómplice primario de homicidio y modificar su pena a una de </w:t>
      </w:r>
      <w:r w:rsidR="00466820" w:rsidRPr="00466820">
        <w:rPr>
          <w:rFonts w:asciiTheme="majorHAnsi" w:hAnsiTheme="majorHAnsi"/>
          <w:sz w:val="20"/>
          <w:szCs w:val="20"/>
          <w:lang w:val="es-ES_tradnl"/>
        </w:rPr>
        <w:t>dieciséis</w:t>
      </w:r>
      <w:r w:rsidRPr="00466820">
        <w:rPr>
          <w:rFonts w:asciiTheme="majorHAnsi" w:hAnsiTheme="majorHAnsi"/>
          <w:sz w:val="20"/>
          <w:szCs w:val="20"/>
          <w:lang w:val="es-ES_tradnl"/>
        </w:rPr>
        <w:t xml:space="preserve"> años de prisión. </w:t>
      </w:r>
      <w:r w:rsidR="00360A58" w:rsidRPr="00466820">
        <w:rPr>
          <w:rFonts w:asciiTheme="majorHAnsi" w:hAnsiTheme="majorHAnsi"/>
          <w:sz w:val="20"/>
          <w:szCs w:val="20"/>
          <w:lang w:val="es-ES_tradnl"/>
        </w:rPr>
        <w:t xml:space="preserve">El peticionario aporta copia de la sentencia de casación en la que se observa que el Tribunal de Casación consideró que el tribunal </w:t>
      </w:r>
      <w:r w:rsidR="005D7EB7" w:rsidRPr="00466820">
        <w:rPr>
          <w:rFonts w:asciiTheme="majorHAnsi" w:hAnsiTheme="majorHAnsi"/>
          <w:sz w:val="20"/>
          <w:szCs w:val="20"/>
          <w:lang w:val="es-ES_tradnl"/>
        </w:rPr>
        <w:t>sentenciador</w:t>
      </w:r>
      <w:r w:rsidR="00360A58" w:rsidRPr="00466820">
        <w:rPr>
          <w:rFonts w:asciiTheme="majorHAnsi" w:hAnsiTheme="majorHAnsi"/>
          <w:sz w:val="20"/>
          <w:szCs w:val="20"/>
          <w:lang w:val="es-ES_tradnl"/>
        </w:rPr>
        <w:t xml:space="preserve"> había errado al dar por probado que la presunta víctima había instigado el homicidio de su expareja, pues lo único que había sido probado era que </w:t>
      </w:r>
      <w:r w:rsidR="00522894" w:rsidRPr="00466820">
        <w:rPr>
          <w:rFonts w:asciiTheme="majorHAnsi" w:hAnsiTheme="majorHAnsi"/>
          <w:sz w:val="20"/>
          <w:szCs w:val="20"/>
          <w:lang w:val="es-ES_tradnl"/>
        </w:rPr>
        <w:t>é</w:t>
      </w:r>
      <w:r w:rsidR="00360A58" w:rsidRPr="00466820">
        <w:rPr>
          <w:rFonts w:asciiTheme="majorHAnsi" w:hAnsiTheme="majorHAnsi"/>
          <w:sz w:val="20"/>
          <w:szCs w:val="20"/>
          <w:lang w:val="es-ES_tradnl"/>
        </w:rPr>
        <w:t xml:space="preserve">ste había ofrecido al coimputado una suma de dinero a cambio de que retirara ilícitamente una documentación de la casa de la mujer. Sin embargo, el tribunal consideró que </w:t>
      </w:r>
      <w:r w:rsidR="00FE3245" w:rsidRPr="00466820">
        <w:rPr>
          <w:rFonts w:asciiTheme="majorHAnsi" w:hAnsiTheme="majorHAnsi"/>
          <w:sz w:val="20"/>
          <w:szCs w:val="20"/>
          <w:lang w:val="es-ES_tradnl"/>
        </w:rPr>
        <w:t>la muerte de la mujer era un desenlace previsible para la presunta víctima</w:t>
      </w:r>
      <w:r w:rsidR="009B263E" w:rsidRPr="00466820">
        <w:rPr>
          <w:rFonts w:asciiTheme="majorHAnsi" w:hAnsiTheme="majorHAnsi"/>
          <w:sz w:val="20"/>
          <w:szCs w:val="20"/>
          <w:lang w:val="es-ES_tradnl"/>
        </w:rPr>
        <w:t>,</w:t>
      </w:r>
      <w:r w:rsidR="00FE3245" w:rsidRPr="00466820">
        <w:rPr>
          <w:rFonts w:asciiTheme="majorHAnsi" w:hAnsiTheme="majorHAnsi"/>
          <w:sz w:val="20"/>
          <w:szCs w:val="20"/>
          <w:lang w:val="es-ES_tradnl"/>
        </w:rPr>
        <w:t xml:space="preserve"> luego de que armara con una picana a una persona con tendencias violentas como lo era el coimputado</w:t>
      </w:r>
      <w:r w:rsidR="00A833B4" w:rsidRPr="00466820">
        <w:rPr>
          <w:rFonts w:asciiTheme="majorHAnsi" w:hAnsiTheme="majorHAnsi"/>
          <w:sz w:val="20"/>
          <w:szCs w:val="20"/>
          <w:lang w:val="es-ES_tradnl"/>
        </w:rPr>
        <w:t xml:space="preserve"> y lo enviara</w:t>
      </w:r>
      <w:r w:rsidR="00FE3245" w:rsidRPr="00466820">
        <w:rPr>
          <w:rFonts w:asciiTheme="majorHAnsi" w:hAnsiTheme="majorHAnsi"/>
          <w:sz w:val="20"/>
          <w:szCs w:val="20"/>
          <w:lang w:val="es-ES_tradnl"/>
        </w:rPr>
        <w:t xml:space="preserve"> a retirar ilícitamente una documentación en la casa de la mujer</w:t>
      </w:r>
      <w:r w:rsidR="00A833B4" w:rsidRPr="00466820">
        <w:rPr>
          <w:rFonts w:asciiTheme="majorHAnsi" w:hAnsiTheme="majorHAnsi"/>
          <w:sz w:val="20"/>
          <w:szCs w:val="20"/>
          <w:lang w:val="es-ES_tradnl"/>
        </w:rPr>
        <w:t xml:space="preserve">. El tribunal estimó que la presunta </w:t>
      </w:r>
      <w:r w:rsidR="00A833B4" w:rsidRPr="00466820">
        <w:rPr>
          <w:rFonts w:asciiTheme="majorHAnsi" w:hAnsiTheme="majorHAnsi"/>
          <w:sz w:val="20"/>
          <w:szCs w:val="20"/>
          <w:lang w:val="es-ES_tradnl"/>
        </w:rPr>
        <w:lastRenderedPageBreak/>
        <w:t>víctima había sido indiferente ante la previsible posibilidad de la muerte. Por lo tanto, concluyó que aunque no estaba demostrado que la presunta</w:t>
      </w:r>
      <w:r w:rsidR="00EC3828" w:rsidRPr="00466820">
        <w:rPr>
          <w:rFonts w:asciiTheme="majorHAnsi" w:hAnsiTheme="majorHAnsi"/>
          <w:sz w:val="20"/>
          <w:szCs w:val="20"/>
          <w:lang w:val="es-ES_tradnl"/>
        </w:rPr>
        <w:t xml:space="preserve"> víctima</w:t>
      </w:r>
      <w:r w:rsidR="00A833B4" w:rsidRPr="00466820">
        <w:rPr>
          <w:rFonts w:asciiTheme="majorHAnsi" w:hAnsiTheme="majorHAnsi"/>
          <w:sz w:val="20"/>
          <w:szCs w:val="20"/>
          <w:lang w:val="es-ES_tradnl"/>
        </w:rPr>
        <w:t xml:space="preserve"> hubiese incurrido en una instigación dolosa de matar, este había sido un cómplice necesario del homicidio y había incurrido en responsabilidad por dolo eventual. </w:t>
      </w:r>
    </w:p>
    <w:p w14:paraId="5F143940" w14:textId="42823409" w:rsidR="00765AB4" w:rsidRPr="00466820" w:rsidRDefault="00A833B4"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 </w:t>
      </w:r>
      <w:r w:rsidR="00BB151B" w:rsidRPr="00466820">
        <w:rPr>
          <w:rFonts w:asciiTheme="majorHAnsi" w:hAnsiTheme="majorHAnsi"/>
          <w:sz w:val="20"/>
          <w:szCs w:val="20"/>
          <w:lang w:val="es-ES_tradnl"/>
        </w:rPr>
        <w:t xml:space="preserve">La parte peticionaria considera que la sentencia de casación también fue arbitraria, entre otras razones porque en el juicio no se pudo probar la existencia de la </w:t>
      </w:r>
      <w:r w:rsidR="00EC3828" w:rsidRPr="00466820">
        <w:rPr>
          <w:rFonts w:asciiTheme="majorHAnsi" w:hAnsiTheme="majorHAnsi"/>
          <w:sz w:val="20"/>
          <w:szCs w:val="20"/>
          <w:lang w:val="es-ES_tradnl"/>
        </w:rPr>
        <w:t xml:space="preserve">caja </w:t>
      </w:r>
      <w:r w:rsidR="00BB151B" w:rsidRPr="00466820">
        <w:rPr>
          <w:rFonts w:asciiTheme="majorHAnsi" w:hAnsiTheme="majorHAnsi"/>
          <w:sz w:val="20"/>
          <w:szCs w:val="20"/>
          <w:lang w:val="es-ES_tradnl"/>
        </w:rPr>
        <w:t>que el coimputado supuestamente debía retirar, no existe prueba más allá de la declaración del coimputado respecto a la existencia del encargo, era falso que el coimputado fuese conocido como una persona violenta</w:t>
      </w:r>
      <w:r w:rsidR="0089500D" w:rsidRPr="00466820">
        <w:rPr>
          <w:rFonts w:asciiTheme="majorHAnsi" w:hAnsiTheme="majorHAnsi"/>
          <w:sz w:val="20"/>
          <w:szCs w:val="20"/>
          <w:lang w:val="es-ES_tradnl"/>
        </w:rPr>
        <w:t>,</w:t>
      </w:r>
      <w:r w:rsidR="00BB151B" w:rsidRPr="00466820">
        <w:rPr>
          <w:rFonts w:asciiTheme="majorHAnsi" w:hAnsiTheme="majorHAnsi"/>
          <w:sz w:val="20"/>
          <w:szCs w:val="20"/>
          <w:lang w:val="es-ES_tradnl"/>
        </w:rPr>
        <w:t xml:space="preserve"> pues </w:t>
      </w:r>
      <w:r w:rsidR="0089500D" w:rsidRPr="00466820">
        <w:rPr>
          <w:rFonts w:asciiTheme="majorHAnsi" w:hAnsiTheme="majorHAnsi"/>
          <w:sz w:val="20"/>
          <w:szCs w:val="20"/>
          <w:lang w:val="es-ES_tradnl"/>
        </w:rPr>
        <w:t>aquel</w:t>
      </w:r>
      <w:r w:rsidR="00BB151B" w:rsidRPr="00466820">
        <w:rPr>
          <w:rFonts w:asciiTheme="majorHAnsi" w:hAnsiTheme="majorHAnsi"/>
          <w:sz w:val="20"/>
          <w:szCs w:val="20"/>
          <w:lang w:val="es-ES_tradnl"/>
        </w:rPr>
        <w:t xml:space="preserve"> solo era conocido por consumir estupefacientes</w:t>
      </w:r>
      <w:r w:rsidR="0089500D" w:rsidRPr="00466820">
        <w:rPr>
          <w:rFonts w:asciiTheme="majorHAnsi" w:hAnsiTheme="majorHAnsi"/>
          <w:sz w:val="20"/>
          <w:szCs w:val="20"/>
          <w:lang w:val="es-ES_tradnl"/>
        </w:rPr>
        <w:t>,</w:t>
      </w:r>
      <w:r w:rsidR="00BB151B" w:rsidRPr="00466820">
        <w:rPr>
          <w:rFonts w:asciiTheme="majorHAnsi" w:hAnsiTheme="majorHAnsi"/>
          <w:sz w:val="20"/>
          <w:szCs w:val="20"/>
          <w:lang w:val="es-ES_tradnl"/>
        </w:rPr>
        <w:t xml:space="preserve"> pero no</w:t>
      </w:r>
      <w:r w:rsidR="003C0C03" w:rsidRPr="00466820">
        <w:rPr>
          <w:rFonts w:asciiTheme="majorHAnsi" w:hAnsiTheme="majorHAnsi"/>
          <w:sz w:val="20"/>
          <w:szCs w:val="20"/>
          <w:lang w:val="es-ES_tradnl"/>
        </w:rPr>
        <w:t xml:space="preserve"> como sujeto peligroso o delincuente</w:t>
      </w:r>
      <w:r w:rsidR="0089500D" w:rsidRPr="00466820">
        <w:rPr>
          <w:rFonts w:asciiTheme="majorHAnsi" w:hAnsiTheme="majorHAnsi"/>
          <w:sz w:val="20"/>
          <w:szCs w:val="20"/>
          <w:lang w:val="es-ES_tradnl"/>
        </w:rPr>
        <w:t>;</w:t>
      </w:r>
      <w:r w:rsidR="003C0C03" w:rsidRPr="00466820">
        <w:rPr>
          <w:rFonts w:asciiTheme="majorHAnsi" w:hAnsiTheme="majorHAnsi"/>
          <w:sz w:val="20"/>
          <w:szCs w:val="20"/>
          <w:lang w:val="es-ES_tradnl"/>
        </w:rPr>
        <w:t xml:space="preserve"> y</w:t>
      </w:r>
      <w:r w:rsidR="0089500D" w:rsidRPr="00466820">
        <w:rPr>
          <w:rFonts w:asciiTheme="majorHAnsi" w:hAnsiTheme="majorHAnsi"/>
          <w:sz w:val="20"/>
          <w:szCs w:val="20"/>
          <w:lang w:val="es-ES_tradnl"/>
        </w:rPr>
        <w:t>,</w:t>
      </w:r>
      <w:r w:rsidR="00EC3828" w:rsidRPr="00466820">
        <w:rPr>
          <w:rFonts w:asciiTheme="majorHAnsi" w:hAnsiTheme="majorHAnsi"/>
          <w:sz w:val="20"/>
          <w:szCs w:val="20"/>
          <w:lang w:val="es-ES_tradnl"/>
        </w:rPr>
        <w:t xml:space="preserve"> a su juicio</w:t>
      </w:r>
      <w:r w:rsidR="0089500D" w:rsidRPr="00466820">
        <w:rPr>
          <w:rFonts w:asciiTheme="majorHAnsi" w:hAnsiTheme="majorHAnsi"/>
          <w:sz w:val="20"/>
          <w:szCs w:val="20"/>
          <w:lang w:val="es-ES_tradnl"/>
        </w:rPr>
        <w:t>,</w:t>
      </w:r>
      <w:r w:rsidR="003C0C03" w:rsidRPr="00466820">
        <w:rPr>
          <w:rFonts w:asciiTheme="majorHAnsi" w:hAnsiTheme="majorHAnsi"/>
          <w:sz w:val="20"/>
          <w:szCs w:val="20"/>
          <w:lang w:val="es-ES_tradnl"/>
        </w:rPr>
        <w:t xml:space="preserve"> la imputación de un “dolo eventual” en un caso relacionado con un supuesto homicidio por encargo carece</w:t>
      </w:r>
      <w:r w:rsidR="00E92C72" w:rsidRPr="00466820">
        <w:rPr>
          <w:rFonts w:asciiTheme="majorHAnsi" w:hAnsiTheme="majorHAnsi"/>
          <w:sz w:val="20"/>
          <w:szCs w:val="20"/>
          <w:lang w:val="es-ES_tradnl"/>
        </w:rPr>
        <w:t>ría</w:t>
      </w:r>
      <w:r w:rsidR="003C0C03" w:rsidRPr="00466820">
        <w:rPr>
          <w:rFonts w:asciiTheme="majorHAnsi" w:hAnsiTheme="majorHAnsi"/>
          <w:sz w:val="20"/>
          <w:szCs w:val="20"/>
          <w:lang w:val="es-ES_tradnl"/>
        </w:rPr>
        <w:t xml:space="preserve"> de lógica jurídica. </w:t>
      </w:r>
      <w:r w:rsidR="00AF2C7E" w:rsidRPr="00466820">
        <w:rPr>
          <w:rFonts w:asciiTheme="majorHAnsi" w:hAnsiTheme="majorHAnsi"/>
          <w:sz w:val="20"/>
          <w:szCs w:val="20"/>
          <w:lang w:val="es-ES_tradnl"/>
        </w:rPr>
        <w:t>La parte peticionaria también aduce que durante el juicio de casación su defensa presentó exámenes que descartaban la teoría de que la muerte de la mujer se debió a electrocución</w:t>
      </w:r>
      <w:r w:rsidR="00E92C72" w:rsidRPr="00466820">
        <w:rPr>
          <w:rFonts w:asciiTheme="majorHAnsi" w:hAnsiTheme="majorHAnsi"/>
          <w:sz w:val="20"/>
          <w:szCs w:val="20"/>
          <w:lang w:val="es-ES_tradnl"/>
        </w:rPr>
        <w:t>;</w:t>
      </w:r>
      <w:r w:rsidR="00AF2C7E" w:rsidRPr="00466820">
        <w:rPr>
          <w:rFonts w:asciiTheme="majorHAnsi" w:hAnsiTheme="majorHAnsi"/>
          <w:sz w:val="20"/>
          <w:szCs w:val="20"/>
          <w:lang w:val="es-ES_tradnl"/>
        </w:rPr>
        <w:t xml:space="preserve"> y que hasta la fecha no se ha podido determinar definitivamente la causa de la muerte, sin poder siquier</w:t>
      </w:r>
      <w:r w:rsidR="00765AB4" w:rsidRPr="00466820">
        <w:rPr>
          <w:rFonts w:asciiTheme="majorHAnsi" w:hAnsiTheme="majorHAnsi"/>
          <w:sz w:val="20"/>
          <w:szCs w:val="20"/>
          <w:lang w:val="es-ES_tradnl"/>
        </w:rPr>
        <w:t xml:space="preserve">a descartarse del todo la posibilidad de una muerte natural. </w:t>
      </w:r>
    </w:p>
    <w:p w14:paraId="20116A6B" w14:textId="77777777" w:rsidR="00522894" w:rsidRPr="00466820" w:rsidRDefault="00765AB4"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La </w:t>
      </w:r>
      <w:r w:rsidR="0054032A" w:rsidRPr="00466820">
        <w:rPr>
          <w:rFonts w:asciiTheme="majorHAnsi" w:hAnsiTheme="majorHAnsi"/>
          <w:sz w:val="20"/>
          <w:szCs w:val="20"/>
          <w:lang w:val="es-ES_tradnl"/>
        </w:rPr>
        <w:t>petición señala que la presunta víctima recurrió</w:t>
      </w:r>
      <w:r w:rsidRPr="00466820">
        <w:rPr>
          <w:rFonts w:asciiTheme="majorHAnsi" w:hAnsiTheme="majorHAnsi"/>
          <w:sz w:val="20"/>
          <w:szCs w:val="20"/>
          <w:lang w:val="es-ES_tradnl"/>
        </w:rPr>
        <w:t xml:space="preserve"> su nueva condena proferida en casación mediante un recurso de hecho </w:t>
      </w:r>
      <w:r w:rsidR="0054032A" w:rsidRPr="00466820">
        <w:rPr>
          <w:rFonts w:asciiTheme="majorHAnsi" w:hAnsiTheme="majorHAnsi"/>
          <w:sz w:val="20"/>
          <w:szCs w:val="20"/>
          <w:lang w:val="es-ES_tradnl"/>
        </w:rPr>
        <w:t>que fue declarado inadmisible</w:t>
      </w:r>
      <w:r w:rsidR="004E1F2C" w:rsidRPr="00466820">
        <w:rPr>
          <w:rFonts w:asciiTheme="majorHAnsi" w:hAnsiTheme="majorHAnsi"/>
          <w:sz w:val="20"/>
          <w:szCs w:val="20"/>
          <w:lang w:val="es-ES_tradnl"/>
        </w:rPr>
        <w:t xml:space="preserve"> por la Corte Suprema de Justicia de Buenos Aires</w:t>
      </w:r>
      <w:r w:rsidR="0054032A" w:rsidRPr="00466820">
        <w:rPr>
          <w:rFonts w:asciiTheme="majorHAnsi" w:hAnsiTheme="majorHAnsi"/>
          <w:sz w:val="20"/>
          <w:szCs w:val="20"/>
          <w:lang w:val="es-ES_tradnl"/>
        </w:rPr>
        <w:t xml:space="preserve"> sin expresarse los motivos; al igual que lo fue otro recurso de hecho interpuesto por la Procuradora General de Buenos Aires para solicitar que se incrementara la pena impuesta a la presunta víctima. </w:t>
      </w:r>
      <w:r w:rsidR="004E1F2C" w:rsidRPr="00466820">
        <w:rPr>
          <w:rFonts w:asciiTheme="majorHAnsi" w:hAnsiTheme="majorHAnsi"/>
          <w:sz w:val="20"/>
          <w:szCs w:val="20"/>
          <w:lang w:val="es-ES_tradnl"/>
        </w:rPr>
        <w:t xml:space="preserve">La petición también aporta copia de un acuerdo de 5 de diciembre de 2012 mediante el cual la Corte Suprema de Justicia de Buenos Aires rechazó recursos extraordinarios de nulidad e inaplicabilidad de la ley que habían sido interpuestos por la defensa de la presunta víctima. </w:t>
      </w:r>
      <w:r w:rsidR="00586EEF" w:rsidRPr="00466820">
        <w:rPr>
          <w:rFonts w:asciiTheme="majorHAnsi" w:hAnsiTheme="majorHAnsi"/>
          <w:sz w:val="20"/>
          <w:szCs w:val="20"/>
          <w:lang w:val="es-ES_tradnl"/>
        </w:rPr>
        <w:t xml:space="preserve">Contra esa decisión, la defensa de la presunta víctima presentó un recurso extraordinario federal que fue denegado por la Corte Suprema de Justicia de Buenos Aires el 3 de julio de 2013. </w:t>
      </w:r>
    </w:p>
    <w:p w14:paraId="7F8F6606" w14:textId="643C51B0" w:rsidR="00294BD9" w:rsidRPr="00466820" w:rsidRDefault="00522894"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La presunta víctima recurrió la denegatoria de su recurso extraordinario federal </w:t>
      </w:r>
      <w:r w:rsidR="00586EEF" w:rsidRPr="00466820">
        <w:rPr>
          <w:rFonts w:asciiTheme="majorHAnsi" w:hAnsiTheme="majorHAnsi"/>
          <w:sz w:val="20"/>
          <w:szCs w:val="20"/>
          <w:lang w:val="es-ES_tradnl"/>
        </w:rPr>
        <w:t>mediante recurso de queja, el cual fue declarado inadmisible el 30 de septiembre de 2014 por la Corte Suprema de Justicia</w:t>
      </w:r>
      <w:r w:rsidR="00C031F0" w:rsidRPr="00466820">
        <w:rPr>
          <w:rFonts w:asciiTheme="majorHAnsi" w:hAnsiTheme="majorHAnsi"/>
          <w:sz w:val="20"/>
          <w:szCs w:val="20"/>
          <w:lang w:val="es-ES_tradnl"/>
        </w:rPr>
        <w:t xml:space="preserve"> de la Nación</w:t>
      </w:r>
      <w:r w:rsidR="00586EEF" w:rsidRPr="00466820">
        <w:rPr>
          <w:rFonts w:asciiTheme="majorHAnsi" w:hAnsiTheme="majorHAnsi"/>
          <w:sz w:val="20"/>
          <w:szCs w:val="20"/>
          <w:lang w:val="es-ES_tradnl"/>
        </w:rPr>
        <w:t xml:space="preserve"> con la sola invocación del artículo 280 del Código Procesal y Civil de la Nación</w:t>
      </w:r>
      <w:r w:rsidR="00E92C72" w:rsidRPr="00466820">
        <w:rPr>
          <w:rFonts w:asciiTheme="majorHAnsi" w:hAnsiTheme="majorHAnsi"/>
          <w:sz w:val="20"/>
          <w:szCs w:val="20"/>
          <w:lang w:val="es-ES_tradnl"/>
        </w:rPr>
        <w:t xml:space="preserve"> (</w:t>
      </w:r>
      <w:r w:rsidR="00E92C72" w:rsidRPr="00466820">
        <w:rPr>
          <w:rFonts w:asciiTheme="majorHAnsi" w:hAnsiTheme="majorHAnsi"/>
          <w:i/>
          <w:iCs/>
          <w:sz w:val="20"/>
          <w:szCs w:val="20"/>
          <w:lang w:val="es-ES_tradnl"/>
        </w:rPr>
        <w:t>certiorari</w:t>
      </w:r>
      <w:r w:rsidR="00E92C72" w:rsidRPr="00466820">
        <w:rPr>
          <w:rFonts w:asciiTheme="majorHAnsi" w:hAnsiTheme="majorHAnsi"/>
          <w:sz w:val="20"/>
          <w:szCs w:val="20"/>
          <w:lang w:val="es-ES_tradnl"/>
        </w:rPr>
        <w:t>)</w:t>
      </w:r>
      <w:r w:rsidR="00586EEF" w:rsidRPr="00466820">
        <w:rPr>
          <w:rFonts w:asciiTheme="majorHAnsi" w:hAnsiTheme="majorHAnsi"/>
          <w:sz w:val="20"/>
          <w:szCs w:val="20"/>
          <w:lang w:val="es-ES_tradnl"/>
        </w:rPr>
        <w:t>.</w:t>
      </w:r>
      <w:r w:rsidR="007416F4" w:rsidRPr="00466820">
        <w:rPr>
          <w:rFonts w:asciiTheme="majorHAnsi" w:hAnsiTheme="majorHAnsi"/>
          <w:sz w:val="20"/>
          <w:szCs w:val="20"/>
          <w:lang w:val="es-ES_tradnl"/>
        </w:rPr>
        <w:t xml:space="preserve"> La petición también </w:t>
      </w:r>
      <w:r w:rsidR="00E92C72" w:rsidRPr="00466820">
        <w:rPr>
          <w:rFonts w:asciiTheme="majorHAnsi" w:hAnsiTheme="majorHAnsi"/>
          <w:sz w:val="20"/>
          <w:szCs w:val="20"/>
          <w:lang w:val="es-ES_tradnl"/>
        </w:rPr>
        <w:t xml:space="preserve">se </w:t>
      </w:r>
      <w:r w:rsidR="007416F4" w:rsidRPr="00466820">
        <w:rPr>
          <w:rFonts w:asciiTheme="majorHAnsi" w:hAnsiTheme="majorHAnsi"/>
          <w:sz w:val="20"/>
          <w:szCs w:val="20"/>
          <w:lang w:val="es-ES_tradnl"/>
        </w:rPr>
        <w:t>refiere a una denuncia</w:t>
      </w:r>
      <w:r w:rsidR="00EA1519" w:rsidRPr="00466820">
        <w:rPr>
          <w:rFonts w:asciiTheme="majorHAnsi" w:hAnsiTheme="majorHAnsi"/>
          <w:sz w:val="20"/>
          <w:szCs w:val="20"/>
          <w:lang w:val="es-ES_tradnl"/>
        </w:rPr>
        <w:t xml:space="preserve"> por denegatoria de atención médica y beneficios procesales</w:t>
      </w:r>
      <w:r w:rsidR="007416F4" w:rsidRPr="00466820">
        <w:rPr>
          <w:rFonts w:asciiTheme="majorHAnsi" w:hAnsiTheme="majorHAnsi"/>
          <w:sz w:val="20"/>
          <w:szCs w:val="20"/>
          <w:lang w:val="es-ES_tradnl"/>
        </w:rPr>
        <w:t xml:space="preserve"> presentada por la presunta víctima contra los jueces del Tribunal Criminal No.</w:t>
      </w:r>
      <w:r w:rsidR="00E92C72" w:rsidRPr="00466820">
        <w:rPr>
          <w:rFonts w:asciiTheme="majorHAnsi" w:hAnsiTheme="majorHAnsi"/>
          <w:sz w:val="20"/>
          <w:szCs w:val="20"/>
          <w:lang w:val="es-ES_tradnl"/>
        </w:rPr>
        <w:t xml:space="preserve"> </w:t>
      </w:r>
      <w:r w:rsidR="007416F4" w:rsidRPr="00466820">
        <w:rPr>
          <w:rFonts w:asciiTheme="majorHAnsi" w:hAnsiTheme="majorHAnsi"/>
          <w:sz w:val="20"/>
          <w:szCs w:val="20"/>
          <w:lang w:val="es-ES_tradnl"/>
        </w:rPr>
        <w:t xml:space="preserve">2 de Mercedes ante la Subsecretaría de Control Disciplinario de la Suprema Corte Provincial, </w:t>
      </w:r>
      <w:r w:rsidR="00EA1519" w:rsidRPr="00466820">
        <w:rPr>
          <w:rFonts w:asciiTheme="majorHAnsi" w:hAnsiTheme="majorHAnsi"/>
          <w:sz w:val="20"/>
          <w:szCs w:val="20"/>
          <w:lang w:val="es-ES_tradnl"/>
        </w:rPr>
        <w:t xml:space="preserve">la que resultó desestimada. </w:t>
      </w:r>
    </w:p>
    <w:p w14:paraId="4246EFFD" w14:textId="62ED0377" w:rsidR="00EC3828" w:rsidRPr="00466820" w:rsidRDefault="00AF2C7E"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También explica la parte peticionaria que la </w:t>
      </w:r>
      <w:r w:rsidR="00FE4ED3" w:rsidRPr="00466820">
        <w:rPr>
          <w:rFonts w:asciiTheme="majorHAnsi" w:hAnsiTheme="majorHAnsi"/>
          <w:sz w:val="20"/>
          <w:szCs w:val="20"/>
          <w:lang w:val="es-ES_tradnl"/>
        </w:rPr>
        <w:t xml:space="preserve">presunta víctima estuvo privado de libertad por más de </w:t>
      </w:r>
      <w:r w:rsidR="00E92C72" w:rsidRPr="00466820">
        <w:rPr>
          <w:rFonts w:asciiTheme="majorHAnsi" w:hAnsiTheme="majorHAnsi"/>
          <w:sz w:val="20"/>
          <w:szCs w:val="20"/>
          <w:lang w:val="es-ES_tradnl"/>
        </w:rPr>
        <w:t>cinco</w:t>
      </w:r>
      <w:r w:rsidR="00FE4ED3" w:rsidRPr="00466820">
        <w:rPr>
          <w:rFonts w:asciiTheme="majorHAnsi" w:hAnsiTheme="majorHAnsi"/>
          <w:sz w:val="20"/>
          <w:szCs w:val="20"/>
          <w:lang w:val="es-ES_tradnl"/>
        </w:rPr>
        <w:t xml:space="preserve"> años</w:t>
      </w:r>
      <w:r w:rsidR="00E92C72" w:rsidRPr="00466820">
        <w:rPr>
          <w:rFonts w:asciiTheme="majorHAnsi" w:hAnsiTheme="majorHAnsi"/>
          <w:sz w:val="20"/>
          <w:szCs w:val="20"/>
          <w:lang w:val="es-ES_tradnl"/>
        </w:rPr>
        <w:t>,</w:t>
      </w:r>
      <w:r w:rsidR="00FE4ED3" w:rsidRPr="00466820">
        <w:rPr>
          <w:rFonts w:asciiTheme="majorHAnsi" w:hAnsiTheme="majorHAnsi"/>
          <w:sz w:val="20"/>
          <w:szCs w:val="20"/>
          <w:lang w:val="es-ES_tradnl"/>
        </w:rPr>
        <w:t xml:space="preserve"> pero con la reducción de su condena a una de </w:t>
      </w:r>
      <w:r w:rsidR="00E92C72" w:rsidRPr="00466820">
        <w:rPr>
          <w:rFonts w:asciiTheme="majorHAnsi" w:hAnsiTheme="majorHAnsi"/>
          <w:sz w:val="20"/>
          <w:szCs w:val="20"/>
          <w:lang w:val="es-ES_tradnl"/>
        </w:rPr>
        <w:t>dieciséis</w:t>
      </w:r>
      <w:r w:rsidR="00FE4ED3" w:rsidRPr="00466820">
        <w:rPr>
          <w:rFonts w:asciiTheme="majorHAnsi" w:hAnsiTheme="majorHAnsi"/>
          <w:sz w:val="20"/>
          <w:szCs w:val="20"/>
          <w:lang w:val="es-ES_tradnl"/>
        </w:rPr>
        <w:t xml:space="preserve"> años pudo obtener su libertad “</w:t>
      </w:r>
      <w:r w:rsidR="00FE4ED3" w:rsidRPr="00466820">
        <w:rPr>
          <w:rFonts w:asciiTheme="majorHAnsi" w:hAnsiTheme="majorHAnsi"/>
          <w:i/>
          <w:iCs/>
          <w:sz w:val="20"/>
          <w:szCs w:val="20"/>
          <w:lang w:val="es-ES_tradnl"/>
        </w:rPr>
        <w:t xml:space="preserve">por haber cumplido con un cómputo de dos por uno las dos terceras partes de la pena impuesta </w:t>
      </w:r>
      <w:r w:rsidR="00EE10B1" w:rsidRPr="00466820">
        <w:rPr>
          <w:rFonts w:asciiTheme="majorHAnsi" w:hAnsiTheme="majorHAnsi"/>
          <w:i/>
          <w:iCs/>
          <w:sz w:val="20"/>
          <w:szCs w:val="20"/>
          <w:lang w:val="es-ES_tradnl"/>
        </w:rPr>
        <w:t>con el tiempo padecido en prisión, más el que estuve con prisión domiciliaria</w:t>
      </w:r>
      <w:r w:rsidR="00EE10B1" w:rsidRPr="00466820">
        <w:rPr>
          <w:rFonts w:asciiTheme="majorHAnsi" w:hAnsiTheme="majorHAnsi"/>
          <w:sz w:val="20"/>
          <w:szCs w:val="20"/>
          <w:lang w:val="es-ES_tradnl"/>
        </w:rPr>
        <w:t xml:space="preserve">”. </w:t>
      </w:r>
    </w:p>
    <w:p w14:paraId="6A97CD06" w14:textId="50945946" w:rsidR="00EE10B1" w:rsidRPr="00466820" w:rsidRDefault="00EE10B1"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El Estado, por su parte, </w:t>
      </w:r>
      <w:r w:rsidR="00380080" w:rsidRPr="00466820">
        <w:rPr>
          <w:rFonts w:asciiTheme="majorHAnsi" w:hAnsiTheme="majorHAnsi"/>
          <w:sz w:val="20"/>
          <w:szCs w:val="20"/>
          <w:lang w:val="es-ES_tradnl"/>
        </w:rPr>
        <w:t xml:space="preserve">considera que la </w:t>
      </w:r>
      <w:r w:rsidR="00EA43E8" w:rsidRPr="00466820">
        <w:rPr>
          <w:rFonts w:asciiTheme="majorHAnsi" w:hAnsiTheme="majorHAnsi"/>
          <w:sz w:val="20"/>
          <w:szCs w:val="20"/>
          <w:lang w:val="es-ES_tradnl"/>
        </w:rPr>
        <w:t xml:space="preserve">petición </w:t>
      </w:r>
      <w:r w:rsidR="00380080" w:rsidRPr="00466820">
        <w:rPr>
          <w:rFonts w:asciiTheme="majorHAnsi" w:hAnsiTheme="majorHAnsi"/>
          <w:sz w:val="20"/>
          <w:szCs w:val="20"/>
          <w:lang w:val="es-ES_tradnl"/>
        </w:rPr>
        <w:t>debe ser archivada o inadmitida porque la presunta víctima no cumplió con requisito de agotamiento de los recursos internos, porque la petición pretende improcedentemente que la Comisión</w:t>
      </w:r>
      <w:r w:rsidR="00EA43E8" w:rsidRPr="00466820">
        <w:rPr>
          <w:rFonts w:asciiTheme="majorHAnsi" w:hAnsiTheme="majorHAnsi"/>
          <w:sz w:val="20"/>
          <w:szCs w:val="20"/>
          <w:lang w:val="es-ES_tradnl"/>
        </w:rPr>
        <w:t xml:space="preserve"> revise las decisiones de los tribunales domésticos en calidad de</w:t>
      </w:r>
      <w:r w:rsidR="00380080" w:rsidRPr="00466820">
        <w:rPr>
          <w:rFonts w:asciiTheme="majorHAnsi" w:hAnsiTheme="majorHAnsi"/>
          <w:sz w:val="20"/>
          <w:szCs w:val="20"/>
          <w:lang w:val="es-ES_tradnl"/>
        </w:rPr>
        <w:t xml:space="preserve"> “cuarta instancia”, y porque </w:t>
      </w:r>
      <w:r w:rsidR="00EA43E8" w:rsidRPr="00466820">
        <w:rPr>
          <w:rFonts w:asciiTheme="majorHAnsi" w:hAnsiTheme="majorHAnsi"/>
          <w:sz w:val="20"/>
          <w:szCs w:val="20"/>
          <w:lang w:val="es-ES_tradnl"/>
        </w:rPr>
        <w:t xml:space="preserve">le fue trasladada al Estado en forma extemporánea. </w:t>
      </w:r>
    </w:p>
    <w:p w14:paraId="121500D3" w14:textId="73F9D0AD" w:rsidR="00EA43E8" w:rsidRPr="00466820" w:rsidRDefault="00EA43E8"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Según explica el Estado, </w:t>
      </w:r>
      <w:r w:rsidR="001D5DEC" w:rsidRPr="00466820">
        <w:rPr>
          <w:rFonts w:asciiTheme="majorHAnsi" w:hAnsiTheme="majorHAnsi"/>
          <w:sz w:val="20"/>
          <w:szCs w:val="20"/>
          <w:lang w:val="es-ES_tradnl"/>
        </w:rPr>
        <w:t>al momento en que se dictó la sentencia de condena y se ordenó la detención de la presunta víctima</w:t>
      </w:r>
      <w:r w:rsidR="005F5A85" w:rsidRPr="00466820">
        <w:rPr>
          <w:rFonts w:asciiTheme="majorHAnsi" w:hAnsiTheme="majorHAnsi"/>
          <w:sz w:val="20"/>
          <w:szCs w:val="20"/>
          <w:lang w:val="es-ES_tradnl"/>
        </w:rPr>
        <w:t>,</w:t>
      </w:r>
      <w:r w:rsidR="001D5DEC" w:rsidRPr="00466820">
        <w:rPr>
          <w:rFonts w:asciiTheme="majorHAnsi" w:hAnsiTheme="majorHAnsi"/>
          <w:sz w:val="20"/>
          <w:szCs w:val="20"/>
          <w:lang w:val="es-ES_tradnl"/>
        </w:rPr>
        <w:t xml:space="preserve"> este no fue </w:t>
      </w:r>
      <w:r w:rsidR="00466820" w:rsidRPr="00466820">
        <w:rPr>
          <w:rFonts w:asciiTheme="majorHAnsi" w:hAnsiTheme="majorHAnsi"/>
          <w:sz w:val="20"/>
          <w:szCs w:val="20"/>
          <w:lang w:val="es-ES_tradnl"/>
        </w:rPr>
        <w:t>hallado</w:t>
      </w:r>
      <w:r w:rsidR="005F5A85" w:rsidRPr="00466820">
        <w:rPr>
          <w:rFonts w:asciiTheme="majorHAnsi" w:hAnsiTheme="majorHAnsi"/>
          <w:sz w:val="20"/>
          <w:szCs w:val="20"/>
          <w:lang w:val="es-ES_tradnl"/>
        </w:rPr>
        <w:t>,</w:t>
      </w:r>
      <w:r w:rsidR="001D5DEC" w:rsidRPr="00466820">
        <w:rPr>
          <w:rFonts w:asciiTheme="majorHAnsi" w:hAnsiTheme="majorHAnsi"/>
          <w:sz w:val="20"/>
          <w:szCs w:val="20"/>
          <w:lang w:val="es-ES_tradnl"/>
        </w:rPr>
        <w:t xml:space="preserve"> por lo que se dispuso se captura; quedando así evidenciado que este no estaba dispuesto a cumplir con su condena en caso de que ella adquiriera firmeza. En este sentido, el Estado destaca que en su recurso de casación la presunta víctima no se agravió de la detención dispuesta por el </w:t>
      </w:r>
      <w:r w:rsidR="00BC0F07" w:rsidRPr="00466820">
        <w:rPr>
          <w:rFonts w:asciiTheme="majorHAnsi" w:hAnsiTheme="majorHAnsi"/>
          <w:sz w:val="20"/>
          <w:szCs w:val="20"/>
          <w:lang w:val="es-ES_tradnl"/>
        </w:rPr>
        <w:t>tribunal de primera</w:t>
      </w:r>
      <w:r w:rsidR="001D5DEC" w:rsidRPr="00466820">
        <w:rPr>
          <w:rFonts w:asciiTheme="majorHAnsi" w:hAnsiTheme="majorHAnsi"/>
          <w:sz w:val="20"/>
          <w:szCs w:val="20"/>
          <w:lang w:val="es-ES_tradnl"/>
        </w:rPr>
        <w:t xml:space="preserve"> instancia, impidiendo así que el </w:t>
      </w:r>
      <w:r w:rsidR="00BC0F07" w:rsidRPr="00466820">
        <w:rPr>
          <w:rFonts w:asciiTheme="majorHAnsi" w:hAnsiTheme="majorHAnsi"/>
          <w:sz w:val="20"/>
          <w:szCs w:val="20"/>
          <w:lang w:val="es-ES_tradnl"/>
        </w:rPr>
        <w:t>tribunal de casación</w:t>
      </w:r>
      <w:r w:rsidR="001D5DEC" w:rsidRPr="00466820">
        <w:rPr>
          <w:rFonts w:asciiTheme="majorHAnsi" w:hAnsiTheme="majorHAnsi"/>
          <w:sz w:val="20"/>
          <w:szCs w:val="20"/>
          <w:lang w:val="es-ES_tradnl"/>
        </w:rPr>
        <w:t xml:space="preserve"> revisara lo resuelto respecto a la detención. Por esta razón, el Estado sostiene que la petición no cumple con el requisito de agotamiento de los recursos internos y que ha sido impedido de dar una adecuada respuesta a los agravios planteados en la petición a consecuencia de una impericia de la presunta víctima y sus letrados. </w:t>
      </w:r>
    </w:p>
    <w:p w14:paraId="30B41CA2" w14:textId="39CDF2F1" w:rsidR="006D2C0C" w:rsidRPr="00466820" w:rsidRDefault="001D5DEC"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También manifiesta el Estado que la petición no expone hechos que caractericen violaciones a la Convención Americana </w:t>
      </w:r>
      <w:r w:rsidR="0043404F" w:rsidRPr="00466820">
        <w:rPr>
          <w:rFonts w:asciiTheme="majorHAnsi" w:hAnsiTheme="majorHAnsi"/>
          <w:sz w:val="20"/>
          <w:szCs w:val="20"/>
          <w:lang w:val="es-ES_tradnl"/>
        </w:rPr>
        <w:t>y que la petición pretende que la Comisión revise las decisiones de los tribunales doméstic</w:t>
      </w:r>
      <w:r w:rsidR="006D2C0C" w:rsidRPr="00466820">
        <w:rPr>
          <w:rFonts w:asciiTheme="majorHAnsi" w:hAnsiTheme="majorHAnsi"/>
          <w:sz w:val="20"/>
          <w:szCs w:val="20"/>
          <w:lang w:val="es-ES_tradnl"/>
        </w:rPr>
        <w:t>o</w:t>
      </w:r>
      <w:r w:rsidR="0043404F" w:rsidRPr="00466820">
        <w:rPr>
          <w:rFonts w:asciiTheme="majorHAnsi" w:hAnsiTheme="majorHAnsi"/>
          <w:sz w:val="20"/>
          <w:szCs w:val="20"/>
          <w:lang w:val="es-ES_tradnl"/>
        </w:rPr>
        <w:t xml:space="preserve">s en forma incompatible con su naturaleza subsidiaria, complementaria y coadyuvante. </w:t>
      </w:r>
      <w:r w:rsidR="006D09BF" w:rsidRPr="00466820">
        <w:rPr>
          <w:rFonts w:asciiTheme="majorHAnsi" w:hAnsiTheme="majorHAnsi"/>
          <w:sz w:val="20"/>
          <w:szCs w:val="20"/>
          <w:lang w:val="es-ES_tradnl"/>
        </w:rPr>
        <w:t>Así</w:t>
      </w:r>
      <w:r w:rsidR="005F5A85" w:rsidRPr="00466820">
        <w:rPr>
          <w:rFonts w:asciiTheme="majorHAnsi" w:hAnsiTheme="majorHAnsi"/>
          <w:sz w:val="20"/>
          <w:szCs w:val="20"/>
          <w:lang w:val="es-ES_tradnl"/>
        </w:rPr>
        <w:t>,</w:t>
      </w:r>
      <w:r w:rsidR="006D09BF" w:rsidRPr="00466820">
        <w:rPr>
          <w:rFonts w:asciiTheme="majorHAnsi" w:hAnsiTheme="majorHAnsi"/>
          <w:sz w:val="20"/>
          <w:szCs w:val="20"/>
          <w:lang w:val="es-ES_tradnl"/>
        </w:rPr>
        <w:t xml:space="preserve"> argumenta que no surge del expediente que durante la tramitación de la causa penal en su contra la presunta víctima haya sufrido privación o restricción de su derecho a la defensa en juicio, que las autoridades judiciales intervinientes hayan sido incompetentes o parciales, que estas se hayan pronunciado sin fundamento jurídico, que la decisión haya sido tomada en contra o con prescindencia de lo expresamente dispuesto por la legislación vigente o por aplicación de una ley inexistente, que en el proceso se haya prescindido de pruebas fehacientes y </w:t>
      </w:r>
      <w:r w:rsidR="006D09BF" w:rsidRPr="00466820">
        <w:rPr>
          <w:rFonts w:asciiTheme="majorHAnsi" w:hAnsiTheme="majorHAnsi"/>
          <w:sz w:val="20"/>
          <w:szCs w:val="20"/>
          <w:lang w:val="es-ES_tradnl"/>
        </w:rPr>
        <w:lastRenderedPageBreak/>
        <w:t xml:space="preserve">decisivas, y que se haya omitido considerar cuestiones oportunamente propuestas y conducentes para la decisión del juicio, o que en el juicio se hayan considerado cuestiones que no eran materia del proceso. El Estado también destaca que la causa fue tramitada en plazo razonable y que la presunta víctima tuvo acceso a los mecanismos recursivos previstos en la jurisdicción doméstica. </w:t>
      </w:r>
    </w:p>
    <w:p w14:paraId="4C67EAB8" w14:textId="09AD9A14" w:rsidR="001D5DEC" w:rsidRPr="00466820" w:rsidRDefault="006D09BF"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Por </w:t>
      </w:r>
      <w:r w:rsidR="006D2C0C" w:rsidRPr="00466820">
        <w:rPr>
          <w:rFonts w:asciiTheme="majorHAnsi" w:hAnsiTheme="majorHAnsi"/>
          <w:sz w:val="20"/>
          <w:szCs w:val="20"/>
          <w:lang w:val="es-ES_tradnl"/>
        </w:rPr>
        <w:t>las razones arriba expuestas</w:t>
      </w:r>
      <w:r w:rsidRPr="00466820">
        <w:rPr>
          <w:rFonts w:asciiTheme="majorHAnsi" w:hAnsiTheme="majorHAnsi"/>
          <w:sz w:val="20"/>
          <w:szCs w:val="20"/>
          <w:lang w:val="es-ES_tradnl"/>
        </w:rPr>
        <w:t xml:space="preserve">, el Estado considera que la petición se reduce a una disconformidad de la parte peticionaria </w:t>
      </w:r>
      <w:r w:rsidR="005D194F" w:rsidRPr="00466820">
        <w:rPr>
          <w:rFonts w:asciiTheme="majorHAnsi" w:hAnsiTheme="majorHAnsi"/>
          <w:sz w:val="20"/>
          <w:szCs w:val="20"/>
          <w:lang w:val="es-ES_tradnl"/>
        </w:rPr>
        <w:t>por no haber obtenido en el ámbito doméstico un pronunciamiento favorable a sus intereses. En consecuencia, El Estado considera que la petición debe ser inadmitida conforme al artículo 47</w:t>
      </w:r>
      <w:r w:rsidR="00EA0727" w:rsidRPr="00466820">
        <w:rPr>
          <w:rFonts w:asciiTheme="majorHAnsi" w:hAnsiTheme="majorHAnsi"/>
          <w:sz w:val="20"/>
          <w:szCs w:val="20"/>
          <w:lang w:val="es-ES_tradnl"/>
        </w:rPr>
        <w:t>.</w:t>
      </w:r>
      <w:r w:rsidR="005D194F" w:rsidRPr="00466820">
        <w:rPr>
          <w:rFonts w:asciiTheme="majorHAnsi" w:hAnsiTheme="majorHAnsi"/>
          <w:sz w:val="20"/>
          <w:szCs w:val="20"/>
          <w:lang w:val="es-ES_tradnl"/>
        </w:rPr>
        <w:t>b) de la Convención Americana y la fórmula de la “cuarta instancia</w:t>
      </w:r>
      <w:r w:rsidR="005D3891" w:rsidRPr="00466820">
        <w:rPr>
          <w:rFonts w:asciiTheme="majorHAnsi" w:hAnsiTheme="majorHAnsi"/>
          <w:sz w:val="20"/>
          <w:szCs w:val="20"/>
          <w:lang w:val="es-ES_tradnl"/>
        </w:rPr>
        <w:t>”</w:t>
      </w:r>
      <w:r w:rsidR="00804F6F" w:rsidRPr="00466820">
        <w:rPr>
          <w:rFonts w:asciiTheme="majorHAnsi" w:hAnsiTheme="majorHAnsi"/>
          <w:sz w:val="20"/>
          <w:szCs w:val="20"/>
          <w:lang w:val="es-ES_tradnl"/>
        </w:rPr>
        <w:t>.</w:t>
      </w:r>
    </w:p>
    <w:p w14:paraId="43A4C716" w14:textId="67CD28EA" w:rsidR="00804F6F" w:rsidRPr="00466820" w:rsidRDefault="00804F6F" w:rsidP="00F628F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_tradnl"/>
        </w:rPr>
      </w:pPr>
      <w:r w:rsidRPr="00466820">
        <w:rPr>
          <w:rFonts w:asciiTheme="majorHAnsi" w:hAnsiTheme="majorHAnsi"/>
          <w:sz w:val="20"/>
          <w:szCs w:val="20"/>
          <w:lang w:val="es-ES_tradnl"/>
        </w:rPr>
        <w:t xml:space="preserve">Adicionalmente, </w:t>
      </w:r>
      <w:r w:rsidR="005F5A85" w:rsidRPr="00466820">
        <w:rPr>
          <w:rFonts w:asciiTheme="majorHAnsi" w:hAnsiTheme="majorHAnsi"/>
          <w:sz w:val="20"/>
          <w:szCs w:val="20"/>
          <w:lang w:val="es-ES_tradnl"/>
        </w:rPr>
        <w:t xml:space="preserve">y como es su práctica automática, </w:t>
      </w:r>
      <w:r w:rsidRPr="00466820">
        <w:rPr>
          <w:rFonts w:asciiTheme="majorHAnsi" w:hAnsiTheme="majorHAnsi"/>
          <w:sz w:val="20"/>
          <w:szCs w:val="20"/>
          <w:lang w:val="es-ES_tradnl"/>
        </w:rPr>
        <w:t xml:space="preserve">el Estado reclama que la petición le fue trasladada más cuatro años y medio luego de su presentación ante la comisión, lo que tacha de extemporáneo e incompatible con el derecho del Estado al adecuado ejercicio de su defensa. </w:t>
      </w:r>
    </w:p>
    <w:p w14:paraId="766FAFE2" w14:textId="1BC38FB3" w:rsidR="00150195" w:rsidRPr="00466820" w:rsidRDefault="004C616A" w:rsidP="00F628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b/>
          <w:bCs/>
          <w:sz w:val="20"/>
          <w:szCs w:val="20"/>
          <w:lang w:val="es-ES_tradnl"/>
        </w:rPr>
      </w:pPr>
      <w:r w:rsidRPr="00466820">
        <w:rPr>
          <w:rFonts w:asciiTheme="majorHAnsi" w:hAnsiTheme="majorHAnsi"/>
          <w:b/>
          <w:bCs/>
          <w:sz w:val="20"/>
          <w:szCs w:val="20"/>
          <w:lang w:val="es-ES_tradnl"/>
        </w:rPr>
        <w:t xml:space="preserve">VI. </w:t>
      </w:r>
      <w:r w:rsidR="00464346" w:rsidRPr="00466820">
        <w:rPr>
          <w:rFonts w:asciiTheme="majorHAnsi" w:hAnsiTheme="majorHAnsi"/>
          <w:b/>
          <w:bCs/>
          <w:sz w:val="20"/>
          <w:szCs w:val="20"/>
          <w:lang w:val="es-ES_tradnl"/>
        </w:rPr>
        <w:t xml:space="preserve">  </w:t>
      </w:r>
      <w:r w:rsidR="00C67C71" w:rsidRPr="00466820">
        <w:rPr>
          <w:rFonts w:asciiTheme="majorHAnsi" w:hAnsiTheme="majorHAnsi"/>
          <w:b/>
          <w:bCs/>
          <w:sz w:val="20"/>
          <w:szCs w:val="20"/>
          <w:lang w:val="es-ES_tradnl"/>
        </w:rPr>
        <w:tab/>
      </w:r>
      <w:r w:rsidRPr="00466820">
        <w:rPr>
          <w:rFonts w:asciiTheme="majorHAnsi" w:hAnsiTheme="majorHAnsi"/>
          <w:b/>
          <w:bCs/>
          <w:sz w:val="20"/>
          <w:szCs w:val="20"/>
          <w:lang w:val="es-ES_tradnl"/>
        </w:rPr>
        <w:t>AGOTAMIENTO DE LOS RECURSOS INTERNOS Y PLAZO DE PRESENTACIÓN</w:t>
      </w:r>
    </w:p>
    <w:p w14:paraId="7F6B3BDE" w14:textId="386C7ADA" w:rsidR="00C47445" w:rsidRPr="00466820" w:rsidRDefault="001C0589" w:rsidP="00F628F6">
      <w:pPr>
        <w:pStyle w:val="ListParagraph"/>
        <w:numPr>
          <w:ilvl w:val="0"/>
          <w:numId w:val="55"/>
        </w:numPr>
        <w:spacing w:after="120"/>
        <w:contextualSpacing/>
        <w:jc w:val="both"/>
        <w:rPr>
          <w:rFonts w:asciiTheme="majorHAnsi" w:hAnsiTheme="majorHAnsi" w:cs="Calibri"/>
          <w:sz w:val="20"/>
          <w:szCs w:val="20"/>
          <w:lang w:val="es-ES_tradnl"/>
        </w:rPr>
      </w:pPr>
      <w:r w:rsidRPr="00466820">
        <w:rPr>
          <w:rFonts w:asciiTheme="majorHAnsi" w:hAnsiTheme="majorHAnsi" w:cs="Calibri"/>
          <w:sz w:val="20"/>
          <w:szCs w:val="20"/>
          <w:lang w:val="es-ES_tradnl"/>
        </w:rPr>
        <w:t>Según el criterio sostenido de la Comisión, para efectos de determinar la vía procesal adecuada que debía ser agotada a nivel doméstico se requiere establecer preliminarmente el objeto de la petición</w:t>
      </w:r>
      <w:r w:rsidRPr="00466820">
        <w:rPr>
          <w:rStyle w:val="FootnoteReference"/>
          <w:rFonts w:asciiTheme="majorHAnsi" w:hAnsiTheme="majorHAnsi" w:cs="Calibri"/>
          <w:sz w:val="20"/>
          <w:szCs w:val="20"/>
          <w:lang w:val="es-ES_tradnl"/>
        </w:rPr>
        <w:footnoteReference w:id="5"/>
      </w:r>
      <w:r w:rsidRPr="00466820">
        <w:rPr>
          <w:rFonts w:asciiTheme="majorHAnsi" w:hAnsiTheme="majorHAnsi" w:cs="Calibri"/>
          <w:sz w:val="20"/>
          <w:szCs w:val="20"/>
          <w:lang w:val="es-ES_tradnl"/>
        </w:rPr>
        <w:t>.</w:t>
      </w:r>
      <w:r w:rsidR="00BC0F07" w:rsidRPr="00466820">
        <w:rPr>
          <w:rFonts w:asciiTheme="majorHAnsi" w:hAnsiTheme="majorHAnsi" w:cs="Calibri"/>
          <w:sz w:val="20"/>
          <w:szCs w:val="20"/>
          <w:lang w:val="es-ES_tradnl"/>
        </w:rPr>
        <w:t xml:space="preserve"> </w:t>
      </w:r>
      <w:r w:rsidRPr="00466820">
        <w:rPr>
          <w:rFonts w:asciiTheme="majorHAnsi" w:hAnsiTheme="majorHAnsi" w:cs="Calibri"/>
          <w:sz w:val="20"/>
          <w:szCs w:val="20"/>
          <w:lang w:val="es-ES_tradnl"/>
        </w:rPr>
        <w:t>En este sentido, la Comisión observa que el objeto de la presente petición es la condena proferida contra la presunta víctima, la que se alega emanó de un proceso desarrollado en forma incompatible con la Convención Americana. En consecuencia, los recursos que la presunta víctima pudiera haber agotado contra la detención dispuesta en su contra por el tribunal de primera instancia no resultan relevantes para el análisis de admisibilidad</w:t>
      </w:r>
      <w:r w:rsidR="00BC0F07" w:rsidRPr="00466820">
        <w:rPr>
          <w:rFonts w:asciiTheme="majorHAnsi" w:hAnsiTheme="majorHAnsi" w:cs="Calibri"/>
          <w:sz w:val="20"/>
          <w:szCs w:val="20"/>
          <w:lang w:val="es-ES_tradnl"/>
        </w:rPr>
        <w:t xml:space="preserve">. Esto, puesto que esa detención no forma parte del objeto de la petición. </w:t>
      </w:r>
    </w:p>
    <w:p w14:paraId="4FE4B413" w14:textId="77777777" w:rsidR="00C47445" w:rsidRPr="00466820" w:rsidRDefault="00C47445" w:rsidP="002164D3">
      <w:pPr>
        <w:pStyle w:val="ListParagraph"/>
        <w:rPr>
          <w:rFonts w:asciiTheme="majorHAnsi" w:hAnsiTheme="majorHAnsi" w:cs="Calibri"/>
          <w:sz w:val="20"/>
          <w:szCs w:val="20"/>
          <w:lang w:val="es-ES_tradnl"/>
        </w:rPr>
      </w:pPr>
    </w:p>
    <w:p w14:paraId="54FC086D" w14:textId="25E6A231" w:rsidR="00C031F0" w:rsidRPr="00466820" w:rsidRDefault="00BC0F07" w:rsidP="00EA0727">
      <w:pPr>
        <w:pStyle w:val="ListParagraph"/>
        <w:numPr>
          <w:ilvl w:val="0"/>
          <w:numId w:val="55"/>
        </w:numPr>
        <w:spacing w:after="120"/>
        <w:contextualSpacing/>
        <w:jc w:val="both"/>
        <w:rPr>
          <w:rFonts w:asciiTheme="majorHAnsi" w:hAnsiTheme="majorHAnsi" w:cs="Calibri"/>
          <w:sz w:val="20"/>
          <w:szCs w:val="20"/>
          <w:lang w:val="es-ES_tradnl"/>
        </w:rPr>
      </w:pPr>
      <w:r w:rsidRPr="00466820">
        <w:rPr>
          <w:rFonts w:asciiTheme="majorHAnsi" w:hAnsiTheme="majorHAnsi" w:cs="Calibri"/>
          <w:sz w:val="20"/>
          <w:szCs w:val="20"/>
          <w:lang w:val="es-ES_tradnl"/>
        </w:rPr>
        <w:t xml:space="preserve">En cuanto a la condena proferida contra la presunta víctima, la Comisión observa que la presunta víctima fue inicialmente condenado por </w:t>
      </w:r>
      <w:r w:rsidRPr="00466820">
        <w:rPr>
          <w:rFonts w:asciiTheme="majorHAnsi" w:hAnsiTheme="majorHAnsi"/>
          <w:sz w:val="20"/>
          <w:szCs w:val="20"/>
          <w:lang w:val="es-ES_tradnl"/>
        </w:rPr>
        <w:t>Tribunal Criminal No. 2 del Departamento Judicial de Mercedes, siendo la condena luego modificada por la Sala II del Tribunal de Casación de Buenos Aires. Contra la condena modificada, la presunta víctima interpuso múltiples recursos extraordinarios a nivel provincial y federal</w:t>
      </w:r>
      <w:r w:rsidR="00C031F0" w:rsidRPr="00466820">
        <w:rPr>
          <w:rFonts w:asciiTheme="majorHAnsi" w:hAnsiTheme="majorHAnsi"/>
          <w:sz w:val="20"/>
          <w:szCs w:val="20"/>
          <w:lang w:val="es-ES_tradnl"/>
        </w:rPr>
        <w:t xml:space="preserve"> siendo el último de estos un recurso de queja por denegatoria de recurso extraordinario federal que fue definitivamente rechazado por la Corte Suprema de Justicia de la Nación</w:t>
      </w:r>
      <w:r w:rsidR="004D1711" w:rsidRPr="00466820">
        <w:rPr>
          <w:rFonts w:asciiTheme="majorHAnsi" w:hAnsiTheme="majorHAnsi"/>
          <w:sz w:val="20"/>
          <w:szCs w:val="20"/>
          <w:lang w:val="es-ES_tradnl"/>
        </w:rPr>
        <w:t xml:space="preserve"> el 30 de septiembre de 2014</w:t>
      </w:r>
      <w:r w:rsidR="00C031F0" w:rsidRPr="00466820">
        <w:rPr>
          <w:rFonts w:asciiTheme="majorHAnsi" w:hAnsiTheme="majorHAnsi"/>
          <w:sz w:val="20"/>
          <w:szCs w:val="20"/>
          <w:lang w:val="es-ES_tradnl"/>
        </w:rPr>
        <w:t>. El Estado no ha indicado ni surge del expediente que los recursos agotados por la presunta víctima no fueran los idóneos o que luego de que la Corte Suprema de Justicia de la Nación emitiera esta última decisión restaran recursos adicionales no agotados que pudieran haber sido idóneos para que las reclamaciones planteadas en la petición fueran atendidas a nivel doméstico. Por lo tanto, la Comisión concluye que la presente petición cumple con los requisitos del artículo 46.1</w:t>
      </w:r>
      <w:r w:rsidR="00C67C71" w:rsidRPr="00466820">
        <w:rPr>
          <w:rFonts w:asciiTheme="majorHAnsi" w:hAnsiTheme="majorHAnsi"/>
          <w:sz w:val="20"/>
          <w:szCs w:val="20"/>
          <w:lang w:val="es-ES_tradnl"/>
        </w:rPr>
        <w:t>.</w:t>
      </w:r>
      <w:r w:rsidR="00C031F0" w:rsidRPr="00466820">
        <w:rPr>
          <w:rFonts w:asciiTheme="majorHAnsi" w:hAnsiTheme="majorHAnsi"/>
          <w:sz w:val="20"/>
          <w:szCs w:val="20"/>
          <w:lang w:val="es-ES_tradnl"/>
        </w:rPr>
        <w:t xml:space="preserve">a) de la Convención Americana. </w:t>
      </w:r>
    </w:p>
    <w:p w14:paraId="0004598A" w14:textId="77777777" w:rsidR="00150195" w:rsidRPr="00466820" w:rsidRDefault="00150195" w:rsidP="00EA0727">
      <w:pPr>
        <w:pStyle w:val="ListParagraph"/>
        <w:spacing w:after="120"/>
        <w:contextualSpacing/>
        <w:jc w:val="both"/>
        <w:rPr>
          <w:rFonts w:asciiTheme="majorHAnsi" w:hAnsiTheme="majorHAnsi" w:cs="Calibri"/>
          <w:sz w:val="20"/>
          <w:szCs w:val="20"/>
          <w:lang w:val="es-ES_tradnl"/>
        </w:rPr>
      </w:pPr>
    </w:p>
    <w:p w14:paraId="2F5D10E8" w14:textId="0822F063" w:rsidR="00C47445" w:rsidRPr="00466820" w:rsidRDefault="00C67C71" w:rsidP="00EA0727">
      <w:pPr>
        <w:pStyle w:val="ListParagraph"/>
        <w:numPr>
          <w:ilvl w:val="0"/>
          <w:numId w:val="55"/>
        </w:numPr>
        <w:spacing w:after="120"/>
        <w:contextualSpacing/>
        <w:jc w:val="both"/>
        <w:rPr>
          <w:rFonts w:asciiTheme="majorHAnsi" w:hAnsiTheme="majorHAnsi"/>
          <w:b/>
          <w:bCs/>
          <w:sz w:val="20"/>
          <w:szCs w:val="20"/>
          <w:lang w:val="es-ES_tradnl"/>
        </w:rPr>
      </w:pPr>
      <w:r w:rsidRPr="00466820">
        <w:rPr>
          <w:rFonts w:asciiTheme="majorHAnsi" w:hAnsiTheme="majorHAnsi"/>
          <w:sz w:val="20"/>
          <w:szCs w:val="20"/>
          <w:lang w:val="es-ES_tradnl"/>
        </w:rPr>
        <w:t>Además,</w:t>
      </w:r>
      <w:r w:rsidR="004D1711" w:rsidRPr="00466820">
        <w:rPr>
          <w:rFonts w:asciiTheme="majorHAnsi" w:hAnsiTheme="majorHAnsi" w:cs="Calibri"/>
          <w:sz w:val="20"/>
          <w:szCs w:val="20"/>
          <w:lang w:val="es-ES_tradnl"/>
        </w:rPr>
        <w:t xml:space="preserve"> dado que la decisión definitiva respecto al último de los recursos extraordinarios se emitió el 30 de septiembre de 2014</w:t>
      </w:r>
      <w:r w:rsidRPr="00466820">
        <w:rPr>
          <w:rFonts w:asciiTheme="majorHAnsi" w:hAnsiTheme="majorHAnsi" w:cs="Calibri"/>
          <w:sz w:val="20"/>
          <w:szCs w:val="20"/>
          <w:lang w:val="es-ES_tradnl"/>
        </w:rPr>
        <w:t>,</w:t>
      </w:r>
      <w:r w:rsidR="004D1711" w:rsidRPr="00466820">
        <w:rPr>
          <w:rFonts w:asciiTheme="majorHAnsi" w:hAnsiTheme="majorHAnsi" w:cs="Calibri"/>
          <w:sz w:val="20"/>
          <w:szCs w:val="20"/>
          <w:lang w:val="es-ES_tradnl"/>
        </w:rPr>
        <w:t xml:space="preserve"> y la petición fue presentada el 12 de diciembre de 2014, la </w:t>
      </w:r>
      <w:r w:rsidRPr="00466820">
        <w:rPr>
          <w:rFonts w:asciiTheme="majorHAnsi" w:hAnsiTheme="majorHAnsi" w:cs="Calibri"/>
          <w:sz w:val="20"/>
          <w:szCs w:val="20"/>
          <w:lang w:val="es-ES_tradnl"/>
        </w:rPr>
        <w:t>CIDH</w:t>
      </w:r>
      <w:r w:rsidR="004D1711" w:rsidRPr="00466820">
        <w:rPr>
          <w:rFonts w:asciiTheme="majorHAnsi" w:hAnsiTheme="majorHAnsi" w:cs="Calibri"/>
          <w:sz w:val="20"/>
          <w:szCs w:val="20"/>
          <w:lang w:val="es-ES_tradnl"/>
        </w:rPr>
        <w:t xml:space="preserve"> concluye que la presente petición también cumple con </w:t>
      </w:r>
      <w:r w:rsidRPr="00466820">
        <w:rPr>
          <w:rFonts w:asciiTheme="majorHAnsi" w:hAnsiTheme="majorHAnsi" w:cs="Calibri"/>
          <w:sz w:val="20"/>
          <w:szCs w:val="20"/>
          <w:lang w:val="es-ES_tradnl"/>
        </w:rPr>
        <w:t>el</w:t>
      </w:r>
      <w:r w:rsidR="004D1711" w:rsidRPr="00466820">
        <w:rPr>
          <w:rFonts w:asciiTheme="majorHAnsi" w:hAnsiTheme="majorHAnsi" w:cs="Calibri"/>
          <w:sz w:val="20"/>
          <w:szCs w:val="20"/>
          <w:lang w:val="es-ES_tradnl"/>
        </w:rPr>
        <w:t xml:space="preserve"> requisito del artículo 46.1</w:t>
      </w:r>
      <w:r w:rsidRPr="00466820">
        <w:rPr>
          <w:rFonts w:asciiTheme="majorHAnsi" w:hAnsiTheme="majorHAnsi" w:cs="Calibri"/>
          <w:sz w:val="20"/>
          <w:szCs w:val="20"/>
          <w:lang w:val="es-ES_tradnl"/>
        </w:rPr>
        <w:t>.</w:t>
      </w:r>
      <w:r w:rsidR="004D1711" w:rsidRPr="00466820">
        <w:rPr>
          <w:rFonts w:asciiTheme="majorHAnsi" w:hAnsiTheme="majorHAnsi" w:cs="Calibri"/>
          <w:sz w:val="20"/>
          <w:szCs w:val="20"/>
          <w:lang w:val="es-ES_tradnl"/>
        </w:rPr>
        <w:t xml:space="preserve">b) de la Convención Americana. </w:t>
      </w:r>
    </w:p>
    <w:p w14:paraId="7ED94225" w14:textId="1FC93E7A" w:rsidR="004D1711" w:rsidRPr="00466820" w:rsidRDefault="00F04591" w:rsidP="00EA0727">
      <w:pPr>
        <w:spacing w:after="120"/>
        <w:ind w:firstLine="720"/>
        <w:contextualSpacing/>
        <w:jc w:val="both"/>
        <w:rPr>
          <w:rFonts w:asciiTheme="majorHAnsi" w:hAnsiTheme="majorHAnsi"/>
          <w:b/>
          <w:bCs/>
          <w:sz w:val="20"/>
          <w:szCs w:val="20"/>
          <w:lang w:val="es-ES_tradnl"/>
        </w:rPr>
      </w:pPr>
      <w:r w:rsidRPr="00466820">
        <w:rPr>
          <w:rFonts w:asciiTheme="majorHAnsi" w:hAnsiTheme="majorHAnsi"/>
          <w:b/>
          <w:bCs/>
          <w:sz w:val="20"/>
          <w:szCs w:val="20"/>
          <w:lang w:val="es-ES_tradnl"/>
        </w:rPr>
        <w:t>V</w:t>
      </w:r>
      <w:r w:rsidR="000E2789" w:rsidRPr="00466820">
        <w:rPr>
          <w:rFonts w:asciiTheme="majorHAnsi" w:hAnsiTheme="majorHAnsi"/>
          <w:b/>
          <w:bCs/>
          <w:sz w:val="20"/>
          <w:szCs w:val="20"/>
          <w:lang w:val="es-ES_tradnl"/>
        </w:rPr>
        <w:t>I</w:t>
      </w:r>
      <w:r w:rsidRPr="00466820">
        <w:rPr>
          <w:rFonts w:asciiTheme="majorHAnsi" w:hAnsiTheme="majorHAnsi"/>
          <w:b/>
          <w:bCs/>
          <w:sz w:val="20"/>
          <w:szCs w:val="20"/>
          <w:lang w:val="es-ES_tradnl"/>
        </w:rPr>
        <w:t xml:space="preserve">I. </w:t>
      </w:r>
      <w:r w:rsidRPr="00466820">
        <w:rPr>
          <w:rFonts w:asciiTheme="majorHAnsi" w:hAnsiTheme="majorHAnsi"/>
          <w:b/>
          <w:bCs/>
          <w:sz w:val="20"/>
          <w:szCs w:val="20"/>
          <w:lang w:val="es-ES_tradnl"/>
        </w:rPr>
        <w:tab/>
      </w:r>
      <w:r w:rsidR="00EA0727" w:rsidRPr="00466820">
        <w:rPr>
          <w:rFonts w:asciiTheme="majorHAnsi" w:hAnsiTheme="majorHAnsi"/>
          <w:b/>
          <w:bCs/>
          <w:sz w:val="20"/>
          <w:szCs w:val="20"/>
          <w:lang w:val="es-ES_tradnl"/>
        </w:rPr>
        <w:t xml:space="preserve">ANÁLISIS DE </w:t>
      </w:r>
      <w:r w:rsidRPr="00466820">
        <w:rPr>
          <w:rFonts w:asciiTheme="majorHAnsi" w:hAnsiTheme="majorHAnsi"/>
          <w:b/>
          <w:bCs/>
          <w:sz w:val="20"/>
          <w:szCs w:val="20"/>
          <w:lang w:val="es-ES_tradnl"/>
        </w:rPr>
        <w:t>CARACTERIZACIÓN</w:t>
      </w:r>
    </w:p>
    <w:p w14:paraId="43DA9D55" w14:textId="066E85FF" w:rsidR="00844199" w:rsidRPr="00466820" w:rsidRDefault="008F10AE" w:rsidP="00EA0727">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_tradnl"/>
        </w:rPr>
      </w:pPr>
      <w:r w:rsidRPr="00466820">
        <w:rPr>
          <w:rFonts w:asciiTheme="majorHAnsi" w:hAnsiTheme="majorHAnsi"/>
          <w:sz w:val="20"/>
          <w:szCs w:val="20"/>
          <w:lang w:val="es-ES_tradnl"/>
        </w:rPr>
        <w:t xml:space="preserve">Preliminarmente y dado que </w:t>
      </w:r>
      <w:r w:rsidRPr="00466820">
        <w:rPr>
          <w:rFonts w:asciiTheme="majorHAnsi" w:hAnsiTheme="majorHAnsi" w:cs="Calibri"/>
          <w:sz w:val="20"/>
          <w:szCs w:val="20"/>
          <w:lang w:val="es-ES_tradnl"/>
        </w:rPr>
        <w:t>el Estado ha presentado alegatos referidos a la llamada fórmula de “cuarta instancia”</w:t>
      </w:r>
      <w:r w:rsidRPr="00466820">
        <w:rPr>
          <w:rFonts w:asciiTheme="majorHAnsi" w:hAnsiTheme="majorHAnsi"/>
          <w:sz w:val="20"/>
          <w:szCs w:val="20"/>
          <w:lang w:val="es-ES_tradnl"/>
        </w:rPr>
        <w:t xml:space="preserve">,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w:t>
      </w:r>
    </w:p>
    <w:p w14:paraId="14ADAAE1" w14:textId="501667CE" w:rsidR="00844199" w:rsidRPr="00466820" w:rsidRDefault="00844199" w:rsidP="00F628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_tradnl"/>
        </w:rPr>
      </w:pPr>
      <w:r w:rsidRPr="00466820">
        <w:rPr>
          <w:rFonts w:asciiTheme="majorHAnsi" w:hAnsiTheme="majorHAnsi"/>
          <w:sz w:val="20"/>
          <w:szCs w:val="20"/>
          <w:lang w:val="es-ES_tradnl"/>
        </w:rPr>
        <w:t>En el presente caso, la Comisión observa que el alegato fundamental de la parte peticionaria se refiere a la alegada utilización en el juicio contra el Sr. José Chain, de un testimonio arrancado mediante torturas a un coimputado. Sin embargo, y sin entrar a realizar un análisis de fondo que no correspondería a la presente etapa procesal, la Comisión observa en la sentencia proferida contra el Sr. José Chain que</w:t>
      </w:r>
      <w:r w:rsidR="00D224E0" w:rsidRPr="00466820">
        <w:rPr>
          <w:rFonts w:asciiTheme="majorHAnsi" w:hAnsiTheme="majorHAnsi"/>
          <w:sz w:val="20"/>
          <w:szCs w:val="20"/>
          <w:lang w:val="es-ES_tradnl"/>
        </w:rPr>
        <w:t xml:space="preserve"> </w:t>
      </w:r>
      <w:r w:rsidR="00D70858" w:rsidRPr="00466820">
        <w:rPr>
          <w:rFonts w:asciiTheme="majorHAnsi" w:hAnsiTheme="majorHAnsi"/>
          <w:sz w:val="20"/>
          <w:szCs w:val="20"/>
          <w:lang w:val="es-ES_tradnl"/>
        </w:rPr>
        <w:t>el</w:t>
      </w:r>
      <w:r w:rsidRPr="00466820">
        <w:rPr>
          <w:rFonts w:asciiTheme="majorHAnsi" w:hAnsiTheme="majorHAnsi"/>
          <w:sz w:val="20"/>
          <w:szCs w:val="20"/>
          <w:lang w:val="es-ES_tradnl"/>
        </w:rPr>
        <w:t xml:space="preserve"> tribunal, además de lo declarado por el coimputado, valoraron otros elementos</w:t>
      </w:r>
      <w:r w:rsidR="00D224E0" w:rsidRPr="00466820">
        <w:rPr>
          <w:rFonts w:asciiTheme="majorHAnsi" w:hAnsiTheme="majorHAnsi"/>
          <w:sz w:val="20"/>
          <w:szCs w:val="20"/>
          <w:lang w:val="es-ES_tradnl"/>
        </w:rPr>
        <w:t>,</w:t>
      </w:r>
      <w:r w:rsidRPr="00466820">
        <w:rPr>
          <w:rFonts w:asciiTheme="majorHAnsi" w:hAnsiTheme="majorHAnsi"/>
          <w:sz w:val="20"/>
          <w:szCs w:val="20"/>
          <w:lang w:val="es-ES_tradnl"/>
        </w:rPr>
        <w:t xml:space="preserve"> como</w:t>
      </w:r>
      <w:r w:rsidR="00D224E0" w:rsidRPr="00466820">
        <w:rPr>
          <w:rFonts w:asciiTheme="majorHAnsi" w:hAnsiTheme="majorHAnsi"/>
          <w:sz w:val="20"/>
          <w:szCs w:val="20"/>
          <w:lang w:val="es-ES_tradnl"/>
        </w:rPr>
        <w:t xml:space="preserve"> por ejemplo</w:t>
      </w:r>
      <w:r w:rsidRPr="00466820">
        <w:rPr>
          <w:rFonts w:asciiTheme="majorHAnsi" w:hAnsiTheme="majorHAnsi"/>
          <w:sz w:val="20"/>
          <w:szCs w:val="20"/>
          <w:lang w:val="es-ES_tradnl"/>
        </w:rPr>
        <w:t>:</w:t>
      </w:r>
      <w:r w:rsidR="00D224E0" w:rsidRPr="00466820">
        <w:rPr>
          <w:rFonts w:asciiTheme="majorHAnsi" w:hAnsiTheme="majorHAnsi"/>
          <w:sz w:val="20"/>
          <w:szCs w:val="20"/>
          <w:lang w:val="es-ES_tradnl"/>
        </w:rPr>
        <w:t xml:space="preserve"> (a)</w:t>
      </w:r>
      <w:r w:rsidRPr="00466820">
        <w:rPr>
          <w:rFonts w:asciiTheme="majorHAnsi" w:hAnsiTheme="majorHAnsi"/>
          <w:sz w:val="20"/>
          <w:szCs w:val="20"/>
          <w:lang w:val="es-ES_tradnl"/>
        </w:rPr>
        <w:t xml:space="preserve"> testimonios que daban cuenta de una supuesta historia de agresividad de la presunta víctima para con su expareja; </w:t>
      </w:r>
      <w:r w:rsidR="00D224E0" w:rsidRPr="00466820">
        <w:rPr>
          <w:rFonts w:asciiTheme="majorHAnsi" w:hAnsiTheme="majorHAnsi"/>
          <w:sz w:val="20"/>
          <w:szCs w:val="20"/>
          <w:lang w:val="es-ES_tradnl"/>
        </w:rPr>
        <w:t xml:space="preserve">(b) </w:t>
      </w:r>
      <w:r w:rsidRPr="00466820">
        <w:rPr>
          <w:rFonts w:asciiTheme="majorHAnsi" w:hAnsiTheme="majorHAnsi"/>
          <w:sz w:val="20"/>
          <w:szCs w:val="20"/>
          <w:lang w:val="es-ES_tradnl"/>
        </w:rPr>
        <w:t xml:space="preserve">la circunstancia de que la presunta víctima hubiese tratado de evadir su captura por parte de la policía; </w:t>
      </w:r>
      <w:r w:rsidR="00D224E0" w:rsidRPr="00466820">
        <w:rPr>
          <w:rFonts w:asciiTheme="majorHAnsi" w:hAnsiTheme="majorHAnsi"/>
          <w:sz w:val="20"/>
          <w:szCs w:val="20"/>
          <w:lang w:val="es-ES_tradnl"/>
        </w:rPr>
        <w:t xml:space="preserve">(c) </w:t>
      </w:r>
      <w:r w:rsidRPr="00466820">
        <w:rPr>
          <w:rFonts w:asciiTheme="majorHAnsi" w:hAnsiTheme="majorHAnsi"/>
          <w:sz w:val="20"/>
          <w:szCs w:val="20"/>
          <w:lang w:val="es-ES_tradnl"/>
        </w:rPr>
        <w:t xml:space="preserve">la </w:t>
      </w:r>
      <w:r w:rsidRPr="00466820">
        <w:rPr>
          <w:rFonts w:asciiTheme="majorHAnsi" w:hAnsiTheme="majorHAnsi"/>
          <w:sz w:val="20"/>
          <w:szCs w:val="20"/>
          <w:lang w:val="es-ES_tradnl"/>
        </w:rPr>
        <w:lastRenderedPageBreak/>
        <w:t xml:space="preserve">circunstancia de que cinco días antes de su muerte la mujer había demandado a la presunta víctima para solicitar el pago retroactivo de prestaciones alimentarias por una suma equivalente a </w:t>
      </w:r>
      <w:r w:rsidR="00D224E0" w:rsidRPr="00466820">
        <w:rPr>
          <w:rFonts w:asciiTheme="majorHAnsi" w:hAnsiTheme="majorHAnsi"/>
          <w:sz w:val="20"/>
          <w:szCs w:val="20"/>
          <w:lang w:val="es-ES_tradnl"/>
        </w:rPr>
        <w:t>$.</w:t>
      </w:r>
      <w:r w:rsidRPr="00466820">
        <w:rPr>
          <w:rFonts w:asciiTheme="majorHAnsi" w:hAnsiTheme="majorHAnsi"/>
          <w:sz w:val="20"/>
          <w:szCs w:val="20"/>
          <w:lang w:val="es-ES_tradnl"/>
        </w:rPr>
        <w:t xml:space="preserve">15,000 dólares estadounidenses; </w:t>
      </w:r>
      <w:r w:rsidR="00D224E0" w:rsidRPr="00466820">
        <w:rPr>
          <w:rFonts w:asciiTheme="majorHAnsi" w:hAnsiTheme="majorHAnsi"/>
          <w:sz w:val="20"/>
          <w:szCs w:val="20"/>
          <w:lang w:val="es-ES_tradnl"/>
        </w:rPr>
        <w:t xml:space="preserve">(d) </w:t>
      </w:r>
      <w:r w:rsidRPr="00466820">
        <w:rPr>
          <w:rFonts w:asciiTheme="majorHAnsi" w:hAnsiTheme="majorHAnsi"/>
          <w:sz w:val="20"/>
          <w:szCs w:val="20"/>
          <w:lang w:val="es-ES_tradnl"/>
        </w:rPr>
        <w:t xml:space="preserve">pericias psicológicas realizadas a la presunta víctima; </w:t>
      </w:r>
      <w:r w:rsidR="00D70858" w:rsidRPr="00466820">
        <w:rPr>
          <w:rFonts w:asciiTheme="majorHAnsi" w:hAnsiTheme="majorHAnsi"/>
          <w:sz w:val="20"/>
          <w:szCs w:val="20"/>
          <w:lang w:val="es-ES_tradnl"/>
        </w:rPr>
        <w:t xml:space="preserve">(e) </w:t>
      </w:r>
      <w:r w:rsidRPr="00466820">
        <w:rPr>
          <w:rFonts w:asciiTheme="majorHAnsi" w:hAnsiTheme="majorHAnsi"/>
          <w:sz w:val="20"/>
          <w:szCs w:val="20"/>
          <w:lang w:val="es-ES_tradnl"/>
        </w:rPr>
        <w:t xml:space="preserve">registros telefónicos que vinculaban los números de la presunta víctima y su coimputado; </w:t>
      </w:r>
      <w:r w:rsidR="00D224E0" w:rsidRPr="00466820">
        <w:rPr>
          <w:rFonts w:asciiTheme="majorHAnsi" w:hAnsiTheme="majorHAnsi"/>
          <w:sz w:val="20"/>
          <w:szCs w:val="20"/>
          <w:lang w:val="es-ES_tradnl"/>
        </w:rPr>
        <w:t>(</w:t>
      </w:r>
      <w:r w:rsidR="00D70858" w:rsidRPr="00466820">
        <w:rPr>
          <w:rFonts w:asciiTheme="majorHAnsi" w:hAnsiTheme="majorHAnsi"/>
          <w:sz w:val="20"/>
          <w:szCs w:val="20"/>
          <w:lang w:val="es-ES_tradnl"/>
        </w:rPr>
        <w:t>f</w:t>
      </w:r>
      <w:r w:rsidR="00D224E0" w:rsidRPr="00466820">
        <w:rPr>
          <w:rFonts w:asciiTheme="majorHAnsi" w:hAnsiTheme="majorHAnsi"/>
          <w:sz w:val="20"/>
          <w:szCs w:val="20"/>
          <w:lang w:val="es-ES_tradnl"/>
        </w:rPr>
        <w:t xml:space="preserve">) </w:t>
      </w:r>
      <w:r w:rsidRPr="00466820">
        <w:rPr>
          <w:rFonts w:asciiTheme="majorHAnsi" w:hAnsiTheme="majorHAnsi"/>
          <w:sz w:val="20"/>
          <w:szCs w:val="20"/>
          <w:lang w:val="es-ES_tradnl"/>
        </w:rPr>
        <w:t xml:space="preserve">evidencia respecto a que la presunta víctima había realizado un retiro de fondos equivalentes al pago que según sus declaraciones el coimputado había recibido; </w:t>
      </w:r>
      <w:r w:rsidR="00D224E0" w:rsidRPr="00466820">
        <w:rPr>
          <w:rFonts w:asciiTheme="majorHAnsi" w:hAnsiTheme="majorHAnsi"/>
          <w:sz w:val="20"/>
          <w:szCs w:val="20"/>
          <w:lang w:val="es-ES_tradnl"/>
        </w:rPr>
        <w:t>(</w:t>
      </w:r>
      <w:r w:rsidR="00D70858" w:rsidRPr="00466820">
        <w:rPr>
          <w:rFonts w:asciiTheme="majorHAnsi" w:hAnsiTheme="majorHAnsi"/>
          <w:sz w:val="20"/>
          <w:szCs w:val="20"/>
          <w:lang w:val="es-ES_tradnl"/>
        </w:rPr>
        <w:t>g</w:t>
      </w:r>
      <w:r w:rsidR="00D224E0" w:rsidRPr="00466820">
        <w:rPr>
          <w:rFonts w:asciiTheme="majorHAnsi" w:hAnsiTheme="majorHAnsi"/>
          <w:sz w:val="20"/>
          <w:szCs w:val="20"/>
          <w:lang w:val="es-ES_tradnl"/>
        </w:rPr>
        <w:t xml:space="preserve">) </w:t>
      </w:r>
      <w:r w:rsidRPr="00466820">
        <w:rPr>
          <w:rFonts w:asciiTheme="majorHAnsi" w:hAnsiTheme="majorHAnsi"/>
          <w:sz w:val="20"/>
          <w:szCs w:val="20"/>
          <w:lang w:val="es-ES_tradnl"/>
        </w:rPr>
        <w:t xml:space="preserve">testimonios respecto a que la presunta víctima ya había anteriormente contratado al coimputado para que realizara tareas en perjuicio de su expareja y el hombre que era pareja de ésta al momento de su muerte; </w:t>
      </w:r>
      <w:r w:rsidR="00D224E0" w:rsidRPr="00466820">
        <w:rPr>
          <w:rFonts w:asciiTheme="majorHAnsi" w:hAnsiTheme="majorHAnsi"/>
          <w:sz w:val="20"/>
          <w:szCs w:val="20"/>
          <w:lang w:val="es-ES_tradnl"/>
        </w:rPr>
        <w:t>(</w:t>
      </w:r>
      <w:r w:rsidR="00D70858" w:rsidRPr="00466820">
        <w:rPr>
          <w:rFonts w:asciiTheme="majorHAnsi" w:hAnsiTheme="majorHAnsi"/>
          <w:sz w:val="20"/>
          <w:szCs w:val="20"/>
          <w:lang w:val="es-ES_tradnl"/>
        </w:rPr>
        <w:t>h</w:t>
      </w:r>
      <w:r w:rsidR="00D224E0" w:rsidRPr="00466820">
        <w:rPr>
          <w:rFonts w:asciiTheme="majorHAnsi" w:hAnsiTheme="majorHAnsi"/>
          <w:sz w:val="20"/>
          <w:szCs w:val="20"/>
          <w:lang w:val="es-ES_tradnl"/>
        </w:rPr>
        <w:t xml:space="preserve">) </w:t>
      </w:r>
      <w:r w:rsidRPr="00466820">
        <w:rPr>
          <w:rFonts w:asciiTheme="majorHAnsi" w:hAnsiTheme="majorHAnsi"/>
          <w:sz w:val="20"/>
          <w:szCs w:val="20"/>
          <w:lang w:val="es-ES_tradnl"/>
        </w:rPr>
        <w:t>así como las circunstancia de que la muerte de la mujer se había debido a una combinación simultánea de asfixia, sofocación y electrocución</w:t>
      </w:r>
      <w:r w:rsidR="00D224E0" w:rsidRPr="00466820">
        <w:rPr>
          <w:rFonts w:asciiTheme="majorHAnsi" w:hAnsiTheme="majorHAnsi"/>
          <w:sz w:val="20"/>
          <w:szCs w:val="20"/>
          <w:lang w:val="es-ES_tradnl"/>
        </w:rPr>
        <w:t>, y</w:t>
      </w:r>
      <w:r w:rsidRPr="00466820">
        <w:rPr>
          <w:rFonts w:asciiTheme="majorHAnsi" w:hAnsiTheme="majorHAnsi"/>
          <w:sz w:val="20"/>
          <w:szCs w:val="20"/>
          <w:lang w:val="es-ES_tradnl"/>
        </w:rPr>
        <w:t xml:space="preserve"> que </w:t>
      </w:r>
      <w:r w:rsidR="00D224E0" w:rsidRPr="00466820">
        <w:rPr>
          <w:rFonts w:asciiTheme="majorHAnsi" w:hAnsiTheme="majorHAnsi"/>
          <w:sz w:val="20"/>
          <w:szCs w:val="20"/>
          <w:lang w:val="es-ES_tradnl"/>
        </w:rPr>
        <w:t>el Sr. José Chain</w:t>
      </w:r>
      <w:r w:rsidRPr="00466820">
        <w:rPr>
          <w:rFonts w:asciiTheme="majorHAnsi" w:hAnsiTheme="majorHAnsi"/>
          <w:sz w:val="20"/>
          <w:szCs w:val="20"/>
          <w:lang w:val="es-ES_tradnl"/>
        </w:rPr>
        <w:t xml:space="preserve"> era conocido por poseer </w:t>
      </w:r>
      <w:r w:rsidR="00D224E0" w:rsidRPr="00466820">
        <w:rPr>
          <w:rFonts w:asciiTheme="majorHAnsi" w:hAnsiTheme="majorHAnsi"/>
          <w:sz w:val="20"/>
          <w:szCs w:val="20"/>
          <w:lang w:val="es-ES_tradnl"/>
        </w:rPr>
        <w:t>una “picana” (</w:t>
      </w:r>
      <w:r w:rsidRPr="00466820">
        <w:rPr>
          <w:rFonts w:asciiTheme="majorHAnsi" w:hAnsiTheme="majorHAnsi"/>
          <w:sz w:val="20"/>
          <w:szCs w:val="20"/>
          <w:lang w:val="es-ES_tradnl"/>
        </w:rPr>
        <w:t xml:space="preserve">un aparato </w:t>
      </w:r>
      <w:r w:rsidR="00D70858" w:rsidRPr="00466820">
        <w:rPr>
          <w:rFonts w:asciiTheme="majorHAnsi" w:hAnsiTheme="majorHAnsi"/>
          <w:sz w:val="20"/>
          <w:szCs w:val="20"/>
          <w:lang w:val="es-ES_tradnl"/>
        </w:rPr>
        <w:t>que se una para</w:t>
      </w:r>
      <w:r w:rsidRPr="00466820">
        <w:rPr>
          <w:rFonts w:asciiTheme="majorHAnsi" w:hAnsiTheme="majorHAnsi"/>
          <w:sz w:val="20"/>
          <w:szCs w:val="20"/>
          <w:lang w:val="es-ES_tradnl"/>
        </w:rPr>
        <w:t xml:space="preserve"> dar choques eléctricos); y </w:t>
      </w:r>
      <w:r w:rsidR="00D224E0" w:rsidRPr="00466820">
        <w:rPr>
          <w:rFonts w:asciiTheme="majorHAnsi" w:hAnsiTheme="majorHAnsi"/>
          <w:sz w:val="20"/>
          <w:szCs w:val="20"/>
          <w:lang w:val="es-ES_tradnl"/>
        </w:rPr>
        <w:t>(</w:t>
      </w:r>
      <w:r w:rsidR="00D70858" w:rsidRPr="00466820">
        <w:rPr>
          <w:rFonts w:asciiTheme="majorHAnsi" w:hAnsiTheme="majorHAnsi"/>
          <w:sz w:val="20"/>
          <w:szCs w:val="20"/>
          <w:lang w:val="es-ES_tradnl"/>
        </w:rPr>
        <w:t>i</w:t>
      </w:r>
      <w:r w:rsidR="00D224E0" w:rsidRPr="00466820">
        <w:rPr>
          <w:rFonts w:asciiTheme="majorHAnsi" w:hAnsiTheme="majorHAnsi"/>
          <w:sz w:val="20"/>
          <w:szCs w:val="20"/>
          <w:lang w:val="es-ES_tradnl"/>
        </w:rPr>
        <w:t xml:space="preserve">) </w:t>
      </w:r>
      <w:r w:rsidRPr="00466820">
        <w:rPr>
          <w:rFonts w:asciiTheme="majorHAnsi" w:hAnsiTheme="majorHAnsi"/>
          <w:sz w:val="20"/>
          <w:szCs w:val="20"/>
          <w:lang w:val="es-ES_tradnl"/>
        </w:rPr>
        <w:t xml:space="preserve">que el coimputado había sido visto en posesión de una “picana” el día en que la mujer fue hallada muerta. </w:t>
      </w:r>
    </w:p>
    <w:p w14:paraId="13BE9048" w14:textId="36AAC6B2" w:rsidR="00D224E0" w:rsidRPr="00466820" w:rsidRDefault="00E51BC0" w:rsidP="00F628F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Theme="majorHAnsi" w:hAnsiTheme="majorHAnsi"/>
          <w:sz w:val="20"/>
          <w:szCs w:val="20"/>
          <w:lang w:val="es-ES_tradnl"/>
        </w:rPr>
      </w:pPr>
      <w:r w:rsidRPr="00466820">
        <w:rPr>
          <w:rFonts w:asciiTheme="majorHAnsi" w:hAnsiTheme="majorHAnsi"/>
          <w:sz w:val="20"/>
          <w:szCs w:val="20"/>
          <w:lang w:val="es-ES_tradnl"/>
        </w:rPr>
        <w:t xml:space="preserve">Así, la Comisión observa que el tribunal de juicio tomó en consideración toda otra serie de elementos de convicción que habrían apuntado a la responsabilidad penal del </w:t>
      </w:r>
      <w:r w:rsidR="00D70858" w:rsidRPr="00466820">
        <w:rPr>
          <w:rFonts w:asciiTheme="majorHAnsi" w:hAnsiTheme="majorHAnsi"/>
          <w:sz w:val="20"/>
          <w:szCs w:val="20"/>
          <w:lang w:val="es-ES_tradnl"/>
        </w:rPr>
        <w:t xml:space="preserve">Sr. </w:t>
      </w:r>
      <w:r w:rsidRPr="00466820">
        <w:rPr>
          <w:rFonts w:asciiTheme="majorHAnsi" w:hAnsiTheme="majorHAnsi"/>
          <w:sz w:val="20"/>
          <w:szCs w:val="20"/>
          <w:lang w:val="es-ES_tradnl"/>
        </w:rPr>
        <w:t xml:space="preserve">José Chain en la muerte de su expareja. Además, del análisis de la información aportada por ambas partes, la Comisión observa que el proceso penal se llevó a cabo de acuerdo con las normas procesales aplicables; dentro de un plazo razonable; y sin que </w:t>
      </w:r>
      <w:r w:rsidRPr="00466820">
        <w:rPr>
          <w:rFonts w:asciiTheme="majorHAnsi" w:hAnsiTheme="majorHAnsi"/>
          <w:i/>
          <w:iCs/>
          <w:sz w:val="20"/>
          <w:szCs w:val="20"/>
          <w:lang w:val="es-ES_tradnl"/>
        </w:rPr>
        <w:t>prima facie</w:t>
      </w:r>
      <w:r w:rsidRPr="00466820">
        <w:rPr>
          <w:rFonts w:asciiTheme="majorHAnsi" w:hAnsiTheme="majorHAnsi"/>
          <w:sz w:val="20"/>
          <w:szCs w:val="20"/>
          <w:lang w:val="es-ES_tradnl"/>
        </w:rPr>
        <w:t xml:space="preserve"> pueda verificarse la violación del derecho a las garantías judiciales o a la protección judicial del Sr. José Chain en los términos de la Convención Americana. </w:t>
      </w:r>
      <w:r w:rsidR="00D70858" w:rsidRPr="00466820">
        <w:rPr>
          <w:rFonts w:asciiTheme="majorHAnsi" w:hAnsiTheme="majorHAnsi"/>
          <w:sz w:val="20"/>
          <w:szCs w:val="20"/>
          <w:lang w:val="es-ES_tradnl"/>
        </w:rPr>
        <w:t xml:space="preserve">Además, el Sr. Chain contó a lo largo de todo el proceso con asistencia letrada y la oportunidad de utilizar todos los medios impugnatorios disponibles. </w:t>
      </w:r>
    </w:p>
    <w:p w14:paraId="6559799A" w14:textId="5095722E" w:rsidR="00F628F6" w:rsidRPr="00466820" w:rsidRDefault="00F628F6" w:rsidP="00F628F6">
      <w:pPr>
        <w:pStyle w:val="ListParagraph"/>
        <w:numPr>
          <w:ilvl w:val="0"/>
          <w:numId w:val="55"/>
        </w:numPr>
        <w:suppressAutoHyphens/>
        <w:spacing w:after="120"/>
        <w:jc w:val="both"/>
        <w:rPr>
          <w:bCs/>
          <w:sz w:val="20"/>
          <w:szCs w:val="20"/>
          <w:lang w:val="es-ES_tradnl"/>
        </w:rPr>
      </w:pPr>
      <w:r w:rsidRPr="00466820">
        <w:rPr>
          <w:bCs/>
          <w:sz w:val="20"/>
          <w:szCs w:val="20"/>
          <w:lang w:val="es-ES_tradnl"/>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466820">
        <w:rPr>
          <w:rStyle w:val="FootnoteReference"/>
          <w:bCs/>
          <w:sz w:val="20"/>
          <w:szCs w:val="20"/>
          <w:lang w:val="es-ES_tradnl"/>
        </w:rPr>
        <w:footnoteReference w:id="6"/>
      </w:r>
      <w:r w:rsidRPr="00466820">
        <w:rPr>
          <w:bCs/>
          <w:sz w:val="20"/>
          <w:szCs w:val="20"/>
          <w:lang w:val="es-ES_tradnl"/>
        </w:rPr>
        <w:t>. 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Pr="00466820">
        <w:rPr>
          <w:rStyle w:val="FootnoteReference"/>
          <w:bCs/>
          <w:sz w:val="20"/>
          <w:szCs w:val="20"/>
          <w:lang w:val="es-ES_tradnl"/>
        </w:rPr>
        <w:footnoteReference w:id="7"/>
      </w:r>
      <w:r w:rsidRPr="00466820">
        <w:rPr>
          <w:bCs/>
          <w:sz w:val="20"/>
          <w:szCs w:val="20"/>
          <w:lang w:val="es-ES_tradnl"/>
        </w:rPr>
        <w:t xml:space="preserve">.  </w:t>
      </w:r>
    </w:p>
    <w:p w14:paraId="104A2E8C" w14:textId="002061D1" w:rsidR="00D70858" w:rsidRDefault="00D70858" w:rsidP="00C04235">
      <w:pPr>
        <w:pStyle w:val="ListParagraph"/>
        <w:numPr>
          <w:ilvl w:val="0"/>
          <w:numId w:val="55"/>
        </w:numPr>
        <w:suppressAutoHyphens/>
        <w:jc w:val="both"/>
        <w:rPr>
          <w:bCs/>
          <w:sz w:val="20"/>
          <w:szCs w:val="20"/>
          <w:lang w:val="es-ES_tradnl"/>
        </w:rPr>
      </w:pPr>
      <w:r w:rsidRPr="00466820">
        <w:rPr>
          <w:bCs/>
          <w:sz w:val="20"/>
          <w:szCs w:val="20"/>
          <w:lang w:val="es-ES_tradnl"/>
        </w:rPr>
        <w:t xml:space="preserve">Por lo tanto, la Comisión Interamericana concluye que </w:t>
      </w:r>
      <w:r w:rsidR="0090555E" w:rsidRPr="00466820">
        <w:rPr>
          <w:bCs/>
          <w:sz w:val="20"/>
          <w:szCs w:val="20"/>
          <w:lang w:val="es-ES_tradnl"/>
        </w:rPr>
        <w:t>la presente petición resulta inadmisible en los términos del artículo 47.b) de la Convención Americana.</w:t>
      </w:r>
    </w:p>
    <w:p w14:paraId="75553A62" w14:textId="77777777" w:rsidR="00C04235" w:rsidRPr="00466820" w:rsidRDefault="00C04235" w:rsidP="00C04235">
      <w:pPr>
        <w:pStyle w:val="ListParagraph"/>
        <w:suppressAutoHyphens/>
        <w:jc w:val="both"/>
        <w:rPr>
          <w:bCs/>
          <w:sz w:val="20"/>
          <w:szCs w:val="20"/>
          <w:lang w:val="es-ES_tradnl"/>
        </w:rPr>
      </w:pPr>
    </w:p>
    <w:p w14:paraId="29BB41F5" w14:textId="2851F5F9" w:rsidR="003239B8" w:rsidRPr="00466820" w:rsidRDefault="00EC72AB" w:rsidP="00C0423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466820">
        <w:rPr>
          <w:rFonts w:asciiTheme="majorHAnsi" w:hAnsiTheme="majorHAnsi"/>
          <w:b/>
          <w:bCs/>
          <w:sz w:val="20"/>
          <w:szCs w:val="20"/>
          <w:lang w:val="es-ES_tradnl"/>
        </w:rPr>
        <w:t>VI</w:t>
      </w:r>
      <w:r w:rsidR="00F04591" w:rsidRPr="00466820">
        <w:rPr>
          <w:rFonts w:asciiTheme="majorHAnsi" w:hAnsiTheme="majorHAnsi"/>
          <w:b/>
          <w:bCs/>
          <w:sz w:val="20"/>
          <w:szCs w:val="20"/>
          <w:lang w:val="es-ES_tradnl"/>
        </w:rPr>
        <w:t>II</w:t>
      </w:r>
      <w:r w:rsidR="003239B8" w:rsidRPr="00466820">
        <w:rPr>
          <w:rFonts w:asciiTheme="majorHAnsi" w:hAnsiTheme="majorHAnsi"/>
          <w:b/>
          <w:bCs/>
          <w:sz w:val="20"/>
          <w:szCs w:val="20"/>
          <w:lang w:val="es-ES_tradnl"/>
        </w:rPr>
        <w:t xml:space="preserve">. </w:t>
      </w:r>
      <w:r w:rsidR="003239B8" w:rsidRPr="00466820">
        <w:rPr>
          <w:rFonts w:asciiTheme="majorHAnsi" w:hAnsiTheme="majorHAnsi"/>
          <w:b/>
          <w:bCs/>
          <w:sz w:val="20"/>
          <w:szCs w:val="20"/>
          <w:lang w:val="es-ES_tradnl"/>
        </w:rPr>
        <w:tab/>
        <w:t>DECISIÓN</w:t>
      </w:r>
    </w:p>
    <w:p w14:paraId="0FDE1D10" w14:textId="1BFDBC1B" w:rsidR="003239B8" w:rsidRPr="00466820" w:rsidRDefault="003239B8" w:rsidP="00F628F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_tradnl"/>
        </w:rPr>
      </w:pPr>
      <w:r w:rsidRPr="00466820">
        <w:rPr>
          <w:rFonts w:asciiTheme="majorHAnsi" w:hAnsiTheme="majorHAnsi"/>
          <w:sz w:val="20"/>
          <w:szCs w:val="20"/>
          <w:lang w:val="es-ES_tradnl"/>
        </w:rPr>
        <w:t xml:space="preserve">Declarar </w:t>
      </w:r>
      <w:r w:rsidR="0090555E" w:rsidRPr="00466820">
        <w:rPr>
          <w:rFonts w:asciiTheme="majorHAnsi" w:hAnsiTheme="majorHAnsi"/>
          <w:sz w:val="20"/>
          <w:szCs w:val="20"/>
          <w:lang w:val="es-ES_tradnl"/>
        </w:rPr>
        <w:t>in</w:t>
      </w:r>
      <w:r w:rsidR="00586230" w:rsidRPr="00466820">
        <w:rPr>
          <w:rFonts w:asciiTheme="majorHAnsi" w:hAnsiTheme="majorHAnsi"/>
          <w:sz w:val="20"/>
          <w:szCs w:val="20"/>
          <w:lang w:val="es-ES_tradnl"/>
        </w:rPr>
        <w:t>admisible la presente petición</w:t>
      </w:r>
      <w:r w:rsidR="0090555E" w:rsidRPr="00466820">
        <w:rPr>
          <w:rFonts w:asciiTheme="majorHAnsi" w:hAnsiTheme="majorHAnsi"/>
          <w:sz w:val="20"/>
          <w:szCs w:val="20"/>
          <w:lang w:val="es-ES_tradnl"/>
        </w:rPr>
        <w:t>;</w:t>
      </w:r>
      <w:r w:rsidR="00586230" w:rsidRPr="00466820">
        <w:rPr>
          <w:rFonts w:asciiTheme="majorHAnsi" w:hAnsiTheme="majorHAnsi"/>
          <w:sz w:val="20"/>
          <w:szCs w:val="20"/>
          <w:lang w:val="es-ES_tradnl"/>
        </w:rPr>
        <w:t xml:space="preserve"> </w:t>
      </w:r>
      <w:r w:rsidR="00B479F0">
        <w:rPr>
          <w:rFonts w:asciiTheme="majorHAnsi" w:hAnsiTheme="majorHAnsi"/>
          <w:sz w:val="20"/>
          <w:szCs w:val="20"/>
          <w:lang w:val="es-ES_tradnl"/>
        </w:rPr>
        <w:t>y</w:t>
      </w:r>
    </w:p>
    <w:p w14:paraId="4157390F" w14:textId="61ADA8ED" w:rsidR="00D93A90" w:rsidRPr="00C04235" w:rsidRDefault="004A6A54" w:rsidP="00C042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FF0000"/>
          <w:sz w:val="20"/>
          <w:szCs w:val="20"/>
          <w:lang w:val="es-ES_tradnl"/>
        </w:rPr>
      </w:pPr>
      <w:r w:rsidRPr="00466820">
        <w:rPr>
          <w:rFonts w:asciiTheme="majorHAnsi" w:hAnsiTheme="majorHAnsi"/>
          <w:sz w:val="20"/>
          <w:szCs w:val="20"/>
          <w:lang w:val="es-ES_tradnl"/>
        </w:rPr>
        <w:t>Notificar a las partes la presente decisión;</w:t>
      </w:r>
      <w:r w:rsidR="00CB6F93" w:rsidRPr="00466820">
        <w:rPr>
          <w:rFonts w:asciiTheme="majorHAnsi" w:hAnsiTheme="majorHAnsi"/>
          <w:sz w:val="20"/>
          <w:szCs w:val="20"/>
          <w:lang w:val="es-ES_tradnl"/>
        </w:rPr>
        <w:t xml:space="preserve"> </w:t>
      </w:r>
      <w:r w:rsidR="0090555E" w:rsidRPr="00466820">
        <w:rPr>
          <w:rFonts w:asciiTheme="majorHAnsi" w:hAnsiTheme="majorHAnsi"/>
          <w:sz w:val="20"/>
          <w:szCs w:val="20"/>
          <w:lang w:val="es-ES_tradnl"/>
        </w:rPr>
        <w:t xml:space="preserve">e </w:t>
      </w:r>
      <w:r w:rsidRPr="00466820">
        <w:rPr>
          <w:rFonts w:asciiTheme="majorHAnsi" w:hAnsiTheme="majorHAnsi"/>
          <w:sz w:val="20"/>
          <w:szCs w:val="20"/>
          <w:lang w:val="es-ES_tradnl"/>
        </w:rPr>
        <w:t>incluirla en su Informe Anual a la Asamblea General de la Organización de los Estados Americanos.</w:t>
      </w:r>
    </w:p>
    <w:p w14:paraId="5E3686E7" w14:textId="77777777" w:rsidR="00C04235" w:rsidRPr="00B479F0" w:rsidRDefault="00C04235" w:rsidP="00C0423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FF0000"/>
          <w:sz w:val="20"/>
          <w:szCs w:val="20"/>
          <w:lang w:val="es-ES_tradnl"/>
        </w:rPr>
      </w:pPr>
    </w:p>
    <w:p w14:paraId="2E21B10F" w14:textId="3EE2C634" w:rsidR="00B479F0" w:rsidRPr="00A37B82" w:rsidRDefault="00B479F0" w:rsidP="00C0423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w:t>
      </w:r>
      <w:r w:rsidR="00FD54A7">
        <w:rPr>
          <w:rFonts w:asciiTheme="majorHAnsi" w:hAnsiTheme="majorHAnsi" w:cs="Arial"/>
          <w:noProof/>
          <w:spacing w:val="-2"/>
          <w:sz w:val="20"/>
          <w:szCs w:val="20"/>
          <w:lang w:val="es-CL"/>
        </w:rPr>
        <w:t>5</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C04235">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p>
    <w:p w14:paraId="0D597464" w14:textId="1B3FF82C" w:rsidR="00CB6F93" w:rsidRPr="00466820" w:rsidRDefault="00CB6F93" w:rsidP="00B479F0">
      <w:pPr>
        <w:suppressAutoHyphens/>
        <w:jc w:val="center"/>
        <w:rPr>
          <w:rFonts w:asciiTheme="majorHAnsi" w:hAnsiTheme="majorHAnsi"/>
          <w:color w:val="FF0000"/>
          <w:sz w:val="20"/>
          <w:szCs w:val="20"/>
          <w:lang w:val="es-ES_tradnl"/>
        </w:rPr>
      </w:pPr>
    </w:p>
    <w:sectPr w:rsidR="00CB6F93" w:rsidRPr="0046682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83A2" w14:textId="77777777" w:rsidR="00541BB2" w:rsidRDefault="00541BB2">
      <w:r>
        <w:separator/>
      </w:r>
    </w:p>
  </w:endnote>
  <w:endnote w:type="continuationSeparator" w:id="0">
    <w:p w14:paraId="782B2B15" w14:textId="77777777" w:rsidR="00541BB2" w:rsidRDefault="0054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44EBD">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0FF4" w14:textId="77777777" w:rsidR="00541BB2" w:rsidRPr="000F35ED" w:rsidRDefault="00541BB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6B1B76" w14:textId="77777777" w:rsidR="00541BB2" w:rsidRPr="000F35ED" w:rsidRDefault="00541BB2" w:rsidP="000F35ED">
      <w:pPr>
        <w:rPr>
          <w:rFonts w:asciiTheme="majorHAnsi" w:hAnsiTheme="majorHAnsi"/>
          <w:sz w:val="16"/>
          <w:szCs w:val="16"/>
        </w:rPr>
      </w:pPr>
      <w:r w:rsidRPr="000F35ED">
        <w:rPr>
          <w:rFonts w:asciiTheme="majorHAnsi" w:hAnsiTheme="majorHAnsi"/>
          <w:sz w:val="16"/>
          <w:szCs w:val="16"/>
        </w:rPr>
        <w:separator/>
      </w:r>
    </w:p>
    <w:p w14:paraId="0C0958C2" w14:textId="77777777" w:rsidR="00541BB2" w:rsidRPr="000F35ED" w:rsidRDefault="00541BB2"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CFD575" w14:textId="77777777" w:rsidR="00541BB2" w:rsidRPr="000F35ED" w:rsidRDefault="00541BB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E3995E4" w14:textId="379584C7" w:rsidR="0098113F" w:rsidRPr="00BE7155" w:rsidRDefault="0098113F" w:rsidP="0098113F">
      <w:pPr>
        <w:pStyle w:val="FootnoteText"/>
        <w:ind w:firstLine="720"/>
        <w:jc w:val="both"/>
        <w:rPr>
          <w:rFonts w:asciiTheme="majorHAnsi" w:hAnsiTheme="majorHAnsi"/>
          <w:sz w:val="16"/>
          <w:szCs w:val="16"/>
          <w:lang w:val="es-PA"/>
        </w:rPr>
      </w:pPr>
      <w:r w:rsidRPr="00BE7155">
        <w:rPr>
          <w:rStyle w:val="FootnoteReference"/>
          <w:rFonts w:asciiTheme="majorHAnsi" w:hAnsiTheme="majorHAnsi"/>
          <w:sz w:val="16"/>
          <w:szCs w:val="16"/>
        </w:rPr>
        <w:footnoteRef/>
      </w:r>
      <w:r w:rsidRPr="00BE7155">
        <w:rPr>
          <w:rFonts w:asciiTheme="majorHAnsi" w:hAnsiTheme="majorHAnsi"/>
          <w:sz w:val="16"/>
          <w:szCs w:val="16"/>
          <w:lang w:val="es-PA"/>
        </w:rPr>
        <w:t xml:space="preserve"> </w:t>
      </w:r>
      <w:r w:rsidR="00C321DA">
        <w:rPr>
          <w:rFonts w:asciiTheme="majorHAnsi" w:hAnsiTheme="majorHAnsi"/>
          <w:sz w:val="16"/>
          <w:szCs w:val="16"/>
          <w:lang w:val="es-PA"/>
        </w:rPr>
        <w:t>En adelante “la Convención Americana” o “la Comisión”.</w:t>
      </w:r>
    </w:p>
  </w:footnote>
  <w:footnote w:id="3">
    <w:p w14:paraId="79F07139" w14:textId="77777777" w:rsidR="008E3BFE" w:rsidRPr="00BE7155" w:rsidRDefault="008E3BFE" w:rsidP="00BC6A2C">
      <w:pPr>
        <w:pStyle w:val="FootnoteText"/>
        <w:ind w:firstLine="720"/>
        <w:jc w:val="both"/>
        <w:rPr>
          <w:rFonts w:asciiTheme="majorHAnsi" w:hAnsiTheme="majorHAnsi"/>
          <w:sz w:val="16"/>
          <w:szCs w:val="16"/>
          <w:lang w:val="es-ES"/>
        </w:rPr>
      </w:pPr>
      <w:r w:rsidRPr="00BE7155">
        <w:rPr>
          <w:rStyle w:val="FootnoteReference"/>
          <w:rFonts w:asciiTheme="majorHAnsi" w:hAnsiTheme="majorHAnsi"/>
          <w:sz w:val="16"/>
          <w:szCs w:val="16"/>
        </w:rPr>
        <w:footnoteRef/>
      </w:r>
      <w:r w:rsidRPr="00BE7155">
        <w:rPr>
          <w:rFonts w:asciiTheme="majorHAnsi" w:hAnsiTheme="majorHAnsi"/>
          <w:sz w:val="16"/>
          <w:szCs w:val="16"/>
          <w:lang w:val="es-ES"/>
        </w:rPr>
        <w:t xml:space="preserve"> Las observaciones de cada parte fueron debidamente trasladadas a la parte contraria.</w:t>
      </w:r>
    </w:p>
  </w:footnote>
  <w:footnote w:id="4">
    <w:p w14:paraId="4CB7EDF3" w14:textId="43510396" w:rsidR="003130A5" w:rsidRPr="003130A5" w:rsidRDefault="003130A5" w:rsidP="003130A5">
      <w:pPr>
        <w:pStyle w:val="FootnoteText"/>
        <w:ind w:firstLine="720"/>
        <w:jc w:val="both"/>
        <w:rPr>
          <w:rFonts w:asciiTheme="majorHAnsi" w:hAnsiTheme="majorHAnsi"/>
          <w:sz w:val="16"/>
          <w:szCs w:val="16"/>
          <w:lang w:val="es-PA"/>
        </w:rPr>
      </w:pPr>
      <w:r w:rsidRPr="00BE7155">
        <w:rPr>
          <w:rStyle w:val="FootnoteReference"/>
          <w:rFonts w:asciiTheme="majorHAnsi" w:hAnsiTheme="majorHAnsi"/>
          <w:sz w:val="16"/>
          <w:szCs w:val="16"/>
        </w:rPr>
        <w:footnoteRef/>
      </w:r>
      <w:r w:rsidRPr="00BE7155">
        <w:rPr>
          <w:rFonts w:asciiTheme="majorHAnsi" w:hAnsiTheme="majorHAnsi"/>
          <w:sz w:val="16"/>
          <w:szCs w:val="16"/>
          <w:lang w:val="es-PA"/>
        </w:rPr>
        <w:t xml:space="preserve"> Esta fue la última comunicación de la parte peticionaria con contenido sustantivo pero </w:t>
      </w:r>
      <w:r w:rsidR="0034788B" w:rsidRPr="00BE7155">
        <w:rPr>
          <w:rFonts w:asciiTheme="majorHAnsi" w:hAnsiTheme="majorHAnsi"/>
          <w:sz w:val="16"/>
          <w:szCs w:val="16"/>
          <w:lang w:val="es-PA"/>
        </w:rPr>
        <w:t>el 26 de marzo de 2020 la parte peticionaria envió una nota solicitando a la Comisión que le concediera una prórroga para presentar observaciones a la respuesta del Estado.</w:t>
      </w:r>
      <w:r w:rsidR="0034788B">
        <w:rPr>
          <w:rFonts w:asciiTheme="majorHAnsi" w:hAnsiTheme="majorHAnsi"/>
          <w:sz w:val="16"/>
          <w:szCs w:val="16"/>
          <w:lang w:val="es-PA"/>
        </w:rPr>
        <w:t xml:space="preserve"> </w:t>
      </w:r>
    </w:p>
  </w:footnote>
  <w:footnote w:id="5">
    <w:p w14:paraId="597AF297" w14:textId="77777777" w:rsidR="001C0589" w:rsidRPr="004247BC" w:rsidRDefault="001C0589" w:rsidP="001C0589">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6">
    <w:p w14:paraId="23BB3CC5" w14:textId="77777777" w:rsidR="00F628F6" w:rsidRPr="009819C2" w:rsidRDefault="00F628F6" w:rsidP="00F628F6">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 w:id="7">
    <w:p w14:paraId="611713A7" w14:textId="77777777" w:rsidR="00F628F6" w:rsidRPr="009819C2" w:rsidRDefault="00F628F6" w:rsidP="00F628F6">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70/08, (Admisibilidad), Petición 12.242, Clínica Pediátrica de la Región de los Lago, Brasil, 16 de octubre de 2008, párr. </w:t>
      </w:r>
      <w:r w:rsidRPr="00F551B2">
        <w:rPr>
          <w:rFonts w:asciiTheme="majorHAnsi" w:hAnsiTheme="majorHAnsi"/>
          <w:sz w:val="16"/>
          <w:szCs w:val="16"/>
          <w:lang w:val="es-US"/>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A7A5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0401AC2"/>
    <w:lvl w:ilvl="0" w:tplc="DC1E0398">
      <w:start w:val="1"/>
      <w:numFmt w:val="decimal"/>
      <w:lvlText w:val="%1."/>
      <w:lvlJc w:val="left"/>
      <w:pPr>
        <w:tabs>
          <w:tab w:val="num" w:pos="720"/>
        </w:tabs>
        <w:ind w:left="0" w:firstLine="72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872792"/>
    <w:multiLevelType w:val="hybridMultilevel"/>
    <w:tmpl w:val="7334F392"/>
    <w:lvl w:ilvl="0" w:tplc="DF9281A8">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691CA1"/>
    <w:multiLevelType w:val="hybridMultilevel"/>
    <w:tmpl w:val="AC247D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47510342">
    <w:abstractNumId w:val="4"/>
  </w:num>
  <w:num w:numId="2" w16cid:durableId="990519981">
    <w:abstractNumId w:val="6"/>
  </w:num>
  <w:num w:numId="3" w16cid:durableId="242028406">
    <w:abstractNumId w:val="55"/>
  </w:num>
  <w:num w:numId="4" w16cid:durableId="479419261">
    <w:abstractNumId w:val="22"/>
  </w:num>
  <w:num w:numId="5" w16cid:durableId="349651867">
    <w:abstractNumId w:val="48"/>
  </w:num>
  <w:num w:numId="6" w16cid:durableId="237250248">
    <w:abstractNumId w:val="27"/>
  </w:num>
  <w:num w:numId="7" w16cid:durableId="1941908250">
    <w:abstractNumId w:val="7"/>
  </w:num>
  <w:num w:numId="8" w16cid:durableId="1660427993">
    <w:abstractNumId w:val="17"/>
  </w:num>
  <w:num w:numId="9" w16cid:durableId="221142544">
    <w:abstractNumId w:val="42"/>
  </w:num>
  <w:num w:numId="10" w16cid:durableId="1826313262">
    <w:abstractNumId w:val="0"/>
  </w:num>
  <w:num w:numId="11" w16cid:durableId="820389846">
    <w:abstractNumId w:val="37"/>
  </w:num>
  <w:num w:numId="12" w16cid:durableId="2038653769">
    <w:abstractNumId w:val="38"/>
  </w:num>
  <w:num w:numId="13" w16cid:durableId="1322538887">
    <w:abstractNumId w:val="44"/>
  </w:num>
  <w:num w:numId="14" w16cid:durableId="1628313268">
    <w:abstractNumId w:val="1"/>
  </w:num>
  <w:num w:numId="15" w16cid:durableId="1264150390">
    <w:abstractNumId w:val="2"/>
  </w:num>
  <w:num w:numId="16" w16cid:durableId="737246844">
    <w:abstractNumId w:val="8"/>
  </w:num>
  <w:num w:numId="17" w16cid:durableId="12809258">
    <w:abstractNumId w:val="9"/>
  </w:num>
  <w:num w:numId="18" w16cid:durableId="963921836">
    <w:abstractNumId w:val="10"/>
  </w:num>
  <w:num w:numId="19" w16cid:durableId="961498708">
    <w:abstractNumId w:val="11"/>
  </w:num>
  <w:num w:numId="20" w16cid:durableId="674111672">
    <w:abstractNumId w:val="12"/>
  </w:num>
  <w:num w:numId="21" w16cid:durableId="1778862464">
    <w:abstractNumId w:val="13"/>
  </w:num>
  <w:num w:numId="22" w16cid:durableId="1256135818">
    <w:abstractNumId w:val="14"/>
  </w:num>
  <w:num w:numId="23" w16cid:durableId="1334337996">
    <w:abstractNumId w:val="15"/>
  </w:num>
  <w:num w:numId="24" w16cid:durableId="778330115">
    <w:abstractNumId w:val="16"/>
  </w:num>
  <w:num w:numId="25" w16cid:durableId="941643288">
    <w:abstractNumId w:val="18"/>
  </w:num>
  <w:num w:numId="26" w16cid:durableId="1258174017">
    <w:abstractNumId w:val="19"/>
  </w:num>
  <w:num w:numId="27" w16cid:durableId="1070887953">
    <w:abstractNumId w:val="23"/>
  </w:num>
  <w:num w:numId="28" w16cid:durableId="916548422">
    <w:abstractNumId w:val="24"/>
  </w:num>
  <w:num w:numId="29" w16cid:durableId="2075817110">
    <w:abstractNumId w:val="25"/>
  </w:num>
  <w:num w:numId="30" w16cid:durableId="774712821">
    <w:abstractNumId w:val="26"/>
  </w:num>
  <w:num w:numId="31" w16cid:durableId="238683745">
    <w:abstractNumId w:val="28"/>
  </w:num>
  <w:num w:numId="32" w16cid:durableId="1660691755">
    <w:abstractNumId w:val="29"/>
  </w:num>
  <w:num w:numId="33" w16cid:durableId="685449374">
    <w:abstractNumId w:val="30"/>
  </w:num>
  <w:num w:numId="34" w16cid:durableId="1827012648">
    <w:abstractNumId w:val="31"/>
  </w:num>
  <w:num w:numId="35" w16cid:durableId="527109725">
    <w:abstractNumId w:val="32"/>
  </w:num>
  <w:num w:numId="36" w16cid:durableId="695236963">
    <w:abstractNumId w:val="34"/>
  </w:num>
  <w:num w:numId="37" w16cid:durableId="1958175204">
    <w:abstractNumId w:val="35"/>
  </w:num>
  <w:num w:numId="38" w16cid:durableId="1161265009">
    <w:abstractNumId w:val="36"/>
  </w:num>
  <w:num w:numId="39" w16cid:durableId="247159704">
    <w:abstractNumId w:val="39"/>
  </w:num>
  <w:num w:numId="40" w16cid:durableId="299238726">
    <w:abstractNumId w:val="40"/>
  </w:num>
  <w:num w:numId="41" w16cid:durableId="526913633">
    <w:abstractNumId w:val="46"/>
  </w:num>
  <w:num w:numId="42" w16cid:durableId="1233469708">
    <w:abstractNumId w:val="49"/>
  </w:num>
  <w:num w:numId="43" w16cid:durableId="517234184">
    <w:abstractNumId w:val="50"/>
  </w:num>
  <w:num w:numId="44" w16cid:durableId="660739062">
    <w:abstractNumId w:val="52"/>
  </w:num>
  <w:num w:numId="45" w16cid:durableId="1505392923">
    <w:abstractNumId w:val="54"/>
  </w:num>
  <w:num w:numId="46" w16cid:durableId="322203455">
    <w:abstractNumId w:val="56"/>
  </w:num>
  <w:num w:numId="47" w16cid:durableId="723985283">
    <w:abstractNumId w:val="57"/>
  </w:num>
  <w:num w:numId="48" w16cid:durableId="38476656">
    <w:abstractNumId w:val="58"/>
  </w:num>
  <w:num w:numId="49" w16cid:durableId="1524126108">
    <w:abstractNumId w:val="59"/>
  </w:num>
  <w:num w:numId="50" w16cid:durableId="930624178">
    <w:abstractNumId w:val="61"/>
  </w:num>
  <w:num w:numId="51" w16cid:durableId="574167872">
    <w:abstractNumId w:val="21"/>
  </w:num>
  <w:num w:numId="52" w16cid:durableId="679938295">
    <w:abstractNumId w:val="41"/>
  </w:num>
  <w:num w:numId="53" w16cid:durableId="484518013">
    <w:abstractNumId w:val="51"/>
  </w:num>
  <w:num w:numId="54" w16cid:durableId="1606495106">
    <w:abstractNumId w:val="45"/>
  </w:num>
  <w:num w:numId="55" w16cid:durableId="569660648">
    <w:abstractNumId w:val="5"/>
  </w:num>
  <w:num w:numId="56" w16cid:durableId="1081412908">
    <w:abstractNumId w:val="43"/>
  </w:num>
  <w:num w:numId="57" w16cid:durableId="1887448999">
    <w:abstractNumId w:val="60"/>
  </w:num>
  <w:num w:numId="58" w16cid:durableId="1506214670">
    <w:abstractNumId w:val="20"/>
  </w:num>
  <w:num w:numId="59" w16cid:durableId="1507475206">
    <w:abstractNumId w:val="3"/>
  </w:num>
  <w:num w:numId="60" w16cid:durableId="1224100955">
    <w:abstractNumId w:val="47"/>
  </w:num>
  <w:num w:numId="61" w16cid:durableId="451482538">
    <w:abstractNumId w:val="53"/>
  </w:num>
  <w:num w:numId="62" w16cid:durableId="2144883994">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1C3B"/>
    <w:rsid w:val="00015701"/>
    <w:rsid w:val="0001788C"/>
    <w:rsid w:val="0002186F"/>
    <w:rsid w:val="00026DF5"/>
    <w:rsid w:val="0002733D"/>
    <w:rsid w:val="000337EF"/>
    <w:rsid w:val="000409D6"/>
    <w:rsid w:val="00040C3A"/>
    <w:rsid w:val="000419AD"/>
    <w:rsid w:val="000642AD"/>
    <w:rsid w:val="000716C5"/>
    <w:rsid w:val="000733A3"/>
    <w:rsid w:val="00075E23"/>
    <w:rsid w:val="0009006E"/>
    <w:rsid w:val="0009344A"/>
    <w:rsid w:val="000939F4"/>
    <w:rsid w:val="000961EF"/>
    <w:rsid w:val="000A19F8"/>
    <w:rsid w:val="000A3254"/>
    <w:rsid w:val="000A392E"/>
    <w:rsid w:val="000A575F"/>
    <w:rsid w:val="000A63D0"/>
    <w:rsid w:val="000B0579"/>
    <w:rsid w:val="000B188C"/>
    <w:rsid w:val="000C1C69"/>
    <w:rsid w:val="000C3A31"/>
    <w:rsid w:val="000C5E36"/>
    <w:rsid w:val="000D10DB"/>
    <w:rsid w:val="000D130B"/>
    <w:rsid w:val="000D2A85"/>
    <w:rsid w:val="000E2789"/>
    <w:rsid w:val="000E5EB5"/>
    <w:rsid w:val="000F023C"/>
    <w:rsid w:val="000F1C7E"/>
    <w:rsid w:val="000F35ED"/>
    <w:rsid w:val="000F4F84"/>
    <w:rsid w:val="000F6EDB"/>
    <w:rsid w:val="001061D7"/>
    <w:rsid w:val="00107131"/>
    <w:rsid w:val="0010736F"/>
    <w:rsid w:val="00111A8A"/>
    <w:rsid w:val="00112398"/>
    <w:rsid w:val="001124F3"/>
    <w:rsid w:val="00113B28"/>
    <w:rsid w:val="00113F73"/>
    <w:rsid w:val="00117AE2"/>
    <w:rsid w:val="00121CC2"/>
    <w:rsid w:val="00125F72"/>
    <w:rsid w:val="00131663"/>
    <w:rsid w:val="00131D8B"/>
    <w:rsid w:val="00133EE5"/>
    <w:rsid w:val="001342BD"/>
    <w:rsid w:val="001366AA"/>
    <w:rsid w:val="001367B7"/>
    <w:rsid w:val="00136E3D"/>
    <w:rsid w:val="00142BDC"/>
    <w:rsid w:val="00143EFE"/>
    <w:rsid w:val="001479C0"/>
    <w:rsid w:val="00150195"/>
    <w:rsid w:val="0015330B"/>
    <w:rsid w:val="00153B50"/>
    <w:rsid w:val="001570EA"/>
    <w:rsid w:val="00167A34"/>
    <w:rsid w:val="00172FCD"/>
    <w:rsid w:val="001749F8"/>
    <w:rsid w:val="00176BB3"/>
    <w:rsid w:val="00177883"/>
    <w:rsid w:val="00177EEF"/>
    <w:rsid w:val="0019667E"/>
    <w:rsid w:val="001A1172"/>
    <w:rsid w:val="001A7870"/>
    <w:rsid w:val="001B3A00"/>
    <w:rsid w:val="001B490A"/>
    <w:rsid w:val="001B4C00"/>
    <w:rsid w:val="001C0589"/>
    <w:rsid w:val="001C1B41"/>
    <w:rsid w:val="001C3FDF"/>
    <w:rsid w:val="001D3523"/>
    <w:rsid w:val="001D5DEC"/>
    <w:rsid w:val="001D65EF"/>
    <w:rsid w:val="001D6768"/>
    <w:rsid w:val="001E3CBA"/>
    <w:rsid w:val="001E49E7"/>
    <w:rsid w:val="001E5DB2"/>
    <w:rsid w:val="001F1FA3"/>
    <w:rsid w:val="001F271B"/>
    <w:rsid w:val="001F7201"/>
    <w:rsid w:val="00203B4D"/>
    <w:rsid w:val="00204931"/>
    <w:rsid w:val="00214EB2"/>
    <w:rsid w:val="002164D3"/>
    <w:rsid w:val="00216A99"/>
    <w:rsid w:val="00217E3F"/>
    <w:rsid w:val="002223A4"/>
    <w:rsid w:val="00223711"/>
    <w:rsid w:val="00223A29"/>
    <w:rsid w:val="00223DB4"/>
    <w:rsid w:val="002250A3"/>
    <w:rsid w:val="002274A2"/>
    <w:rsid w:val="00231294"/>
    <w:rsid w:val="00235217"/>
    <w:rsid w:val="002355A9"/>
    <w:rsid w:val="00245650"/>
    <w:rsid w:val="00246D1F"/>
    <w:rsid w:val="00247403"/>
    <w:rsid w:val="00247542"/>
    <w:rsid w:val="00253195"/>
    <w:rsid w:val="00253769"/>
    <w:rsid w:val="00257104"/>
    <w:rsid w:val="00262864"/>
    <w:rsid w:val="002636E9"/>
    <w:rsid w:val="002646C1"/>
    <w:rsid w:val="00266B61"/>
    <w:rsid w:val="0026712A"/>
    <w:rsid w:val="002704DB"/>
    <w:rsid w:val="00277BDA"/>
    <w:rsid w:val="00294BD9"/>
    <w:rsid w:val="0029575A"/>
    <w:rsid w:val="00295932"/>
    <w:rsid w:val="00295F56"/>
    <w:rsid w:val="002A0AAE"/>
    <w:rsid w:val="002A5820"/>
    <w:rsid w:val="002B6FFB"/>
    <w:rsid w:val="002C0D2D"/>
    <w:rsid w:val="002C3350"/>
    <w:rsid w:val="002D1527"/>
    <w:rsid w:val="002D2B26"/>
    <w:rsid w:val="002D778E"/>
    <w:rsid w:val="002D7EA2"/>
    <w:rsid w:val="002E187C"/>
    <w:rsid w:val="002E7512"/>
    <w:rsid w:val="002F3724"/>
    <w:rsid w:val="002F3A0A"/>
    <w:rsid w:val="002F4C6A"/>
    <w:rsid w:val="00302733"/>
    <w:rsid w:val="003121D5"/>
    <w:rsid w:val="003130A5"/>
    <w:rsid w:val="00314078"/>
    <w:rsid w:val="0031535D"/>
    <w:rsid w:val="003239B8"/>
    <w:rsid w:val="00323B2C"/>
    <w:rsid w:val="0033169F"/>
    <w:rsid w:val="00333A9E"/>
    <w:rsid w:val="00341A40"/>
    <w:rsid w:val="0034224A"/>
    <w:rsid w:val="00343438"/>
    <w:rsid w:val="00344977"/>
    <w:rsid w:val="00346C95"/>
    <w:rsid w:val="0034788B"/>
    <w:rsid w:val="00351155"/>
    <w:rsid w:val="0035443B"/>
    <w:rsid w:val="00356185"/>
    <w:rsid w:val="00360380"/>
    <w:rsid w:val="00360A58"/>
    <w:rsid w:val="00361DF2"/>
    <w:rsid w:val="003713D8"/>
    <w:rsid w:val="0037519E"/>
    <w:rsid w:val="00380080"/>
    <w:rsid w:val="003812CB"/>
    <w:rsid w:val="003838C3"/>
    <w:rsid w:val="00386C6C"/>
    <w:rsid w:val="00386CF0"/>
    <w:rsid w:val="003878F2"/>
    <w:rsid w:val="003911F7"/>
    <w:rsid w:val="003938D1"/>
    <w:rsid w:val="003942EC"/>
    <w:rsid w:val="003A129A"/>
    <w:rsid w:val="003A6337"/>
    <w:rsid w:val="003B4FF6"/>
    <w:rsid w:val="003B70FB"/>
    <w:rsid w:val="003C0C03"/>
    <w:rsid w:val="003C18E3"/>
    <w:rsid w:val="003C45DC"/>
    <w:rsid w:val="003C6112"/>
    <w:rsid w:val="003C676B"/>
    <w:rsid w:val="003D0A55"/>
    <w:rsid w:val="003D3BC2"/>
    <w:rsid w:val="003D54C4"/>
    <w:rsid w:val="003E614F"/>
    <w:rsid w:val="003E6C0C"/>
    <w:rsid w:val="003E6CA1"/>
    <w:rsid w:val="003F3BA0"/>
    <w:rsid w:val="00404974"/>
    <w:rsid w:val="004065A8"/>
    <w:rsid w:val="00415352"/>
    <w:rsid w:val="004153F5"/>
    <w:rsid w:val="004165C2"/>
    <w:rsid w:val="00427118"/>
    <w:rsid w:val="004304AD"/>
    <w:rsid w:val="0043404F"/>
    <w:rsid w:val="00441ECB"/>
    <w:rsid w:val="00445193"/>
    <w:rsid w:val="00446B84"/>
    <w:rsid w:val="00447C6E"/>
    <w:rsid w:val="00447CCF"/>
    <w:rsid w:val="0045329F"/>
    <w:rsid w:val="00453C30"/>
    <w:rsid w:val="004565BA"/>
    <w:rsid w:val="00462C1B"/>
    <w:rsid w:val="00464346"/>
    <w:rsid w:val="004660CD"/>
    <w:rsid w:val="00466820"/>
    <w:rsid w:val="00467B7E"/>
    <w:rsid w:val="0047080D"/>
    <w:rsid w:val="004734E5"/>
    <w:rsid w:val="00473BB4"/>
    <w:rsid w:val="00476211"/>
    <w:rsid w:val="00477592"/>
    <w:rsid w:val="004866EA"/>
    <w:rsid w:val="00486F1C"/>
    <w:rsid w:val="00487A48"/>
    <w:rsid w:val="0049419D"/>
    <w:rsid w:val="00495908"/>
    <w:rsid w:val="004A05E6"/>
    <w:rsid w:val="004A59CC"/>
    <w:rsid w:val="004A6A54"/>
    <w:rsid w:val="004A7A5E"/>
    <w:rsid w:val="004A7B33"/>
    <w:rsid w:val="004C20D2"/>
    <w:rsid w:val="004C2312"/>
    <w:rsid w:val="004C4B62"/>
    <w:rsid w:val="004C54C9"/>
    <w:rsid w:val="004C616A"/>
    <w:rsid w:val="004D1458"/>
    <w:rsid w:val="004D1711"/>
    <w:rsid w:val="004D27A1"/>
    <w:rsid w:val="004D2959"/>
    <w:rsid w:val="004D489A"/>
    <w:rsid w:val="004D4ABA"/>
    <w:rsid w:val="004D6025"/>
    <w:rsid w:val="004D7C0D"/>
    <w:rsid w:val="004E0000"/>
    <w:rsid w:val="004E19B1"/>
    <w:rsid w:val="004E1F2C"/>
    <w:rsid w:val="004E2649"/>
    <w:rsid w:val="004E34FA"/>
    <w:rsid w:val="00501399"/>
    <w:rsid w:val="00501652"/>
    <w:rsid w:val="0050633D"/>
    <w:rsid w:val="00507BC4"/>
    <w:rsid w:val="005128E4"/>
    <w:rsid w:val="005133DB"/>
    <w:rsid w:val="00522894"/>
    <w:rsid w:val="00525413"/>
    <w:rsid w:val="00525560"/>
    <w:rsid w:val="0054032A"/>
    <w:rsid w:val="005415E6"/>
    <w:rsid w:val="00541BB2"/>
    <w:rsid w:val="00544216"/>
    <w:rsid w:val="00544C49"/>
    <w:rsid w:val="005516A1"/>
    <w:rsid w:val="0055234F"/>
    <w:rsid w:val="00556D04"/>
    <w:rsid w:val="005604CB"/>
    <w:rsid w:val="00563557"/>
    <w:rsid w:val="00572826"/>
    <w:rsid w:val="005732A7"/>
    <w:rsid w:val="0057402A"/>
    <w:rsid w:val="00574CB7"/>
    <w:rsid w:val="005771D0"/>
    <w:rsid w:val="0058187C"/>
    <w:rsid w:val="00583784"/>
    <w:rsid w:val="00584F6A"/>
    <w:rsid w:val="00586230"/>
    <w:rsid w:val="00586EEF"/>
    <w:rsid w:val="0059191A"/>
    <w:rsid w:val="0059195F"/>
    <w:rsid w:val="005921FF"/>
    <w:rsid w:val="00594707"/>
    <w:rsid w:val="00595290"/>
    <w:rsid w:val="005A24ED"/>
    <w:rsid w:val="005A5DD7"/>
    <w:rsid w:val="005A6D0E"/>
    <w:rsid w:val="005B37CC"/>
    <w:rsid w:val="005B52B0"/>
    <w:rsid w:val="005B6806"/>
    <w:rsid w:val="005B6D22"/>
    <w:rsid w:val="005C261A"/>
    <w:rsid w:val="005C4225"/>
    <w:rsid w:val="005C7773"/>
    <w:rsid w:val="005C7989"/>
    <w:rsid w:val="005D194F"/>
    <w:rsid w:val="005D3891"/>
    <w:rsid w:val="005D53B3"/>
    <w:rsid w:val="005D66AD"/>
    <w:rsid w:val="005D7EB7"/>
    <w:rsid w:val="005E0B65"/>
    <w:rsid w:val="005E11B2"/>
    <w:rsid w:val="005E35FD"/>
    <w:rsid w:val="005F0A4D"/>
    <w:rsid w:val="005F0DAD"/>
    <w:rsid w:val="005F0F33"/>
    <w:rsid w:val="005F24A8"/>
    <w:rsid w:val="005F42BF"/>
    <w:rsid w:val="005F5A85"/>
    <w:rsid w:val="00600DEB"/>
    <w:rsid w:val="00602A84"/>
    <w:rsid w:val="006068B7"/>
    <w:rsid w:val="00610A4C"/>
    <w:rsid w:val="00610BF4"/>
    <w:rsid w:val="00611CA5"/>
    <w:rsid w:val="00614C16"/>
    <w:rsid w:val="006261F3"/>
    <w:rsid w:val="0062656A"/>
    <w:rsid w:val="006277DE"/>
    <w:rsid w:val="00627C9F"/>
    <w:rsid w:val="006311E9"/>
    <w:rsid w:val="00631390"/>
    <w:rsid w:val="00631549"/>
    <w:rsid w:val="00632354"/>
    <w:rsid w:val="0063324A"/>
    <w:rsid w:val="00642664"/>
    <w:rsid w:val="00642810"/>
    <w:rsid w:val="00647756"/>
    <w:rsid w:val="006509DA"/>
    <w:rsid w:val="00652333"/>
    <w:rsid w:val="006532BB"/>
    <w:rsid w:val="00653C7C"/>
    <w:rsid w:val="006561F8"/>
    <w:rsid w:val="00666941"/>
    <w:rsid w:val="006775AB"/>
    <w:rsid w:val="0068009E"/>
    <w:rsid w:val="006819E9"/>
    <w:rsid w:val="0068210D"/>
    <w:rsid w:val="0068288D"/>
    <w:rsid w:val="00686471"/>
    <w:rsid w:val="0068794B"/>
    <w:rsid w:val="0069072E"/>
    <w:rsid w:val="00691BBE"/>
    <w:rsid w:val="00692219"/>
    <w:rsid w:val="0069402E"/>
    <w:rsid w:val="006A17D2"/>
    <w:rsid w:val="006A548D"/>
    <w:rsid w:val="006A73E6"/>
    <w:rsid w:val="006B2515"/>
    <w:rsid w:val="006B2D5C"/>
    <w:rsid w:val="006B2EE8"/>
    <w:rsid w:val="006B5ECC"/>
    <w:rsid w:val="006C4EB1"/>
    <w:rsid w:val="006C75FE"/>
    <w:rsid w:val="006D09BF"/>
    <w:rsid w:val="006D2C0C"/>
    <w:rsid w:val="006D5A2C"/>
    <w:rsid w:val="006D6581"/>
    <w:rsid w:val="006D6BD4"/>
    <w:rsid w:val="006E0166"/>
    <w:rsid w:val="006E772A"/>
    <w:rsid w:val="006E7B34"/>
    <w:rsid w:val="006F04C9"/>
    <w:rsid w:val="006F1367"/>
    <w:rsid w:val="006F1D32"/>
    <w:rsid w:val="00700435"/>
    <w:rsid w:val="00701300"/>
    <w:rsid w:val="007034AD"/>
    <w:rsid w:val="0070697F"/>
    <w:rsid w:val="007153C1"/>
    <w:rsid w:val="00717132"/>
    <w:rsid w:val="00717A08"/>
    <w:rsid w:val="0072199C"/>
    <w:rsid w:val="00722C9F"/>
    <w:rsid w:val="0072463A"/>
    <w:rsid w:val="007248CD"/>
    <w:rsid w:val="00724F4A"/>
    <w:rsid w:val="007253B8"/>
    <w:rsid w:val="00727B0E"/>
    <w:rsid w:val="007333D4"/>
    <w:rsid w:val="0073598C"/>
    <w:rsid w:val="0073741F"/>
    <w:rsid w:val="007415AB"/>
    <w:rsid w:val="007416F4"/>
    <w:rsid w:val="00741CC2"/>
    <w:rsid w:val="00746C24"/>
    <w:rsid w:val="00747E3D"/>
    <w:rsid w:val="007547F5"/>
    <w:rsid w:val="00756485"/>
    <w:rsid w:val="00757AEB"/>
    <w:rsid w:val="00763D0D"/>
    <w:rsid w:val="00765AB4"/>
    <w:rsid w:val="0076643F"/>
    <w:rsid w:val="0076696A"/>
    <w:rsid w:val="00772E5F"/>
    <w:rsid w:val="00775276"/>
    <w:rsid w:val="007753FC"/>
    <w:rsid w:val="00776B37"/>
    <w:rsid w:val="00777D4A"/>
    <w:rsid w:val="00777F63"/>
    <w:rsid w:val="0078378A"/>
    <w:rsid w:val="007852B5"/>
    <w:rsid w:val="0079354E"/>
    <w:rsid w:val="00793824"/>
    <w:rsid w:val="0079556D"/>
    <w:rsid w:val="00795CF5"/>
    <w:rsid w:val="00796A37"/>
    <w:rsid w:val="007A030F"/>
    <w:rsid w:val="007A5817"/>
    <w:rsid w:val="007B05C4"/>
    <w:rsid w:val="007B361D"/>
    <w:rsid w:val="007B60E9"/>
    <w:rsid w:val="007B6CC3"/>
    <w:rsid w:val="007B7C9F"/>
    <w:rsid w:val="007C3334"/>
    <w:rsid w:val="007C36C1"/>
    <w:rsid w:val="007C402A"/>
    <w:rsid w:val="007D07C3"/>
    <w:rsid w:val="007D2B98"/>
    <w:rsid w:val="007D7C02"/>
    <w:rsid w:val="007E21BC"/>
    <w:rsid w:val="007E58FE"/>
    <w:rsid w:val="007E7C82"/>
    <w:rsid w:val="007F588D"/>
    <w:rsid w:val="00802748"/>
    <w:rsid w:val="00803F1C"/>
    <w:rsid w:val="00804F6F"/>
    <w:rsid w:val="0080600E"/>
    <w:rsid w:val="008168D8"/>
    <w:rsid w:val="00817612"/>
    <w:rsid w:val="00832331"/>
    <w:rsid w:val="008338A4"/>
    <w:rsid w:val="00834D49"/>
    <w:rsid w:val="00837C45"/>
    <w:rsid w:val="008411F0"/>
    <w:rsid w:val="008439BC"/>
    <w:rsid w:val="00844199"/>
    <w:rsid w:val="00844544"/>
    <w:rsid w:val="00844730"/>
    <w:rsid w:val="008453B1"/>
    <w:rsid w:val="008457C2"/>
    <w:rsid w:val="00853E84"/>
    <w:rsid w:val="008576E8"/>
    <w:rsid w:val="00857A82"/>
    <w:rsid w:val="00860490"/>
    <w:rsid w:val="00871526"/>
    <w:rsid w:val="00873836"/>
    <w:rsid w:val="00875668"/>
    <w:rsid w:val="00885737"/>
    <w:rsid w:val="00890650"/>
    <w:rsid w:val="00892CA4"/>
    <w:rsid w:val="0089500D"/>
    <w:rsid w:val="00897E12"/>
    <w:rsid w:val="008A0F81"/>
    <w:rsid w:val="008A310C"/>
    <w:rsid w:val="008A5E22"/>
    <w:rsid w:val="008A7E0F"/>
    <w:rsid w:val="008B12F5"/>
    <w:rsid w:val="008B5932"/>
    <w:rsid w:val="008C5751"/>
    <w:rsid w:val="008D0F50"/>
    <w:rsid w:val="008D6978"/>
    <w:rsid w:val="008D768D"/>
    <w:rsid w:val="008E0FD8"/>
    <w:rsid w:val="008E328A"/>
    <w:rsid w:val="008E3759"/>
    <w:rsid w:val="008E3BFE"/>
    <w:rsid w:val="008E74F7"/>
    <w:rsid w:val="008E7900"/>
    <w:rsid w:val="008F10AE"/>
    <w:rsid w:val="008F1912"/>
    <w:rsid w:val="008F3148"/>
    <w:rsid w:val="008F4E24"/>
    <w:rsid w:val="009026D0"/>
    <w:rsid w:val="0090270B"/>
    <w:rsid w:val="009041DC"/>
    <w:rsid w:val="0090555E"/>
    <w:rsid w:val="00917B5A"/>
    <w:rsid w:val="00920A58"/>
    <w:rsid w:val="00920A8C"/>
    <w:rsid w:val="00932B0D"/>
    <w:rsid w:val="00934A2C"/>
    <w:rsid w:val="00935F06"/>
    <w:rsid w:val="00936661"/>
    <w:rsid w:val="00937B3A"/>
    <w:rsid w:val="00944EBD"/>
    <w:rsid w:val="009462BF"/>
    <w:rsid w:val="00952834"/>
    <w:rsid w:val="00954B82"/>
    <w:rsid w:val="009564AE"/>
    <w:rsid w:val="00957000"/>
    <w:rsid w:val="00962436"/>
    <w:rsid w:val="00964BBF"/>
    <w:rsid w:val="00966771"/>
    <w:rsid w:val="0096706E"/>
    <w:rsid w:val="00974491"/>
    <w:rsid w:val="00975C4E"/>
    <w:rsid w:val="00976B70"/>
    <w:rsid w:val="0098113F"/>
    <w:rsid w:val="00981FBA"/>
    <w:rsid w:val="00985E94"/>
    <w:rsid w:val="00997BC5"/>
    <w:rsid w:val="009A4F41"/>
    <w:rsid w:val="009B263E"/>
    <w:rsid w:val="009B381B"/>
    <w:rsid w:val="009C2FC5"/>
    <w:rsid w:val="009C4DD2"/>
    <w:rsid w:val="009C787B"/>
    <w:rsid w:val="009D1753"/>
    <w:rsid w:val="009D2BC1"/>
    <w:rsid w:val="009D3E90"/>
    <w:rsid w:val="009D6502"/>
    <w:rsid w:val="009D66DD"/>
    <w:rsid w:val="009D7611"/>
    <w:rsid w:val="009D78A5"/>
    <w:rsid w:val="009E08DD"/>
    <w:rsid w:val="009E0B61"/>
    <w:rsid w:val="009E4F65"/>
    <w:rsid w:val="009E53DE"/>
    <w:rsid w:val="009E7C00"/>
    <w:rsid w:val="009F1414"/>
    <w:rsid w:val="009F5FB3"/>
    <w:rsid w:val="009F7410"/>
    <w:rsid w:val="00A01212"/>
    <w:rsid w:val="00A04336"/>
    <w:rsid w:val="00A0691C"/>
    <w:rsid w:val="00A11E44"/>
    <w:rsid w:val="00A154C8"/>
    <w:rsid w:val="00A22397"/>
    <w:rsid w:val="00A30DC2"/>
    <w:rsid w:val="00A32313"/>
    <w:rsid w:val="00A328B3"/>
    <w:rsid w:val="00A37EEC"/>
    <w:rsid w:val="00A47A43"/>
    <w:rsid w:val="00A50FCF"/>
    <w:rsid w:val="00A528D1"/>
    <w:rsid w:val="00A55672"/>
    <w:rsid w:val="00A610CD"/>
    <w:rsid w:val="00A625E0"/>
    <w:rsid w:val="00A70059"/>
    <w:rsid w:val="00A74947"/>
    <w:rsid w:val="00A74CBD"/>
    <w:rsid w:val="00A74D9B"/>
    <w:rsid w:val="00A758AA"/>
    <w:rsid w:val="00A76E30"/>
    <w:rsid w:val="00A777B4"/>
    <w:rsid w:val="00A833B4"/>
    <w:rsid w:val="00A83E02"/>
    <w:rsid w:val="00A92093"/>
    <w:rsid w:val="00A94503"/>
    <w:rsid w:val="00AA09A2"/>
    <w:rsid w:val="00AA7996"/>
    <w:rsid w:val="00AB1103"/>
    <w:rsid w:val="00AB203F"/>
    <w:rsid w:val="00AB3E36"/>
    <w:rsid w:val="00AB4E59"/>
    <w:rsid w:val="00AC19CB"/>
    <w:rsid w:val="00AC33BC"/>
    <w:rsid w:val="00AC4B78"/>
    <w:rsid w:val="00AD1886"/>
    <w:rsid w:val="00AD31EE"/>
    <w:rsid w:val="00AD3294"/>
    <w:rsid w:val="00AE5488"/>
    <w:rsid w:val="00AE6EC7"/>
    <w:rsid w:val="00AE6F91"/>
    <w:rsid w:val="00AF2153"/>
    <w:rsid w:val="00AF2C7E"/>
    <w:rsid w:val="00AF475D"/>
    <w:rsid w:val="00AF5571"/>
    <w:rsid w:val="00B0497B"/>
    <w:rsid w:val="00B06B4E"/>
    <w:rsid w:val="00B07341"/>
    <w:rsid w:val="00B14CBD"/>
    <w:rsid w:val="00B202B5"/>
    <w:rsid w:val="00B21F67"/>
    <w:rsid w:val="00B23907"/>
    <w:rsid w:val="00B30539"/>
    <w:rsid w:val="00B314DB"/>
    <w:rsid w:val="00B33385"/>
    <w:rsid w:val="00B361F2"/>
    <w:rsid w:val="00B3718B"/>
    <w:rsid w:val="00B4334B"/>
    <w:rsid w:val="00B4632A"/>
    <w:rsid w:val="00B479F0"/>
    <w:rsid w:val="00B5067D"/>
    <w:rsid w:val="00B530F1"/>
    <w:rsid w:val="00B55F14"/>
    <w:rsid w:val="00B57297"/>
    <w:rsid w:val="00B66990"/>
    <w:rsid w:val="00B71422"/>
    <w:rsid w:val="00B736AF"/>
    <w:rsid w:val="00B742BE"/>
    <w:rsid w:val="00B8086E"/>
    <w:rsid w:val="00B84C70"/>
    <w:rsid w:val="00B87359"/>
    <w:rsid w:val="00B909E7"/>
    <w:rsid w:val="00B90C48"/>
    <w:rsid w:val="00B92B2D"/>
    <w:rsid w:val="00B96B93"/>
    <w:rsid w:val="00B97946"/>
    <w:rsid w:val="00B97AAE"/>
    <w:rsid w:val="00BA0F4A"/>
    <w:rsid w:val="00BA276C"/>
    <w:rsid w:val="00BA307D"/>
    <w:rsid w:val="00BA5544"/>
    <w:rsid w:val="00BB0ED7"/>
    <w:rsid w:val="00BB151B"/>
    <w:rsid w:val="00BB1E43"/>
    <w:rsid w:val="00BB306F"/>
    <w:rsid w:val="00BB3FBD"/>
    <w:rsid w:val="00BC02F4"/>
    <w:rsid w:val="00BC0F07"/>
    <w:rsid w:val="00BC1919"/>
    <w:rsid w:val="00BC6A2C"/>
    <w:rsid w:val="00BC6C79"/>
    <w:rsid w:val="00BC6CD0"/>
    <w:rsid w:val="00BC796E"/>
    <w:rsid w:val="00BD4B89"/>
    <w:rsid w:val="00BD5573"/>
    <w:rsid w:val="00BD5922"/>
    <w:rsid w:val="00BD76D9"/>
    <w:rsid w:val="00BE26FE"/>
    <w:rsid w:val="00BE7155"/>
    <w:rsid w:val="00BF02CB"/>
    <w:rsid w:val="00BF514A"/>
    <w:rsid w:val="00BF6FD8"/>
    <w:rsid w:val="00BF6FFB"/>
    <w:rsid w:val="00BF775D"/>
    <w:rsid w:val="00C026B5"/>
    <w:rsid w:val="00C031F0"/>
    <w:rsid w:val="00C03680"/>
    <w:rsid w:val="00C04235"/>
    <w:rsid w:val="00C0497E"/>
    <w:rsid w:val="00C054DF"/>
    <w:rsid w:val="00C07000"/>
    <w:rsid w:val="00C10AFC"/>
    <w:rsid w:val="00C21562"/>
    <w:rsid w:val="00C21762"/>
    <w:rsid w:val="00C21FEF"/>
    <w:rsid w:val="00C24543"/>
    <w:rsid w:val="00C256A2"/>
    <w:rsid w:val="00C321DA"/>
    <w:rsid w:val="00C35A26"/>
    <w:rsid w:val="00C47445"/>
    <w:rsid w:val="00C51515"/>
    <w:rsid w:val="00C53910"/>
    <w:rsid w:val="00C5660B"/>
    <w:rsid w:val="00C56854"/>
    <w:rsid w:val="00C56F75"/>
    <w:rsid w:val="00C5788A"/>
    <w:rsid w:val="00C57C67"/>
    <w:rsid w:val="00C631B4"/>
    <w:rsid w:val="00C66B72"/>
    <w:rsid w:val="00C67C71"/>
    <w:rsid w:val="00C74179"/>
    <w:rsid w:val="00C80E8A"/>
    <w:rsid w:val="00C87AC4"/>
    <w:rsid w:val="00C9533E"/>
    <w:rsid w:val="00C9567A"/>
    <w:rsid w:val="00CA3C5F"/>
    <w:rsid w:val="00CA3C71"/>
    <w:rsid w:val="00CA48A3"/>
    <w:rsid w:val="00CA519C"/>
    <w:rsid w:val="00CB212D"/>
    <w:rsid w:val="00CB2660"/>
    <w:rsid w:val="00CB6F93"/>
    <w:rsid w:val="00CB7335"/>
    <w:rsid w:val="00CC0BFD"/>
    <w:rsid w:val="00CC395D"/>
    <w:rsid w:val="00CC5E90"/>
    <w:rsid w:val="00CD046C"/>
    <w:rsid w:val="00CD063F"/>
    <w:rsid w:val="00CD186A"/>
    <w:rsid w:val="00CD1EBA"/>
    <w:rsid w:val="00CD232B"/>
    <w:rsid w:val="00CD240E"/>
    <w:rsid w:val="00CE076C"/>
    <w:rsid w:val="00CE45CF"/>
    <w:rsid w:val="00CE5199"/>
    <w:rsid w:val="00CE66D5"/>
    <w:rsid w:val="00CE78B8"/>
    <w:rsid w:val="00CF3984"/>
    <w:rsid w:val="00CF637A"/>
    <w:rsid w:val="00D0051F"/>
    <w:rsid w:val="00D0423A"/>
    <w:rsid w:val="00D059DE"/>
    <w:rsid w:val="00D05ABD"/>
    <w:rsid w:val="00D11130"/>
    <w:rsid w:val="00D13FCE"/>
    <w:rsid w:val="00D16651"/>
    <w:rsid w:val="00D17E8C"/>
    <w:rsid w:val="00D224E0"/>
    <w:rsid w:val="00D30555"/>
    <w:rsid w:val="00D306D1"/>
    <w:rsid w:val="00D30800"/>
    <w:rsid w:val="00D314F3"/>
    <w:rsid w:val="00D34786"/>
    <w:rsid w:val="00D365D9"/>
    <w:rsid w:val="00D37BFC"/>
    <w:rsid w:val="00D42822"/>
    <w:rsid w:val="00D47A8E"/>
    <w:rsid w:val="00D51AEF"/>
    <w:rsid w:val="00D52D14"/>
    <w:rsid w:val="00D55256"/>
    <w:rsid w:val="00D56D93"/>
    <w:rsid w:val="00D70858"/>
    <w:rsid w:val="00D70C4F"/>
    <w:rsid w:val="00D712D3"/>
    <w:rsid w:val="00D71422"/>
    <w:rsid w:val="00D725CF"/>
    <w:rsid w:val="00D72DC6"/>
    <w:rsid w:val="00D73F5E"/>
    <w:rsid w:val="00D7558D"/>
    <w:rsid w:val="00D77503"/>
    <w:rsid w:val="00D81D92"/>
    <w:rsid w:val="00D876F9"/>
    <w:rsid w:val="00D877B6"/>
    <w:rsid w:val="00D937C9"/>
    <w:rsid w:val="00D93A90"/>
    <w:rsid w:val="00D97A73"/>
    <w:rsid w:val="00DA28B1"/>
    <w:rsid w:val="00DA7228"/>
    <w:rsid w:val="00DA7B5F"/>
    <w:rsid w:val="00DC11E7"/>
    <w:rsid w:val="00DC7023"/>
    <w:rsid w:val="00DC769A"/>
    <w:rsid w:val="00DD061E"/>
    <w:rsid w:val="00DD3D86"/>
    <w:rsid w:val="00DE12F0"/>
    <w:rsid w:val="00DE4071"/>
    <w:rsid w:val="00DE6D97"/>
    <w:rsid w:val="00DF1115"/>
    <w:rsid w:val="00DF1EC4"/>
    <w:rsid w:val="00DF51E9"/>
    <w:rsid w:val="00E01943"/>
    <w:rsid w:val="00E0340B"/>
    <w:rsid w:val="00E04A90"/>
    <w:rsid w:val="00E0551F"/>
    <w:rsid w:val="00E219C7"/>
    <w:rsid w:val="00E256DA"/>
    <w:rsid w:val="00E26CCA"/>
    <w:rsid w:val="00E27F56"/>
    <w:rsid w:val="00E3582A"/>
    <w:rsid w:val="00E37026"/>
    <w:rsid w:val="00E40792"/>
    <w:rsid w:val="00E4118C"/>
    <w:rsid w:val="00E43157"/>
    <w:rsid w:val="00E43ED7"/>
    <w:rsid w:val="00E461CE"/>
    <w:rsid w:val="00E51BC0"/>
    <w:rsid w:val="00E62F9E"/>
    <w:rsid w:val="00E720CA"/>
    <w:rsid w:val="00E727B3"/>
    <w:rsid w:val="00E74975"/>
    <w:rsid w:val="00E75525"/>
    <w:rsid w:val="00E80B88"/>
    <w:rsid w:val="00E84EB5"/>
    <w:rsid w:val="00E85662"/>
    <w:rsid w:val="00E86972"/>
    <w:rsid w:val="00E8789F"/>
    <w:rsid w:val="00E902E1"/>
    <w:rsid w:val="00E92747"/>
    <w:rsid w:val="00E92C72"/>
    <w:rsid w:val="00E97B71"/>
    <w:rsid w:val="00EA0727"/>
    <w:rsid w:val="00EA1519"/>
    <w:rsid w:val="00EA2CD7"/>
    <w:rsid w:val="00EA3D34"/>
    <w:rsid w:val="00EA43E8"/>
    <w:rsid w:val="00EB3B87"/>
    <w:rsid w:val="00EB454D"/>
    <w:rsid w:val="00EB5E6D"/>
    <w:rsid w:val="00EC095B"/>
    <w:rsid w:val="00EC1605"/>
    <w:rsid w:val="00EC26E9"/>
    <w:rsid w:val="00EC3828"/>
    <w:rsid w:val="00EC5840"/>
    <w:rsid w:val="00EC72AB"/>
    <w:rsid w:val="00ED0084"/>
    <w:rsid w:val="00ED2F03"/>
    <w:rsid w:val="00ED549D"/>
    <w:rsid w:val="00ED76BE"/>
    <w:rsid w:val="00ED7F05"/>
    <w:rsid w:val="00EE00E9"/>
    <w:rsid w:val="00EE014D"/>
    <w:rsid w:val="00EE10B1"/>
    <w:rsid w:val="00EE4D21"/>
    <w:rsid w:val="00EE5B7B"/>
    <w:rsid w:val="00EF35AB"/>
    <w:rsid w:val="00EF4C44"/>
    <w:rsid w:val="00EF5DC8"/>
    <w:rsid w:val="00EF619B"/>
    <w:rsid w:val="00F0073C"/>
    <w:rsid w:val="00F00B55"/>
    <w:rsid w:val="00F02AD1"/>
    <w:rsid w:val="00F04591"/>
    <w:rsid w:val="00F06354"/>
    <w:rsid w:val="00F10C7E"/>
    <w:rsid w:val="00F11423"/>
    <w:rsid w:val="00F13BBC"/>
    <w:rsid w:val="00F1457D"/>
    <w:rsid w:val="00F1614B"/>
    <w:rsid w:val="00F2032D"/>
    <w:rsid w:val="00F23377"/>
    <w:rsid w:val="00F24C9B"/>
    <w:rsid w:val="00F253CC"/>
    <w:rsid w:val="00F279F1"/>
    <w:rsid w:val="00F303CF"/>
    <w:rsid w:val="00F30AE2"/>
    <w:rsid w:val="00F332EF"/>
    <w:rsid w:val="00F37106"/>
    <w:rsid w:val="00F41953"/>
    <w:rsid w:val="00F44829"/>
    <w:rsid w:val="00F519CF"/>
    <w:rsid w:val="00F53168"/>
    <w:rsid w:val="00F533A2"/>
    <w:rsid w:val="00F53676"/>
    <w:rsid w:val="00F56BA5"/>
    <w:rsid w:val="00F60E22"/>
    <w:rsid w:val="00F628F6"/>
    <w:rsid w:val="00F63B39"/>
    <w:rsid w:val="00F81395"/>
    <w:rsid w:val="00F81457"/>
    <w:rsid w:val="00F81887"/>
    <w:rsid w:val="00F81BB8"/>
    <w:rsid w:val="00F82AE4"/>
    <w:rsid w:val="00F902B4"/>
    <w:rsid w:val="00F917D1"/>
    <w:rsid w:val="00F924F8"/>
    <w:rsid w:val="00F9342C"/>
    <w:rsid w:val="00F93B0D"/>
    <w:rsid w:val="00F9653B"/>
    <w:rsid w:val="00FA3048"/>
    <w:rsid w:val="00FA56EA"/>
    <w:rsid w:val="00FB62CF"/>
    <w:rsid w:val="00FB6727"/>
    <w:rsid w:val="00FB71F2"/>
    <w:rsid w:val="00FC0F4A"/>
    <w:rsid w:val="00FC3330"/>
    <w:rsid w:val="00FD09A6"/>
    <w:rsid w:val="00FD0D9D"/>
    <w:rsid w:val="00FD3C3B"/>
    <w:rsid w:val="00FD54A7"/>
    <w:rsid w:val="00FD7F50"/>
    <w:rsid w:val="00FE07DD"/>
    <w:rsid w:val="00FE3245"/>
    <w:rsid w:val="00FE4ED3"/>
    <w:rsid w:val="00FE6353"/>
    <w:rsid w:val="00FE6927"/>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unhideWhenUsed/>
    <w:rsid w:val="005B6D22"/>
    <w:rPr>
      <w:sz w:val="20"/>
      <w:szCs w:val="20"/>
    </w:rPr>
  </w:style>
  <w:style w:type="character" w:customStyle="1" w:styleId="CommentTextChar">
    <w:name w:val="Comment Text Char"/>
    <w:basedOn w:val="DefaultParagraphFont"/>
    <w:link w:val="CommentText"/>
    <w:uiPriority w:val="99"/>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FD0D9D"/>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A74D9B"/>
    <w:rPr>
      <w:color w:val="605E5C"/>
      <w:shd w:val="clear" w:color="auto" w:fill="E1DFDD"/>
    </w:rPr>
  </w:style>
  <w:style w:type="paragraph" w:customStyle="1" w:styleId="Char2">
    <w:name w:val="Char2"/>
    <w:basedOn w:val="Normal"/>
    <w:uiPriority w:val="99"/>
    <w:rsid w:val="00F628F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CE060-65A0-4A62-9A22-D13517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3151</Words>
  <Characters>17963</Characters>
  <Application>Microsoft Office Word</Application>
  <DocSecurity>0</DocSecurity>
  <Lines>149</Lines>
  <Paragraphs>42</Paragraphs>
  <ScaleCrop>false</ScaleCrop>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2023-01-25T16:51:00Z</dcterms:created>
  <dcterms:modified xsi:type="dcterms:W3CDTF">2023-01-25T16:51:00Z</dcterms:modified>
</cp:coreProperties>
</file>