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76A85"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58240" behindDoc="0" locked="0" layoutInCell="1" allowOverlap="1" wp14:anchorId="4D95A07A" wp14:editId="003A495B">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22F955C1"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58244" behindDoc="0" locked="0" layoutInCell="1" allowOverlap="1" wp14:anchorId="571CE426" wp14:editId="0A697993">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508FCA" w14:textId="77777777" w:rsidR="003F4104" w:rsidRDefault="003F4104" w:rsidP="00AE5488">
                            <w:r>
                              <w:rPr>
                                <w:noProof/>
                              </w:rPr>
                              <w:drawing>
                                <wp:inline distT="0" distB="0" distL="0" distR="0" wp14:anchorId="6B9D56D9" wp14:editId="0E19B69A">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1CE426"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6508FCA" w14:textId="77777777" w:rsidR="003F4104" w:rsidRDefault="003F4104" w:rsidP="00AE5488">
                      <w:r>
                        <w:rPr>
                          <w:noProof/>
                        </w:rPr>
                        <w:drawing>
                          <wp:inline distT="0" distB="0" distL="0" distR="0" wp14:anchorId="6B9D56D9" wp14:editId="0E19B69A">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r w:rsidR="00071174">
        <w:rPr>
          <w:rFonts w:asciiTheme="majorHAnsi" w:hAnsiTheme="majorHAnsi" w:cs="Univers"/>
          <w:b/>
          <w:bCs/>
          <w:sz w:val="22"/>
          <w:szCs w:val="22"/>
          <w:lang w:val="es-ES_tradnl"/>
        </w:rPr>
        <w:t xml:space="preserve"> </w:t>
      </w:r>
    </w:p>
    <w:p w14:paraId="3FFE3AB8"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171F8CD9"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306B18CE"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7A3649D" w14:textId="77777777" w:rsidR="005128E4" w:rsidRPr="0090270B" w:rsidRDefault="005128E4" w:rsidP="00040C3A">
      <w:pPr>
        <w:tabs>
          <w:tab w:val="center" w:pos="5400"/>
        </w:tabs>
        <w:suppressAutoHyphens/>
        <w:rPr>
          <w:rFonts w:asciiTheme="majorHAnsi" w:hAnsiTheme="majorHAnsi"/>
          <w:sz w:val="22"/>
          <w:szCs w:val="22"/>
          <w:lang w:val="es-ES_tradnl"/>
        </w:rPr>
      </w:pPr>
    </w:p>
    <w:p w14:paraId="7257A357" w14:textId="77777777" w:rsidR="005128E4" w:rsidRPr="0090270B" w:rsidRDefault="005128E4" w:rsidP="00040C3A">
      <w:pPr>
        <w:tabs>
          <w:tab w:val="center" w:pos="5400"/>
        </w:tabs>
        <w:suppressAutoHyphens/>
        <w:rPr>
          <w:rFonts w:asciiTheme="majorHAnsi" w:hAnsiTheme="majorHAnsi"/>
          <w:sz w:val="22"/>
          <w:szCs w:val="22"/>
          <w:lang w:val="es-ES_tradnl"/>
        </w:rPr>
      </w:pPr>
    </w:p>
    <w:p w14:paraId="27222550"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63FE2655"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28117488"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40B03D3A"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4429C046"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10C20DFB"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F9F13C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4C6789C"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58241" behindDoc="0" locked="0" layoutInCell="1" allowOverlap="1" wp14:anchorId="0B69B042" wp14:editId="709B7BC3">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811C2D" w14:textId="0247C3FA" w:rsidR="003F4104" w:rsidRPr="004E2649" w:rsidRDefault="003F4104"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C8729C">
                              <w:rPr>
                                <w:rFonts w:asciiTheme="majorHAnsi" w:hAnsiTheme="majorHAnsi" w:cs="Arial"/>
                                <w:b/>
                                <w:bCs/>
                                <w:color w:val="0D0D0D" w:themeColor="text1" w:themeTint="F2"/>
                                <w:sz w:val="36"/>
                                <w:szCs w:val="22"/>
                                <w:lang w:val="es-ES_tradnl"/>
                              </w:rPr>
                              <w:t>210</w:t>
                            </w:r>
                            <w:r>
                              <w:rPr>
                                <w:rFonts w:asciiTheme="majorHAnsi" w:hAnsiTheme="majorHAnsi" w:cs="Arial"/>
                                <w:b/>
                                <w:bCs/>
                                <w:color w:val="0D0D0D" w:themeColor="text1" w:themeTint="F2"/>
                                <w:sz w:val="36"/>
                                <w:szCs w:val="22"/>
                                <w:lang w:val="es-ES_tradnl"/>
                              </w:rPr>
                              <w:t>/2</w:t>
                            </w:r>
                            <w:r w:rsidR="00A04A82">
                              <w:rPr>
                                <w:rFonts w:asciiTheme="majorHAnsi" w:hAnsiTheme="majorHAnsi" w:cs="Arial"/>
                                <w:b/>
                                <w:bCs/>
                                <w:color w:val="0D0D0D" w:themeColor="text1" w:themeTint="F2"/>
                                <w:sz w:val="36"/>
                                <w:szCs w:val="22"/>
                                <w:lang w:val="es-ES_tradnl"/>
                              </w:rPr>
                              <w:t>2</w:t>
                            </w:r>
                          </w:p>
                          <w:p w14:paraId="08AC5F18" w14:textId="77777777" w:rsidR="003F4104" w:rsidRDefault="003F4104"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115-09</w:t>
                            </w:r>
                          </w:p>
                          <w:p w14:paraId="0BAFCA71" w14:textId="4E4D5B17" w:rsidR="003F4104" w:rsidRPr="0010736F" w:rsidRDefault="003F4104"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w:t>
                            </w:r>
                            <w:r>
                              <w:rPr>
                                <w:rFonts w:asciiTheme="majorHAnsi" w:hAnsiTheme="majorHAnsi" w:cs="Arial"/>
                                <w:color w:val="0D0D0D" w:themeColor="text1" w:themeTint="F2"/>
                                <w:szCs w:val="22"/>
                                <w:lang w:val="es-ES_tradnl"/>
                              </w:rPr>
                              <w:t xml:space="preserve">DE </w:t>
                            </w:r>
                            <w:r w:rsidRPr="0010736F">
                              <w:rPr>
                                <w:rFonts w:asciiTheme="majorHAnsi" w:hAnsiTheme="majorHAnsi" w:cs="Arial"/>
                                <w:color w:val="0D0D0D" w:themeColor="text1" w:themeTint="F2"/>
                                <w:szCs w:val="22"/>
                                <w:lang w:val="es-ES_tradnl"/>
                              </w:rPr>
                              <w:t xml:space="preserve">ADMISIBILIDAD </w:t>
                            </w:r>
                          </w:p>
                          <w:p w14:paraId="71F60499" w14:textId="77777777" w:rsidR="003F4104" w:rsidRPr="0010736F" w:rsidRDefault="003F4104" w:rsidP="00997BC5">
                            <w:pPr>
                              <w:spacing w:line="276" w:lineRule="auto"/>
                              <w:rPr>
                                <w:rFonts w:asciiTheme="majorHAnsi" w:hAnsiTheme="majorHAnsi" w:cs="Arial"/>
                                <w:color w:val="0D0D0D" w:themeColor="text1" w:themeTint="F2"/>
                                <w:szCs w:val="22"/>
                                <w:lang w:val="es-ES_tradnl"/>
                              </w:rPr>
                            </w:pPr>
                            <w:bookmarkStart w:id="0" w:name="_ftnref1"/>
                          </w:p>
                          <w:p w14:paraId="061B6097" w14:textId="1807755F" w:rsidR="003F4104" w:rsidRPr="00DE11C7" w:rsidRDefault="003F4104" w:rsidP="00997BC5">
                            <w:pPr>
                              <w:spacing w:line="276" w:lineRule="auto"/>
                              <w:rPr>
                                <w:rFonts w:asciiTheme="majorHAnsi" w:hAnsiTheme="majorHAnsi" w:cs="Arial"/>
                                <w:color w:val="0D0D0D" w:themeColor="text1" w:themeTint="F2"/>
                                <w:szCs w:val="22"/>
                                <w:lang w:val="es-PA"/>
                              </w:rPr>
                            </w:pPr>
                            <w:r>
                              <w:rPr>
                                <w:rFonts w:asciiTheme="majorHAnsi" w:hAnsiTheme="majorHAnsi" w:cs="Arial"/>
                                <w:color w:val="0D0D0D" w:themeColor="text1" w:themeTint="F2"/>
                                <w:szCs w:val="22"/>
                                <w:lang w:val="es-ES_tradnl"/>
                              </w:rPr>
                              <w:t>LEOPOLDO FERN</w:t>
                            </w:r>
                            <w:r>
                              <w:rPr>
                                <w:rFonts w:asciiTheme="majorHAnsi" w:hAnsiTheme="majorHAnsi" w:cs="Arial"/>
                                <w:color w:val="0D0D0D" w:themeColor="text1" w:themeTint="F2"/>
                                <w:szCs w:val="22"/>
                                <w:lang w:val="es-PA"/>
                              </w:rPr>
                              <w:t>ÁNDEZ FERREIRA</w:t>
                            </w:r>
                          </w:p>
                          <w:bookmarkEnd w:id="0"/>
                          <w:p w14:paraId="5618FA4F" w14:textId="6642ACD5" w:rsidR="003F4104" w:rsidRPr="007B639A" w:rsidRDefault="003F4104" w:rsidP="007B639A">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BOLIVIA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69B042" id="Text Box 5" o:spid="_x0000_s1027" type="#_x0000_t202" style="position:absolute;left:0;text-align:left;margin-left:106.5pt;margin-top:8.45pt;width:349.7pt;height:171.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7B811C2D" w14:textId="0247C3FA" w:rsidR="003F4104" w:rsidRPr="004E2649" w:rsidRDefault="003F4104"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C8729C">
                        <w:rPr>
                          <w:rFonts w:asciiTheme="majorHAnsi" w:hAnsiTheme="majorHAnsi" w:cs="Arial"/>
                          <w:b/>
                          <w:bCs/>
                          <w:color w:val="0D0D0D" w:themeColor="text1" w:themeTint="F2"/>
                          <w:sz w:val="36"/>
                          <w:szCs w:val="22"/>
                          <w:lang w:val="es-ES_tradnl"/>
                        </w:rPr>
                        <w:t>210</w:t>
                      </w:r>
                      <w:r>
                        <w:rPr>
                          <w:rFonts w:asciiTheme="majorHAnsi" w:hAnsiTheme="majorHAnsi" w:cs="Arial"/>
                          <w:b/>
                          <w:bCs/>
                          <w:color w:val="0D0D0D" w:themeColor="text1" w:themeTint="F2"/>
                          <w:sz w:val="36"/>
                          <w:szCs w:val="22"/>
                          <w:lang w:val="es-ES_tradnl"/>
                        </w:rPr>
                        <w:t>/2</w:t>
                      </w:r>
                      <w:r w:rsidR="00A04A82">
                        <w:rPr>
                          <w:rFonts w:asciiTheme="majorHAnsi" w:hAnsiTheme="majorHAnsi" w:cs="Arial"/>
                          <w:b/>
                          <w:bCs/>
                          <w:color w:val="0D0D0D" w:themeColor="text1" w:themeTint="F2"/>
                          <w:sz w:val="36"/>
                          <w:szCs w:val="22"/>
                          <w:lang w:val="es-ES_tradnl"/>
                        </w:rPr>
                        <w:t>2</w:t>
                      </w:r>
                    </w:p>
                    <w:p w14:paraId="08AC5F18" w14:textId="77777777" w:rsidR="003F4104" w:rsidRDefault="003F4104"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115-09</w:t>
                      </w:r>
                    </w:p>
                    <w:p w14:paraId="0BAFCA71" w14:textId="4E4D5B17" w:rsidR="003F4104" w:rsidRPr="0010736F" w:rsidRDefault="003F4104"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w:t>
                      </w:r>
                      <w:r>
                        <w:rPr>
                          <w:rFonts w:asciiTheme="majorHAnsi" w:hAnsiTheme="majorHAnsi" w:cs="Arial"/>
                          <w:color w:val="0D0D0D" w:themeColor="text1" w:themeTint="F2"/>
                          <w:szCs w:val="22"/>
                          <w:lang w:val="es-ES_tradnl"/>
                        </w:rPr>
                        <w:t xml:space="preserve">DE </w:t>
                      </w:r>
                      <w:r w:rsidRPr="0010736F">
                        <w:rPr>
                          <w:rFonts w:asciiTheme="majorHAnsi" w:hAnsiTheme="majorHAnsi" w:cs="Arial"/>
                          <w:color w:val="0D0D0D" w:themeColor="text1" w:themeTint="F2"/>
                          <w:szCs w:val="22"/>
                          <w:lang w:val="es-ES_tradnl"/>
                        </w:rPr>
                        <w:t xml:space="preserve">ADMISIBILIDAD </w:t>
                      </w:r>
                    </w:p>
                    <w:p w14:paraId="71F60499" w14:textId="77777777" w:rsidR="003F4104" w:rsidRPr="0010736F" w:rsidRDefault="003F4104" w:rsidP="00997BC5">
                      <w:pPr>
                        <w:spacing w:line="276" w:lineRule="auto"/>
                        <w:rPr>
                          <w:rFonts w:asciiTheme="majorHAnsi" w:hAnsiTheme="majorHAnsi" w:cs="Arial"/>
                          <w:color w:val="0D0D0D" w:themeColor="text1" w:themeTint="F2"/>
                          <w:szCs w:val="22"/>
                          <w:lang w:val="es-ES_tradnl"/>
                        </w:rPr>
                      </w:pPr>
                      <w:bookmarkStart w:id="1" w:name="_ftnref1"/>
                    </w:p>
                    <w:p w14:paraId="061B6097" w14:textId="1807755F" w:rsidR="003F4104" w:rsidRPr="00DE11C7" w:rsidRDefault="003F4104" w:rsidP="00997BC5">
                      <w:pPr>
                        <w:spacing w:line="276" w:lineRule="auto"/>
                        <w:rPr>
                          <w:rFonts w:asciiTheme="majorHAnsi" w:hAnsiTheme="majorHAnsi" w:cs="Arial"/>
                          <w:color w:val="0D0D0D" w:themeColor="text1" w:themeTint="F2"/>
                          <w:szCs w:val="22"/>
                          <w:lang w:val="es-PA"/>
                        </w:rPr>
                      </w:pPr>
                      <w:r>
                        <w:rPr>
                          <w:rFonts w:asciiTheme="majorHAnsi" w:hAnsiTheme="majorHAnsi" w:cs="Arial"/>
                          <w:color w:val="0D0D0D" w:themeColor="text1" w:themeTint="F2"/>
                          <w:szCs w:val="22"/>
                          <w:lang w:val="es-ES_tradnl"/>
                        </w:rPr>
                        <w:t>LEOPOLDO FERN</w:t>
                      </w:r>
                      <w:r>
                        <w:rPr>
                          <w:rFonts w:asciiTheme="majorHAnsi" w:hAnsiTheme="majorHAnsi" w:cs="Arial"/>
                          <w:color w:val="0D0D0D" w:themeColor="text1" w:themeTint="F2"/>
                          <w:szCs w:val="22"/>
                          <w:lang w:val="es-PA"/>
                        </w:rPr>
                        <w:t>ÁNDEZ FERREIRA</w:t>
                      </w:r>
                    </w:p>
                    <w:bookmarkEnd w:id="1"/>
                    <w:p w14:paraId="5618FA4F" w14:textId="6642ACD5" w:rsidR="003F4104" w:rsidRPr="007B639A" w:rsidRDefault="003F4104" w:rsidP="007B639A">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BOLIVIA</w:t>
                      </w: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58243" behindDoc="0" locked="0" layoutInCell="1" allowOverlap="1" wp14:anchorId="17E7D2FD" wp14:editId="33960429">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FE5DD18" w14:textId="30B46B17" w:rsidR="003F4104" w:rsidRPr="004E2649" w:rsidRDefault="003F4104"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205FC0F4" w14:textId="47333803" w:rsidR="003F4104" w:rsidRPr="004E2649" w:rsidRDefault="003F4104"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C8729C">
                              <w:rPr>
                                <w:rFonts w:asciiTheme="minorHAnsi" w:hAnsiTheme="minorHAnsi"/>
                                <w:color w:val="FFFFFF" w:themeColor="background1"/>
                                <w:sz w:val="22"/>
                                <w:lang w:val="pt-BR"/>
                              </w:rPr>
                              <w:t>213</w:t>
                            </w:r>
                          </w:p>
                          <w:p w14:paraId="147A2550" w14:textId="2BF39F5E" w:rsidR="003F4104" w:rsidRPr="00EF2B5A" w:rsidRDefault="00C8729C" w:rsidP="007A5817">
                            <w:pPr>
                              <w:spacing w:line="276" w:lineRule="auto"/>
                              <w:jc w:val="right"/>
                              <w:rPr>
                                <w:rFonts w:asciiTheme="minorHAnsi" w:hAnsiTheme="minorHAnsi"/>
                                <w:color w:val="FFFFFF" w:themeColor="background1"/>
                                <w:sz w:val="22"/>
                                <w:lang w:val="pt-BR"/>
                              </w:rPr>
                            </w:pPr>
                            <w:r w:rsidRPr="00EF2B5A">
                              <w:rPr>
                                <w:rFonts w:asciiTheme="minorHAnsi" w:hAnsiTheme="minorHAnsi"/>
                                <w:color w:val="FFFFFF" w:themeColor="background1"/>
                                <w:sz w:val="22"/>
                                <w:lang w:val="pt-BR"/>
                              </w:rPr>
                              <w:t>24 agosto</w:t>
                            </w:r>
                            <w:r w:rsidR="003F4104" w:rsidRPr="00EF2B5A">
                              <w:rPr>
                                <w:rFonts w:asciiTheme="minorHAnsi" w:hAnsiTheme="minorHAnsi"/>
                                <w:color w:val="FFFFFF" w:themeColor="background1"/>
                                <w:sz w:val="22"/>
                                <w:lang w:val="pt-BR"/>
                              </w:rPr>
                              <w:t xml:space="preserve"> 202</w:t>
                            </w:r>
                            <w:r w:rsidR="00A04A82" w:rsidRPr="00EF2B5A">
                              <w:rPr>
                                <w:rFonts w:asciiTheme="minorHAnsi" w:hAnsiTheme="minorHAnsi"/>
                                <w:color w:val="FFFFFF" w:themeColor="background1"/>
                                <w:sz w:val="22"/>
                                <w:lang w:val="pt-BR"/>
                              </w:rPr>
                              <w:t>2</w:t>
                            </w:r>
                          </w:p>
                          <w:p w14:paraId="2CF62B48" w14:textId="77777777" w:rsidR="003F4104" w:rsidRPr="00C25ADB" w:rsidRDefault="003F4104"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E7D2FD" id="Text Box 8" o:spid="_x0000_s1028" type="#_x0000_t202" style="position:absolute;left:0;text-align:left;margin-left:-27pt;margin-top:12.95pt;width:109.5pt;height:108.4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2FE5DD18" w14:textId="30B46B17" w:rsidR="003F4104" w:rsidRPr="004E2649" w:rsidRDefault="003F4104"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205FC0F4" w14:textId="47333803" w:rsidR="003F4104" w:rsidRPr="004E2649" w:rsidRDefault="003F4104"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C8729C">
                        <w:rPr>
                          <w:rFonts w:asciiTheme="minorHAnsi" w:hAnsiTheme="minorHAnsi"/>
                          <w:color w:val="FFFFFF" w:themeColor="background1"/>
                          <w:sz w:val="22"/>
                          <w:lang w:val="pt-BR"/>
                        </w:rPr>
                        <w:t>213</w:t>
                      </w:r>
                    </w:p>
                    <w:p w14:paraId="147A2550" w14:textId="2BF39F5E" w:rsidR="003F4104" w:rsidRPr="00EF2B5A" w:rsidRDefault="00C8729C" w:rsidP="007A5817">
                      <w:pPr>
                        <w:spacing w:line="276" w:lineRule="auto"/>
                        <w:jc w:val="right"/>
                        <w:rPr>
                          <w:rFonts w:asciiTheme="minorHAnsi" w:hAnsiTheme="minorHAnsi"/>
                          <w:color w:val="FFFFFF" w:themeColor="background1"/>
                          <w:sz w:val="22"/>
                          <w:lang w:val="pt-BR"/>
                        </w:rPr>
                      </w:pPr>
                      <w:r w:rsidRPr="00EF2B5A">
                        <w:rPr>
                          <w:rFonts w:asciiTheme="minorHAnsi" w:hAnsiTheme="minorHAnsi"/>
                          <w:color w:val="FFFFFF" w:themeColor="background1"/>
                          <w:sz w:val="22"/>
                          <w:lang w:val="pt-BR"/>
                        </w:rPr>
                        <w:t>24 agosto</w:t>
                      </w:r>
                      <w:r w:rsidR="003F4104" w:rsidRPr="00EF2B5A">
                        <w:rPr>
                          <w:rFonts w:asciiTheme="minorHAnsi" w:hAnsiTheme="minorHAnsi"/>
                          <w:color w:val="FFFFFF" w:themeColor="background1"/>
                          <w:sz w:val="22"/>
                          <w:lang w:val="pt-BR"/>
                        </w:rPr>
                        <w:t xml:space="preserve"> 202</w:t>
                      </w:r>
                      <w:r w:rsidR="00A04A82" w:rsidRPr="00EF2B5A">
                        <w:rPr>
                          <w:rFonts w:asciiTheme="minorHAnsi" w:hAnsiTheme="minorHAnsi"/>
                          <w:color w:val="FFFFFF" w:themeColor="background1"/>
                          <w:sz w:val="22"/>
                          <w:lang w:val="pt-BR"/>
                        </w:rPr>
                        <w:t>2</w:t>
                      </w:r>
                    </w:p>
                    <w:p w14:paraId="2CF62B48" w14:textId="77777777" w:rsidR="003F4104" w:rsidRPr="00C25ADB" w:rsidRDefault="003F4104"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v:textbox>
              </v:shape>
            </w:pict>
          </mc:Fallback>
        </mc:AlternateContent>
      </w:r>
    </w:p>
    <w:p w14:paraId="1D0DBEE2"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3609F2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CC62D61"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79C79B0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99375F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92192D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80C3E8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8C72F0F"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C653BD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2B6C9A9"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3962FE62"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5C5D2F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313B24A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4F9C2C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B146C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7F4D98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74A8B8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1D69DD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1713F7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09D226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73CD52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3C9306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8538C7C"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8411E1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52BC57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43957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ACAB0C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CECB05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F36B31A"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58242" behindDoc="0" locked="0" layoutInCell="1" allowOverlap="1" wp14:anchorId="1D2A60FA" wp14:editId="7DD7269E">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AE6DBB" w14:textId="2EE01914" w:rsidR="003F4104" w:rsidRPr="00890650" w:rsidRDefault="003F4104"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274618">
                              <w:rPr>
                                <w:rFonts w:asciiTheme="majorHAnsi" w:hAnsiTheme="majorHAnsi"/>
                                <w:color w:val="0D0D0D" w:themeColor="text1" w:themeTint="F2"/>
                                <w:sz w:val="18"/>
                                <w:szCs w:val="22"/>
                                <w:lang w:val="es-ES"/>
                              </w:rPr>
                              <w:t>24</w:t>
                            </w:r>
                            <w:r w:rsidRPr="00890650">
                              <w:rPr>
                                <w:rFonts w:asciiTheme="majorHAnsi" w:hAnsiTheme="majorHAnsi"/>
                                <w:color w:val="0D0D0D" w:themeColor="text1" w:themeTint="F2"/>
                                <w:sz w:val="18"/>
                                <w:szCs w:val="22"/>
                                <w:lang w:val="es-ES"/>
                              </w:rPr>
                              <w:t xml:space="preserve"> de </w:t>
                            </w:r>
                            <w:r w:rsidR="00274618">
                              <w:rPr>
                                <w:rFonts w:asciiTheme="majorHAnsi" w:hAnsiTheme="majorHAnsi"/>
                                <w:color w:val="0D0D0D" w:themeColor="text1" w:themeTint="F2"/>
                                <w:sz w:val="18"/>
                                <w:szCs w:val="22"/>
                                <w:lang w:val="es-ES"/>
                              </w:rPr>
                              <w:t>agosto</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Pr>
                                <w:rFonts w:asciiTheme="majorHAnsi" w:hAnsiTheme="majorHAnsi"/>
                                <w:color w:val="0D0D0D" w:themeColor="text1" w:themeTint="F2"/>
                                <w:sz w:val="18"/>
                                <w:szCs w:val="22"/>
                                <w:lang w:val="es-ES"/>
                              </w:rPr>
                              <w:t>2</w:t>
                            </w:r>
                            <w:r w:rsidR="00A04A82">
                              <w:rPr>
                                <w:rFonts w:asciiTheme="majorHAnsi" w:hAnsiTheme="majorHAnsi"/>
                                <w:color w:val="0D0D0D" w:themeColor="text1" w:themeTint="F2"/>
                                <w:sz w:val="18"/>
                                <w:szCs w:val="22"/>
                                <w:lang w:val="es-ES"/>
                              </w:rPr>
                              <w:t>2</w:t>
                            </w:r>
                            <w:r w:rsidR="00274618">
                              <w:rPr>
                                <w:rFonts w:asciiTheme="majorHAnsi" w:hAnsiTheme="majorHAnsi"/>
                                <w:color w:val="0D0D0D" w:themeColor="text1" w:themeTint="F2"/>
                                <w:sz w:val="18"/>
                                <w:szCs w:val="22"/>
                                <w:lang w:val="es-ES"/>
                              </w:rPr>
                              <w:t>.</w:t>
                            </w:r>
                          </w:p>
                          <w:p w14:paraId="20B47434" w14:textId="77777777" w:rsidR="003F4104" w:rsidRPr="007A5817" w:rsidRDefault="003F4104" w:rsidP="00247403">
                            <w:pPr>
                              <w:tabs>
                                <w:tab w:val="center" w:pos="5400"/>
                              </w:tabs>
                              <w:suppressAutoHyphens/>
                              <w:spacing w:before="60"/>
                              <w:rPr>
                                <w:rFonts w:asciiTheme="minorHAnsi" w:hAnsiTheme="minorHAnsi" w:cs="Univers"/>
                                <w:color w:val="0D0D0D" w:themeColor="text1" w:themeTint="F2"/>
                                <w:sz w:val="20"/>
                                <w:szCs w:val="20"/>
                                <w:lang w:val="es-ES"/>
                              </w:rPr>
                            </w:pPr>
                          </w:p>
                          <w:p w14:paraId="45DABD7E" w14:textId="77777777" w:rsidR="003F4104" w:rsidRPr="00167A34" w:rsidRDefault="003F4104"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2A60FA" id="Text Box 7" o:spid="_x0000_s1029" type="#_x0000_t202" style="position:absolute;left:0;text-align:left;margin-left:105.65pt;margin-top:1.8pt;width:388.5pt;height:52.3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4AAE6DBB" w14:textId="2EE01914" w:rsidR="003F4104" w:rsidRPr="00890650" w:rsidRDefault="003F4104"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274618">
                        <w:rPr>
                          <w:rFonts w:asciiTheme="majorHAnsi" w:hAnsiTheme="majorHAnsi"/>
                          <w:color w:val="0D0D0D" w:themeColor="text1" w:themeTint="F2"/>
                          <w:sz w:val="18"/>
                          <w:szCs w:val="22"/>
                          <w:lang w:val="es-ES"/>
                        </w:rPr>
                        <w:t>24</w:t>
                      </w:r>
                      <w:r w:rsidRPr="00890650">
                        <w:rPr>
                          <w:rFonts w:asciiTheme="majorHAnsi" w:hAnsiTheme="majorHAnsi"/>
                          <w:color w:val="0D0D0D" w:themeColor="text1" w:themeTint="F2"/>
                          <w:sz w:val="18"/>
                          <w:szCs w:val="22"/>
                          <w:lang w:val="es-ES"/>
                        </w:rPr>
                        <w:t xml:space="preserve"> de </w:t>
                      </w:r>
                      <w:r w:rsidR="00274618">
                        <w:rPr>
                          <w:rFonts w:asciiTheme="majorHAnsi" w:hAnsiTheme="majorHAnsi"/>
                          <w:color w:val="0D0D0D" w:themeColor="text1" w:themeTint="F2"/>
                          <w:sz w:val="18"/>
                          <w:szCs w:val="22"/>
                          <w:lang w:val="es-ES"/>
                        </w:rPr>
                        <w:t>agosto</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Pr>
                          <w:rFonts w:asciiTheme="majorHAnsi" w:hAnsiTheme="majorHAnsi"/>
                          <w:color w:val="0D0D0D" w:themeColor="text1" w:themeTint="F2"/>
                          <w:sz w:val="18"/>
                          <w:szCs w:val="22"/>
                          <w:lang w:val="es-ES"/>
                        </w:rPr>
                        <w:t>2</w:t>
                      </w:r>
                      <w:r w:rsidR="00A04A82">
                        <w:rPr>
                          <w:rFonts w:asciiTheme="majorHAnsi" w:hAnsiTheme="majorHAnsi"/>
                          <w:color w:val="0D0D0D" w:themeColor="text1" w:themeTint="F2"/>
                          <w:sz w:val="18"/>
                          <w:szCs w:val="22"/>
                          <w:lang w:val="es-ES"/>
                        </w:rPr>
                        <w:t>2</w:t>
                      </w:r>
                      <w:r w:rsidR="00274618">
                        <w:rPr>
                          <w:rFonts w:asciiTheme="majorHAnsi" w:hAnsiTheme="majorHAnsi"/>
                          <w:color w:val="0D0D0D" w:themeColor="text1" w:themeTint="F2"/>
                          <w:sz w:val="18"/>
                          <w:szCs w:val="22"/>
                          <w:lang w:val="es-ES"/>
                        </w:rPr>
                        <w:t>.</w:t>
                      </w:r>
                    </w:p>
                    <w:p w14:paraId="20B47434" w14:textId="77777777" w:rsidR="003F4104" w:rsidRPr="007A5817" w:rsidRDefault="003F4104" w:rsidP="00247403">
                      <w:pPr>
                        <w:tabs>
                          <w:tab w:val="center" w:pos="5400"/>
                        </w:tabs>
                        <w:suppressAutoHyphens/>
                        <w:spacing w:before="60"/>
                        <w:rPr>
                          <w:rFonts w:asciiTheme="minorHAnsi" w:hAnsiTheme="minorHAnsi" w:cs="Univers"/>
                          <w:color w:val="0D0D0D" w:themeColor="text1" w:themeTint="F2"/>
                          <w:sz w:val="20"/>
                          <w:szCs w:val="20"/>
                          <w:lang w:val="es-ES"/>
                        </w:rPr>
                      </w:pPr>
                    </w:p>
                    <w:p w14:paraId="45DABD7E" w14:textId="77777777" w:rsidR="003F4104" w:rsidRPr="00167A34" w:rsidRDefault="003F4104"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2081EC0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3496F1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33779F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24E731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A2E179"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58245" behindDoc="0" locked="0" layoutInCell="1" allowOverlap="1" wp14:anchorId="41F16665" wp14:editId="64F21937">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92547EE" w14:textId="77777777" w:rsidR="00274618" w:rsidRDefault="003F4104"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274618" w:rsidRPr="00274618">
                              <w:rPr>
                                <w:rFonts w:asciiTheme="majorHAnsi" w:hAnsiTheme="majorHAnsi"/>
                                <w:color w:val="595959" w:themeColor="text1" w:themeTint="A6"/>
                                <w:sz w:val="18"/>
                                <w:szCs w:val="18"/>
                                <w:lang w:val="pt-BR"/>
                              </w:rPr>
                              <w:t>210</w:t>
                            </w:r>
                            <w:r w:rsidRPr="00274618">
                              <w:rPr>
                                <w:rFonts w:asciiTheme="majorHAnsi" w:hAnsiTheme="majorHAnsi"/>
                                <w:color w:val="595959" w:themeColor="text1" w:themeTint="A6"/>
                                <w:sz w:val="18"/>
                                <w:szCs w:val="18"/>
                                <w:lang w:val="pt-BR"/>
                              </w:rPr>
                              <w:t>/</w:t>
                            </w:r>
                            <w:r w:rsidR="00A04A82" w:rsidRPr="00274618">
                              <w:rPr>
                                <w:rFonts w:asciiTheme="majorHAnsi" w:hAnsiTheme="majorHAnsi"/>
                                <w:color w:val="595959" w:themeColor="text1" w:themeTint="A6"/>
                                <w:sz w:val="18"/>
                                <w:szCs w:val="18"/>
                                <w:lang w:val="pt-BR"/>
                              </w:rPr>
                              <w:t>22</w:t>
                            </w:r>
                            <w:r w:rsidRPr="00274618">
                              <w:rPr>
                                <w:rFonts w:asciiTheme="majorHAnsi" w:hAnsiTheme="majorHAnsi"/>
                                <w:color w:val="595959" w:themeColor="text1" w:themeTint="A6"/>
                                <w:sz w:val="18"/>
                                <w:szCs w:val="18"/>
                                <w:lang w:val="pt-BR"/>
                              </w:rPr>
                              <w:t xml:space="preserve">. </w:t>
                            </w:r>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 xml:space="preserve">ón </w:t>
                            </w:r>
                            <w:r w:rsidR="00A04A82">
                              <w:rPr>
                                <w:rFonts w:asciiTheme="majorHAnsi" w:hAnsiTheme="majorHAnsi"/>
                                <w:color w:val="595959" w:themeColor="text1" w:themeTint="A6"/>
                                <w:sz w:val="18"/>
                                <w:szCs w:val="18"/>
                                <w:lang w:val="es-ES"/>
                              </w:rPr>
                              <w:t>115</w:t>
                            </w:r>
                            <w:r>
                              <w:rPr>
                                <w:rFonts w:asciiTheme="majorHAnsi" w:hAnsiTheme="majorHAnsi"/>
                                <w:color w:val="595959" w:themeColor="text1" w:themeTint="A6"/>
                                <w:sz w:val="18"/>
                                <w:szCs w:val="18"/>
                                <w:lang w:val="es-ES"/>
                              </w:rPr>
                              <w:t>-</w:t>
                            </w:r>
                            <w:r w:rsidR="00A04A82">
                              <w:rPr>
                                <w:rFonts w:asciiTheme="majorHAnsi" w:hAnsiTheme="majorHAnsi"/>
                                <w:color w:val="595959" w:themeColor="text1" w:themeTint="A6"/>
                                <w:sz w:val="18"/>
                                <w:szCs w:val="18"/>
                                <w:lang w:val="es-ES"/>
                              </w:rPr>
                              <w:t>09</w:t>
                            </w:r>
                            <w:r>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p>
                          <w:p w14:paraId="02112B1A" w14:textId="6A788582" w:rsidR="003F4104" w:rsidRPr="008C65E3" w:rsidRDefault="00A04A82" w:rsidP="00113F73">
                            <w:pPr>
                              <w:spacing w:line="276" w:lineRule="auto"/>
                              <w:rPr>
                                <w:rFonts w:asciiTheme="majorHAnsi" w:hAnsiTheme="majorHAnsi"/>
                                <w:color w:val="595959" w:themeColor="text1" w:themeTint="A6"/>
                                <w:sz w:val="18"/>
                                <w:szCs w:val="18"/>
                                <w:lang w:val="pt-BR"/>
                              </w:rPr>
                            </w:pPr>
                            <w:r w:rsidRPr="00EF2B5A">
                              <w:rPr>
                                <w:rFonts w:asciiTheme="majorHAnsi" w:hAnsiTheme="majorHAnsi"/>
                                <w:color w:val="595959" w:themeColor="text1" w:themeTint="A6"/>
                                <w:sz w:val="18"/>
                                <w:szCs w:val="18"/>
                                <w:lang w:val="es-AR"/>
                              </w:rPr>
                              <w:t>Leopoldo Fernández Ferreira</w:t>
                            </w:r>
                            <w:r w:rsidR="003F4104" w:rsidRPr="00EF2B5A">
                              <w:rPr>
                                <w:rFonts w:asciiTheme="majorHAnsi" w:hAnsiTheme="majorHAnsi"/>
                                <w:color w:val="595959" w:themeColor="text1" w:themeTint="A6"/>
                                <w:sz w:val="18"/>
                                <w:szCs w:val="18"/>
                                <w:lang w:val="es-AR"/>
                              </w:rPr>
                              <w:t xml:space="preserve">. </w:t>
                            </w:r>
                            <w:r w:rsidRPr="008C65E3">
                              <w:rPr>
                                <w:rFonts w:asciiTheme="majorHAnsi" w:hAnsiTheme="majorHAnsi"/>
                                <w:color w:val="595959" w:themeColor="text1" w:themeTint="A6"/>
                                <w:sz w:val="18"/>
                                <w:szCs w:val="18"/>
                                <w:lang w:val="pt-BR"/>
                              </w:rPr>
                              <w:t>Bolivia</w:t>
                            </w:r>
                            <w:r w:rsidR="003F4104" w:rsidRPr="008C65E3">
                              <w:rPr>
                                <w:rFonts w:asciiTheme="majorHAnsi" w:hAnsiTheme="majorHAnsi"/>
                                <w:color w:val="595959" w:themeColor="text1" w:themeTint="A6"/>
                                <w:sz w:val="18"/>
                                <w:szCs w:val="18"/>
                                <w:lang w:val="pt-BR"/>
                              </w:rPr>
                              <w:t xml:space="preserve">. </w:t>
                            </w:r>
                            <w:r w:rsidR="00274618" w:rsidRPr="008C65E3">
                              <w:rPr>
                                <w:rFonts w:asciiTheme="majorHAnsi" w:hAnsiTheme="majorHAnsi"/>
                                <w:color w:val="595959" w:themeColor="text1" w:themeTint="A6"/>
                                <w:sz w:val="18"/>
                                <w:szCs w:val="18"/>
                                <w:lang w:val="pt-BR"/>
                              </w:rPr>
                              <w:t>24 de agosto de 2022</w:t>
                            </w:r>
                            <w:r w:rsidR="003F4104" w:rsidRPr="008C65E3">
                              <w:rPr>
                                <w:rFonts w:asciiTheme="majorHAnsi" w:hAnsiTheme="majorHAnsi"/>
                                <w:color w:val="595959" w:themeColor="text1" w:themeTint="A6"/>
                                <w:sz w:val="18"/>
                                <w:szCs w:val="18"/>
                                <w:lang w:val="pt-BR"/>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F16665" id="Text Box 10" o:spid="_x0000_s1030" type="#_x0000_t202" style="position:absolute;left:0;text-align:left;margin-left:105pt;margin-top:.45pt;width:389.25pt;height:51.7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092547EE" w14:textId="77777777" w:rsidR="00274618" w:rsidRDefault="003F4104"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274618" w:rsidRPr="00274618">
                        <w:rPr>
                          <w:rFonts w:asciiTheme="majorHAnsi" w:hAnsiTheme="majorHAnsi"/>
                          <w:color w:val="595959" w:themeColor="text1" w:themeTint="A6"/>
                          <w:sz w:val="18"/>
                          <w:szCs w:val="18"/>
                          <w:lang w:val="pt-BR"/>
                        </w:rPr>
                        <w:t>210</w:t>
                      </w:r>
                      <w:r w:rsidRPr="00274618">
                        <w:rPr>
                          <w:rFonts w:asciiTheme="majorHAnsi" w:hAnsiTheme="majorHAnsi"/>
                          <w:color w:val="595959" w:themeColor="text1" w:themeTint="A6"/>
                          <w:sz w:val="18"/>
                          <w:szCs w:val="18"/>
                          <w:lang w:val="pt-BR"/>
                        </w:rPr>
                        <w:t>/</w:t>
                      </w:r>
                      <w:r w:rsidR="00A04A82" w:rsidRPr="00274618">
                        <w:rPr>
                          <w:rFonts w:asciiTheme="majorHAnsi" w:hAnsiTheme="majorHAnsi"/>
                          <w:color w:val="595959" w:themeColor="text1" w:themeTint="A6"/>
                          <w:sz w:val="18"/>
                          <w:szCs w:val="18"/>
                          <w:lang w:val="pt-BR"/>
                        </w:rPr>
                        <w:t>22</w:t>
                      </w:r>
                      <w:r w:rsidRPr="00274618">
                        <w:rPr>
                          <w:rFonts w:asciiTheme="majorHAnsi" w:hAnsiTheme="majorHAnsi"/>
                          <w:color w:val="595959" w:themeColor="text1" w:themeTint="A6"/>
                          <w:sz w:val="18"/>
                          <w:szCs w:val="18"/>
                          <w:lang w:val="pt-BR"/>
                        </w:rPr>
                        <w:t xml:space="preserve">. </w:t>
                      </w:r>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 xml:space="preserve">ón </w:t>
                      </w:r>
                      <w:r w:rsidR="00A04A82">
                        <w:rPr>
                          <w:rFonts w:asciiTheme="majorHAnsi" w:hAnsiTheme="majorHAnsi"/>
                          <w:color w:val="595959" w:themeColor="text1" w:themeTint="A6"/>
                          <w:sz w:val="18"/>
                          <w:szCs w:val="18"/>
                          <w:lang w:val="es-ES"/>
                        </w:rPr>
                        <w:t>115</w:t>
                      </w:r>
                      <w:r>
                        <w:rPr>
                          <w:rFonts w:asciiTheme="majorHAnsi" w:hAnsiTheme="majorHAnsi"/>
                          <w:color w:val="595959" w:themeColor="text1" w:themeTint="A6"/>
                          <w:sz w:val="18"/>
                          <w:szCs w:val="18"/>
                          <w:lang w:val="es-ES"/>
                        </w:rPr>
                        <w:t>-</w:t>
                      </w:r>
                      <w:r w:rsidR="00A04A82">
                        <w:rPr>
                          <w:rFonts w:asciiTheme="majorHAnsi" w:hAnsiTheme="majorHAnsi"/>
                          <w:color w:val="595959" w:themeColor="text1" w:themeTint="A6"/>
                          <w:sz w:val="18"/>
                          <w:szCs w:val="18"/>
                          <w:lang w:val="es-ES"/>
                        </w:rPr>
                        <w:t>09</w:t>
                      </w:r>
                      <w:r>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p>
                    <w:p w14:paraId="02112B1A" w14:textId="6A788582" w:rsidR="003F4104" w:rsidRPr="008C65E3" w:rsidRDefault="00A04A82" w:rsidP="00113F73">
                      <w:pPr>
                        <w:spacing w:line="276" w:lineRule="auto"/>
                        <w:rPr>
                          <w:rFonts w:asciiTheme="majorHAnsi" w:hAnsiTheme="majorHAnsi"/>
                          <w:color w:val="595959" w:themeColor="text1" w:themeTint="A6"/>
                          <w:sz w:val="18"/>
                          <w:szCs w:val="18"/>
                          <w:lang w:val="pt-BR"/>
                        </w:rPr>
                      </w:pPr>
                      <w:r w:rsidRPr="00EF2B5A">
                        <w:rPr>
                          <w:rFonts w:asciiTheme="majorHAnsi" w:hAnsiTheme="majorHAnsi"/>
                          <w:color w:val="595959" w:themeColor="text1" w:themeTint="A6"/>
                          <w:sz w:val="18"/>
                          <w:szCs w:val="18"/>
                          <w:lang w:val="es-AR"/>
                        </w:rPr>
                        <w:t>Leopoldo Fernández Ferreira</w:t>
                      </w:r>
                      <w:r w:rsidR="003F4104" w:rsidRPr="00EF2B5A">
                        <w:rPr>
                          <w:rFonts w:asciiTheme="majorHAnsi" w:hAnsiTheme="majorHAnsi"/>
                          <w:color w:val="595959" w:themeColor="text1" w:themeTint="A6"/>
                          <w:sz w:val="18"/>
                          <w:szCs w:val="18"/>
                          <w:lang w:val="es-AR"/>
                        </w:rPr>
                        <w:t xml:space="preserve">. </w:t>
                      </w:r>
                      <w:r w:rsidRPr="008C65E3">
                        <w:rPr>
                          <w:rFonts w:asciiTheme="majorHAnsi" w:hAnsiTheme="majorHAnsi"/>
                          <w:color w:val="595959" w:themeColor="text1" w:themeTint="A6"/>
                          <w:sz w:val="18"/>
                          <w:szCs w:val="18"/>
                          <w:lang w:val="pt-BR"/>
                        </w:rPr>
                        <w:t>Bolivia</w:t>
                      </w:r>
                      <w:r w:rsidR="003F4104" w:rsidRPr="008C65E3">
                        <w:rPr>
                          <w:rFonts w:asciiTheme="majorHAnsi" w:hAnsiTheme="majorHAnsi"/>
                          <w:color w:val="595959" w:themeColor="text1" w:themeTint="A6"/>
                          <w:sz w:val="18"/>
                          <w:szCs w:val="18"/>
                          <w:lang w:val="pt-BR"/>
                        </w:rPr>
                        <w:t xml:space="preserve">. </w:t>
                      </w:r>
                      <w:r w:rsidR="00274618" w:rsidRPr="008C65E3">
                        <w:rPr>
                          <w:rFonts w:asciiTheme="majorHAnsi" w:hAnsiTheme="majorHAnsi"/>
                          <w:color w:val="595959" w:themeColor="text1" w:themeTint="A6"/>
                          <w:sz w:val="18"/>
                          <w:szCs w:val="18"/>
                          <w:lang w:val="pt-BR"/>
                        </w:rPr>
                        <w:t>24 de agosto de 2022</w:t>
                      </w:r>
                      <w:r w:rsidR="003F4104" w:rsidRPr="008C65E3">
                        <w:rPr>
                          <w:rFonts w:asciiTheme="majorHAnsi" w:hAnsiTheme="majorHAnsi"/>
                          <w:color w:val="595959" w:themeColor="text1" w:themeTint="A6"/>
                          <w:sz w:val="18"/>
                          <w:szCs w:val="18"/>
                          <w:lang w:val="pt-BR"/>
                        </w:rPr>
                        <w:t>.</w:t>
                      </w:r>
                    </w:p>
                  </w:txbxContent>
                </v:textbox>
              </v:shape>
            </w:pict>
          </mc:Fallback>
        </mc:AlternateContent>
      </w:r>
    </w:p>
    <w:p w14:paraId="21B0B2C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2C84621" w14:textId="06157E19" w:rsidR="0090270B" w:rsidRDefault="00D306D1" w:rsidP="005516A1">
      <w:pPr>
        <w:tabs>
          <w:tab w:val="center" w:pos="5400"/>
        </w:tabs>
        <w:suppressAutoHyphens/>
        <w:jc w:val="center"/>
        <w:rPr>
          <w:rFonts w:asciiTheme="majorHAnsi" w:hAnsiTheme="majorHAnsi"/>
          <w:b/>
          <w:sz w:val="20"/>
          <w:lang w:val="es-ES_tradnl"/>
        </w:rPr>
      </w:pPr>
      <w:r w:rsidRPr="00625030">
        <w:rPr>
          <w:rFonts w:asciiTheme="majorHAnsi" w:hAnsiTheme="majorHAnsi"/>
          <w:noProof/>
          <w:sz w:val="22"/>
          <w:szCs w:val="22"/>
        </w:rPr>
        <mc:AlternateContent>
          <mc:Choice Requires="wps">
            <w:drawing>
              <wp:anchor distT="0" distB="0" distL="114300" distR="114300" simplePos="0" relativeHeight="251658247" behindDoc="0" locked="0" layoutInCell="1" allowOverlap="1" wp14:anchorId="7BA717FF" wp14:editId="0815D5D0">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705C3D6" w14:textId="77777777" w:rsidR="003F4104" w:rsidRPr="004B7EB6" w:rsidRDefault="003F4104"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A717FF" id="Text Box 4" o:spid="_x0000_s1031" type="#_x0000_t202" style="position:absolute;left:0;text-align:left;margin-left:-21.45pt;margin-top:72.05pt;width:93pt;height:26.2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7705C3D6" w14:textId="77777777" w:rsidR="003F4104" w:rsidRPr="004B7EB6" w:rsidRDefault="003F4104"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83729CB" w14:textId="0193399C" w:rsidR="0070697F" w:rsidRDefault="00274618" w:rsidP="005516A1">
      <w:pPr>
        <w:tabs>
          <w:tab w:val="center" w:pos="5400"/>
        </w:tabs>
        <w:suppressAutoHyphens/>
        <w:jc w:val="center"/>
        <w:rPr>
          <w:rFonts w:asciiTheme="majorHAnsi" w:hAnsiTheme="majorHAnsi"/>
          <w:b/>
          <w:sz w:val="20"/>
          <w:lang w:val="es-ES_tradnl"/>
        </w:rPr>
        <w:sectPr w:rsidR="0070697F" w:rsidSect="00C054DF">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Pr>
          <w:rFonts w:asciiTheme="majorHAnsi" w:hAnsiTheme="majorHAnsi"/>
          <w:noProof/>
          <w:sz w:val="18"/>
          <w:szCs w:val="22"/>
        </w:rPr>
        <mc:AlternateContent>
          <mc:Choice Requires="wps">
            <w:drawing>
              <wp:anchor distT="0" distB="0" distL="114300" distR="114300" simplePos="0" relativeHeight="251658246" behindDoc="0" locked="0" layoutInCell="1" allowOverlap="1" wp14:anchorId="36BE3BBB" wp14:editId="251AD42E">
                <wp:simplePos x="0" y="0"/>
                <wp:positionH relativeFrom="column">
                  <wp:posOffset>1301387</wp:posOffset>
                </wp:positionH>
                <wp:positionV relativeFrom="paragraph">
                  <wp:posOffset>488950</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95A1AE4" w14:textId="223F770D" w:rsidR="003F4104" w:rsidRPr="00D72DC6" w:rsidRDefault="00274618" w:rsidP="00F02AD1">
                            <w:pPr>
                              <w:rPr>
                                <w:color w:val="FFFFFF" w:themeColor="background1"/>
                                <w14:textFill>
                                  <w14:noFill/>
                                </w14:textFill>
                              </w:rPr>
                            </w:pPr>
                            <w:r>
                              <w:rPr>
                                <w:noProof/>
                                <w:color w:val="FFFFFF" w:themeColor="background1"/>
                              </w:rPr>
                              <w:drawing>
                                <wp:inline distT="0" distB="0" distL="0" distR="0" wp14:anchorId="77C6EB29" wp14:editId="25388200">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BE3BBB" id="Text Box 9" o:spid="_x0000_s1032" type="#_x0000_t202" style="position:absolute;left:0;text-align:left;margin-left:102.45pt;margin-top:38.5pt;width:322.55pt;height:44.6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" fillcolor="white [3201]" stroked="f" strokeweight=".5pt">
                <v:textbox>
                  <w:txbxContent>
                    <w:p w14:paraId="495A1AE4" w14:textId="223F770D" w:rsidR="003F4104" w:rsidRPr="00D72DC6" w:rsidRDefault="00274618" w:rsidP="00F02AD1">
                      <w:pPr>
                        <w:rPr>
                          <w:color w:val="FFFFFF" w:themeColor="background1"/>
                          <w14:textFill>
                            <w14:noFill/>
                          </w14:textFill>
                        </w:rPr>
                      </w:pPr>
                      <w:r>
                        <w:rPr>
                          <w:noProof/>
                          <w:color w:val="FFFFFF" w:themeColor="background1"/>
                        </w:rPr>
                        <w:drawing>
                          <wp:inline distT="0" distB="0" distL="0" distR="0" wp14:anchorId="77C6EB29" wp14:editId="25388200">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Pr>
          <w:rFonts w:asciiTheme="majorHAnsi" w:hAnsiTheme="majorHAnsi"/>
          <w:b/>
          <w:sz w:val="20"/>
          <w:lang w:val="es-ES_tradnl"/>
        </w:rPr>
        <w:tab/>
      </w:r>
    </w:p>
    <w:p w14:paraId="674B275C"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DE11C7" w14:paraId="27BAC7D0" w14:textId="77777777" w:rsidTr="004A6A54">
        <w:tc>
          <w:tcPr>
            <w:tcW w:w="3600" w:type="dxa"/>
            <w:tcBorders>
              <w:top w:val="single" w:sz="4" w:space="0" w:color="auto"/>
              <w:bottom w:val="single" w:sz="6" w:space="0" w:color="auto"/>
            </w:tcBorders>
            <w:shd w:val="clear" w:color="auto" w:fill="386294"/>
            <w:vAlign w:val="center"/>
          </w:tcPr>
          <w:p w14:paraId="4931F3BA" w14:textId="77777777" w:rsidR="003239B8" w:rsidRPr="000D05CB" w:rsidRDefault="003239B8" w:rsidP="00E0255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Parte peticionaria:</w:t>
            </w:r>
          </w:p>
        </w:tc>
        <w:tc>
          <w:tcPr>
            <w:tcW w:w="5760" w:type="dxa"/>
            <w:vAlign w:val="center"/>
          </w:tcPr>
          <w:p w14:paraId="1C5FF15A" w14:textId="21A5129A" w:rsidR="003239B8" w:rsidRPr="007B639A" w:rsidRDefault="001B4FA1" w:rsidP="00E0255C">
            <w:pPr>
              <w:jc w:val="both"/>
              <w:rPr>
                <w:rFonts w:ascii="Cambria" w:hAnsi="Cambria"/>
                <w:bCs/>
                <w:sz w:val="20"/>
                <w:szCs w:val="20"/>
                <w:lang w:val="es-PA"/>
              </w:rPr>
            </w:pPr>
            <w:r>
              <w:rPr>
                <w:rFonts w:ascii="Cambria" w:hAnsi="Cambria"/>
                <w:bCs/>
                <w:sz w:val="20"/>
                <w:szCs w:val="20"/>
                <w:lang w:val="es-PA"/>
              </w:rPr>
              <w:t>Leopoldo Fernández Ferreira</w:t>
            </w:r>
          </w:p>
        </w:tc>
      </w:tr>
      <w:tr w:rsidR="003239B8" w:rsidRPr="001E49E7" w14:paraId="5035CA40" w14:textId="77777777" w:rsidTr="004A6A54">
        <w:tc>
          <w:tcPr>
            <w:tcW w:w="3600" w:type="dxa"/>
            <w:tcBorders>
              <w:top w:val="single" w:sz="6" w:space="0" w:color="auto"/>
              <w:bottom w:val="single" w:sz="6" w:space="0" w:color="auto"/>
            </w:tcBorders>
            <w:shd w:val="clear" w:color="auto" w:fill="386294"/>
            <w:vAlign w:val="center"/>
          </w:tcPr>
          <w:p w14:paraId="4390404B" w14:textId="77777777" w:rsidR="003239B8" w:rsidRPr="000D05CB" w:rsidRDefault="00205774" w:rsidP="00E0255C">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760" w:type="dxa"/>
            <w:vAlign w:val="center"/>
          </w:tcPr>
          <w:p w14:paraId="0FFF4CE6" w14:textId="69F295E5" w:rsidR="003239B8" w:rsidRPr="000D05CB" w:rsidRDefault="001B4FA1" w:rsidP="00E0255C">
            <w:pPr>
              <w:jc w:val="both"/>
              <w:rPr>
                <w:rFonts w:ascii="Cambria" w:hAnsi="Cambria"/>
                <w:bCs/>
                <w:sz w:val="20"/>
                <w:szCs w:val="20"/>
                <w:lang w:val="es-ES"/>
              </w:rPr>
            </w:pPr>
            <w:r>
              <w:rPr>
                <w:rFonts w:ascii="Cambria" w:hAnsi="Cambria"/>
                <w:bCs/>
                <w:sz w:val="20"/>
                <w:szCs w:val="20"/>
                <w:lang w:val="es-ES"/>
              </w:rPr>
              <w:t xml:space="preserve">Leopoldo Fernández Ferreira </w:t>
            </w:r>
          </w:p>
        </w:tc>
      </w:tr>
      <w:tr w:rsidR="003239B8" w14:paraId="6421D779" w14:textId="77777777" w:rsidTr="004A6A54">
        <w:tc>
          <w:tcPr>
            <w:tcW w:w="3600" w:type="dxa"/>
            <w:tcBorders>
              <w:top w:val="single" w:sz="6" w:space="0" w:color="auto"/>
              <w:bottom w:val="single" w:sz="6" w:space="0" w:color="auto"/>
            </w:tcBorders>
            <w:shd w:val="clear" w:color="auto" w:fill="386294"/>
            <w:vAlign w:val="center"/>
          </w:tcPr>
          <w:p w14:paraId="3A9CEA05" w14:textId="77777777" w:rsidR="003239B8" w:rsidRPr="000D05CB" w:rsidRDefault="003239B8" w:rsidP="00E0255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Estado denunciado:</w:t>
            </w:r>
          </w:p>
        </w:tc>
        <w:tc>
          <w:tcPr>
            <w:tcW w:w="5760" w:type="dxa"/>
            <w:vAlign w:val="center"/>
          </w:tcPr>
          <w:p w14:paraId="30CA8374" w14:textId="7F069631" w:rsidR="003239B8" w:rsidRPr="000D05CB" w:rsidRDefault="001B4FA1" w:rsidP="00E0255C">
            <w:pPr>
              <w:jc w:val="both"/>
              <w:rPr>
                <w:rFonts w:ascii="Cambria" w:hAnsi="Cambria"/>
                <w:bCs/>
                <w:sz w:val="20"/>
                <w:szCs w:val="20"/>
              </w:rPr>
            </w:pPr>
            <w:r>
              <w:rPr>
                <w:rFonts w:ascii="Cambria" w:hAnsi="Cambria"/>
                <w:bCs/>
                <w:sz w:val="20"/>
                <w:szCs w:val="20"/>
              </w:rPr>
              <w:t>Bolivia</w:t>
            </w:r>
          </w:p>
        </w:tc>
      </w:tr>
      <w:tr w:rsidR="00223A29" w:rsidRPr="00EF2B5A" w14:paraId="266E3EAC" w14:textId="77777777" w:rsidTr="004A6A54">
        <w:tc>
          <w:tcPr>
            <w:tcW w:w="3600" w:type="dxa"/>
            <w:tcBorders>
              <w:top w:val="single" w:sz="6" w:space="0" w:color="auto"/>
              <w:bottom w:val="single" w:sz="6" w:space="0" w:color="auto"/>
            </w:tcBorders>
            <w:shd w:val="clear" w:color="auto" w:fill="386294"/>
            <w:vAlign w:val="center"/>
          </w:tcPr>
          <w:p w14:paraId="0154311A" w14:textId="77777777"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r w:rsidR="00E4118C" w:rsidRPr="000D05CB">
              <w:rPr>
                <w:rFonts w:ascii="Cambria" w:hAnsi="Cambria"/>
                <w:b/>
                <w:bCs/>
                <w:color w:val="FFFFFF" w:themeColor="background1"/>
                <w:sz w:val="20"/>
                <w:szCs w:val="20"/>
              </w:rPr>
              <w:t>invocados</w:t>
            </w:r>
            <w:r w:rsidRPr="000D05CB">
              <w:rPr>
                <w:rFonts w:ascii="Cambria" w:hAnsi="Cambria"/>
                <w:b/>
                <w:bCs/>
                <w:color w:val="FFFFFF" w:themeColor="background1"/>
                <w:sz w:val="20"/>
                <w:szCs w:val="20"/>
              </w:rPr>
              <w:t>:</w:t>
            </w:r>
          </w:p>
        </w:tc>
        <w:tc>
          <w:tcPr>
            <w:tcW w:w="5760" w:type="dxa"/>
            <w:vAlign w:val="center"/>
          </w:tcPr>
          <w:p w14:paraId="15EC5464" w14:textId="41F7D2D0" w:rsidR="00223A29" w:rsidRPr="001E3E79" w:rsidRDefault="001E3E79" w:rsidP="000D05BA">
            <w:pPr>
              <w:jc w:val="both"/>
              <w:rPr>
                <w:rFonts w:ascii="Cambria" w:hAnsi="Cambria"/>
                <w:bCs/>
                <w:sz w:val="20"/>
                <w:szCs w:val="20"/>
                <w:lang w:val="es-PE"/>
              </w:rPr>
            </w:pPr>
            <w:r w:rsidRPr="001E3E79">
              <w:rPr>
                <w:rFonts w:ascii="Cambria" w:hAnsi="Cambria"/>
                <w:bCs/>
                <w:sz w:val="20"/>
                <w:szCs w:val="20"/>
                <w:lang w:val="es-PE"/>
              </w:rPr>
              <w:t>Art</w:t>
            </w:r>
            <w:r w:rsidR="000F5AC8">
              <w:rPr>
                <w:rFonts w:ascii="Cambria" w:hAnsi="Cambria"/>
                <w:bCs/>
                <w:sz w:val="20"/>
                <w:szCs w:val="20"/>
                <w:lang w:val="es-PE"/>
              </w:rPr>
              <w:t>ículos</w:t>
            </w:r>
            <w:r w:rsidR="001B4FA1">
              <w:rPr>
                <w:rFonts w:ascii="Cambria" w:hAnsi="Cambria"/>
                <w:bCs/>
                <w:sz w:val="20"/>
                <w:szCs w:val="20"/>
                <w:lang w:val="es-PE"/>
              </w:rPr>
              <w:t xml:space="preserve"> 7 (libertad personal), </w:t>
            </w:r>
            <w:r w:rsidRPr="001E3E79">
              <w:rPr>
                <w:rFonts w:ascii="Cambria" w:hAnsi="Cambria"/>
                <w:bCs/>
                <w:sz w:val="20"/>
                <w:szCs w:val="20"/>
                <w:lang w:val="es-PE"/>
              </w:rPr>
              <w:t>8</w:t>
            </w:r>
            <w:r w:rsidR="001C7E62">
              <w:rPr>
                <w:rFonts w:ascii="Cambria" w:hAnsi="Cambria"/>
                <w:bCs/>
                <w:sz w:val="20"/>
                <w:szCs w:val="20"/>
                <w:lang w:val="es-PE"/>
              </w:rPr>
              <w:t xml:space="preserve"> (garantías judiciales)</w:t>
            </w:r>
            <w:r w:rsidR="00BD6523">
              <w:rPr>
                <w:rFonts w:ascii="Cambria" w:hAnsi="Cambria"/>
                <w:bCs/>
                <w:sz w:val="20"/>
                <w:szCs w:val="20"/>
                <w:lang w:val="es-PE"/>
              </w:rPr>
              <w:t xml:space="preserve">, </w:t>
            </w:r>
            <w:r w:rsidR="001B4FA1">
              <w:rPr>
                <w:rFonts w:ascii="Cambria" w:hAnsi="Cambria"/>
                <w:bCs/>
                <w:sz w:val="20"/>
                <w:szCs w:val="20"/>
                <w:lang w:val="es-PE"/>
              </w:rPr>
              <w:t>11 (honra y dignidad), 23 (derechos políticos),</w:t>
            </w:r>
            <w:r w:rsidRPr="001E3E79">
              <w:rPr>
                <w:rFonts w:ascii="Cambria" w:hAnsi="Cambria"/>
                <w:bCs/>
                <w:sz w:val="20"/>
                <w:szCs w:val="20"/>
                <w:lang w:val="es-PE"/>
              </w:rPr>
              <w:t xml:space="preserve"> 24</w:t>
            </w:r>
            <w:r w:rsidR="001C7E62">
              <w:rPr>
                <w:rFonts w:ascii="Cambria" w:hAnsi="Cambria"/>
                <w:bCs/>
                <w:sz w:val="20"/>
                <w:szCs w:val="20"/>
                <w:lang w:val="es-PE"/>
              </w:rPr>
              <w:t xml:space="preserve"> (igualdad ante la ley)</w:t>
            </w:r>
            <w:r w:rsidR="00BD6523">
              <w:rPr>
                <w:rFonts w:ascii="Cambria" w:hAnsi="Cambria"/>
                <w:bCs/>
                <w:sz w:val="20"/>
                <w:szCs w:val="20"/>
                <w:lang w:val="es-PE"/>
              </w:rPr>
              <w:t xml:space="preserve"> y 25 (protección judicial)</w:t>
            </w:r>
            <w:r w:rsidRPr="001E3E79">
              <w:rPr>
                <w:rFonts w:ascii="Cambria" w:hAnsi="Cambria"/>
                <w:bCs/>
                <w:sz w:val="20"/>
                <w:szCs w:val="20"/>
                <w:lang w:val="es-PE"/>
              </w:rPr>
              <w:t xml:space="preserve"> de la Convenci</w:t>
            </w:r>
            <w:r>
              <w:rPr>
                <w:rFonts w:ascii="Cambria" w:hAnsi="Cambria"/>
                <w:bCs/>
                <w:sz w:val="20"/>
                <w:szCs w:val="20"/>
                <w:lang w:val="es-PE"/>
              </w:rPr>
              <w:t xml:space="preserve">ón Americana </w:t>
            </w:r>
            <w:r w:rsidR="00B5569C">
              <w:rPr>
                <w:rFonts w:ascii="Cambria" w:hAnsi="Cambria"/>
                <w:bCs/>
                <w:sz w:val="20"/>
                <w:szCs w:val="20"/>
                <w:lang w:val="es-PE"/>
              </w:rPr>
              <w:t>sobre</w:t>
            </w:r>
            <w:r>
              <w:rPr>
                <w:rFonts w:ascii="Cambria" w:hAnsi="Cambria"/>
                <w:bCs/>
                <w:sz w:val="20"/>
                <w:szCs w:val="20"/>
                <w:lang w:val="es-PE"/>
              </w:rPr>
              <w:t xml:space="preserve"> Derechos Humanos</w:t>
            </w:r>
            <w:r w:rsidR="000D33BA">
              <w:rPr>
                <w:rStyle w:val="FootnoteReference"/>
                <w:rFonts w:ascii="Cambria" w:hAnsi="Cambria"/>
                <w:bCs/>
                <w:sz w:val="20"/>
                <w:szCs w:val="20"/>
                <w:lang w:val="es-PE"/>
              </w:rPr>
              <w:footnoteReference w:id="2"/>
            </w:r>
            <w:r w:rsidR="00355303">
              <w:rPr>
                <w:rFonts w:ascii="Cambria" w:hAnsi="Cambria"/>
                <w:bCs/>
                <w:sz w:val="20"/>
                <w:szCs w:val="20"/>
                <w:lang w:val="es-PE"/>
              </w:rPr>
              <w:t xml:space="preserve"> </w:t>
            </w:r>
          </w:p>
        </w:tc>
      </w:tr>
    </w:tbl>
    <w:p w14:paraId="6E671041"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BD6523" w14:paraId="0341FF73" w14:textId="77777777" w:rsidTr="004A6A54">
        <w:tc>
          <w:tcPr>
            <w:tcW w:w="3600" w:type="dxa"/>
            <w:tcBorders>
              <w:top w:val="single" w:sz="6" w:space="0" w:color="auto"/>
              <w:bottom w:val="single" w:sz="6" w:space="0" w:color="auto"/>
            </w:tcBorders>
            <w:shd w:val="clear" w:color="auto" w:fill="386294"/>
            <w:vAlign w:val="center"/>
          </w:tcPr>
          <w:p w14:paraId="02E785EA"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760" w:type="dxa"/>
            <w:vAlign w:val="center"/>
          </w:tcPr>
          <w:p w14:paraId="07091A48" w14:textId="7F8D1126" w:rsidR="004C2312" w:rsidRPr="003239B8" w:rsidRDefault="000D05BA" w:rsidP="00E0255C">
            <w:pPr>
              <w:jc w:val="both"/>
              <w:rPr>
                <w:rFonts w:ascii="Cambria" w:hAnsi="Cambria"/>
                <w:bCs/>
                <w:sz w:val="20"/>
                <w:szCs w:val="20"/>
                <w:lang w:val="es-ES"/>
              </w:rPr>
            </w:pPr>
            <w:r>
              <w:rPr>
                <w:rFonts w:ascii="Cambria" w:hAnsi="Cambria"/>
                <w:bCs/>
                <w:sz w:val="20"/>
                <w:szCs w:val="20"/>
                <w:lang w:val="es-ES"/>
              </w:rPr>
              <w:t>3 de febrero de 2009</w:t>
            </w:r>
          </w:p>
        </w:tc>
      </w:tr>
      <w:tr w:rsidR="004D5091" w:rsidRPr="00EF2B5A" w14:paraId="53582062" w14:textId="77777777" w:rsidTr="004A6A54">
        <w:tc>
          <w:tcPr>
            <w:tcW w:w="3600" w:type="dxa"/>
            <w:tcBorders>
              <w:top w:val="single" w:sz="6" w:space="0" w:color="auto"/>
              <w:bottom w:val="single" w:sz="6" w:space="0" w:color="auto"/>
            </w:tcBorders>
            <w:shd w:val="clear" w:color="auto" w:fill="386294"/>
            <w:vAlign w:val="center"/>
          </w:tcPr>
          <w:p w14:paraId="55987F2A" w14:textId="4DD4D92B" w:rsidR="004D5091" w:rsidRDefault="00BD31BD" w:rsidP="004A6A54">
            <w:pPr>
              <w:jc w:val="center"/>
              <w:rPr>
                <w:rFonts w:ascii="Cambria" w:hAnsi="Cambria"/>
                <w:b/>
                <w:bCs/>
                <w:color w:val="FFFFFF" w:themeColor="background1"/>
                <w:sz w:val="20"/>
                <w:szCs w:val="20"/>
                <w:lang w:val="es-ES"/>
              </w:rPr>
            </w:pPr>
            <w:r w:rsidRPr="00365E52">
              <w:rPr>
                <w:rFonts w:ascii="Cambria" w:hAnsi="Cambria"/>
                <w:b/>
                <w:bCs/>
                <w:color w:val="FFFFFF"/>
                <w:sz w:val="20"/>
                <w:szCs w:val="20"/>
                <w:lang w:val="es-ES"/>
              </w:rPr>
              <w:t>Información adicional recibida durante la etapa de estudio</w:t>
            </w:r>
          </w:p>
        </w:tc>
        <w:tc>
          <w:tcPr>
            <w:tcW w:w="5760" w:type="dxa"/>
            <w:vAlign w:val="center"/>
          </w:tcPr>
          <w:p w14:paraId="565343AD" w14:textId="5B5F5AF0" w:rsidR="004D5091" w:rsidRPr="006E48F9" w:rsidRDefault="006E48F9" w:rsidP="00E0255C">
            <w:pPr>
              <w:jc w:val="both"/>
              <w:rPr>
                <w:rFonts w:ascii="Cambria" w:hAnsi="Cambria"/>
                <w:bCs/>
                <w:sz w:val="20"/>
                <w:szCs w:val="20"/>
                <w:lang w:val="es-ES"/>
              </w:rPr>
            </w:pPr>
            <w:r>
              <w:rPr>
                <w:rFonts w:ascii="Cambria" w:hAnsi="Cambria"/>
                <w:bCs/>
                <w:sz w:val="20"/>
                <w:szCs w:val="20"/>
                <w:lang w:val="es-ES"/>
              </w:rPr>
              <w:t xml:space="preserve">3 de diciembre de 2010, </w:t>
            </w:r>
            <w:r w:rsidR="000D05BA">
              <w:rPr>
                <w:rFonts w:ascii="Cambria" w:hAnsi="Cambria"/>
                <w:bCs/>
                <w:sz w:val="20"/>
                <w:szCs w:val="20"/>
                <w:lang w:val="es-ES"/>
              </w:rPr>
              <w:t>12 de junio de 2012 y 10 de septiembre de 2015</w:t>
            </w:r>
            <w:r>
              <w:rPr>
                <w:rFonts w:ascii="Cambria" w:hAnsi="Cambria"/>
                <w:bCs/>
                <w:sz w:val="20"/>
                <w:szCs w:val="20"/>
                <w:lang w:val="es-ES"/>
              </w:rPr>
              <w:t xml:space="preserve"> y 14 de enero de 2016</w:t>
            </w:r>
          </w:p>
        </w:tc>
      </w:tr>
      <w:tr w:rsidR="004C2312" w:rsidRPr="001375A5" w14:paraId="70C66C07" w14:textId="77777777" w:rsidTr="004A6A54">
        <w:tc>
          <w:tcPr>
            <w:tcW w:w="3600" w:type="dxa"/>
            <w:tcBorders>
              <w:top w:val="single" w:sz="6" w:space="0" w:color="auto"/>
              <w:bottom w:val="single" w:sz="6" w:space="0" w:color="auto"/>
            </w:tcBorders>
            <w:shd w:val="clear" w:color="auto" w:fill="386294"/>
            <w:vAlign w:val="center"/>
          </w:tcPr>
          <w:p w14:paraId="63F16371"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760" w:type="dxa"/>
            <w:vAlign w:val="center"/>
          </w:tcPr>
          <w:p w14:paraId="3E80DDB6" w14:textId="1E067FF3" w:rsidR="004C2312" w:rsidRPr="003239B8" w:rsidRDefault="0031708C" w:rsidP="00130C92">
            <w:pPr>
              <w:jc w:val="both"/>
              <w:rPr>
                <w:rFonts w:ascii="Cambria" w:hAnsi="Cambria"/>
                <w:bCs/>
                <w:sz w:val="20"/>
                <w:szCs w:val="20"/>
                <w:lang w:val="es-ES"/>
              </w:rPr>
            </w:pPr>
            <w:r>
              <w:rPr>
                <w:rFonts w:ascii="Cambria" w:hAnsi="Cambria"/>
                <w:bCs/>
                <w:sz w:val="20"/>
                <w:szCs w:val="20"/>
                <w:lang w:val="es-ES"/>
              </w:rPr>
              <w:t>23 de febrero de 2016</w:t>
            </w:r>
          </w:p>
        </w:tc>
      </w:tr>
      <w:tr w:rsidR="004C2312" w:rsidRPr="004A6A54" w14:paraId="11376893" w14:textId="77777777" w:rsidTr="004A6A54">
        <w:tc>
          <w:tcPr>
            <w:tcW w:w="3600" w:type="dxa"/>
            <w:tcBorders>
              <w:top w:val="single" w:sz="6" w:space="0" w:color="auto"/>
              <w:bottom w:val="single" w:sz="6" w:space="0" w:color="auto"/>
            </w:tcBorders>
            <w:shd w:val="clear" w:color="auto" w:fill="386294"/>
            <w:vAlign w:val="center"/>
          </w:tcPr>
          <w:p w14:paraId="072B2B61"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760" w:type="dxa"/>
            <w:vAlign w:val="center"/>
          </w:tcPr>
          <w:p w14:paraId="1E2BCBD5" w14:textId="2B0D9553" w:rsidR="004C2312" w:rsidRPr="003239B8" w:rsidRDefault="0031708C" w:rsidP="00E0255C">
            <w:pPr>
              <w:jc w:val="both"/>
              <w:rPr>
                <w:rFonts w:ascii="Cambria" w:hAnsi="Cambria"/>
                <w:bCs/>
                <w:sz w:val="20"/>
                <w:szCs w:val="20"/>
                <w:lang w:val="es-ES"/>
              </w:rPr>
            </w:pPr>
            <w:r>
              <w:rPr>
                <w:rFonts w:ascii="Cambria" w:hAnsi="Cambria"/>
                <w:bCs/>
                <w:sz w:val="20"/>
                <w:szCs w:val="20"/>
                <w:lang w:val="es-ES"/>
              </w:rPr>
              <w:t>6 de julio de 2016</w:t>
            </w:r>
          </w:p>
        </w:tc>
      </w:tr>
      <w:tr w:rsidR="00BD31BD" w:rsidRPr="00BD31BD" w14:paraId="45CC3BD6" w14:textId="77777777" w:rsidTr="004A6A54">
        <w:tc>
          <w:tcPr>
            <w:tcW w:w="3600" w:type="dxa"/>
            <w:tcBorders>
              <w:top w:val="single" w:sz="6" w:space="0" w:color="auto"/>
              <w:bottom w:val="single" w:sz="6" w:space="0" w:color="auto"/>
            </w:tcBorders>
            <w:shd w:val="clear" w:color="auto" w:fill="386294"/>
            <w:vAlign w:val="center"/>
          </w:tcPr>
          <w:p w14:paraId="024AAB14" w14:textId="14FFB0A3" w:rsidR="00BD31BD" w:rsidRDefault="00BD31BD" w:rsidP="00BD31BD">
            <w:pPr>
              <w:jc w:val="center"/>
              <w:rPr>
                <w:rFonts w:ascii="Cambria" w:hAnsi="Cambria"/>
                <w:b/>
                <w:color w:val="FFFFFF" w:themeColor="background1"/>
                <w:sz w:val="20"/>
                <w:szCs w:val="20"/>
                <w:lang w:val="es-ES"/>
              </w:rPr>
            </w:pPr>
            <w:r w:rsidRPr="00365E52">
              <w:rPr>
                <w:rFonts w:ascii="Cambria" w:hAnsi="Cambria"/>
                <w:b/>
                <w:bCs/>
                <w:color w:val="FFFFFF"/>
                <w:sz w:val="20"/>
                <w:szCs w:val="20"/>
                <w:lang w:val="es-ES"/>
              </w:rPr>
              <w:t>Observaciones adicionales de la parte peticionaria:</w:t>
            </w:r>
          </w:p>
        </w:tc>
        <w:tc>
          <w:tcPr>
            <w:tcW w:w="5760" w:type="dxa"/>
            <w:vAlign w:val="center"/>
          </w:tcPr>
          <w:p w14:paraId="0591CF59" w14:textId="32AACF76" w:rsidR="00BD31BD" w:rsidRDefault="0040537B" w:rsidP="0040537B">
            <w:pPr>
              <w:jc w:val="both"/>
              <w:rPr>
                <w:rFonts w:ascii="Cambria" w:hAnsi="Cambria"/>
                <w:bCs/>
                <w:sz w:val="20"/>
                <w:szCs w:val="20"/>
                <w:lang w:val="es-ES"/>
              </w:rPr>
            </w:pPr>
            <w:r>
              <w:rPr>
                <w:rFonts w:ascii="Cambria" w:hAnsi="Cambria"/>
                <w:bCs/>
                <w:sz w:val="20"/>
                <w:szCs w:val="20"/>
                <w:lang w:val="es-ES"/>
              </w:rPr>
              <w:t>28 de febrero de 2020</w:t>
            </w:r>
          </w:p>
        </w:tc>
      </w:tr>
    </w:tbl>
    <w:p w14:paraId="6CFFDF6B"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1"/>
        <w:gridCol w:w="5776"/>
      </w:tblGrid>
      <w:tr w:rsidR="003239B8" w:rsidRPr="00540F17" w14:paraId="50E2A29D" w14:textId="77777777" w:rsidTr="00B5569C">
        <w:trPr>
          <w:cantSplit/>
        </w:trPr>
        <w:tc>
          <w:tcPr>
            <w:tcW w:w="3561" w:type="dxa"/>
            <w:tcBorders>
              <w:top w:val="single" w:sz="4" w:space="0" w:color="auto"/>
              <w:bottom w:val="single" w:sz="6" w:space="0" w:color="auto"/>
            </w:tcBorders>
            <w:shd w:val="clear" w:color="auto" w:fill="386294"/>
            <w:vAlign w:val="center"/>
          </w:tcPr>
          <w:p w14:paraId="2F2AFFDD" w14:textId="77777777" w:rsidR="003239B8" w:rsidRPr="00B3745F" w:rsidRDefault="003239B8" w:rsidP="00E0255C">
            <w:pPr>
              <w:jc w:val="center"/>
              <w:rPr>
                <w:rFonts w:ascii="Cambria" w:hAnsi="Cambria"/>
                <w:b/>
                <w:bCs/>
                <w:i/>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personae:</w:t>
            </w:r>
          </w:p>
        </w:tc>
        <w:tc>
          <w:tcPr>
            <w:tcW w:w="5776" w:type="dxa"/>
            <w:vAlign w:val="center"/>
          </w:tcPr>
          <w:p w14:paraId="1FA67BA8" w14:textId="77777777" w:rsidR="003239B8" w:rsidRPr="00B3745F" w:rsidRDefault="001C7E62" w:rsidP="00E0255C">
            <w:pPr>
              <w:rPr>
                <w:rFonts w:ascii="Cambria" w:hAnsi="Cambria"/>
                <w:bCs/>
                <w:sz w:val="20"/>
                <w:szCs w:val="20"/>
              </w:rPr>
            </w:pPr>
            <w:r>
              <w:rPr>
                <w:rFonts w:ascii="Cambria" w:hAnsi="Cambria"/>
                <w:bCs/>
                <w:sz w:val="20"/>
                <w:szCs w:val="20"/>
              </w:rPr>
              <w:t>Sí</w:t>
            </w:r>
          </w:p>
        </w:tc>
      </w:tr>
      <w:tr w:rsidR="003239B8" w:rsidRPr="00540F17" w14:paraId="13E17CD9" w14:textId="77777777" w:rsidTr="00B5569C">
        <w:trPr>
          <w:cantSplit/>
        </w:trPr>
        <w:tc>
          <w:tcPr>
            <w:tcW w:w="3561" w:type="dxa"/>
            <w:tcBorders>
              <w:top w:val="single" w:sz="6" w:space="0" w:color="auto"/>
              <w:bottom w:val="single" w:sz="6" w:space="0" w:color="auto"/>
            </w:tcBorders>
            <w:shd w:val="clear" w:color="auto" w:fill="386294"/>
            <w:vAlign w:val="center"/>
          </w:tcPr>
          <w:p w14:paraId="21853EEC" w14:textId="77777777" w:rsidR="003239B8" w:rsidRPr="00B3745F" w:rsidRDefault="003239B8" w:rsidP="00E0255C">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loci</w:t>
            </w:r>
            <w:r w:rsidRPr="00B3745F">
              <w:rPr>
                <w:rFonts w:ascii="Cambria" w:hAnsi="Cambria"/>
                <w:b/>
                <w:bCs/>
                <w:color w:val="FFFFFF" w:themeColor="background1"/>
                <w:sz w:val="20"/>
                <w:szCs w:val="20"/>
              </w:rPr>
              <w:t>:</w:t>
            </w:r>
          </w:p>
        </w:tc>
        <w:tc>
          <w:tcPr>
            <w:tcW w:w="5776" w:type="dxa"/>
            <w:vAlign w:val="center"/>
          </w:tcPr>
          <w:p w14:paraId="0FCBAE11" w14:textId="77777777" w:rsidR="003239B8" w:rsidRPr="00B3745F" w:rsidRDefault="001C7E62" w:rsidP="00E0255C">
            <w:pPr>
              <w:rPr>
                <w:rFonts w:ascii="Cambria" w:hAnsi="Cambria"/>
                <w:bCs/>
                <w:sz w:val="20"/>
                <w:szCs w:val="20"/>
              </w:rPr>
            </w:pPr>
            <w:r>
              <w:rPr>
                <w:rFonts w:ascii="Cambria" w:hAnsi="Cambria"/>
                <w:bCs/>
                <w:sz w:val="20"/>
                <w:szCs w:val="20"/>
              </w:rPr>
              <w:t>Sí</w:t>
            </w:r>
          </w:p>
        </w:tc>
      </w:tr>
      <w:tr w:rsidR="003239B8" w:rsidRPr="00540F17" w14:paraId="66C21353" w14:textId="77777777" w:rsidTr="00B5569C">
        <w:trPr>
          <w:cantSplit/>
        </w:trPr>
        <w:tc>
          <w:tcPr>
            <w:tcW w:w="3561" w:type="dxa"/>
            <w:tcBorders>
              <w:top w:val="single" w:sz="6" w:space="0" w:color="auto"/>
              <w:bottom w:val="single" w:sz="6" w:space="0" w:color="auto"/>
            </w:tcBorders>
            <w:shd w:val="clear" w:color="auto" w:fill="386294"/>
            <w:vAlign w:val="center"/>
          </w:tcPr>
          <w:p w14:paraId="4C7F4CED" w14:textId="77777777" w:rsidR="003239B8" w:rsidRPr="00B3745F" w:rsidRDefault="003239B8" w:rsidP="00E0255C">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temporis</w:t>
            </w:r>
            <w:r w:rsidRPr="00B3745F">
              <w:rPr>
                <w:rFonts w:ascii="Cambria" w:hAnsi="Cambria"/>
                <w:b/>
                <w:bCs/>
                <w:color w:val="FFFFFF" w:themeColor="background1"/>
                <w:sz w:val="20"/>
                <w:szCs w:val="20"/>
              </w:rPr>
              <w:t>:</w:t>
            </w:r>
          </w:p>
        </w:tc>
        <w:tc>
          <w:tcPr>
            <w:tcW w:w="5776" w:type="dxa"/>
            <w:vAlign w:val="center"/>
          </w:tcPr>
          <w:p w14:paraId="4AB6ED80" w14:textId="77777777" w:rsidR="003239B8" w:rsidRPr="00B3745F" w:rsidRDefault="001C7E62" w:rsidP="00E0255C">
            <w:pPr>
              <w:rPr>
                <w:rFonts w:ascii="Cambria" w:hAnsi="Cambria"/>
                <w:bCs/>
                <w:sz w:val="20"/>
                <w:szCs w:val="20"/>
              </w:rPr>
            </w:pPr>
            <w:r>
              <w:rPr>
                <w:rFonts w:ascii="Cambria" w:hAnsi="Cambria"/>
                <w:bCs/>
                <w:sz w:val="20"/>
                <w:szCs w:val="20"/>
              </w:rPr>
              <w:t>Sí</w:t>
            </w:r>
          </w:p>
        </w:tc>
      </w:tr>
      <w:tr w:rsidR="003239B8" w:rsidRPr="00EF2B5A" w14:paraId="27FA4462" w14:textId="77777777" w:rsidTr="00B5569C">
        <w:trPr>
          <w:cantSplit/>
        </w:trPr>
        <w:tc>
          <w:tcPr>
            <w:tcW w:w="3561" w:type="dxa"/>
            <w:tcBorders>
              <w:top w:val="single" w:sz="6" w:space="0" w:color="auto"/>
              <w:bottom w:val="single" w:sz="6" w:space="0" w:color="auto"/>
            </w:tcBorders>
            <w:shd w:val="clear" w:color="auto" w:fill="386294"/>
            <w:vAlign w:val="center"/>
          </w:tcPr>
          <w:p w14:paraId="3E6C5076" w14:textId="77777777" w:rsidR="003239B8" w:rsidRPr="00B3745F" w:rsidRDefault="003239B8" w:rsidP="00E0255C">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materia</w:t>
            </w:r>
            <w:r w:rsidR="00EE00E9" w:rsidRPr="00B3745F">
              <w:rPr>
                <w:rFonts w:ascii="Cambria" w:hAnsi="Cambria"/>
                <w:b/>
                <w:bCs/>
                <w:i/>
                <w:color w:val="FFFFFF" w:themeColor="background1"/>
                <w:sz w:val="20"/>
                <w:szCs w:val="20"/>
              </w:rPr>
              <w:t>e</w:t>
            </w:r>
            <w:r w:rsidRPr="00B3745F">
              <w:rPr>
                <w:rFonts w:ascii="Cambria" w:hAnsi="Cambria"/>
                <w:b/>
                <w:bCs/>
                <w:color w:val="FFFFFF" w:themeColor="background1"/>
                <w:sz w:val="20"/>
                <w:szCs w:val="20"/>
              </w:rPr>
              <w:t>:</w:t>
            </w:r>
          </w:p>
        </w:tc>
        <w:tc>
          <w:tcPr>
            <w:tcW w:w="5776" w:type="dxa"/>
            <w:vAlign w:val="center"/>
          </w:tcPr>
          <w:p w14:paraId="5C579BA1" w14:textId="02A8D8EA" w:rsidR="003239B8" w:rsidRPr="00B3745F" w:rsidRDefault="001C7E62" w:rsidP="0040537B">
            <w:pPr>
              <w:jc w:val="both"/>
              <w:rPr>
                <w:rFonts w:ascii="Cambria" w:hAnsi="Cambria"/>
                <w:bCs/>
                <w:sz w:val="20"/>
                <w:szCs w:val="20"/>
                <w:lang w:val="es-ES"/>
              </w:rPr>
            </w:pPr>
            <w:r>
              <w:rPr>
                <w:rFonts w:ascii="Cambria" w:hAnsi="Cambria"/>
                <w:bCs/>
                <w:sz w:val="20"/>
                <w:szCs w:val="20"/>
                <w:lang w:val="es-ES"/>
              </w:rPr>
              <w:t>Sí</w:t>
            </w:r>
            <w:r w:rsidR="000C1117">
              <w:rPr>
                <w:rFonts w:ascii="Cambria" w:hAnsi="Cambria"/>
                <w:bCs/>
                <w:sz w:val="20"/>
                <w:szCs w:val="20"/>
                <w:lang w:val="es-ES"/>
              </w:rPr>
              <w:t xml:space="preserve">, Convención Americana </w:t>
            </w:r>
            <w:r w:rsidR="008C4C96">
              <w:rPr>
                <w:rFonts w:ascii="Cambria" w:hAnsi="Cambria"/>
                <w:bCs/>
                <w:sz w:val="20"/>
                <w:szCs w:val="20"/>
                <w:lang w:val="es-ES"/>
              </w:rPr>
              <w:t xml:space="preserve">(depósito de instrumento realizado el  </w:t>
            </w:r>
            <w:r w:rsidR="0040537B">
              <w:rPr>
                <w:rFonts w:ascii="Cambria" w:hAnsi="Cambria"/>
                <w:bCs/>
                <w:sz w:val="20"/>
                <w:szCs w:val="20"/>
                <w:lang w:val="es-ES"/>
              </w:rPr>
              <w:t>19 de julio de 1979</w:t>
            </w:r>
            <w:r w:rsidR="008C4C96">
              <w:rPr>
                <w:rFonts w:ascii="Cambria" w:hAnsi="Cambria"/>
                <w:bCs/>
                <w:sz w:val="20"/>
                <w:szCs w:val="20"/>
                <w:lang w:val="es-ES"/>
              </w:rPr>
              <w:t>)</w:t>
            </w:r>
          </w:p>
        </w:tc>
      </w:tr>
    </w:tbl>
    <w:p w14:paraId="471E35B9"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1C7E62" w:rsidRPr="003239B8">
        <w:rPr>
          <w:rFonts w:asciiTheme="majorHAnsi" w:hAnsiTheme="majorHAnsi"/>
          <w:b/>
          <w:bCs/>
          <w:sz w:val="20"/>
          <w:szCs w:val="20"/>
          <w:lang w:val="es-ES"/>
        </w:rPr>
        <w:t>INTERNACIONAL</w:t>
      </w:r>
      <w:r w:rsidR="001C7E62">
        <w:rPr>
          <w:rFonts w:asciiTheme="majorHAnsi" w:hAnsiTheme="majorHAnsi"/>
          <w:b/>
          <w:bCs/>
          <w:sz w:val="20"/>
          <w:szCs w:val="20"/>
          <w:lang w:val="es-ES"/>
        </w:rPr>
        <w:t xml:space="preserve">, </w:t>
      </w:r>
      <w:r w:rsidR="001C7E62" w:rsidRPr="003239B8">
        <w:rPr>
          <w:rFonts w:asciiTheme="majorHAnsi" w:hAnsiTheme="majorHAnsi"/>
          <w:b/>
          <w:bCs/>
          <w:sz w:val="20"/>
          <w:szCs w:val="20"/>
          <w:lang w:val="es-ES"/>
        </w:rPr>
        <w:t>CARACTERIZACIÓN</w:t>
      </w:r>
      <w:r w:rsidRPr="003239B8">
        <w:rPr>
          <w:rFonts w:asciiTheme="majorHAnsi" w:hAnsiTheme="majorHAnsi"/>
          <w:b/>
          <w:bCs/>
          <w:sz w:val="20"/>
          <w:szCs w:val="20"/>
          <w:lang w:val="es-ES"/>
        </w:rPr>
        <w:t xml:space="preserve">,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4"/>
        <w:gridCol w:w="5678"/>
      </w:tblGrid>
      <w:tr w:rsidR="00EE00E9" w:rsidRPr="00EF6AD6" w14:paraId="76337212" w14:textId="77777777" w:rsidTr="004A6A54">
        <w:trPr>
          <w:cantSplit/>
        </w:trPr>
        <w:tc>
          <w:tcPr>
            <w:tcW w:w="3600" w:type="dxa"/>
            <w:tcBorders>
              <w:top w:val="single" w:sz="4" w:space="0" w:color="auto"/>
              <w:bottom w:val="single" w:sz="6" w:space="0" w:color="auto"/>
            </w:tcBorders>
            <w:shd w:val="clear" w:color="auto" w:fill="386294"/>
            <w:vAlign w:val="center"/>
          </w:tcPr>
          <w:p w14:paraId="6CFFD70A" w14:textId="77777777" w:rsidR="00EE00E9" w:rsidRPr="00DC24E3" w:rsidRDefault="00EE00E9" w:rsidP="00E0255C">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60" w:type="dxa"/>
            <w:vAlign w:val="center"/>
          </w:tcPr>
          <w:p w14:paraId="2DE99CDC" w14:textId="77777777" w:rsidR="00EE00E9" w:rsidRPr="00DC24E3" w:rsidRDefault="001C7E62" w:rsidP="00E0255C">
            <w:pPr>
              <w:jc w:val="both"/>
              <w:rPr>
                <w:rFonts w:ascii="Cambria" w:hAnsi="Cambria"/>
                <w:bCs/>
                <w:sz w:val="20"/>
                <w:szCs w:val="20"/>
                <w:lang w:val="es-ES"/>
              </w:rPr>
            </w:pPr>
            <w:r>
              <w:rPr>
                <w:rFonts w:ascii="Cambria" w:hAnsi="Cambria"/>
                <w:bCs/>
                <w:sz w:val="20"/>
                <w:szCs w:val="20"/>
                <w:lang w:val="es-ES"/>
              </w:rPr>
              <w:t>No</w:t>
            </w:r>
          </w:p>
        </w:tc>
      </w:tr>
      <w:tr w:rsidR="003239B8" w:rsidRPr="00EF2B5A" w14:paraId="28ACE885" w14:textId="77777777" w:rsidTr="004A6A54">
        <w:trPr>
          <w:cantSplit/>
        </w:trPr>
        <w:tc>
          <w:tcPr>
            <w:tcW w:w="3600" w:type="dxa"/>
            <w:tcBorders>
              <w:top w:val="single" w:sz="4" w:space="0" w:color="auto"/>
              <w:bottom w:val="single" w:sz="6" w:space="0" w:color="auto"/>
            </w:tcBorders>
            <w:shd w:val="clear" w:color="auto" w:fill="386294"/>
            <w:vAlign w:val="center"/>
          </w:tcPr>
          <w:p w14:paraId="2EAC07B0" w14:textId="77777777" w:rsidR="003239B8" w:rsidRPr="00DC24E3" w:rsidRDefault="003239B8" w:rsidP="00E0255C">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Derechos declarados admisibles</w:t>
            </w:r>
            <w:r w:rsidRPr="00DC24E3">
              <w:rPr>
                <w:rFonts w:ascii="Cambria" w:hAnsi="Cambria"/>
                <w:b/>
                <w:bCs/>
                <w:i/>
                <w:color w:val="FFFFFF" w:themeColor="background1"/>
                <w:sz w:val="20"/>
                <w:szCs w:val="20"/>
              </w:rPr>
              <w:t>:</w:t>
            </w:r>
          </w:p>
        </w:tc>
        <w:tc>
          <w:tcPr>
            <w:tcW w:w="5760" w:type="dxa"/>
            <w:vAlign w:val="center"/>
          </w:tcPr>
          <w:p w14:paraId="18AFBB30" w14:textId="5736BBC0" w:rsidR="003239B8" w:rsidRPr="00DE04D9" w:rsidRDefault="0040537B" w:rsidP="007E3694">
            <w:pPr>
              <w:jc w:val="both"/>
              <w:rPr>
                <w:rFonts w:ascii="Cambria" w:hAnsi="Cambria"/>
                <w:bCs/>
                <w:sz w:val="20"/>
                <w:szCs w:val="20"/>
                <w:lang w:val="es-PA"/>
              </w:rPr>
            </w:pPr>
            <w:r w:rsidRPr="001E3E79">
              <w:rPr>
                <w:rFonts w:ascii="Cambria" w:hAnsi="Cambria"/>
                <w:bCs/>
                <w:sz w:val="20"/>
                <w:szCs w:val="20"/>
                <w:lang w:val="es-PE"/>
              </w:rPr>
              <w:t>Art</w:t>
            </w:r>
            <w:r>
              <w:rPr>
                <w:rFonts w:ascii="Cambria" w:hAnsi="Cambria"/>
                <w:bCs/>
                <w:sz w:val="20"/>
                <w:szCs w:val="20"/>
                <w:lang w:val="es-PE"/>
              </w:rPr>
              <w:t xml:space="preserve">ículos 7 (libertad personal), </w:t>
            </w:r>
            <w:r w:rsidRPr="001E3E79">
              <w:rPr>
                <w:rFonts w:ascii="Cambria" w:hAnsi="Cambria"/>
                <w:bCs/>
                <w:sz w:val="20"/>
                <w:szCs w:val="20"/>
                <w:lang w:val="es-PE"/>
              </w:rPr>
              <w:t>8</w:t>
            </w:r>
            <w:r w:rsidR="00A078DC">
              <w:rPr>
                <w:rFonts w:ascii="Cambria" w:hAnsi="Cambria"/>
                <w:bCs/>
                <w:sz w:val="20"/>
                <w:szCs w:val="20"/>
                <w:lang w:val="es-PE"/>
              </w:rPr>
              <w:t xml:space="preserve"> (garantías judiciales), </w:t>
            </w:r>
            <w:r>
              <w:rPr>
                <w:rFonts w:ascii="Cambria" w:hAnsi="Cambria"/>
                <w:bCs/>
                <w:sz w:val="20"/>
                <w:szCs w:val="20"/>
                <w:lang w:val="es-PE"/>
              </w:rPr>
              <w:t>23 (derechos políticos),</w:t>
            </w:r>
            <w:r w:rsidRPr="001E3E79">
              <w:rPr>
                <w:rFonts w:ascii="Cambria" w:hAnsi="Cambria"/>
                <w:bCs/>
                <w:sz w:val="20"/>
                <w:szCs w:val="20"/>
                <w:lang w:val="es-PE"/>
              </w:rPr>
              <w:t xml:space="preserve"> </w:t>
            </w:r>
            <w:r>
              <w:rPr>
                <w:rFonts w:ascii="Cambria" w:hAnsi="Cambria"/>
                <w:bCs/>
                <w:sz w:val="20"/>
                <w:szCs w:val="20"/>
                <w:lang w:val="es-PE"/>
              </w:rPr>
              <w:t>y 25 (protección judicial)</w:t>
            </w:r>
            <w:r w:rsidRPr="001E3E79">
              <w:rPr>
                <w:rFonts w:ascii="Cambria" w:hAnsi="Cambria"/>
                <w:bCs/>
                <w:sz w:val="20"/>
                <w:szCs w:val="20"/>
                <w:lang w:val="es-PE"/>
              </w:rPr>
              <w:t xml:space="preserve"> de la Convenci</w:t>
            </w:r>
            <w:r>
              <w:rPr>
                <w:rFonts w:ascii="Cambria" w:hAnsi="Cambria"/>
                <w:bCs/>
                <w:sz w:val="20"/>
                <w:szCs w:val="20"/>
                <w:lang w:val="es-PE"/>
              </w:rPr>
              <w:t xml:space="preserve">ón Americana en relación con </w:t>
            </w:r>
            <w:r w:rsidR="00A078DC">
              <w:rPr>
                <w:rFonts w:ascii="Cambria" w:hAnsi="Cambria"/>
                <w:bCs/>
                <w:sz w:val="20"/>
                <w:szCs w:val="20"/>
                <w:lang w:val="es-PE"/>
              </w:rPr>
              <w:t>su</w:t>
            </w:r>
            <w:r w:rsidR="00B5569C">
              <w:rPr>
                <w:rFonts w:ascii="Cambria" w:hAnsi="Cambria"/>
                <w:bCs/>
                <w:sz w:val="20"/>
                <w:szCs w:val="20"/>
                <w:lang w:val="es-PE"/>
              </w:rPr>
              <w:t>s</w:t>
            </w:r>
            <w:r w:rsidR="00A078DC">
              <w:rPr>
                <w:rFonts w:ascii="Cambria" w:hAnsi="Cambria"/>
                <w:bCs/>
                <w:sz w:val="20"/>
                <w:szCs w:val="20"/>
                <w:lang w:val="es-PE"/>
              </w:rPr>
              <w:t xml:space="preserve"> artículo</w:t>
            </w:r>
            <w:r w:rsidR="00B5569C">
              <w:rPr>
                <w:rFonts w:ascii="Cambria" w:hAnsi="Cambria"/>
                <w:bCs/>
                <w:sz w:val="20"/>
                <w:szCs w:val="20"/>
                <w:lang w:val="es-PE"/>
              </w:rPr>
              <w:t>s</w:t>
            </w:r>
            <w:r w:rsidR="00A078DC">
              <w:rPr>
                <w:rFonts w:ascii="Cambria" w:hAnsi="Cambria"/>
                <w:bCs/>
                <w:sz w:val="20"/>
                <w:szCs w:val="20"/>
                <w:lang w:val="es-PE"/>
              </w:rPr>
              <w:t xml:space="preserve"> 1.1 </w:t>
            </w:r>
            <w:r w:rsidR="00B5569C">
              <w:rPr>
                <w:rFonts w:ascii="Cambria" w:hAnsi="Cambria"/>
                <w:bCs/>
                <w:sz w:val="20"/>
                <w:szCs w:val="20"/>
                <w:lang w:val="es-PE"/>
              </w:rPr>
              <w:t xml:space="preserve">(obligación de respetar los derechos) </w:t>
            </w:r>
            <w:r w:rsidR="00A078DC">
              <w:rPr>
                <w:rFonts w:ascii="Cambria" w:hAnsi="Cambria"/>
                <w:bCs/>
                <w:sz w:val="20"/>
                <w:szCs w:val="20"/>
                <w:lang w:val="es-PE"/>
              </w:rPr>
              <w:t>y 2 (deber de adoptar disposiciones de derecho interno)</w:t>
            </w:r>
          </w:p>
        </w:tc>
      </w:tr>
      <w:tr w:rsidR="003239B8" w:rsidRPr="00EF2B5A" w14:paraId="53F456EE" w14:textId="77777777" w:rsidTr="004A6A54">
        <w:trPr>
          <w:cantSplit/>
        </w:trPr>
        <w:tc>
          <w:tcPr>
            <w:tcW w:w="3600" w:type="dxa"/>
            <w:tcBorders>
              <w:top w:val="single" w:sz="6" w:space="0" w:color="auto"/>
              <w:bottom w:val="single" w:sz="6" w:space="0" w:color="auto"/>
            </w:tcBorders>
            <w:shd w:val="clear" w:color="auto" w:fill="386294"/>
            <w:vAlign w:val="center"/>
          </w:tcPr>
          <w:p w14:paraId="0C61061E" w14:textId="77777777" w:rsidR="003239B8" w:rsidRPr="00DC24E3" w:rsidRDefault="003239B8" w:rsidP="00E0255C">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60" w:type="dxa"/>
            <w:vAlign w:val="center"/>
          </w:tcPr>
          <w:p w14:paraId="01347189" w14:textId="0EF30952" w:rsidR="003239B8" w:rsidRPr="00DC24E3" w:rsidRDefault="00B60DBE" w:rsidP="0040537B">
            <w:pPr>
              <w:rPr>
                <w:rFonts w:ascii="Cambria" w:hAnsi="Cambria"/>
                <w:bCs/>
                <w:sz w:val="20"/>
                <w:szCs w:val="20"/>
                <w:lang w:val="es-ES"/>
              </w:rPr>
            </w:pPr>
            <w:r>
              <w:rPr>
                <w:rFonts w:ascii="Cambria" w:hAnsi="Cambria"/>
                <w:bCs/>
                <w:sz w:val="20"/>
                <w:szCs w:val="20"/>
                <w:lang w:val="es-ES"/>
              </w:rPr>
              <w:t>Parcialmente</w:t>
            </w:r>
            <w:r w:rsidR="00DE04D9">
              <w:rPr>
                <w:rFonts w:ascii="Cambria" w:hAnsi="Cambria"/>
                <w:bCs/>
                <w:sz w:val="20"/>
                <w:szCs w:val="20"/>
                <w:lang w:val="es-ES"/>
              </w:rPr>
              <w:t xml:space="preserve">, </w:t>
            </w:r>
            <w:r w:rsidR="0040537B">
              <w:rPr>
                <w:rFonts w:ascii="Cambria" w:hAnsi="Cambria"/>
                <w:bCs/>
                <w:sz w:val="20"/>
                <w:szCs w:val="20"/>
                <w:lang w:val="es-ES"/>
              </w:rPr>
              <w:t>en los términos de la Sección VI</w:t>
            </w:r>
          </w:p>
        </w:tc>
      </w:tr>
      <w:tr w:rsidR="003239B8" w:rsidRPr="00EF2B5A" w14:paraId="5A7610C9" w14:textId="77777777" w:rsidTr="004A6A54">
        <w:trPr>
          <w:cantSplit/>
        </w:trPr>
        <w:tc>
          <w:tcPr>
            <w:tcW w:w="3600" w:type="dxa"/>
            <w:tcBorders>
              <w:top w:val="single" w:sz="6" w:space="0" w:color="auto"/>
              <w:bottom w:val="single" w:sz="6" w:space="0" w:color="auto"/>
            </w:tcBorders>
            <w:shd w:val="clear" w:color="auto" w:fill="386294"/>
            <w:vAlign w:val="center"/>
          </w:tcPr>
          <w:p w14:paraId="5FB7D136" w14:textId="77777777" w:rsidR="003239B8" w:rsidRPr="00DE04D9" w:rsidRDefault="003239B8" w:rsidP="00E0255C">
            <w:pPr>
              <w:jc w:val="center"/>
              <w:rPr>
                <w:rFonts w:ascii="Cambria" w:hAnsi="Cambria"/>
                <w:b/>
                <w:bCs/>
                <w:color w:val="FFFFFF" w:themeColor="background1"/>
                <w:sz w:val="20"/>
                <w:szCs w:val="20"/>
                <w:lang w:val="es-PA"/>
              </w:rPr>
            </w:pPr>
            <w:r w:rsidRPr="00DE04D9">
              <w:rPr>
                <w:rFonts w:ascii="Cambria" w:hAnsi="Cambria"/>
                <w:b/>
                <w:bCs/>
                <w:color w:val="FFFFFF" w:themeColor="background1"/>
                <w:sz w:val="20"/>
                <w:szCs w:val="20"/>
                <w:lang w:val="es-PA"/>
              </w:rPr>
              <w:t>Presentación dentro de plazo:</w:t>
            </w:r>
          </w:p>
        </w:tc>
        <w:tc>
          <w:tcPr>
            <w:tcW w:w="5760" w:type="dxa"/>
            <w:vAlign w:val="center"/>
          </w:tcPr>
          <w:p w14:paraId="29E1E760" w14:textId="58DC5CF8" w:rsidR="003239B8" w:rsidRPr="00DE04D9" w:rsidRDefault="00DE04D9" w:rsidP="0040537B">
            <w:pPr>
              <w:rPr>
                <w:rFonts w:ascii="Cambria" w:hAnsi="Cambria"/>
                <w:bCs/>
                <w:sz w:val="20"/>
                <w:szCs w:val="20"/>
                <w:lang w:val="es-PA"/>
              </w:rPr>
            </w:pPr>
            <w:r>
              <w:rPr>
                <w:rFonts w:ascii="Cambria" w:hAnsi="Cambria"/>
                <w:bCs/>
                <w:sz w:val="20"/>
                <w:szCs w:val="20"/>
                <w:lang w:val="es-PA"/>
              </w:rPr>
              <w:t xml:space="preserve">Sí, </w:t>
            </w:r>
            <w:r w:rsidR="0040537B">
              <w:rPr>
                <w:rFonts w:ascii="Cambria" w:hAnsi="Cambria"/>
                <w:bCs/>
                <w:sz w:val="20"/>
                <w:szCs w:val="20"/>
                <w:lang w:val="es-PA"/>
              </w:rPr>
              <w:t>en los términos de la Sección VI</w:t>
            </w:r>
          </w:p>
        </w:tc>
      </w:tr>
    </w:tbl>
    <w:p w14:paraId="7E6ED0B9" w14:textId="77777777" w:rsidR="003239B8" w:rsidRPr="00414D91" w:rsidRDefault="00223A29" w:rsidP="003239B8">
      <w:pPr>
        <w:spacing w:before="240" w:after="240"/>
        <w:ind w:firstLine="720"/>
        <w:jc w:val="both"/>
        <w:rPr>
          <w:rFonts w:asciiTheme="majorHAnsi" w:hAnsiTheme="majorHAnsi"/>
          <w:b/>
          <w:sz w:val="20"/>
          <w:szCs w:val="20"/>
          <w:lang w:val="es-ES_tradnl"/>
        </w:rPr>
      </w:pPr>
      <w:r w:rsidRPr="00414D91">
        <w:rPr>
          <w:rFonts w:asciiTheme="majorHAnsi" w:hAnsiTheme="majorHAnsi"/>
          <w:b/>
          <w:sz w:val="20"/>
          <w:szCs w:val="20"/>
          <w:lang w:val="es-ES_tradnl"/>
        </w:rPr>
        <w:t xml:space="preserve">V. </w:t>
      </w:r>
      <w:r w:rsidRPr="00414D91">
        <w:rPr>
          <w:rFonts w:asciiTheme="majorHAnsi" w:hAnsiTheme="majorHAnsi"/>
          <w:b/>
          <w:sz w:val="20"/>
          <w:szCs w:val="20"/>
          <w:lang w:val="es-ES_tradnl"/>
        </w:rPr>
        <w:tab/>
      </w:r>
      <w:r w:rsidR="003239B8" w:rsidRPr="00414D91">
        <w:rPr>
          <w:rFonts w:asciiTheme="majorHAnsi" w:hAnsiTheme="majorHAnsi"/>
          <w:b/>
          <w:sz w:val="20"/>
          <w:szCs w:val="20"/>
          <w:lang w:val="es-ES_tradnl"/>
        </w:rPr>
        <w:t xml:space="preserve">HECHOS ALEGADOS </w:t>
      </w:r>
    </w:p>
    <w:p w14:paraId="6E3EECC3" w14:textId="365AD0E7" w:rsidR="00E41917" w:rsidRPr="00414D91" w:rsidRDefault="00A04A82" w:rsidP="00466170">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_tradnl"/>
        </w:rPr>
      </w:pPr>
      <w:r w:rsidRPr="00414D91">
        <w:rPr>
          <w:rFonts w:asciiTheme="majorHAnsi" w:hAnsiTheme="majorHAnsi"/>
          <w:sz w:val="20"/>
          <w:szCs w:val="20"/>
          <w:lang w:val="es-ES_tradnl"/>
        </w:rPr>
        <w:t>El peticionario</w:t>
      </w:r>
      <w:r w:rsidR="0040537B" w:rsidRPr="00414D91">
        <w:rPr>
          <w:rFonts w:asciiTheme="majorHAnsi" w:hAnsiTheme="majorHAnsi"/>
          <w:sz w:val="20"/>
          <w:szCs w:val="20"/>
          <w:lang w:val="es-ES_tradnl"/>
        </w:rPr>
        <w:t xml:space="preserve"> denuncia que fue</w:t>
      </w:r>
      <w:r w:rsidR="00C47439" w:rsidRPr="00414D91">
        <w:rPr>
          <w:rFonts w:asciiTheme="majorHAnsi" w:hAnsiTheme="majorHAnsi"/>
          <w:sz w:val="20"/>
          <w:szCs w:val="20"/>
          <w:lang w:val="es-ES_tradnl"/>
        </w:rPr>
        <w:t xml:space="preserve"> arbitrariamente</w:t>
      </w:r>
      <w:r w:rsidR="0040537B" w:rsidRPr="00414D91">
        <w:rPr>
          <w:rFonts w:asciiTheme="majorHAnsi" w:hAnsiTheme="majorHAnsi"/>
          <w:sz w:val="20"/>
          <w:szCs w:val="20"/>
          <w:lang w:val="es-ES_tradnl"/>
        </w:rPr>
        <w:t xml:space="preserve"> privado de su libertad </w:t>
      </w:r>
      <w:r w:rsidRPr="00414D91">
        <w:rPr>
          <w:rFonts w:asciiTheme="majorHAnsi" w:hAnsiTheme="majorHAnsi"/>
          <w:sz w:val="20"/>
          <w:szCs w:val="20"/>
          <w:lang w:val="es-ES_tradnl"/>
        </w:rPr>
        <w:t>durante un</w:t>
      </w:r>
      <w:r w:rsidR="0040537B" w:rsidRPr="00414D91">
        <w:rPr>
          <w:rFonts w:asciiTheme="majorHAnsi" w:hAnsiTheme="majorHAnsi"/>
          <w:sz w:val="20"/>
          <w:szCs w:val="20"/>
          <w:lang w:val="es-ES_tradnl"/>
        </w:rPr>
        <w:t xml:space="preserve"> estado de excepción </w:t>
      </w:r>
      <w:r w:rsidRPr="00414D91">
        <w:rPr>
          <w:rFonts w:asciiTheme="majorHAnsi" w:hAnsiTheme="majorHAnsi"/>
          <w:sz w:val="20"/>
          <w:szCs w:val="20"/>
          <w:lang w:val="es-ES_tradnl"/>
        </w:rPr>
        <w:t>negándosele</w:t>
      </w:r>
      <w:r w:rsidR="0040537B" w:rsidRPr="00414D91">
        <w:rPr>
          <w:rFonts w:asciiTheme="majorHAnsi" w:hAnsiTheme="majorHAnsi"/>
          <w:sz w:val="20"/>
          <w:szCs w:val="20"/>
          <w:lang w:val="es-ES_tradnl"/>
        </w:rPr>
        <w:t xml:space="preserve"> un recurso efectivo para la tutela de su derecho a la libertad personal</w:t>
      </w:r>
      <w:r w:rsidR="00B5569C" w:rsidRPr="00414D91">
        <w:rPr>
          <w:rFonts w:asciiTheme="majorHAnsi" w:hAnsiTheme="majorHAnsi"/>
          <w:sz w:val="20"/>
          <w:szCs w:val="20"/>
          <w:lang w:val="es-ES_tradnl"/>
        </w:rPr>
        <w:t>;</w:t>
      </w:r>
      <w:r w:rsidRPr="00414D91">
        <w:rPr>
          <w:rFonts w:asciiTheme="majorHAnsi" w:hAnsiTheme="majorHAnsi"/>
          <w:sz w:val="20"/>
          <w:szCs w:val="20"/>
          <w:lang w:val="es-ES_tradnl"/>
        </w:rPr>
        <w:t xml:space="preserve"> que</w:t>
      </w:r>
      <w:r w:rsidR="0040537B" w:rsidRPr="00414D91">
        <w:rPr>
          <w:rFonts w:asciiTheme="majorHAnsi" w:hAnsiTheme="majorHAnsi"/>
          <w:sz w:val="20"/>
          <w:szCs w:val="20"/>
          <w:lang w:val="es-ES_tradnl"/>
        </w:rPr>
        <w:t xml:space="preserve"> fue sometido a un proceso penal</w:t>
      </w:r>
      <w:r w:rsidR="00E41917" w:rsidRPr="00414D91">
        <w:rPr>
          <w:rFonts w:asciiTheme="majorHAnsi" w:hAnsiTheme="majorHAnsi"/>
          <w:sz w:val="20"/>
          <w:szCs w:val="20"/>
          <w:lang w:val="es-ES_tradnl"/>
        </w:rPr>
        <w:t xml:space="preserve"> con fines políticos </w:t>
      </w:r>
      <w:r w:rsidR="0040537B" w:rsidRPr="00414D91">
        <w:rPr>
          <w:rFonts w:asciiTheme="majorHAnsi" w:hAnsiTheme="majorHAnsi"/>
          <w:sz w:val="20"/>
          <w:szCs w:val="20"/>
          <w:lang w:val="es-ES_tradnl"/>
        </w:rPr>
        <w:t>en el que se violentar</w:t>
      </w:r>
      <w:r w:rsidR="00C47439" w:rsidRPr="00414D91">
        <w:rPr>
          <w:rFonts w:asciiTheme="majorHAnsi" w:hAnsiTheme="majorHAnsi"/>
          <w:sz w:val="20"/>
          <w:szCs w:val="20"/>
          <w:lang w:val="es-ES_tradnl"/>
        </w:rPr>
        <w:t>on sus derechos</w:t>
      </w:r>
      <w:r w:rsidRPr="00414D91">
        <w:rPr>
          <w:rFonts w:asciiTheme="majorHAnsi" w:hAnsiTheme="majorHAnsi"/>
          <w:sz w:val="20"/>
          <w:szCs w:val="20"/>
          <w:lang w:val="es-ES_tradnl"/>
        </w:rPr>
        <w:t>;</w:t>
      </w:r>
      <w:r w:rsidR="00C47439" w:rsidRPr="00414D91">
        <w:rPr>
          <w:rFonts w:asciiTheme="majorHAnsi" w:hAnsiTheme="majorHAnsi"/>
          <w:sz w:val="20"/>
          <w:szCs w:val="20"/>
          <w:lang w:val="es-ES_tradnl"/>
        </w:rPr>
        <w:t xml:space="preserve"> que </w:t>
      </w:r>
      <w:r w:rsidRPr="00414D91">
        <w:rPr>
          <w:rFonts w:asciiTheme="majorHAnsi" w:hAnsiTheme="majorHAnsi"/>
          <w:sz w:val="20"/>
          <w:szCs w:val="20"/>
          <w:lang w:val="es-ES_tradnl"/>
        </w:rPr>
        <w:t xml:space="preserve">fue </w:t>
      </w:r>
      <w:r w:rsidR="00C47439" w:rsidRPr="00414D91">
        <w:rPr>
          <w:rFonts w:asciiTheme="majorHAnsi" w:hAnsiTheme="majorHAnsi"/>
          <w:sz w:val="20"/>
          <w:szCs w:val="20"/>
          <w:lang w:val="es-ES_tradnl"/>
        </w:rPr>
        <w:t>privado preventivamente de su libertad por un tiempo desproporcionado</w:t>
      </w:r>
      <w:r w:rsidRPr="00414D91">
        <w:rPr>
          <w:rFonts w:asciiTheme="majorHAnsi" w:hAnsiTheme="majorHAnsi"/>
          <w:sz w:val="20"/>
          <w:szCs w:val="20"/>
          <w:lang w:val="es-ES_tradnl"/>
        </w:rPr>
        <w:t>;</w:t>
      </w:r>
      <w:r w:rsidR="00C47439" w:rsidRPr="00414D91">
        <w:rPr>
          <w:rFonts w:asciiTheme="majorHAnsi" w:hAnsiTheme="majorHAnsi"/>
          <w:sz w:val="20"/>
          <w:szCs w:val="20"/>
          <w:lang w:val="es-ES_tradnl"/>
        </w:rPr>
        <w:t xml:space="preserve"> y que las autoridades incumplieron una sentencia de h</w:t>
      </w:r>
      <w:r w:rsidR="00BD6473" w:rsidRPr="00414D91">
        <w:rPr>
          <w:rFonts w:asciiTheme="majorHAnsi" w:hAnsiTheme="majorHAnsi"/>
          <w:sz w:val="20"/>
          <w:szCs w:val="20"/>
          <w:lang w:val="es-ES_tradnl"/>
        </w:rPr>
        <w:t>á</w:t>
      </w:r>
      <w:r w:rsidR="00C47439" w:rsidRPr="00414D91">
        <w:rPr>
          <w:rFonts w:asciiTheme="majorHAnsi" w:hAnsiTheme="majorHAnsi"/>
          <w:sz w:val="20"/>
          <w:szCs w:val="20"/>
          <w:lang w:val="es-ES_tradnl"/>
        </w:rPr>
        <w:t xml:space="preserve">beas corpus que ordenó su libertad. </w:t>
      </w:r>
    </w:p>
    <w:p w14:paraId="7C564842" w14:textId="77B1BED7" w:rsidR="00C1014B" w:rsidRPr="00414D91" w:rsidRDefault="002F5A23" w:rsidP="00466170">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_tradnl"/>
        </w:rPr>
      </w:pPr>
      <w:r w:rsidRPr="00414D91">
        <w:rPr>
          <w:rFonts w:asciiTheme="majorHAnsi" w:hAnsiTheme="majorHAnsi"/>
          <w:sz w:val="20"/>
          <w:szCs w:val="20"/>
          <w:lang w:val="es-ES_tradnl"/>
        </w:rPr>
        <w:lastRenderedPageBreak/>
        <w:t xml:space="preserve">El peticionario </w:t>
      </w:r>
      <w:r w:rsidR="003C308B" w:rsidRPr="00414D91">
        <w:rPr>
          <w:rFonts w:asciiTheme="majorHAnsi" w:hAnsiTheme="majorHAnsi"/>
          <w:sz w:val="20"/>
          <w:szCs w:val="20"/>
          <w:lang w:val="es-ES_tradnl"/>
        </w:rPr>
        <w:t>narra</w:t>
      </w:r>
      <w:r w:rsidRPr="00414D91">
        <w:rPr>
          <w:rFonts w:asciiTheme="majorHAnsi" w:hAnsiTheme="majorHAnsi"/>
          <w:sz w:val="20"/>
          <w:szCs w:val="20"/>
          <w:lang w:val="es-ES_tradnl"/>
        </w:rPr>
        <w:t xml:space="preserve"> que ocupaba el cargo de Prefecto del Departamento Pando </w:t>
      </w:r>
      <w:r w:rsidR="00C1014B" w:rsidRPr="00414D91">
        <w:rPr>
          <w:rFonts w:asciiTheme="majorHAnsi" w:hAnsiTheme="majorHAnsi"/>
          <w:sz w:val="20"/>
          <w:szCs w:val="20"/>
          <w:lang w:val="es-ES_tradnl"/>
        </w:rPr>
        <w:t xml:space="preserve">para el cual había </w:t>
      </w:r>
      <w:r w:rsidRPr="00414D91">
        <w:rPr>
          <w:rFonts w:asciiTheme="majorHAnsi" w:hAnsiTheme="majorHAnsi"/>
          <w:sz w:val="20"/>
          <w:szCs w:val="20"/>
          <w:lang w:val="es-ES_tradnl"/>
        </w:rPr>
        <w:t xml:space="preserve">sido democráticamente electo. </w:t>
      </w:r>
      <w:r w:rsidR="00C1014B" w:rsidRPr="00414D91">
        <w:rPr>
          <w:rFonts w:asciiTheme="majorHAnsi" w:hAnsiTheme="majorHAnsi"/>
          <w:sz w:val="20"/>
          <w:szCs w:val="20"/>
          <w:lang w:val="es-ES_tradnl"/>
        </w:rPr>
        <w:t>Según explica,</w:t>
      </w:r>
      <w:r w:rsidRPr="00414D91">
        <w:rPr>
          <w:rFonts w:asciiTheme="majorHAnsi" w:hAnsiTheme="majorHAnsi"/>
          <w:sz w:val="20"/>
          <w:szCs w:val="20"/>
          <w:lang w:val="es-ES_tradnl"/>
        </w:rPr>
        <w:t xml:space="preserve"> la relación entre su administración local y las fuerzas políticas en control del ejecutivo nacional era tensa, </w:t>
      </w:r>
      <w:r w:rsidR="0060199D" w:rsidRPr="00414D91">
        <w:rPr>
          <w:rFonts w:asciiTheme="majorHAnsi" w:hAnsiTheme="majorHAnsi"/>
          <w:sz w:val="20"/>
          <w:szCs w:val="20"/>
          <w:lang w:val="es-ES_tradnl"/>
        </w:rPr>
        <w:t>entr</w:t>
      </w:r>
      <w:r w:rsidR="00C1014B" w:rsidRPr="00414D91">
        <w:rPr>
          <w:rFonts w:asciiTheme="majorHAnsi" w:hAnsiTheme="majorHAnsi"/>
          <w:sz w:val="20"/>
          <w:szCs w:val="20"/>
          <w:lang w:val="es-ES_tradnl"/>
        </w:rPr>
        <w:t>e</w:t>
      </w:r>
      <w:r w:rsidR="0060199D" w:rsidRPr="00414D91">
        <w:rPr>
          <w:rFonts w:asciiTheme="majorHAnsi" w:hAnsiTheme="majorHAnsi"/>
          <w:sz w:val="20"/>
          <w:szCs w:val="20"/>
          <w:lang w:val="es-ES_tradnl"/>
        </w:rPr>
        <w:t xml:space="preserve"> otras razones, porque apoyó en un referéndum una propuesta de autonomía departamental. </w:t>
      </w:r>
      <w:r w:rsidR="00C1014B" w:rsidRPr="00414D91">
        <w:rPr>
          <w:rFonts w:asciiTheme="majorHAnsi" w:hAnsiTheme="majorHAnsi"/>
          <w:sz w:val="20"/>
          <w:szCs w:val="20"/>
          <w:lang w:val="es-ES_tradnl"/>
        </w:rPr>
        <w:t xml:space="preserve">Por ello, el Poder </w:t>
      </w:r>
      <w:r w:rsidR="003C308B" w:rsidRPr="00414D91">
        <w:rPr>
          <w:rFonts w:asciiTheme="majorHAnsi" w:hAnsiTheme="majorHAnsi"/>
          <w:sz w:val="20"/>
          <w:szCs w:val="20"/>
          <w:lang w:val="es-ES_tradnl"/>
        </w:rPr>
        <w:t>E</w:t>
      </w:r>
      <w:r w:rsidR="00C1014B" w:rsidRPr="00414D91">
        <w:rPr>
          <w:rFonts w:asciiTheme="majorHAnsi" w:hAnsiTheme="majorHAnsi"/>
          <w:sz w:val="20"/>
          <w:szCs w:val="20"/>
          <w:lang w:val="es-ES_tradnl"/>
        </w:rPr>
        <w:t>jecutivo condujo</w:t>
      </w:r>
      <w:r w:rsidR="0060199D" w:rsidRPr="00414D91">
        <w:rPr>
          <w:rFonts w:asciiTheme="majorHAnsi" w:hAnsiTheme="majorHAnsi"/>
          <w:sz w:val="20"/>
          <w:szCs w:val="20"/>
          <w:lang w:val="es-ES_tradnl"/>
        </w:rPr>
        <w:t xml:space="preserve"> una fuerte campaña electoral en su contra,</w:t>
      </w:r>
      <w:r w:rsidR="00C1014B" w:rsidRPr="00414D91">
        <w:rPr>
          <w:rFonts w:asciiTheme="majorHAnsi" w:hAnsiTheme="majorHAnsi"/>
          <w:sz w:val="20"/>
          <w:szCs w:val="20"/>
          <w:lang w:val="es-ES_tradnl"/>
        </w:rPr>
        <w:t xml:space="preserve"> pese a la cual</w:t>
      </w:r>
      <w:r w:rsidR="0060199D" w:rsidRPr="00414D91">
        <w:rPr>
          <w:rFonts w:asciiTheme="majorHAnsi" w:hAnsiTheme="majorHAnsi"/>
          <w:sz w:val="20"/>
          <w:szCs w:val="20"/>
          <w:lang w:val="es-ES_tradnl"/>
        </w:rPr>
        <w:t xml:space="preserve"> logró ser que la población de Pando</w:t>
      </w:r>
      <w:r w:rsidR="00C1014B" w:rsidRPr="00414D91">
        <w:rPr>
          <w:rFonts w:asciiTheme="majorHAnsi" w:hAnsiTheme="majorHAnsi"/>
          <w:sz w:val="20"/>
          <w:szCs w:val="20"/>
          <w:lang w:val="es-ES_tradnl"/>
        </w:rPr>
        <w:t xml:space="preserve"> le ratificara en su cargo y</w:t>
      </w:r>
      <w:r w:rsidR="0060199D" w:rsidRPr="00414D91">
        <w:rPr>
          <w:rFonts w:asciiTheme="majorHAnsi" w:hAnsiTheme="majorHAnsi"/>
          <w:sz w:val="20"/>
          <w:szCs w:val="20"/>
          <w:lang w:val="es-ES_tradnl"/>
        </w:rPr>
        <w:t xml:space="preserve"> votara a favor de su permanencia en un referéndum revocatorio. </w:t>
      </w:r>
      <w:r w:rsidR="00C1014B" w:rsidRPr="00414D91">
        <w:rPr>
          <w:rFonts w:asciiTheme="majorHAnsi" w:hAnsiTheme="majorHAnsi"/>
          <w:sz w:val="20"/>
          <w:szCs w:val="20"/>
          <w:lang w:val="es-ES_tradnl"/>
        </w:rPr>
        <w:t>T</w:t>
      </w:r>
      <w:r w:rsidR="0060199D" w:rsidRPr="00414D91">
        <w:rPr>
          <w:rFonts w:asciiTheme="majorHAnsi" w:hAnsiTheme="majorHAnsi"/>
          <w:sz w:val="20"/>
          <w:szCs w:val="20"/>
          <w:lang w:val="es-ES_tradnl"/>
        </w:rPr>
        <w:t>ras su victoria en el referéndum</w:t>
      </w:r>
      <w:r w:rsidR="00C1014B" w:rsidRPr="00414D91">
        <w:rPr>
          <w:rFonts w:asciiTheme="majorHAnsi" w:hAnsiTheme="majorHAnsi"/>
          <w:sz w:val="20"/>
          <w:szCs w:val="20"/>
          <w:lang w:val="es-ES_tradnl"/>
        </w:rPr>
        <w:t xml:space="preserve"> revocatorio</w:t>
      </w:r>
      <w:r w:rsidR="0060199D" w:rsidRPr="00414D91">
        <w:rPr>
          <w:rFonts w:asciiTheme="majorHAnsi" w:hAnsiTheme="majorHAnsi"/>
          <w:sz w:val="20"/>
          <w:szCs w:val="20"/>
          <w:lang w:val="es-ES_tradnl"/>
        </w:rPr>
        <w:t xml:space="preserve"> el Ministro de la P</w:t>
      </w:r>
      <w:r w:rsidR="005B7153" w:rsidRPr="00414D91">
        <w:rPr>
          <w:rFonts w:asciiTheme="majorHAnsi" w:hAnsiTheme="majorHAnsi"/>
          <w:sz w:val="20"/>
          <w:szCs w:val="20"/>
          <w:lang w:val="es-ES_tradnl"/>
        </w:rPr>
        <w:t>residencia se ref</w:t>
      </w:r>
      <w:r w:rsidR="00C1014B" w:rsidRPr="00414D91">
        <w:rPr>
          <w:rFonts w:asciiTheme="majorHAnsi" w:hAnsiTheme="majorHAnsi"/>
          <w:sz w:val="20"/>
          <w:szCs w:val="20"/>
          <w:lang w:val="es-ES_tradnl"/>
        </w:rPr>
        <w:t>eriría</w:t>
      </w:r>
      <w:r w:rsidR="005B7153" w:rsidRPr="00414D91">
        <w:rPr>
          <w:rFonts w:asciiTheme="majorHAnsi" w:hAnsiTheme="majorHAnsi"/>
          <w:sz w:val="20"/>
          <w:szCs w:val="20"/>
          <w:lang w:val="es-ES_tradnl"/>
        </w:rPr>
        <w:t xml:space="preserve"> a él indicando que </w:t>
      </w:r>
      <w:r w:rsidR="00C1014B" w:rsidRPr="00414D91">
        <w:rPr>
          <w:rFonts w:asciiTheme="majorHAnsi" w:hAnsiTheme="majorHAnsi"/>
          <w:sz w:val="20"/>
          <w:szCs w:val="20"/>
          <w:lang w:val="es-ES_tradnl"/>
        </w:rPr>
        <w:t>lo enterrarían</w:t>
      </w:r>
      <w:r w:rsidR="005B7153" w:rsidRPr="00414D91">
        <w:rPr>
          <w:rFonts w:asciiTheme="majorHAnsi" w:hAnsiTheme="majorHAnsi"/>
          <w:sz w:val="20"/>
          <w:szCs w:val="20"/>
          <w:lang w:val="es-ES_tradnl"/>
        </w:rPr>
        <w:t xml:space="preserve"> para que se lo “coman los gusanos”</w:t>
      </w:r>
      <w:r w:rsidR="00210FBA" w:rsidRPr="00414D91">
        <w:rPr>
          <w:rFonts w:asciiTheme="majorHAnsi" w:hAnsiTheme="majorHAnsi"/>
          <w:sz w:val="20"/>
          <w:szCs w:val="20"/>
          <w:lang w:val="es-ES_tradnl"/>
        </w:rPr>
        <w:t>.</w:t>
      </w:r>
    </w:p>
    <w:p w14:paraId="1129C67D" w14:textId="2A7951CA" w:rsidR="00060C83" w:rsidRPr="00414D91" w:rsidRDefault="00C1014B" w:rsidP="00060C83">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_tradnl"/>
        </w:rPr>
      </w:pPr>
      <w:r w:rsidRPr="00414D91">
        <w:rPr>
          <w:rFonts w:asciiTheme="majorHAnsi" w:hAnsiTheme="majorHAnsi"/>
          <w:sz w:val="20"/>
          <w:szCs w:val="20"/>
          <w:lang w:val="es-ES_tradnl"/>
        </w:rPr>
        <w:t>Conforme continúa el relato del peticionario,</w:t>
      </w:r>
      <w:r w:rsidR="00D65815" w:rsidRPr="00414D91">
        <w:rPr>
          <w:rFonts w:asciiTheme="majorHAnsi" w:hAnsiTheme="majorHAnsi"/>
          <w:sz w:val="20"/>
          <w:szCs w:val="20"/>
          <w:lang w:val="es-ES_tradnl"/>
        </w:rPr>
        <w:t xml:space="preserve"> el 11 de septiembre de 2008 ocurrieron una serie de enfrentamientos violentos entre personas afines al</w:t>
      </w:r>
      <w:r w:rsidRPr="00414D91">
        <w:rPr>
          <w:rFonts w:asciiTheme="majorHAnsi" w:hAnsiTheme="majorHAnsi"/>
          <w:sz w:val="20"/>
          <w:szCs w:val="20"/>
          <w:lang w:val="es-ES_tradnl"/>
        </w:rPr>
        <w:t xml:space="preserve"> gobierno central,</w:t>
      </w:r>
      <w:r w:rsidR="00D65815" w:rsidRPr="00414D91">
        <w:rPr>
          <w:rFonts w:asciiTheme="majorHAnsi" w:hAnsiTheme="majorHAnsi"/>
          <w:sz w:val="20"/>
          <w:szCs w:val="20"/>
          <w:lang w:val="es-ES_tradnl"/>
        </w:rPr>
        <w:t xml:space="preserve"> qu</w:t>
      </w:r>
      <w:r w:rsidRPr="00414D91">
        <w:rPr>
          <w:rFonts w:asciiTheme="majorHAnsi" w:hAnsiTheme="majorHAnsi"/>
          <w:sz w:val="20"/>
          <w:szCs w:val="20"/>
          <w:lang w:val="es-ES_tradnl"/>
        </w:rPr>
        <w:t>ienes</w:t>
      </w:r>
      <w:r w:rsidR="00D65815" w:rsidRPr="00414D91">
        <w:rPr>
          <w:rFonts w:asciiTheme="majorHAnsi" w:hAnsiTheme="majorHAnsi"/>
          <w:sz w:val="20"/>
          <w:szCs w:val="20"/>
          <w:lang w:val="es-ES_tradnl"/>
        </w:rPr>
        <w:t xml:space="preserve"> exigían su renuncia</w:t>
      </w:r>
      <w:r w:rsidR="00060C83" w:rsidRPr="00414D91">
        <w:rPr>
          <w:rFonts w:asciiTheme="majorHAnsi" w:hAnsiTheme="majorHAnsi"/>
          <w:sz w:val="20"/>
          <w:szCs w:val="20"/>
          <w:lang w:val="es-ES_tradnl"/>
        </w:rPr>
        <w:t>,</w:t>
      </w:r>
      <w:r w:rsidR="00D65815" w:rsidRPr="00414D91">
        <w:rPr>
          <w:rFonts w:asciiTheme="majorHAnsi" w:hAnsiTheme="majorHAnsi"/>
          <w:sz w:val="20"/>
          <w:szCs w:val="20"/>
          <w:lang w:val="es-ES_tradnl"/>
        </w:rPr>
        <w:t xml:space="preserve"> e integrantes de la sociedad civil de Pando que apoyaban la autonomía del departamento</w:t>
      </w:r>
      <w:r w:rsidR="00060C83" w:rsidRPr="00414D91">
        <w:rPr>
          <w:rFonts w:asciiTheme="majorHAnsi" w:hAnsiTheme="majorHAnsi"/>
          <w:sz w:val="20"/>
          <w:szCs w:val="20"/>
          <w:lang w:val="es-ES_tradnl"/>
        </w:rPr>
        <w:t xml:space="preserve">. Estos enfrentamientos resultarían en la muerte de varias personas. </w:t>
      </w:r>
      <w:r w:rsidR="00024D83" w:rsidRPr="00414D91">
        <w:rPr>
          <w:rFonts w:asciiTheme="majorHAnsi" w:hAnsiTheme="majorHAnsi"/>
          <w:sz w:val="20"/>
          <w:szCs w:val="20"/>
          <w:lang w:val="es-ES_tradnl"/>
        </w:rPr>
        <w:t xml:space="preserve"> </w:t>
      </w:r>
      <w:r w:rsidR="00060C83" w:rsidRPr="00414D91">
        <w:rPr>
          <w:rFonts w:asciiTheme="majorHAnsi" w:hAnsiTheme="majorHAnsi"/>
          <w:sz w:val="20"/>
          <w:szCs w:val="20"/>
          <w:lang w:val="es-ES_tradnl"/>
        </w:rPr>
        <w:t>E</w:t>
      </w:r>
      <w:r w:rsidR="00024D83" w:rsidRPr="00414D91">
        <w:rPr>
          <w:rFonts w:asciiTheme="majorHAnsi" w:hAnsiTheme="majorHAnsi"/>
          <w:sz w:val="20"/>
          <w:szCs w:val="20"/>
          <w:lang w:val="es-ES_tradnl"/>
        </w:rPr>
        <w:t>l día siguiente a los hechos violentos, 12 de septiembre de 2008, el presidente Evo Morales emitió decreto declarando un “estado de sitio” en el Departamento P</w:t>
      </w:r>
      <w:r w:rsidR="00221BF3" w:rsidRPr="00414D91">
        <w:rPr>
          <w:rFonts w:asciiTheme="majorHAnsi" w:hAnsiTheme="majorHAnsi"/>
          <w:sz w:val="20"/>
          <w:szCs w:val="20"/>
          <w:lang w:val="es-ES_tradnl"/>
        </w:rPr>
        <w:t>ando</w:t>
      </w:r>
      <w:r w:rsidR="009F506F" w:rsidRPr="00414D91">
        <w:rPr>
          <w:rFonts w:asciiTheme="majorHAnsi" w:hAnsiTheme="majorHAnsi"/>
          <w:sz w:val="20"/>
          <w:szCs w:val="20"/>
          <w:lang w:val="es-ES_tradnl"/>
        </w:rPr>
        <w:t>,</w:t>
      </w:r>
      <w:r w:rsidR="00221BF3" w:rsidRPr="00414D91">
        <w:rPr>
          <w:rFonts w:asciiTheme="majorHAnsi" w:hAnsiTheme="majorHAnsi"/>
          <w:sz w:val="20"/>
          <w:szCs w:val="20"/>
          <w:lang w:val="es-ES_tradnl"/>
        </w:rPr>
        <w:t xml:space="preserve"> y envió a las fuerzas armadas a ocupar</w:t>
      </w:r>
      <w:r w:rsidR="004B4621" w:rsidRPr="00414D91">
        <w:rPr>
          <w:rFonts w:asciiTheme="majorHAnsi" w:hAnsiTheme="majorHAnsi"/>
          <w:sz w:val="20"/>
          <w:szCs w:val="20"/>
          <w:lang w:val="es-ES_tradnl"/>
        </w:rPr>
        <w:t>lo</w:t>
      </w:r>
      <w:r w:rsidR="00221BF3" w:rsidRPr="00414D91">
        <w:rPr>
          <w:rFonts w:asciiTheme="majorHAnsi" w:hAnsiTheme="majorHAnsi"/>
          <w:sz w:val="20"/>
          <w:szCs w:val="20"/>
          <w:lang w:val="es-ES_tradnl"/>
        </w:rPr>
        <w:t xml:space="preserve">. </w:t>
      </w:r>
      <w:r w:rsidR="00060C83" w:rsidRPr="00414D91">
        <w:rPr>
          <w:rFonts w:asciiTheme="majorHAnsi" w:hAnsiTheme="majorHAnsi"/>
          <w:sz w:val="20"/>
          <w:szCs w:val="20"/>
          <w:lang w:val="es-ES_tradnl"/>
        </w:rPr>
        <w:t>El peticionario</w:t>
      </w:r>
      <w:r w:rsidR="00221BF3" w:rsidRPr="00414D91">
        <w:rPr>
          <w:rFonts w:asciiTheme="majorHAnsi" w:hAnsiTheme="majorHAnsi"/>
          <w:sz w:val="20"/>
          <w:szCs w:val="20"/>
          <w:lang w:val="es-ES_tradnl"/>
        </w:rPr>
        <w:t xml:space="preserve"> manifest</w:t>
      </w:r>
      <w:r w:rsidR="00060C83" w:rsidRPr="00414D91">
        <w:rPr>
          <w:rFonts w:asciiTheme="majorHAnsi" w:hAnsiTheme="majorHAnsi"/>
          <w:sz w:val="20"/>
          <w:szCs w:val="20"/>
          <w:lang w:val="es-ES_tradnl"/>
        </w:rPr>
        <w:t>aría</w:t>
      </w:r>
      <w:r w:rsidR="00221BF3" w:rsidRPr="00414D91">
        <w:rPr>
          <w:rFonts w:asciiTheme="majorHAnsi" w:hAnsiTheme="majorHAnsi"/>
          <w:sz w:val="20"/>
          <w:szCs w:val="20"/>
          <w:lang w:val="es-ES_tradnl"/>
        </w:rPr>
        <w:t xml:space="preserve"> públicamente su oposición al estado de sitio y </w:t>
      </w:r>
      <w:r w:rsidR="00060C83" w:rsidRPr="00414D91">
        <w:rPr>
          <w:rFonts w:asciiTheme="majorHAnsi" w:hAnsiTheme="majorHAnsi"/>
          <w:sz w:val="20"/>
          <w:szCs w:val="20"/>
          <w:lang w:val="es-ES_tradnl"/>
        </w:rPr>
        <w:t>continuaría</w:t>
      </w:r>
      <w:r w:rsidR="00221BF3" w:rsidRPr="00414D91">
        <w:rPr>
          <w:rFonts w:asciiTheme="majorHAnsi" w:hAnsiTheme="majorHAnsi"/>
          <w:sz w:val="20"/>
          <w:szCs w:val="20"/>
          <w:lang w:val="es-ES_tradnl"/>
        </w:rPr>
        <w:t xml:space="preserve"> cumpliendo con sus funciones de prefecto</w:t>
      </w:r>
      <w:r w:rsidR="0038129F" w:rsidRPr="00414D91">
        <w:rPr>
          <w:rFonts w:asciiTheme="majorHAnsi" w:hAnsiTheme="majorHAnsi"/>
          <w:sz w:val="20"/>
          <w:szCs w:val="20"/>
          <w:lang w:val="es-ES_tradnl"/>
        </w:rPr>
        <w:t xml:space="preserve">. </w:t>
      </w:r>
      <w:r w:rsidR="00291A69" w:rsidRPr="00414D91">
        <w:rPr>
          <w:rFonts w:asciiTheme="majorHAnsi" w:hAnsiTheme="majorHAnsi"/>
          <w:sz w:val="20"/>
          <w:szCs w:val="20"/>
          <w:lang w:val="es-ES_tradnl"/>
        </w:rPr>
        <w:t>H</w:t>
      </w:r>
      <w:r w:rsidR="00221BF3" w:rsidRPr="00414D91">
        <w:rPr>
          <w:rFonts w:asciiTheme="majorHAnsi" w:hAnsiTheme="majorHAnsi"/>
          <w:sz w:val="20"/>
          <w:szCs w:val="20"/>
          <w:lang w:val="es-ES_tradnl"/>
        </w:rPr>
        <w:t xml:space="preserve">asta que </w:t>
      </w:r>
      <w:r w:rsidR="00EF755E" w:rsidRPr="00414D91">
        <w:rPr>
          <w:rFonts w:asciiTheme="majorHAnsi" w:hAnsiTheme="majorHAnsi"/>
          <w:sz w:val="20"/>
          <w:szCs w:val="20"/>
          <w:lang w:val="es-ES_tradnl"/>
        </w:rPr>
        <w:t xml:space="preserve">el 16 de septiembre de 2008 el jefe militar de Cobija se presentó en la prefectura </w:t>
      </w:r>
      <w:r w:rsidR="00060C83" w:rsidRPr="00414D91">
        <w:rPr>
          <w:rFonts w:asciiTheme="majorHAnsi" w:hAnsiTheme="majorHAnsi"/>
          <w:sz w:val="20"/>
          <w:szCs w:val="20"/>
          <w:lang w:val="es-ES_tradnl"/>
        </w:rPr>
        <w:t xml:space="preserve">y le manifestó </w:t>
      </w:r>
      <w:r w:rsidR="00EF755E" w:rsidRPr="00414D91">
        <w:rPr>
          <w:rFonts w:asciiTheme="majorHAnsi" w:hAnsiTheme="majorHAnsi"/>
          <w:sz w:val="20"/>
          <w:szCs w:val="20"/>
          <w:lang w:val="es-ES_tradnl"/>
        </w:rPr>
        <w:t xml:space="preserve">que un ministro del ejecutivo nacional quería conversar con él en el aeropuerto. </w:t>
      </w:r>
      <w:r w:rsidR="0038129F" w:rsidRPr="00414D91">
        <w:rPr>
          <w:rFonts w:asciiTheme="majorHAnsi" w:hAnsiTheme="majorHAnsi"/>
          <w:sz w:val="20"/>
          <w:szCs w:val="20"/>
          <w:lang w:val="es-ES_tradnl"/>
        </w:rPr>
        <w:t>El peticionario indica</w:t>
      </w:r>
      <w:r w:rsidR="00EF755E" w:rsidRPr="00414D91">
        <w:rPr>
          <w:rFonts w:asciiTheme="majorHAnsi" w:hAnsiTheme="majorHAnsi"/>
          <w:sz w:val="20"/>
          <w:szCs w:val="20"/>
          <w:lang w:val="es-ES_tradnl"/>
        </w:rPr>
        <w:t xml:space="preserve"> que accedió porque la prefectura se encontraba rodeada de centenares de militares y que fue trasladado al aeropuerto donde el </w:t>
      </w:r>
      <w:r w:rsidR="00AD471A" w:rsidRPr="00414D91">
        <w:rPr>
          <w:rFonts w:asciiTheme="majorHAnsi" w:hAnsiTheme="majorHAnsi"/>
          <w:sz w:val="20"/>
          <w:szCs w:val="20"/>
          <w:lang w:val="es-ES_tradnl"/>
        </w:rPr>
        <w:t>m</w:t>
      </w:r>
      <w:r w:rsidR="00EF755E" w:rsidRPr="00414D91">
        <w:rPr>
          <w:rFonts w:asciiTheme="majorHAnsi" w:hAnsiTheme="majorHAnsi"/>
          <w:sz w:val="20"/>
          <w:szCs w:val="20"/>
          <w:lang w:val="es-ES_tradnl"/>
        </w:rPr>
        <w:t xml:space="preserve">inistró le </w:t>
      </w:r>
      <w:r w:rsidR="0038129F" w:rsidRPr="00414D91">
        <w:rPr>
          <w:rFonts w:asciiTheme="majorHAnsi" w:hAnsiTheme="majorHAnsi"/>
          <w:sz w:val="20"/>
          <w:szCs w:val="20"/>
          <w:lang w:val="es-ES_tradnl"/>
        </w:rPr>
        <w:t>informó</w:t>
      </w:r>
      <w:r w:rsidR="00EF755E" w:rsidRPr="00414D91">
        <w:rPr>
          <w:rFonts w:asciiTheme="majorHAnsi" w:hAnsiTheme="majorHAnsi"/>
          <w:sz w:val="20"/>
          <w:szCs w:val="20"/>
          <w:lang w:val="es-ES_tradnl"/>
        </w:rPr>
        <w:t xml:space="preserve"> que debía abordar una nave para ser conducido a La Paz para ser confinado en esa ciudad.</w:t>
      </w:r>
    </w:p>
    <w:p w14:paraId="6C028931" w14:textId="6E209846" w:rsidR="005D1E12" w:rsidRPr="00414D91" w:rsidRDefault="00EF755E" w:rsidP="00466170">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_tradnl"/>
        </w:rPr>
      </w:pPr>
      <w:r w:rsidRPr="00414D91">
        <w:rPr>
          <w:rFonts w:asciiTheme="majorHAnsi" w:hAnsiTheme="majorHAnsi"/>
          <w:sz w:val="20"/>
          <w:szCs w:val="20"/>
          <w:lang w:val="es-ES_tradnl"/>
        </w:rPr>
        <w:t xml:space="preserve"> </w:t>
      </w:r>
      <w:r w:rsidR="0038129F" w:rsidRPr="00414D91">
        <w:rPr>
          <w:rFonts w:asciiTheme="majorHAnsi" w:hAnsiTheme="majorHAnsi"/>
          <w:sz w:val="20"/>
          <w:szCs w:val="20"/>
          <w:lang w:val="es-ES_tradnl"/>
        </w:rPr>
        <w:t xml:space="preserve">El peticionario señala </w:t>
      </w:r>
      <w:r w:rsidR="00D7258E" w:rsidRPr="00414D91">
        <w:rPr>
          <w:rFonts w:asciiTheme="majorHAnsi" w:hAnsiTheme="majorHAnsi"/>
          <w:sz w:val="20"/>
          <w:szCs w:val="20"/>
          <w:lang w:val="es-ES_tradnl"/>
        </w:rPr>
        <w:t>que estando en la aeronave se le acercaron dos personas que dijeron ser agentes del Ministerio Público</w:t>
      </w:r>
      <w:r w:rsidR="0038129F" w:rsidRPr="00414D91">
        <w:rPr>
          <w:rFonts w:asciiTheme="majorHAnsi" w:hAnsiTheme="majorHAnsi"/>
          <w:sz w:val="20"/>
          <w:szCs w:val="20"/>
          <w:lang w:val="es-ES_tradnl"/>
        </w:rPr>
        <w:t xml:space="preserve">, </w:t>
      </w:r>
      <w:r w:rsidR="00D7258E" w:rsidRPr="00414D91">
        <w:rPr>
          <w:rFonts w:asciiTheme="majorHAnsi" w:hAnsiTheme="majorHAnsi"/>
          <w:sz w:val="20"/>
          <w:szCs w:val="20"/>
          <w:lang w:val="es-ES_tradnl"/>
        </w:rPr>
        <w:t>quienes le hicieron conocer una resolución de aprehensión en su contra y pretendieron hacerle rendir declaración informativa</w:t>
      </w:r>
      <w:r w:rsidR="0043223D" w:rsidRPr="00414D91">
        <w:rPr>
          <w:rFonts w:asciiTheme="majorHAnsi" w:hAnsiTheme="majorHAnsi"/>
          <w:sz w:val="20"/>
          <w:szCs w:val="20"/>
          <w:lang w:val="es-ES_tradnl"/>
        </w:rPr>
        <w:t xml:space="preserve"> sin haberl</w:t>
      </w:r>
      <w:r w:rsidR="0038129F" w:rsidRPr="00414D91">
        <w:rPr>
          <w:rFonts w:asciiTheme="majorHAnsi" w:hAnsiTheme="majorHAnsi"/>
          <w:sz w:val="20"/>
          <w:szCs w:val="20"/>
          <w:lang w:val="es-ES_tradnl"/>
        </w:rPr>
        <w:t>e</w:t>
      </w:r>
      <w:r w:rsidR="0043223D" w:rsidRPr="00414D91">
        <w:rPr>
          <w:rFonts w:asciiTheme="majorHAnsi" w:hAnsiTheme="majorHAnsi"/>
          <w:sz w:val="20"/>
          <w:szCs w:val="20"/>
          <w:lang w:val="es-ES_tradnl"/>
        </w:rPr>
        <w:t xml:space="preserve"> hecho conocer previamente el contenido de la denuncia en su contra.</w:t>
      </w:r>
      <w:r w:rsidR="00D7258E" w:rsidRPr="00414D91">
        <w:rPr>
          <w:rFonts w:asciiTheme="majorHAnsi" w:hAnsiTheme="majorHAnsi"/>
          <w:sz w:val="20"/>
          <w:szCs w:val="20"/>
          <w:lang w:val="es-ES_tradnl"/>
        </w:rPr>
        <w:t xml:space="preserve"> </w:t>
      </w:r>
      <w:r w:rsidR="0038129F" w:rsidRPr="00414D91">
        <w:rPr>
          <w:rFonts w:asciiTheme="majorHAnsi" w:hAnsiTheme="majorHAnsi"/>
          <w:sz w:val="20"/>
          <w:szCs w:val="20"/>
          <w:lang w:val="es-ES_tradnl"/>
        </w:rPr>
        <w:t>También indica</w:t>
      </w:r>
      <w:r w:rsidRPr="00414D91">
        <w:rPr>
          <w:rFonts w:asciiTheme="majorHAnsi" w:hAnsiTheme="majorHAnsi"/>
          <w:sz w:val="20"/>
          <w:szCs w:val="20"/>
          <w:lang w:val="es-ES_tradnl"/>
        </w:rPr>
        <w:t xml:space="preserve"> que nunca se le hizo conocer una orden de comparendo que </w:t>
      </w:r>
      <w:r w:rsidR="00775E30" w:rsidRPr="00414D91">
        <w:rPr>
          <w:rFonts w:asciiTheme="majorHAnsi" w:hAnsiTheme="majorHAnsi"/>
          <w:sz w:val="20"/>
          <w:szCs w:val="20"/>
          <w:lang w:val="es-ES_tradnl"/>
        </w:rPr>
        <w:t xml:space="preserve">indicara el hecho por el cual se le estaba sindicando por “tramar contra el orden público”. </w:t>
      </w:r>
      <w:r w:rsidR="00B644B0" w:rsidRPr="00414D91">
        <w:rPr>
          <w:rFonts w:asciiTheme="majorHAnsi" w:hAnsiTheme="majorHAnsi"/>
          <w:sz w:val="20"/>
          <w:szCs w:val="20"/>
          <w:lang w:val="es-ES_tradnl"/>
        </w:rPr>
        <w:t>El peticionario denuncia</w:t>
      </w:r>
      <w:r w:rsidR="0043223D" w:rsidRPr="00414D91">
        <w:rPr>
          <w:rFonts w:asciiTheme="majorHAnsi" w:hAnsiTheme="majorHAnsi"/>
          <w:sz w:val="20"/>
          <w:szCs w:val="20"/>
          <w:lang w:val="es-ES_tradnl"/>
        </w:rPr>
        <w:t xml:space="preserve"> que los agentes del Ministerio Publico actuaron fuera de su competencia</w:t>
      </w:r>
      <w:r w:rsidR="002C0ED5" w:rsidRPr="00414D91">
        <w:rPr>
          <w:rFonts w:asciiTheme="majorHAnsi" w:hAnsiTheme="majorHAnsi"/>
          <w:sz w:val="20"/>
          <w:szCs w:val="20"/>
          <w:lang w:val="es-ES_tradnl"/>
        </w:rPr>
        <w:t>,</w:t>
      </w:r>
      <w:r w:rsidR="0043223D" w:rsidRPr="00414D91">
        <w:rPr>
          <w:rFonts w:asciiTheme="majorHAnsi" w:hAnsiTheme="majorHAnsi"/>
          <w:sz w:val="20"/>
          <w:szCs w:val="20"/>
          <w:lang w:val="es-ES_tradnl"/>
        </w:rPr>
        <w:t xml:space="preserve"> pues por su condición de prefecto democráticamente electo solo podía ser sometido a un proceso especial de responsabilidades y no un proc</w:t>
      </w:r>
      <w:r w:rsidR="009353E9" w:rsidRPr="00414D91">
        <w:rPr>
          <w:rFonts w:asciiTheme="majorHAnsi" w:hAnsiTheme="majorHAnsi"/>
          <w:sz w:val="20"/>
          <w:szCs w:val="20"/>
          <w:lang w:val="es-ES_tradnl"/>
        </w:rPr>
        <w:t xml:space="preserve">eso ante la justicia ordinaria. </w:t>
      </w:r>
      <w:r w:rsidR="00B644B0" w:rsidRPr="00414D91">
        <w:rPr>
          <w:rFonts w:asciiTheme="majorHAnsi" w:hAnsiTheme="majorHAnsi"/>
          <w:sz w:val="20"/>
          <w:szCs w:val="20"/>
          <w:lang w:val="es-ES_tradnl"/>
        </w:rPr>
        <w:t>De igual forma argumenta</w:t>
      </w:r>
      <w:r w:rsidR="009353E9" w:rsidRPr="00414D91">
        <w:rPr>
          <w:rFonts w:asciiTheme="majorHAnsi" w:hAnsiTheme="majorHAnsi"/>
          <w:sz w:val="20"/>
          <w:szCs w:val="20"/>
          <w:lang w:val="es-ES_tradnl"/>
        </w:rPr>
        <w:t xml:space="preserve"> que su detención fue ilegal al no existir una orden </w:t>
      </w:r>
      <w:r w:rsidR="002C0ED5" w:rsidRPr="00414D91">
        <w:rPr>
          <w:rFonts w:asciiTheme="majorHAnsi" w:hAnsiTheme="majorHAnsi"/>
          <w:sz w:val="20"/>
          <w:szCs w:val="20"/>
          <w:lang w:val="es-ES_tradnl"/>
        </w:rPr>
        <w:t xml:space="preserve">judicial </w:t>
      </w:r>
      <w:r w:rsidR="00A24F83" w:rsidRPr="00414D91">
        <w:rPr>
          <w:rFonts w:asciiTheme="majorHAnsi" w:hAnsiTheme="majorHAnsi"/>
          <w:sz w:val="20"/>
          <w:szCs w:val="20"/>
          <w:lang w:val="es-ES_tradnl"/>
        </w:rPr>
        <w:t xml:space="preserve">y no haber sido capturado en situación de flagrancia. </w:t>
      </w:r>
    </w:p>
    <w:p w14:paraId="7DD84139" w14:textId="5D44C4F5" w:rsidR="001E0518" w:rsidRPr="00414D91" w:rsidRDefault="00B644B0" w:rsidP="00466170">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_tradnl"/>
        </w:rPr>
      </w:pPr>
      <w:r w:rsidRPr="00414D91">
        <w:rPr>
          <w:rFonts w:asciiTheme="majorHAnsi" w:hAnsiTheme="majorHAnsi"/>
          <w:sz w:val="20"/>
          <w:szCs w:val="20"/>
          <w:lang w:val="es-ES_tradnl"/>
        </w:rPr>
        <w:t xml:space="preserve">Según continúa su relato, </w:t>
      </w:r>
      <w:r w:rsidR="005D1E12" w:rsidRPr="00414D91">
        <w:rPr>
          <w:rFonts w:asciiTheme="majorHAnsi" w:hAnsiTheme="majorHAnsi"/>
          <w:sz w:val="20"/>
          <w:szCs w:val="20"/>
          <w:lang w:val="es-ES_tradnl"/>
        </w:rPr>
        <w:t>el 17 de septiembre de 2008</w:t>
      </w:r>
      <w:r w:rsidRPr="00414D91">
        <w:rPr>
          <w:rFonts w:asciiTheme="majorHAnsi" w:hAnsiTheme="majorHAnsi"/>
          <w:sz w:val="20"/>
          <w:szCs w:val="20"/>
          <w:lang w:val="es-ES_tradnl"/>
        </w:rPr>
        <w:t xml:space="preserve"> el peticionario</w:t>
      </w:r>
      <w:r w:rsidR="005D1E12" w:rsidRPr="00414D91">
        <w:rPr>
          <w:rFonts w:asciiTheme="majorHAnsi" w:hAnsiTheme="majorHAnsi"/>
          <w:sz w:val="20"/>
          <w:szCs w:val="20"/>
          <w:lang w:val="es-ES_tradnl"/>
        </w:rPr>
        <w:t xml:space="preserve"> interpuso un recurso de h</w:t>
      </w:r>
      <w:r w:rsidR="002C0ED5" w:rsidRPr="00414D91">
        <w:rPr>
          <w:rFonts w:asciiTheme="majorHAnsi" w:hAnsiTheme="majorHAnsi"/>
          <w:sz w:val="20"/>
          <w:szCs w:val="20"/>
          <w:lang w:val="es-ES_tradnl"/>
        </w:rPr>
        <w:t>á</w:t>
      </w:r>
      <w:r w:rsidR="005D1E12" w:rsidRPr="00414D91">
        <w:rPr>
          <w:rFonts w:asciiTheme="majorHAnsi" w:hAnsiTheme="majorHAnsi"/>
          <w:sz w:val="20"/>
          <w:szCs w:val="20"/>
          <w:lang w:val="es-ES_tradnl"/>
        </w:rPr>
        <w:t xml:space="preserve">beas corpus contra el Ministro de Defensa y el Ministro de Gobierno en su calidad en encargados de ejecutar el estado de sitio. </w:t>
      </w:r>
      <w:r w:rsidRPr="00414D91">
        <w:rPr>
          <w:rFonts w:asciiTheme="majorHAnsi" w:hAnsiTheme="majorHAnsi"/>
          <w:sz w:val="20"/>
          <w:szCs w:val="20"/>
          <w:lang w:val="es-ES_tradnl"/>
        </w:rPr>
        <w:t>Producto de este</w:t>
      </w:r>
      <w:r w:rsidR="005D1E12" w:rsidRPr="00414D91">
        <w:rPr>
          <w:rFonts w:asciiTheme="majorHAnsi" w:hAnsiTheme="majorHAnsi"/>
          <w:sz w:val="20"/>
          <w:szCs w:val="20"/>
          <w:lang w:val="es-ES_tradnl"/>
        </w:rPr>
        <w:t xml:space="preserve"> recurso se convocó a una audiencia donde se presentó una orden de confinamiento en su contra firmada por los dos ministros demandados.</w:t>
      </w:r>
      <w:r w:rsidRPr="00414D91">
        <w:rPr>
          <w:rFonts w:asciiTheme="majorHAnsi" w:hAnsiTheme="majorHAnsi"/>
          <w:sz w:val="20"/>
          <w:szCs w:val="20"/>
          <w:lang w:val="es-ES_tradnl"/>
        </w:rPr>
        <w:t xml:space="preserve"> El peticionario aduce</w:t>
      </w:r>
      <w:r w:rsidR="005D1E12" w:rsidRPr="00414D91">
        <w:rPr>
          <w:rFonts w:asciiTheme="majorHAnsi" w:hAnsiTheme="majorHAnsi"/>
          <w:sz w:val="20"/>
          <w:szCs w:val="20"/>
          <w:lang w:val="es-ES_tradnl"/>
        </w:rPr>
        <w:t xml:space="preserve"> que esta orden fue producida con posterioridad a su detención, estando esto evidenciado en que la misma fue supuestamente emitida en la paz el 16 de septiembre de 2008 y ejecutada en Pando (a más de 1000km de distancia) antes de las 8:00 am del mismo día. </w:t>
      </w:r>
    </w:p>
    <w:p w14:paraId="14E0CC15" w14:textId="319CA3EC" w:rsidR="009353E9" w:rsidRPr="00414D91" w:rsidRDefault="001E0518" w:rsidP="00466170">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_tradnl"/>
        </w:rPr>
      </w:pPr>
      <w:r w:rsidRPr="00414D91">
        <w:rPr>
          <w:rFonts w:asciiTheme="majorHAnsi" w:hAnsiTheme="majorHAnsi"/>
          <w:sz w:val="20"/>
          <w:szCs w:val="20"/>
          <w:lang w:val="es-ES_tradnl"/>
        </w:rPr>
        <w:t xml:space="preserve">El peticionario indica </w:t>
      </w:r>
      <w:r w:rsidR="005D1E12" w:rsidRPr="00414D91">
        <w:rPr>
          <w:rFonts w:asciiTheme="majorHAnsi" w:hAnsiTheme="majorHAnsi"/>
          <w:sz w:val="20"/>
          <w:szCs w:val="20"/>
          <w:lang w:val="es-ES_tradnl"/>
        </w:rPr>
        <w:t xml:space="preserve">que </w:t>
      </w:r>
      <w:r w:rsidRPr="00414D91">
        <w:rPr>
          <w:rFonts w:asciiTheme="majorHAnsi" w:hAnsiTheme="majorHAnsi"/>
          <w:sz w:val="20"/>
          <w:szCs w:val="20"/>
          <w:lang w:val="es-ES_tradnl"/>
        </w:rPr>
        <w:t>su recurso de</w:t>
      </w:r>
      <w:r w:rsidR="005D1E12" w:rsidRPr="00414D91">
        <w:rPr>
          <w:rFonts w:asciiTheme="majorHAnsi" w:hAnsiTheme="majorHAnsi"/>
          <w:sz w:val="20"/>
          <w:szCs w:val="20"/>
          <w:lang w:val="es-ES_tradnl"/>
        </w:rPr>
        <w:t xml:space="preserve"> h</w:t>
      </w:r>
      <w:r w:rsidR="00E34EDF" w:rsidRPr="00414D91">
        <w:rPr>
          <w:rFonts w:asciiTheme="majorHAnsi" w:hAnsiTheme="majorHAnsi"/>
          <w:sz w:val="20"/>
          <w:szCs w:val="20"/>
          <w:lang w:val="es-ES_tradnl"/>
        </w:rPr>
        <w:t>á</w:t>
      </w:r>
      <w:r w:rsidR="005D1E12" w:rsidRPr="00414D91">
        <w:rPr>
          <w:rFonts w:asciiTheme="majorHAnsi" w:hAnsiTheme="majorHAnsi"/>
          <w:sz w:val="20"/>
          <w:szCs w:val="20"/>
          <w:lang w:val="es-ES_tradnl"/>
        </w:rPr>
        <w:t xml:space="preserve">beas corpus fue negado por la Sala Penal Tercera del Tribunal Departamental de la Paz en base al principio de </w:t>
      </w:r>
      <w:r w:rsidR="0007387D" w:rsidRPr="00414D91">
        <w:rPr>
          <w:rFonts w:asciiTheme="majorHAnsi" w:hAnsiTheme="majorHAnsi"/>
          <w:sz w:val="20"/>
          <w:szCs w:val="20"/>
          <w:lang w:val="es-ES_tradnl"/>
        </w:rPr>
        <w:t xml:space="preserve">subsidiaridad </w:t>
      </w:r>
      <w:r w:rsidR="002D240A" w:rsidRPr="00414D91">
        <w:rPr>
          <w:rFonts w:asciiTheme="majorHAnsi" w:hAnsiTheme="majorHAnsi"/>
          <w:sz w:val="20"/>
          <w:szCs w:val="20"/>
          <w:lang w:val="es-ES_tradnl"/>
        </w:rPr>
        <w:t xml:space="preserve">indicando que debía presentar sus reclamaciones ante el juez cautelar de su proceso penal. </w:t>
      </w:r>
      <w:r w:rsidRPr="00414D91">
        <w:rPr>
          <w:rFonts w:asciiTheme="majorHAnsi" w:hAnsiTheme="majorHAnsi"/>
          <w:sz w:val="20"/>
          <w:szCs w:val="20"/>
          <w:lang w:val="es-ES_tradnl"/>
        </w:rPr>
        <w:t>A juicio del peticionario tal a</w:t>
      </w:r>
      <w:r w:rsidR="002D240A" w:rsidRPr="00414D91">
        <w:rPr>
          <w:rFonts w:asciiTheme="majorHAnsi" w:hAnsiTheme="majorHAnsi"/>
          <w:sz w:val="20"/>
          <w:szCs w:val="20"/>
          <w:lang w:val="es-ES_tradnl"/>
        </w:rPr>
        <w:t>rgumento carec</w:t>
      </w:r>
      <w:r w:rsidRPr="00414D91">
        <w:rPr>
          <w:rFonts w:asciiTheme="majorHAnsi" w:hAnsiTheme="majorHAnsi"/>
          <w:sz w:val="20"/>
          <w:szCs w:val="20"/>
          <w:lang w:val="es-ES_tradnl"/>
        </w:rPr>
        <w:t>ía</w:t>
      </w:r>
      <w:r w:rsidR="002D240A" w:rsidRPr="00414D91">
        <w:rPr>
          <w:rFonts w:asciiTheme="majorHAnsi" w:hAnsiTheme="majorHAnsi"/>
          <w:sz w:val="20"/>
          <w:szCs w:val="20"/>
          <w:lang w:val="es-ES_tradnl"/>
        </w:rPr>
        <w:t xml:space="preserve"> de fundamento</w:t>
      </w:r>
      <w:r w:rsidR="007A1C05" w:rsidRPr="00414D91">
        <w:rPr>
          <w:rFonts w:asciiTheme="majorHAnsi" w:hAnsiTheme="majorHAnsi"/>
          <w:sz w:val="20"/>
          <w:szCs w:val="20"/>
          <w:lang w:val="es-ES_tradnl"/>
        </w:rPr>
        <w:t>,</w:t>
      </w:r>
      <w:r w:rsidR="002D240A" w:rsidRPr="00414D91">
        <w:rPr>
          <w:rFonts w:asciiTheme="majorHAnsi" w:hAnsiTheme="majorHAnsi"/>
          <w:sz w:val="20"/>
          <w:szCs w:val="20"/>
          <w:lang w:val="es-ES_tradnl"/>
        </w:rPr>
        <w:t xml:space="preserve"> pues su detención se fundamentaba en una orden de confinamiento </w:t>
      </w:r>
      <w:r w:rsidR="0007387D" w:rsidRPr="00414D91">
        <w:rPr>
          <w:rFonts w:asciiTheme="majorHAnsi" w:hAnsiTheme="majorHAnsi"/>
          <w:sz w:val="20"/>
          <w:szCs w:val="20"/>
          <w:lang w:val="es-ES_tradnl"/>
        </w:rPr>
        <w:t>dictada bajo</w:t>
      </w:r>
      <w:r w:rsidR="002D240A" w:rsidRPr="00414D91">
        <w:rPr>
          <w:rFonts w:asciiTheme="majorHAnsi" w:hAnsiTheme="majorHAnsi"/>
          <w:sz w:val="20"/>
          <w:szCs w:val="20"/>
          <w:lang w:val="es-ES_tradnl"/>
        </w:rPr>
        <w:t xml:space="preserve"> estado de sitio</w:t>
      </w:r>
      <w:r w:rsidR="0007387D" w:rsidRPr="00414D91">
        <w:rPr>
          <w:rFonts w:asciiTheme="majorHAnsi" w:hAnsiTheme="majorHAnsi"/>
          <w:sz w:val="20"/>
          <w:szCs w:val="20"/>
          <w:lang w:val="es-ES_tradnl"/>
        </w:rPr>
        <w:t xml:space="preserve"> </w:t>
      </w:r>
      <w:r w:rsidRPr="00414D91">
        <w:rPr>
          <w:rFonts w:asciiTheme="majorHAnsi" w:hAnsiTheme="majorHAnsi"/>
          <w:sz w:val="20"/>
          <w:szCs w:val="20"/>
          <w:lang w:val="es-ES_tradnl"/>
        </w:rPr>
        <w:t>cuya supuesta</w:t>
      </w:r>
      <w:r w:rsidR="0007387D" w:rsidRPr="00414D91">
        <w:rPr>
          <w:rFonts w:asciiTheme="majorHAnsi" w:hAnsiTheme="majorHAnsi"/>
          <w:sz w:val="20"/>
          <w:szCs w:val="20"/>
          <w:lang w:val="es-ES_tradnl"/>
        </w:rPr>
        <w:t xml:space="preserve"> finalidad </w:t>
      </w:r>
      <w:r w:rsidRPr="00414D91">
        <w:rPr>
          <w:rFonts w:asciiTheme="majorHAnsi" w:hAnsiTheme="majorHAnsi"/>
          <w:sz w:val="20"/>
          <w:szCs w:val="20"/>
          <w:lang w:val="es-ES_tradnl"/>
        </w:rPr>
        <w:t>era</w:t>
      </w:r>
      <w:r w:rsidR="0007387D" w:rsidRPr="00414D91">
        <w:rPr>
          <w:rFonts w:asciiTheme="majorHAnsi" w:hAnsiTheme="majorHAnsi"/>
          <w:sz w:val="20"/>
          <w:szCs w:val="20"/>
          <w:lang w:val="es-ES_tradnl"/>
        </w:rPr>
        <w:t xml:space="preserve"> evitar que se tram</w:t>
      </w:r>
      <w:r w:rsidRPr="00414D91">
        <w:rPr>
          <w:rFonts w:asciiTheme="majorHAnsi" w:hAnsiTheme="majorHAnsi"/>
          <w:sz w:val="20"/>
          <w:szCs w:val="20"/>
          <w:lang w:val="es-ES_tradnl"/>
        </w:rPr>
        <w:t>ara</w:t>
      </w:r>
      <w:r w:rsidR="0007387D" w:rsidRPr="00414D91">
        <w:rPr>
          <w:rFonts w:asciiTheme="majorHAnsi" w:hAnsiTheme="majorHAnsi"/>
          <w:sz w:val="20"/>
          <w:szCs w:val="20"/>
          <w:lang w:val="es-ES_tradnl"/>
        </w:rPr>
        <w:t xml:space="preserve"> contra el orden público y no así el procesamiento penal de las personas arrestadas. </w:t>
      </w:r>
      <w:r w:rsidRPr="00414D91">
        <w:rPr>
          <w:rFonts w:asciiTheme="majorHAnsi" w:hAnsiTheme="majorHAnsi"/>
          <w:sz w:val="20"/>
          <w:szCs w:val="20"/>
          <w:lang w:val="es-ES_tradnl"/>
        </w:rPr>
        <w:t>A esto agrega</w:t>
      </w:r>
      <w:r w:rsidR="0007387D" w:rsidRPr="00414D91">
        <w:rPr>
          <w:rFonts w:asciiTheme="majorHAnsi" w:hAnsiTheme="majorHAnsi"/>
          <w:sz w:val="20"/>
          <w:szCs w:val="20"/>
          <w:lang w:val="es-ES_tradnl"/>
        </w:rPr>
        <w:t xml:space="preserve"> que los jueces penales solo tiene</w:t>
      </w:r>
      <w:r w:rsidR="009353E9" w:rsidRPr="00414D91">
        <w:rPr>
          <w:rFonts w:asciiTheme="majorHAnsi" w:hAnsiTheme="majorHAnsi"/>
          <w:sz w:val="20"/>
          <w:szCs w:val="20"/>
          <w:lang w:val="es-ES_tradnl"/>
        </w:rPr>
        <w:t>n</w:t>
      </w:r>
      <w:r w:rsidR="0007387D" w:rsidRPr="00414D91">
        <w:rPr>
          <w:rFonts w:asciiTheme="majorHAnsi" w:hAnsiTheme="majorHAnsi"/>
          <w:sz w:val="20"/>
          <w:szCs w:val="20"/>
          <w:lang w:val="es-ES_tradnl"/>
        </w:rPr>
        <w:t xml:space="preserve"> facultad para controlar las funciones de los fiscales del Ministerio Público</w:t>
      </w:r>
      <w:r w:rsidRPr="00414D91">
        <w:rPr>
          <w:rFonts w:asciiTheme="majorHAnsi" w:hAnsiTheme="majorHAnsi"/>
          <w:sz w:val="20"/>
          <w:szCs w:val="20"/>
          <w:lang w:val="es-ES_tradnl"/>
        </w:rPr>
        <w:t>,</w:t>
      </w:r>
      <w:r w:rsidR="0007387D" w:rsidRPr="00414D91">
        <w:rPr>
          <w:rFonts w:asciiTheme="majorHAnsi" w:hAnsiTheme="majorHAnsi"/>
          <w:sz w:val="20"/>
          <w:szCs w:val="20"/>
          <w:lang w:val="es-ES_tradnl"/>
        </w:rPr>
        <w:t xml:space="preserve"> no así infracciones cometidas por el Poder Ejecutivo en la concreción de medidas expedidas en el contexto de un estado de sitio. Por estas razones, </w:t>
      </w:r>
      <w:r w:rsidRPr="00414D91">
        <w:rPr>
          <w:rFonts w:asciiTheme="majorHAnsi" w:hAnsiTheme="majorHAnsi"/>
          <w:sz w:val="20"/>
          <w:szCs w:val="20"/>
          <w:lang w:val="es-ES_tradnl"/>
        </w:rPr>
        <w:t xml:space="preserve">el peticionario </w:t>
      </w:r>
      <w:r w:rsidR="0007387D" w:rsidRPr="00414D91">
        <w:rPr>
          <w:rFonts w:asciiTheme="majorHAnsi" w:hAnsiTheme="majorHAnsi"/>
          <w:sz w:val="20"/>
          <w:szCs w:val="20"/>
          <w:lang w:val="es-ES_tradnl"/>
        </w:rPr>
        <w:t xml:space="preserve">sostiene que la acción constitucional de </w:t>
      </w:r>
      <w:r w:rsidR="00E34EDF" w:rsidRPr="00414D91">
        <w:rPr>
          <w:rFonts w:asciiTheme="majorHAnsi" w:hAnsiTheme="majorHAnsi"/>
          <w:sz w:val="20"/>
          <w:szCs w:val="20"/>
          <w:lang w:val="es-ES_tradnl"/>
        </w:rPr>
        <w:t>hábeas</w:t>
      </w:r>
      <w:r w:rsidR="0007387D" w:rsidRPr="00414D91">
        <w:rPr>
          <w:rFonts w:asciiTheme="majorHAnsi" w:hAnsiTheme="majorHAnsi"/>
          <w:sz w:val="20"/>
          <w:szCs w:val="20"/>
          <w:lang w:val="es-ES_tradnl"/>
        </w:rPr>
        <w:t xml:space="preserve"> corpus era el único recurso adecuado que tenía a su disposición.</w:t>
      </w:r>
    </w:p>
    <w:p w14:paraId="1D25B80B" w14:textId="589135AB" w:rsidR="0053387B" w:rsidRPr="00414D91" w:rsidRDefault="002D240A" w:rsidP="00466170">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_tradnl"/>
        </w:rPr>
      </w:pPr>
      <w:r w:rsidRPr="00414D91">
        <w:rPr>
          <w:rFonts w:asciiTheme="majorHAnsi" w:hAnsiTheme="majorHAnsi"/>
          <w:sz w:val="20"/>
          <w:szCs w:val="20"/>
          <w:lang w:val="es-ES_tradnl"/>
        </w:rPr>
        <w:t xml:space="preserve"> </w:t>
      </w:r>
      <w:r w:rsidR="00323B88" w:rsidRPr="00414D91">
        <w:rPr>
          <w:rFonts w:asciiTheme="majorHAnsi" w:hAnsiTheme="majorHAnsi"/>
          <w:sz w:val="20"/>
          <w:szCs w:val="20"/>
          <w:lang w:val="es-ES_tradnl"/>
        </w:rPr>
        <w:t>También señala que el peticionario que ese mismo</w:t>
      </w:r>
      <w:r w:rsidR="00A24F83" w:rsidRPr="00414D91">
        <w:rPr>
          <w:rFonts w:asciiTheme="majorHAnsi" w:hAnsiTheme="majorHAnsi"/>
          <w:sz w:val="20"/>
          <w:szCs w:val="20"/>
          <w:lang w:val="es-ES_tradnl"/>
        </w:rPr>
        <w:t xml:space="preserve"> 17 de septiembre de 2008 fue llevado ante un juez cautelar para una audiencia en que se decidiría sobre si se le quitaba o no su libertad. </w:t>
      </w:r>
      <w:r w:rsidR="00323B88" w:rsidRPr="00414D91">
        <w:rPr>
          <w:rFonts w:asciiTheme="majorHAnsi" w:hAnsiTheme="majorHAnsi"/>
          <w:sz w:val="20"/>
          <w:szCs w:val="20"/>
          <w:lang w:val="es-ES_tradnl"/>
        </w:rPr>
        <w:t>El peticionario destaca que no hubo</w:t>
      </w:r>
      <w:r w:rsidR="00A24F83" w:rsidRPr="00414D91">
        <w:rPr>
          <w:rFonts w:asciiTheme="majorHAnsi" w:hAnsiTheme="majorHAnsi"/>
          <w:sz w:val="20"/>
          <w:szCs w:val="20"/>
          <w:lang w:val="es-ES_tradnl"/>
        </w:rPr>
        <w:t xml:space="preserve"> </w:t>
      </w:r>
      <w:r w:rsidR="00323B88" w:rsidRPr="00414D91">
        <w:rPr>
          <w:rFonts w:asciiTheme="majorHAnsi" w:hAnsiTheme="majorHAnsi"/>
          <w:sz w:val="20"/>
          <w:szCs w:val="20"/>
          <w:lang w:val="es-ES_tradnl"/>
        </w:rPr>
        <w:t>momento</w:t>
      </w:r>
      <w:r w:rsidR="00A24F83" w:rsidRPr="00414D91">
        <w:rPr>
          <w:rFonts w:asciiTheme="majorHAnsi" w:hAnsiTheme="majorHAnsi"/>
          <w:sz w:val="20"/>
          <w:szCs w:val="20"/>
          <w:lang w:val="es-ES_tradnl"/>
        </w:rPr>
        <w:t xml:space="preserve"> alguno de libertad entre su detención original y esta audiencia. También indica que en esta audiencia se le comunicó por primera vez que un </w:t>
      </w:r>
      <w:r w:rsidR="007A1C05" w:rsidRPr="00414D91">
        <w:rPr>
          <w:rFonts w:asciiTheme="majorHAnsi" w:hAnsiTheme="majorHAnsi"/>
          <w:sz w:val="20"/>
          <w:szCs w:val="20"/>
          <w:lang w:val="es-ES_tradnl"/>
        </w:rPr>
        <w:t>f</w:t>
      </w:r>
      <w:r w:rsidR="00A24F83" w:rsidRPr="00414D91">
        <w:rPr>
          <w:rFonts w:asciiTheme="majorHAnsi" w:hAnsiTheme="majorHAnsi"/>
          <w:sz w:val="20"/>
          <w:szCs w:val="20"/>
          <w:lang w:val="es-ES_tradnl"/>
        </w:rPr>
        <w:t>iscal había emitido imputación en su contra por los delitos de terrorismo y asociación delictuosa.</w:t>
      </w:r>
    </w:p>
    <w:p w14:paraId="3F1F5362" w14:textId="28DF5EF4" w:rsidR="0043223D" w:rsidRPr="00414D91" w:rsidRDefault="00A24F83" w:rsidP="00466170">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_tradnl"/>
        </w:rPr>
      </w:pPr>
      <w:r w:rsidRPr="00414D91">
        <w:rPr>
          <w:rFonts w:asciiTheme="majorHAnsi" w:hAnsiTheme="majorHAnsi"/>
          <w:sz w:val="20"/>
          <w:szCs w:val="20"/>
          <w:lang w:val="es-ES_tradnl"/>
        </w:rPr>
        <w:lastRenderedPageBreak/>
        <w:t xml:space="preserve"> </w:t>
      </w:r>
      <w:r w:rsidR="00323B88" w:rsidRPr="00414D91">
        <w:rPr>
          <w:rFonts w:asciiTheme="majorHAnsi" w:hAnsiTheme="majorHAnsi"/>
          <w:sz w:val="20"/>
          <w:szCs w:val="20"/>
          <w:lang w:val="es-ES_tradnl"/>
        </w:rPr>
        <w:t>E</w:t>
      </w:r>
      <w:r w:rsidR="0053387B" w:rsidRPr="00414D91">
        <w:rPr>
          <w:rFonts w:asciiTheme="majorHAnsi" w:hAnsiTheme="majorHAnsi"/>
          <w:sz w:val="20"/>
          <w:szCs w:val="20"/>
          <w:lang w:val="es-ES_tradnl"/>
        </w:rPr>
        <w:t xml:space="preserve">l peticionario explica que presentó </w:t>
      </w:r>
      <w:r w:rsidRPr="00414D91">
        <w:rPr>
          <w:rFonts w:asciiTheme="majorHAnsi" w:hAnsiTheme="majorHAnsi"/>
          <w:sz w:val="20"/>
          <w:szCs w:val="20"/>
          <w:lang w:val="es-ES_tradnl"/>
        </w:rPr>
        <w:t xml:space="preserve">una recusación contra el juez cautelar por considerar que esta carecía de imparcialidad </w:t>
      </w:r>
      <w:r w:rsidR="0053387B" w:rsidRPr="00414D91">
        <w:rPr>
          <w:rFonts w:asciiTheme="majorHAnsi" w:hAnsiTheme="majorHAnsi"/>
          <w:sz w:val="20"/>
          <w:szCs w:val="20"/>
          <w:lang w:val="es-ES_tradnl"/>
        </w:rPr>
        <w:t>por</w:t>
      </w:r>
      <w:r w:rsidRPr="00414D91">
        <w:rPr>
          <w:rFonts w:asciiTheme="majorHAnsi" w:hAnsiTheme="majorHAnsi"/>
          <w:sz w:val="20"/>
          <w:szCs w:val="20"/>
          <w:lang w:val="es-ES_tradnl"/>
        </w:rPr>
        <w:t xml:space="preserve"> haber sido candidato a la asamblea constituyente por el partido de gobierno</w:t>
      </w:r>
      <w:r w:rsidR="00677CCC" w:rsidRPr="00414D91">
        <w:rPr>
          <w:rFonts w:asciiTheme="majorHAnsi" w:hAnsiTheme="majorHAnsi"/>
          <w:sz w:val="20"/>
          <w:szCs w:val="20"/>
          <w:lang w:val="es-ES_tradnl"/>
        </w:rPr>
        <w:t>,</w:t>
      </w:r>
      <w:r w:rsidRPr="00414D91">
        <w:rPr>
          <w:rFonts w:asciiTheme="majorHAnsi" w:hAnsiTheme="majorHAnsi"/>
          <w:sz w:val="20"/>
          <w:szCs w:val="20"/>
          <w:lang w:val="es-ES_tradnl"/>
        </w:rPr>
        <w:t xml:space="preserve"> y </w:t>
      </w:r>
      <w:r w:rsidR="0053387B" w:rsidRPr="00414D91">
        <w:rPr>
          <w:rFonts w:asciiTheme="majorHAnsi" w:hAnsiTheme="majorHAnsi"/>
          <w:sz w:val="20"/>
          <w:szCs w:val="20"/>
          <w:lang w:val="es-ES_tradnl"/>
        </w:rPr>
        <w:t>porque</w:t>
      </w:r>
      <w:r w:rsidRPr="00414D91">
        <w:rPr>
          <w:rFonts w:asciiTheme="majorHAnsi" w:hAnsiTheme="majorHAnsi"/>
          <w:sz w:val="20"/>
          <w:szCs w:val="20"/>
          <w:lang w:val="es-ES_tradnl"/>
        </w:rPr>
        <w:t xml:space="preserve"> en el momento de la audiencia</w:t>
      </w:r>
      <w:r w:rsidR="0053387B" w:rsidRPr="00414D91">
        <w:rPr>
          <w:rFonts w:asciiTheme="majorHAnsi" w:hAnsiTheme="majorHAnsi"/>
          <w:sz w:val="20"/>
          <w:szCs w:val="20"/>
          <w:lang w:val="es-ES_tradnl"/>
        </w:rPr>
        <w:t xml:space="preserve"> estaba siendo</w:t>
      </w:r>
      <w:r w:rsidRPr="00414D91">
        <w:rPr>
          <w:rFonts w:asciiTheme="majorHAnsi" w:hAnsiTheme="majorHAnsi"/>
          <w:sz w:val="20"/>
          <w:szCs w:val="20"/>
          <w:lang w:val="es-ES_tradnl"/>
        </w:rPr>
        <w:t xml:space="preserve"> candidato a Fiscal General de la Nación (dependiendo el éxito de dicha candidatura de los votos de los congresistas del partido de gobierno). </w:t>
      </w:r>
      <w:r w:rsidR="0053387B" w:rsidRPr="00414D91">
        <w:rPr>
          <w:rFonts w:asciiTheme="majorHAnsi" w:hAnsiTheme="majorHAnsi"/>
          <w:sz w:val="20"/>
          <w:szCs w:val="20"/>
          <w:lang w:val="es-ES_tradnl"/>
        </w:rPr>
        <w:t>Esta</w:t>
      </w:r>
      <w:r w:rsidRPr="00414D91">
        <w:rPr>
          <w:rFonts w:asciiTheme="majorHAnsi" w:hAnsiTheme="majorHAnsi"/>
          <w:sz w:val="20"/>
          <w:szCs w:val="20"/>
          <w:lang w:val="es-ES_tradnl"/>
        </w:rPr>
        <w:t xml:space="preserve"> recusación </w:t>
      </w:r>
      <w:r w:rsidR="0053387B" w:rsidRPr="00414D91">
        <w:rPr>
          <w:rFonts w:asciiTheme="majorHAnsi" w:hAnsiTheme="majorHAnsi"/>
          <w:sz w:val="20"/>
          <w:szCs w:val="20"/>
          <w:lang w:val="es-ES_tradnl"/>
        </w:rPr>
        <w:t>habría sido</w:t>
      </w:r>
      <w:r w:rsidRPr="00414D91">
        <w:rPr>
          <w:rFonts w:asciiTheme="majorHAnsi" w:hAnsiTheme="majorHAnsi"/>
          <w:sz w:val="20"/>
          <w:szCs w:val="20"/>
          <w:lang w:val="es-ES_tradnl"/>
        </w:rPr>
        <w:t xml:space="preserve"> injustificadamente ignorada por el juez</w:t>
      </w:r>
      <w:r w:rsidR="00677CCC" w:rsidRPr="00414D91">
        <w:rPr>
          <w:rFonts w:asciiTheme="majorHAnsi" w:hAnsiTheme="majorHAnsi"/>
          <w:sz w:val="20"/>
          <w:szCs w:val="20"/>
          <w:lang w:val="es-ES_tradnl"/>
        </w:rPr>
        <w:t>,</w:t>
      </w:r>
      <w:r w:rsidRPr="00414D91">
        <w:rPr>
          <w:rFonts w:asciiTheme="majorHAnsi" w:hAnsiTheme="majorHAnsi"/>
          <w:sz w:val="20"/>
          <w:szCs w:val="20"/>
          <w:lang w:val="es-ES_tradnl"/>
        </w:rPr>
        <w:t xml:space="preserve"> quien continuó con la audiencia y determinó </w:t>
      </w:r>
      <w:r w:rsidR="0053387B" w:rsidRPr="00414D91">
        <w:rPr>
          <w:rFonts w:asciiTheme="majorHAnsi" w:hAnsiTheme="majorHAnsi"/>
          <w:sz w:val="20"/>
          <w:szCs w:val="20"/>
          <w:lang w:val="es-ES_tradnl"/>
        </w:rPr>
        <w:t>la</w:t>
      </w:r>
      <w:r w:rsidRPr="00414D91">
        <w:rPr>
          <w:rFonts w:asciiTheme="majorHAnsi" w:hAnsiTheme="majorHAnsi"/>
          <w:sz w:val="20"/>
          <w:szCs w:val="20"/>
          <w:lang w:val="es-ES_tradnl"/>
        </w:rPr>
        <w:t xml:space="preserve"> detención preventiva</w:t>
      </w:r>
      <w:r w:rsidR="0053387B" w:rsidRPr="00414D91">
        <w:rPr>
          <w:rFonts w:asciiTheme="majorHAnsi" w:hAnsiTheme="majorHAnsi"/>
          <w:sz w:val="20"/>
          <w:szCs w:val="20"/>
          <w:lang w:val="es-ES_tradnl"/>
        </w:rPr>
        <w:t xml:space="preserve"> del peticionario</w:t>
      </w:r>
      <w:r w:rsidRPr="00414D91">
        <w:rPr>
          <w:rFonts w:asciiTheme="majorHAnsi" w:hAnsiTheme="majorHAnsi"/>
          <w:sz w:val="20"/>
          <w:szCs w:val="20"/>
          <w:lang w:val="es-ES_tradnl"/>
        </w:rPr>
        <w:t xml:space="preserve">. </w:t>
      </w:r>
    </w:p>
    <w:p w14:paraId="28123E73" w14:textId="3A6D72A0" w:rsidR="00DC379F" w:rsidRPr="00414D91" w:rsidRDefault="005C4E8F" w:rsidP="00466170">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_tradnl"/>
        </w:rPr>
      </w:pPr>
      <w:r w:rsidRPr="00414D91">
        <w:rPr>
          <w:rFonts w:asciiTheme="majorHAnsi" w:hAnsiTheme="majorHAnsi"/>
          <w:sz w:val="20"/>
          <w:szCs w:val="20"/>
          <w:lang w:val="es-ES_tradnl"/>
        </w:rPr>
        <w:t>Relata también el peticionario</w:t>
      </w:r>
      <w:r w:rsidR="00AC5732" w:rsidRPr="00414D91">
        <w:rPr>
          <w:rFonts w:asciiTheme="majorHAnsi" w:hAnsiTheme="majorHAnsi"/>
          <w:sz w:val="20"/>
          <w:szCs w:val="20"/>
          <w:lang w:val="es-ES_tradnl"/>
        </w:rPr>
        <w:t xml:space="preserve"> que el 23 de octubre de 2008 interpuso un segundo recurso de </w:t>
      </w:r>
      <w:r w:rsidR="00E34EDF" w:rsidRPr="00414D91">
        <w:rPr>
          <w:rFonts w:asciiTheme="majorHAnsi" w:hAnsiTheme="majorHAnsi"/>
          <w:sz w:val="20"/>
          <w:szCs w:val="20"/>
          <w:lang w:val="es-ES_tradnl"/>
        </w:rPr>
        <w:t>hábeas</w:t>
      </w:r>
      <w:r w:rsidR="00AC5732" w:rsidRPr="00414D91">
        <w:rPr>
          <w:rFonts w:asciiTheme="majorHAnsi" w:hAnsiTheme="majorHAnsi"/>
          <w:sz w:val="20"/>
          <w:szCs w:val="20"/>
          <w:lang w:val="es-ES_tradnl"/>
        </w:rPr>
        <w:t xml:space="preserve"> corpus, en esta ocasión pidiendo la nulidad de la orden del juez penal que dispuso su detención preventiva y solicitando ser sometido a las autoridades que consideraba competente</w:t>
      </w:r>
      <w:r w:rsidR="00677CCC" w:rsidRPr="00414D91">
        <w:rPr>
          <w:rFonts w:asciiTheme="majorHAnsi" w:hAnsiTheme="majorHAnsi"/>
          <w:sz w:val="20"/>
          <w:szCs w:val="20"/>
          <w:lang w:val="es-ES_tradnl"/>
        </w:rPr>
        <w:t>s</w:t>
      </w:r>
      <w:r w:rsidR="00AC5732" w:rsidRPr="00414D91">
        <w:rPr>
          <w:rFonts w:asciiTheme="majorHAnsi" w:hAnsiTheme="majorHAnsi"/>
          <w:sz w:val="20"/>
          <w:szCs w:val="20"/>
          <w:lang w:val="es-ES_tradnl"/>
        </w:rPr>
        <w:t xml:space="preserve"> para procesarlo (el Fiscal General de la Nación y la Corte Suprema de Justicia)</w:t>
      </w:r>
      <w:r w:rsidRPr="00414D91">
        <w:rPr>
          <w:rFonts w:asciiTheme="majorHAnsi" w:hAnsiTheme="majorHAnsi"/>
          <w:sz w:val="20"/>
          <w:szCs w:val="20"/>
          <w:lang w:val="es-ES_tradnl"/>
        </w:rPr>
        <w:t>.</w:t>
      </w:r>
      <w:r w:rsidR="00AC5732" w:rsidRPr="00414D91">
        <w:rPr>
          <w:rFonts w:asciiTheme="majorHAnsi" w:hAnsiTheme="majorHAnsi"/>
          <w:sz w:val="20"/>
          <w:szCs w:val="20"/>
          <w:lang w:val="es-ES_tradnl"/>
        </w:rPr>
        <w:t xml:space="preserve"> </w:t>
      </w:r>
      <w:r w:rsidRPr="00414D91">
        <w:rPr>
          <w:rFonts w:asciiTheme="majorHAnsi" w:hAnsiTheme="majorHAnsi"/>
          <w:sz w:val="20"/>
          <w:szCs w:val="20"/>
          <w:lang w:val="es-ES_tradnl"/>
        </w:rPr>
        <w:t xml:space="preserve">Este </w:t>
      </w:r>
      <w:r w:rsidR="00AC5732" w:rsidRPr="00414D91">
        <w:rPr>
          <w:rFonts w:asciiTheme="majorHAnsi" w:hAnsiTheme="majorHAnsi"/>
          <w:sz w:val="20"/>
          <w:szCs w:val="20"/>
          <w:lang w:val="es-ES_tradnl"/>
        </w:rPr>
        <w:t>recurso</w:t>
      </w:r>
      <w:r w:rsidRPr="00414D91">
        <w:rPr>
          <w:rFonts w:asciiTheme="majorHAnsi" w:hAnsiTheme="majorHAnsi"/>
          <w:sz w:val="20"/>
          <w:szCs w:val="20"/>
          <w:lang w:val="es-ES_tradnl"/>
        </w:rPr>
        <w:t xml:space="preserve"> lo</w:t>
      </w:r>
      <w:r w:rsidR="00AC5732" w:rsidRPr="00414D91">
        <w:rPr>
          <w:rFonts w:asciiTheme="majorHAnsi" w:hAnsiTheme="majorHAnsi"/>
          <w:sz w:val="20"/>
          <w:szCs w:val="20"/>
          <w:lang w:val="es-ES_tradnl"/>
        </w:rPr>
        <w:t xml:space="preserve"> dirigi</w:t>
      </w:r>
      <w:r w:rsidRPr="00414D91">
        <w:rPr>
          <w:rFonts w:asciiTheme="majorHAnsi" w:hAnsiTheme="majorHAnsi"/>
          <w:sz w:val="20"/>
          <w:szCs w:val="20"/>
          <w:lang w:val="es-ES_tradnl"/>
        </w:rPr>
        <w:t>ó</w:t>
      </w:r>
      <w:r w:rsidR="00AC5732" w:rsidRPr="00414D91">
        <w:rPr>
          <w:rFonts w:asciiTheme="majorHAnsi" w:hAnsiTheme="majorHAnsi"/>
          <w:sz w:val="20"/>
          <w:szCs w:val="20"/>
          <w:lang w:val="es-ES_tradnl"/>
        </w:rPr>
        <w:t xml:space="preserve"> contra el juez penal, Fiscal General, Corte Suprema de Justicia y las autoridades del e</w:t>
      </w:r>
      <w:r w:rsidR="00177D71" w:rsidRPr="00414D91">
        <w:rPr>
          <w:rFonts w:asciiTheme="majorHAnsi" w:hAnsiTheme="majorHAnsi"/>
          <w:sz w:val="20"/>
          <w:szCs w:val="20"/>
          <w:lang w:val="es-ES_tradnl"/>
        </w:rPr>
        <w:t>jecutivo que ordenaron su confi</w:t>
      </w:r>
      <w:r w:rsidR="00AC5732" w:rsidRPr="00414D91">
        <w:rPr>
          <w:rFonts w:asciiTheme="majorHAnsi" w:hAnsiTheme="majorHAnsi"/>
          <w:sz w:val="20"/>
          <w:szCs w:val="20"/>
          <w:lang w:val="es-ES_tradnl"/>
        </w:rPr>
        <w:t xml:space="preserve">namiento. </w:t>
      </w:r>
      <w:r w:rsidR="00DC379F" w:rsidRPr="00414D91">
        <w:rPr>
          <w:rFonts w:asciiTheme="majorHAnsi" w:hAnsiTheme="majorHAnsi"/>
          <w:sz w:val="20"/>
          <w:szCs w:val="20"/>
          <w:lang w:val="es-ES_tradnl"/>
        </w:rPr>
        <w:t>E</w:t>
      </w:r>
      <w:r w:rsidR="002D2422" w:rsidRPr="00414D91">
        <w:rPr>
          <w:rFonts w:asciiTheme="majorHAnsi" w:hAnsiTheme="majorHAnsi"/>
          <w:sz w:val="20"/>
          <w:szCs w:val="20"/>
          <w:lang w:val="es-ES_tradnl"/>
        </w:rPr>
        <w:t>ste</w:t>
      </w:r>
      <w:r w:rsidR="00DC379F" w:rsidRPr="00414D91">
        <w:rPr>
          <w:rFonts w:asciiTheme="majorHAnsi" w:hAnsiTheme="majorHAnsi"/>
          <w:sz w:val="20"/>
          <w:szCs w:val="20"/>
          <w:lang w:val="es-ES_tradnl"/>
        </w:rPr>
        <w:t xml:space="preserve"> recurso </w:t>
      </w:r>
      <w:r w:rsidR="00AC5732" w:rsidRPr="00414D91">
        <w:rPr>
          <w:rFonts w:asciiTheme="majorHAnsi" w:hAnsiTheme="majorHAnsi"/>
          <w:sz w:val="20"/>
          <w:szCs w:val="20"/>
          <w:lang w:val="es-ES_tradnl"/>
        </w:rPr>
        <w:t>qued</w:t>
      </w:r>
      <w:r w:rsidR="00DC379F" w:rsidRPr="00414D91">
        <w:rPr>
          <w:rFonts w:asciiTheme="majorHAnsi" w:hAnsiTheme="majorHAnsi"/>
          <w:sz w:val="20"/>
          <w:szCs w:val="20"/>
          <w:lang w:val="es-ES_tradnl"/>
        </w:rPr>
        <w:t>ó</w:t>
      </w:r>
      <w:r w:rsidR="00AC5732" w:rsidRPr="00414D91">
        <w:rPr>
          <w:rFonts w:asciiTheme="majorHAnsi" w:hAnsiTheme="majorHAnsi"/>
          <w:sz w:val="20"/>
          <w:szCs w:val="20"/>
          <w:lang w:val="es-ES_tradnl"/>
        </w:rPr>
        <w:t xml:space="preserve"> radicado </w:t>
      </w:r>
      <w:r w:rsidR="002D2422" w:rsidRPr="00414D91">
        <w:rPr>
          <w:rFonts w:asciiTheme="majorHAnsi" w:hAnsiTheme="majorHAnsi"/>
          <w:sz w:val="20"/>
          <w:szCs w:val="20"/>
          <w:lang w:val="es-ES_tradnl"/>
        </w:rPr>
        <w:t>en la</w:t>
      </w:r>
      <w:r w:rsidR="00177D71" w:rsidRPr="00414D91">
        <w:rPr>
          <w:rFonts w:asciiTheme="majorHAnsi" w:hAnsiTheme="majorHAnsi"/>
          <w:sz w:val="20"/>
          <w:szCs w:val="20"/>
          <w:lang w:val="es-ES_tradnl"/>
        </w:rPr>
        <w:t xml:space="preserve"> Sala Penal de la Corte Superior del Departamento de Chuquisaca</w:t>
      </w:r>
      <w:r w:rsidR="00DC379F" w:rsidRPr="00414D91">
        <w:rPr>
          <w:rFonts w:asciiTheme="majorHAnsi" w:hAnsiTheme="majorHAnsi"/>
          <w:sz w:val="20"/>
          <w:szCs w:val="20"/>
          <w:lang w:val="es-ES_tradnl"/>
        </w:rPr>
        <w:t>.</w:t>
      </w:r>
      <w:r w:rsidR="00177D71" w:rsidRPr="00414D91">
        <w:rPr>
          <w:rFonts w:asciiTheme="majorHAnsi" w:hAnsiTheme="majorHAnsi"/>
          <w:sz w:val="20"/>
          <w:szCs w:val="20"/>
          <w:lang w:val="es-ES_tradnl"/>
        </w:rPr>
        <w:t xml:space="preserve"> </w:t>
      </w:r>
      <w:r w:rsidR="00DC379F" w:rsidRPr="00414D91">
        <w:rPr>
          <w:rFonts w:asciiTheme="majorHAnsi" w:hAnsiTheme="majorHAnsi"/>
          <w:sz w:val="20"/>
          <w:szCs w:val="20"/>
          <w:lang w:val="es-ES_tradnl"/>
        </w:rPr>
        <w:t>E</w:t>
      </w:r>
      <w:r w:rsidR="00AC5732" w:rsidRPr="00414D91">
        <w:rPr>
          <w:rFonts w:asciiTheme="majorHAnsi" w:hAnsiTheme="majorHAnsi"/>
          <w:sz w:val="20"/>
          <w:szCs w:val="20"/>
          <w:lang w:val="es-ES_tradnl"/>
        </w:rPr>
        <w:t>l 27 de octubre de 2008</w:t>
      </w:r>
      <w:r w:rsidR="00DC379F" w:rsidRPr="00414D91">
        <w:rPr>
          <w:rFonts w:asciiTheme="majorHAnsi" w:hAnsiTheme="majorHAnsi"/>
          <w:sz w:val="20"/>
          <w:szCs w:val="20"/>
          <w:lang w:val="es-ES_tradnl"/>
        </w:rPr>
        <w:t xml:space="preserve"> el tribunal de </w:t>
      </w:r>
      <w:r w:rsidR="00E34EDF" w:rsidRPr="00414D91">
        <w:rPr>
          <w:rFonts w:asciiTheme="majorHAnsi" w:hAnsiTheme="majorHAnsi"/>
          <w:sz w:val="20"/>
          <w:szCs w:val="20"/>
          <w:lang w:val="es-ES_tradnl"/>
        </w:rPr>
        <w:t>hábeas</w:t>
      </w:r>
      <w:r w:rsidR="00DC379F" w:rsidRPr="00414D91">
        <w:rPr>
          <w:rFonts w:asciiTheme="majorHAnsi" w:hAnsiTheme="majorHAnsi"/>
          <w:sz w:val="20"/>
          <w:szCs w:val="20"/>
          <w:lang w:val="es-ES_tradnl"/>
        </w:rPr>
        <w:t xml:space="preserve"> corpus </w:t>
      </w:r>
      <w:r w:rsidR="00677CCC" w:rsidRPr="00414D91">
        <w:rPr>
          <w:rFonts w:asciiTheme="majorHAnsi" w:hAnsiTheme="majorHAnsi"/>
          <w:sz w:val="20"/>
          <w:szCs w:val="20"/>
          <w:lang w:val="es-ES_tradnl"/>
        </w:rPr>
        <w:t>emitió</w:t>
      </w:r>
      <w:r w:rsidR="00DC379F" w:rsidRPr="00414D91">
        <w:rPr>
          <w:rFonts w:asciiTheme="majorHAnsi" w:hAnsiTheme="majorHAnsi"/>
          <w:sz w:val="20"/>
          <w:szCs w:val="20"/>
          <w:lang w:val="es-ES_tradnl"/>
        </w:rPr>
        <w:t xml:space="preserve"> sentencia</w:t>
      </w:r>
      <w:r w:rsidR="00AC5732" w:rsidRPr="00414D91">
        <w:rPr>
          <w:rFonts w:asciiTheme="majorHAnsi" w:hAnsiTheme="majorHAnsi"/>
          <w:sz w:val="20"/>
          <w:szCs w:val="20"/>
          <w:lang w:val="es-ES_tradnl"/>
        </w:rPr>
        <w:t xml:space="preserve"> </w:t>
      </w:r>
      <w:r w:rsidR="00177D71" w:rsidRPr="00414D91">
        <w:rPr>
          <w:rFonts w:asciiTheme="majorHAnsi" w:hAnsiTheme="majorHAnsi"/>
          <w:sz w:val="20"/>
          <w:szCs w:val="20"/>
          <w:lang w:val="es-ES_tradnl"/>
        </w:rPr>
        <w:t>anulando la orden de detención preventiva</w:t>
      </w:r>
      <w:r w:rsidR="00B73F4B" w:rsidRPr="00414D91">
        <w:rPr>
          <w:rFonts w:asciiTheme="majorHAnsi" w:hAnsiTheme="majorHAnsi"/>
          <w:sz w:val="20"/>
          <w:szCs w:val="20"/>
          <w:lang w:val="es-ES_tradnl"/>
        </w:rPr>
        <w:t>;</w:t>
      </w:r>
      <w:r w:rsidR="00177D71" w:rsidRPr="00414D91">
        <w:rPr>
          <w:rFonts w:asciiTheme="majorHAnsi" w:hAnsiTheme="majorHAnsi"/>
          <w:sz w:val="20"/>
          <w:szCs w:val="20"/>
          <w:lang w:val="es-ES_tradnl"/>
        </w:rPr>
        <w:t xml:space="preserve"> ordenando que fuera trasladado a Sucre para ser puesto a disposición del Fiscal General para que este </w:t>
      </w:r>
      <w:r w:rsidR="002D2422" w:rsidRPr="00414D91">
        <w:rPr>
          <w:rFonts w:asciiTheme="majorHAnsi" w:hAnsiTheme="majorHAnsi"/>
          <w:sz w:val="20"/>
          <w:szCs w:val="20"/>
          <w:lang w:val="es-ES_tradnl"/>
        </w:rPr>
        <w:t>asuma</w:t>
      </w:r>
      <w:r w:rsidR="00177D71" w:rsidRPr="00414D91">
        <w:rPr>
          <w:rFonts w:asciiTheme="majorHAnsi" w:hAnsiTheme="majorHAnsi"/>
          <w:sz w:val="20"/>
          <w:szCs w:val="20"/>
          <w:lang w:val="es-ES_tradnl"/>
        </w:rPr>
        <w:t xml:space="preserve"> sus funciones como director funcional de la investigación</w:t>
      </w:r>
      <w:r w:rsidR="00B73F4B" w:rsidRPr="00414D91">
        <w:rPr>
          <w:rFonts w:asciiTheme="majorHAnsi" w:hAnsiTheme="majorHAnsi"/>
          <w:sz w:val="20"/>
          <w:szCs w:val="20"/>
          <w:lang w:val="es-ES_tradnl"/>
        </w:rPr>
        <w:t>;</w:t>
      </w:r>
      <w:r w:rsidR="00177D71" w:rsidRPr="00414D91">
        <w:rPr>
          <w:rFonts w:asciiTheme="majorHAnsi" w:hAnsiTheme="majorHAnsi"/>
          <w:sz w:val="20"/>
          <w:szCs w:val="20"/>
          <w:lang w:val="es-ES_tradnl"/>
        </w:rPr>
        <w:t xml:space="preserve"> y ordenando </w:t>
      </w:r>
      <w:r w:rsidR="00B73F4B" w:rsidRPr="00414D91">
        <w:rPr>
          <w:rFonts w:asciiTheme="majorHAnsi" w:hAnsiTheme="majorHAnsi"/>
          <w:sz w:val="20"/>
          <w:szCs w:val="20"/>
          <w:lang w:val="es-ES_tradnl"/>
        </w:rPr>
        <w:t xml:space="preserve">a </w:t>
      </w:r>
      <w:r w:rsidR="00177D71" w:rsidRPr="00414D91">
        <w:rPr>
          <w:rFonts w:asciiTheme="majorHAnsi" w:hAnsiTheme="majorHAnsi"/>
          <w:sz w:val="20"/>
          <w:szCs w:val="20"/>
          <w:lang w:val="es-ES_tradnl"/>
        </w:rPr>
        <w:t>las autoridades del ejecutivo tomar las medidas para que su confinamiento se cumpla en un lugar que garantizara sus derechos fundamentales.</w:t>
      </w:r>
    </w:p>
    <w:p w14:paraId="44517F46" w14:textId="108375DE" w:rsidR="00AE14BF" w:rsidRPr="00414D91" w:rsidRDefault="00DC379F" w:rsidP="00466170">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_tradnl"/>
        </w:rPr>
      </w:pPr>
      <w:r w:rsidRPr="00414D91">
        <w:rPr>
          <w:rFonts w:asciiTheme="majorHAnsi" w:hAnsiTheme="majorHAnsi"/>
          <w:sz w:val="20"/>
          <w:szCs w:val="20"/>
          <w:lang w:val="es-ES_tradnl"/>
        </w:rPr>
        <w:t>El peticionario</w:t>
      </w:r>
      <w:r w:rsidR="00177D71" w:rsidRPr="00414D91">
        <w:rPr>
          <w:rFonts w:asciiTheme="majorHAnsi" w:hAnsiTheme="majorHAnsi"/>
          <w:sz w:val="20"/>
          <w:szCs w:val="20"/>
          <w:lang w:val="es-ES_tradnl"/>
        </w:rPr>
        <w:t xml:space="preserve"> </w:t>
      </w:r>
      <w:r w:rsidRPr="00414D91">
        <w:rPr>
          <w:rFonts w:asciiTheme="majorHAnsi" w:hAnsiTheme="majorHAnsi"/>
          <w:sz w:val="20"/>
          <w:szCs w:val="20"/>
          <w:lang w:val="es-ES_tradnl"/>
        </w:rPr>
        <w:t>d</w:t>
      </w:r>
      <w:r w:rsidR="00177D71" w:rsidRPr="00414D91">
        <w:rPr>
          <w:rFonts w:asciiTheme="majorHAnsi" w:hAnsiTheme="majorHAnsi"/>
          <w:sz w:val="20"/>
          <w:szCs w:val="20"/>
          <w:lang w:val="es-ES_tradnl"/>
        </w:rPr>
        <w:t xml:space="preserve">enuncia que </w:t>
      </w:r>
      <w:r w:rsidR="00B73F4B" w:rsidRPr="00414D91">
        <w:rPr>
          <w:rFonts w:asciiTheme="majorHAnsi" w:hAnsiTheme="majorHAnsi"/>
          <w:sz w:val="20"/>
          <w:szCs w:val="20"/>
          <w:lang w:val="es-ES_tradnl"/>
        </w:rPr>
        <w:t>esta</w:t>
      </w:r>
      <w:r w:rsidRPr="00414D91">
        <w:rPr>
          <w:rFonts w:asciiTheme="majorHAnsi" w:hAnsiTheme="majorHAnsi"/>
          <w:sz w:val="20"/>
          <w:szCs w:val="20"/>
          <w:lang w:val="es-ES_tradnl"/>
        </w:rPr>
        <w:t xml:space="preserve"> sentencia de </w:t>
      </w:r>
      <w:r w:rsidR="00E34EDF" w:rsidRPr="00414D91">
        <w:rPr>
          <w:rFonts w:asciiTheme="majorHAnsi" w:hAnsiTheme="majorHAnsi"/>
          <w:sz w:val="20"/>
          <w:szCs w:val="20"/>
          <w:lang w:val="es-ES_tradnl"/>
        </w:rPr>
        <w:t>hábeas</w:t>
      </w:r>
      <w:r w:rsidRPr="00414D91">
        <w:rPr>
          <w:rFonts w:asciiTheme="majorHAnsi" w:hAnsiTheme="majorHAnsi"/>
          <w:sz w:val="20"/>
          <w:szCs w:val="20"/>
          <w:lang w:val="es-ES_tradnl"/>
        </w:rPr>
        <w:t xml:space="preserve"> corpus proferida a su favor </w:t>
      </w:r>
      <w:r w:rsidR="00177D71" w:rsidRPr="00414D91">
        <w:rPr>
          <w:rFonts w:asciiTheme="majorHAnsi" w:hAnsiTheme="majorHAnsi"/>
          <w:sz w:val="20"/>
          <w:szCs w:val="20"/>
          <w:lang w:val="es-ES_tradnl"/>
        </w:rPr>
        <w:t>a nunca s</w:t>
      </w:r>
      <w:r w:rsidR="00B73F4B" w:rsidRPr="00414D91">
        <w:rPr>
          <w:rFonts w:asciiTheme="majorHAnsi" w:hAnsiTheme="majorHAnsi"/>
          <w:sz w:val="20"/>
          <w:szCs w:val="20"/>
          <w:lang w:val="es-ES_tradnl"/>
        </w:rPr>
        <w:t>e</w:t>
      </w:r>
      <w:r w:rsidR="00177D71" w:rsidRPr="00414D91">
        <w:rPr>
          <w:rFonts w:asciiTheme="majorHAnsi" w:hAnsiTheme="majorHAnsi"/>
          <w:sz w:val="20"/>
          <w:szCs w:val="20"/>
          <w:lang w:val="es-ES_tradnl"/>
        </w:rPr>
        <w:t xml:space="preserve"> cumplió</w:t>
      </w:r>
      <w:r w:rsidR="00B73F4B" w:rsidRPr="00414D91">
        <w:rPr>
          <w:rFonts w:asciiTheme="majorHAnsi" w:hAnsiTheme="majorHAnsi"/>
          <w:sz w:val="20"/>
          <w:szCs w:val="20"/>
          <w:lang w:val="es-ES_tradnl"/>
        </w:rPr>
        <w:t xml:space="preserve">; </w:t>
      </w:r>
      <w:r w:rsidR="00177D71" w:rsidRPr="00414D91">
        <w:rPr>
          <w:rFonts w:asciiTheme="majorHAnsi" w:hAnsiTheme="majorHAnsi"/>
          <w:sz w:val="20"/>
          <w:szCs w:val="20"/>
          <w:lang w:val="es-ES_tradnl"/>
        </w:rPr>
        <w:t xml:space="preserve">pese a que en el ordenamiento boliviano las sentencias de </w:t>
      </w:r>
      <w:r w:rsidR="00E34EDF" w:rsidRPr="00414D91">
        <w:rPr>
          <w:rFonts w:asciiTheme="majorHAnsi" w:hAnsiTheme="majorHAnsi"/>
          <w:sz w:val="20"/>
          <w:szCs w:val="20"/>
          <w:lang w:val="es-ES_tradnl"/>
        </w:rPr>
        <w:t>hábeas</w:t>
      </w:r>
      <w:r w:rsidR="00177D71" w:rsidRPr="00414D91">
        <w:rPr>
          <w:rFonts w:asciiTheme="majorHAnsi" w:hAnsiTheme="majorHAnsi"/>
          <w:sz w:val="20"/>
          <w:szCs w:val="20"/>
          <w:lang w:val="es-ES_tradnl"/>
        </w:rPr>
        <w:t xml:space="preserve"> corpus son de inmediato y obligatorio cumplimiento con independencia de que puedan ser revisadas por el Tribunal Constitucional. </w:t>
      </w:r>
      <w:r w:rsidRPr="00414D91">
        <w:rPr>
          <w:rFonts w:asciiTheme="majorHAnsi" w:hAnsiTheme="majorHAnsi"/>
          <w:sz w:val="20"/>
          <w:szCs w:val="20"/>
          <w:lang w:val="es-ES_tradnl"/>
        </w:rPr>
        <w:t>También explica</w:t>
      </w:r>
      <w:r w:rsidR="005E473B" w:rsidRPr="00414D91">
        <w:rPr>
          <w:rFonts w:asciiTheme="majorHAnsi" w:hAnsiTheme="majorHAnsi"/>
          <w:sz w:val="20"/>
          <w:szCs w:val="20"/>
          <w:lang w:val="es-ES_tradnl"/>
        </w:rPr>
        <w:t xml:space="preserve"> que se vio obligado a acudir directamente a la acción constitucional de </w:t>
      </w:r>
      <w:r w:rsidR="00E34EDF" w:rsidRPr="00414D91">
        <w:rPr>
          <w:rFonts w:asciiTheme="majorHAnsi" w:hAnsiTheme="majorHAnsi"/>
          <w:sz w:val="20"/>
          <w:szCs w:val="20"/>
          <w:lang w:val="es-ES_tradnl"/>
        </w:rPr>
        <w:t>hábeas</w:t>
      </w:r>
      <w:r w:rsidR="005E473B" w:rsidRPr="00414D91">
        <w:rPr>
          <w:rFonts w:asciiTheme="majorHAnsi" w:hAnsiTheme="majorHAnsi"/>
          <w:sz w:val="20"/>
          <w:szCs w:val="20"/>
          <w:lang w:val="es-ES_tradnl"/>
        </w:rPr>
        <w:t xml:space="preserve"> corpus</w:t>
      </w:r>
      <w:r w:rsidR="00B73F4B" w:rsidRPr="00414D91">
        <w:rPr>
          <w:rFonts w:asciiTheme="majorHAnsi" w:hAnsiTheme="majorHAnsi"/>
          <w:sz w:val="20"/>
          <w:szCs w:val="20"/>
          <w:lang w:val="es-ES_tradnl"/>
        </w:rPr>
        <w:t>,</w:t>
      </w:r>
      <w:r w:rsidR="005E473B" w:rsidRPr="00414D91">
        <w:rPr>
          <w:rFonts w:asciiTheme="majorHAnsi" w:hAnsiTheme="majorHAnsi"/>
          <w:sz w:val="20"/>
          <w:szCs w:val="20"/>
          <w:lang w:val="es-ES_tradnl"/>
        </w:rPr>
        <w:t xml:space="preserve"> pues al existir una dualidad de procesos en su contra, no tenía certeza sobre quién era el juez cautelar competente para conocer sus reclamos.</w:t>
      </w:r>
    </w:p>
    <w:p w14:paraId="39290915" w14:textId="6E48D08B" w:rsidR="00E21BE5" w:rsidRPr="00414D91" w:rsidRDefault="00DC379F" w:rsidP="00466170">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_tradnl"/>
        </w:rPr>
      </w:pPr>
      <w:r w:rsidRPr="00414D91">
        <w:rPr>
          <w:rFonts w:asciiTheme="majorHAnsi" w:hAnsiTheme="majorHAnsi"/>
          <w:sz w:val="20"/>
          <w:szCs w:val="20"/>
          <w:lang w:val="es-ES_tradnl"/>
        </w:rPr>
        <w:t>Agrega el peticionario</w:t>
      </w:r>
      <w:r w:rsidR="005E473B" w:rsidRPr="00414D91">
        <w:rPr>
          <w:rFonts w:asciiTheme="majorHAnsi" w:hAnsiTheme="majorHAnsi"/>
          <w:sz w:val="20"/>
          <w:szCs w:val="20"/>
          <w:lang w:val="es-ES_tradnl"/>
        </w:rPr>
        <w:t xml:space="preserve"> que el 29 de octubre de 2008 fue visitado en el centro </w:t>
      </w:r>
      <w:r w:rsidR="00703AB0" w:rsidRPr="00414D91">
        <w:rPr>
          <w:rFonts w:asciiTheme="majorHAnsi" w:hAnsiTheme="majorHAnsi"/>
          <w:sz w:val="20"/>
          <w:szCs w:val="20"/>
          <w:lang w:val="es-ES_tradnl"/>
        </w:rPr>
        <w:t xml:space="preserve">detención </w:t>
      </w:r>
      <w:r w:rsidR="005E473B" w:rsidRPr="00414D91">
        <w:rPr>
          <w:rFonts w:asciiTheme="majorHAnsi" w:hAnsiTheme="majorHAnsi"/>
          <w:sz w:val="20"/>
          <w:szCs w:val="20"/>
          <w:lang w:val="es-ES_tradnl"/>
        </w:rPr>
        <w:t>en que se encontraba por miembros de la Comisión Multipartidaria de Diputados para la investigación de</w:t>
      </w:r>
      <w:r w:rsidR="00703AB0" w:rsidRPr="00414D91">
        <w:rPr>
          <w:rFonts w:asciiTheme="majorHAnsi" w:hAnsiTheme="majorHAnsi"/>
          <w:sz w:val="20"/>
          <w:szCs w:val="20"/>
          <w:lang w:val="es-ES_tradnl"/>
        </w:rPr>
        <w:t xml:space="preserve"> los</w:t>
      </w:r>
      <w:r w:rsidR="005E473B" w:rsidRPr="00414D91">
        <w:rPr>
          <w:rFonts w:asciiTheme="majorHAnsi" w:hAnsiTheme="majorHAnsi"/>
          <w:sz w:val="20"/>
          <w:szCs w:val="20"/>
          <w:lang w:val="es-ES_tradnl"/>
        </w:rPr>
        <w:t xml:space="preserve"> hechos de Pando y</w:t>
      </w:r>
      <w:r w:rsidR="00703AB0" w:rsidRPr="00414D91">
        <w:rPr>
          <w:rFonts w:asciiTheme="majorHAnsi" w:hAnsiTheme="majorHAnsi"/>
          <w:sz w:val="20"/>
          <w:szCs w:val="20"/>
          <w:lang w:val="es-ES_tradnl"/>
        </w:rPr>
        <w:t xml:space="preserve"> por</w:t>
      </w:r>
      <w:r w:rsidR="005E473B" w:rsidRPr="00414D91">
        <w:rPr>
          <w:rFonts w:asciiTheme="majorHAnsi" w:hAnsiTheme="majorHAnsi"/>
          <w:sz w:val="20"/>
          <w:szCs w:val="20"/>
          <w:lang w:val="es-ES_tradnl"/>
        </w:rPr>
        <w:t xml:space="preserve"> los fiscales del Ministerio Público que iniciaron el proceso en su contra. </w:t>
      </w:r>
      <w:r w:rsidRPr="00414D91">
        <w:rPr>
          <w:rFonts w:asciiTheme="majorHAnsi" w:hAnsiTheme="majorHAnsi"/>
          <w:sz w:val="20"/>
          <w:szCs w:val="20"/>
          <w:lang w:val="es-ES_tradnl"/>
        </w:rPr>
        <w:t>Según alega,</w:t>
      </w:r>
      <w:r w:rsidR="005E473B" w:rsidRPr="00414D91">
        <w:rPr>
          <w:rFonts w:asciiTheme="majorHAnsi" w:hAnsiTheme="majorHAnsi"/>
          <w:sz w:val="20"/>
          <w:szCs w:val="20"/>
          <w:lang w:val="es-ES_tradnl"/>
        </w:rPr>
        <w:t xml:space="preserve"> estas personas le pidieron rendir </w:t>
      </w:r>
      <w:r w:rsidR="009F2403" w:rsidRPr="00414D91">
        <w:rPr>
          <w:rFonts w:asciiTheme="majorHAnsi" w:hAnsiTheme="majorHAnsi"/>
          <w:sz w:val="20"/>
          <w:szCs w:val="20"/>
          <w:lang w:val="es-ES_tradnl"/>
        </w:rPr>
        <w:t>declaración,</w:t>
      </w:r>
      <w:r w:rsidR="005E473B" w:rsidRPr="00414D91">
        <w:rPr>
          <w:rFonts w:asciiTheme="majorHAnsi" w:hAnsiTheme="majorHAnsi"/>
          <w:sz w:val="20"/>
          <w:szCs w:val="20"/>
          <w:lang w:val="es-ES_tradnl"/>
        </w:rPr>
        <w:t xml:space="preserve"> pero se rehusaron a aclararle si su actuación era parte de un proceso penal ordinario o de un juicio de responsabilidades y a indicarle quien era el juez cautelar que estaría controlando la investigación. </w:t>
      </w:r>
      <w:r w:rsidR="00E21BE5" w:rsidRPr="00414D91">
        <w:rPr>
          <w:rFonts w:asciiTheme="majorHAnsi" w:hAnsiTheme="majorHAnsi"/>
          <w:sz w:val="20"/>
          <w:szCs w:val="20"/>
          <w:lang w:val="es-ES_tradnl"/>
        </w:rPr>
        <w:t xml:space="preserve">Por ello, </w:t>
      </w:r>
      <w:r w:rsidR="001C6940" w:rsidRPr="00414D91">
        <w:rPr>
          <w:rFonts w:asciiTheme="majorHAnsi" w:hAnsiTheme="majorHAnsi"/>
          <w:sz w:val="20"/>
          <w:szCs w:val="20"/>
          <w:lang w:val="es-ES_tradnl"/>
        </w:rPr>
        <w:t>se rehus</w:t>
      </w:r>
      <w:r w:rsidR="00E21BE5" w:rsidRPr="00414D91">
        <w:rPr>
          <w:rFonts w:asciiTheme="majorHAnsi" w:hAnsiTheme="majorHAnsi"/>
          <w:sz w:val="20"/>
          <w:szCs w:val="20"/>
          <w:lang w:val="es-ES_tradnl"/>
        </w:rPr>
        <w:t>aría</w:t>
      </w:r>
      <w:r w:rsidR="001C6940" w:rsidRPr="00414D91">
        <w:rPr>
          <w:rFonts w:asciiTheme="majorHAnsi" w:hAnsiTheme="majorHAnsi"/>
          <w:sz w:val="20"/>
          <w:szCs w:val="20"/>
          <w:lang w:val="es-ES_tradnl"/>
        </w:rPr>
        <w:t xml:space="preserve"> a declarar ante estas personas advirti</w:t>
      </w:r>
      <w:r w:rsidR="00E21BE5" w:rsidRPr="00414D91">
        <w:rPr>
          <w:rFonts w:asciiTheme="majorHAnsi" w:hAnsiTheme="majorHAnsi"/>
          <w:sz w:val="20"/>
          <w:szCs w:val="20"/>
          <w:lang w:val="es-ES_tradnl"/>
        </w:rPr>
        <w:t>éndoles</w:t>
      </w:r>
      <w:r w:rsidR="001C6940" w:rsidRPr="00414D91">
        <w:rPr>
          <w:rFonts w:asciiTheme="majorHAnsi" w:hAnsiTheme="majorHAnsi"/>
          <w:sz w:val="20"/>
          <w:szCs w:val="20"/>
          <w:lang w:val="es-ES_tradnl"/>
        </w:rPr>
        <w:t xml:space="preserve"> que solo lo haría ante autoridad competente. </w:t>
      </w:r>
    </w:p>
    <w:p w14:paraId="7D74AE8C" w14:textId="056E2FBA" w:rsidR="00FF5263" w:rsidRPr="00414D91" w:rsidRDefault="00E21BE5" w:rsidP="00E21BE5">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_tradnl"/>
        </w:rPr>
      </w:pPr>
      <w:r w:rsidRPr="00414D91">
        <w:rPr>
          <w:rFonts w:asciiTheme="majorHAnsi" w:hAnsiTheme="majorHAnsi"/>
          <w:sz w:val="20"/>
          <w:szCs w:val="20"/>
          <w:lang w:val="es-ES_tradnl"/>
        </w:rPr>
        <w:t>El peticionario indica</w:t>
      </w:r>
      <w:r w:rsidR="001C6940" w:rsidRPr="00414D91">
        <w:rPr>
          <w:rFonts w:asciiTheme="majorHAnsi" w:hAnsiTheme="majorHAnsi"/>
          <w:sz w:val="20"/>
          <w:szCs w:val="20"/>
          <w:lang w:val="es-ES_tradnl"/>
        </w:rPr>
        <w:t xml:space="preserve"> que el 22 de noviembre de 2008 se emitió una nueva resolución de imputación en su contra por los mismos hechos que las anteriores</w:t>
      </w:r>
      <w:r w:rsidRPr="00414D91">
        <w:rPr>
          <w:rFonts w:asciiTheme="majorHAnsi" w:hAnsiTheme="majorHAnsi"/>
          <w:sz w:val="20"/>
          <w:szCs w:val="20"/>
          <w:lang w:val="es-ES_tradnl"/>
        </w:rPr>
        <w:t>, y d</w:t>
      </w:r>
      <w:r w:rsidR="001C6940" w:rsidRPr="00414D91">
        <w:rPr>
          <w:rFonts w:asciiTheme="majorHAnsi" w:hAnsiTheme="majorHAnsi"/>
          <w:sz w:val="20"/>
          <w:szCs w:val="20"/>
          <w:lang w:val="es-ES_tradnl"/>
        </w:rPr>
        <w:t>enuncia que en esa resolución se indicó que había prestado declaración informativa ante los fiscales</w:t>
      </w:r>
      <w:r w:rsidR="00703AB0" w:rsidRPr="00414D91">
        <w:rPr>
          <w:rFonts w:asciiTheme="majorHAnsi" w:hAnsiTheme="majorHAnsi"/>
          <w:sz w:val="20"/>
          <w:szCs w:val="20"/>
          <w:lang w:val="es-ES_tradnl"/>
        </w:rPr>
        <w:t>,</w:t>
      </w:r>
      <w:r w:rsidRPr="00414D91">
        <w:rPr>
          <w:rFonts w:asciiTheme="majorHAnsi" w:hAnsiTheme="majorHAnsi"/>
          <w:sz w:val="20"/>
          <w:szCs w:val="20"/>
          <w:lang w:val="es-ES_tradnl"/>
        </w:rPr>
        <w:t xml:space="preserve"> pese a que</w:t>
      </w:r>
      <w:r w:rsidR="001C6940" w:rsidRPr="00414D91">
        <w:rPr>
          <w:rFonts w:asciiTheme="majorHAnsi" w:hAnsiTheme="majorHAnsi"/>
          <w:sz w:val="20"/>
          <w:szCs w:val="20"/>
          <w:lang w:val="es-ES_tradnl"/>
        </w:rPr>
        <w:t xml:space="preserve"> </w:t>
      </w:r>
      <w:r w:rsidRPr="00414D91">
        <w:rPr>
          <w:rFonts w:asciiTheme="majorHAnsi" w:hAnsiTheme="majorHAnsi"/>
          <w:sz w:val="20"/>
          <w:szCs w:val="20"/>
          <w:lang w:val="es-ES_tradnl"/>
        </w:rPr>
        <w:t>é</w:t>
      </w:r>
      <w:r w:rsidR="001C6940" w:rsidRPr="00414D91">
        <w:rPr>
          <w:rFonts w:asciiTheme="majorHAnsi" w:hAnsiTheme="majorHAnsi"/>
          <w:sz w:val="20"/>
          <w:szCs w:val="20"/>
          <w:lang w:val="es-ES_tradnl"/>
        </w:rPr>
        <w:t>l se había rehusado</w:t>
      </w:r>
      <w:r w:rsidRPr="00414D91">
        <w:rPr>
          <w:rFonts w:asciiTheme="majorHAnsi" w:hAnsiTheme="majorHAnsi"/>
          <w:sz w:val="20"/>
          <w:szCs w:val="20"/>
          <w:lang w:val="es-ES_tradnl"/>
        </w:rPr>
        <w:t xml:space="preserve"> a hacerlo</w:t>
      </w:r>
      <w:r w:rsidR="001C6940" w:rsidRPr="00414D91">
        <w:rPr>
          <w:rFonts w:asciiTheme="majorHAnsi" w:hAnsiTheme="majorHAnsi"/>
          <w:sz w:val="20"/>
          <w:szCs w:val="20"/>
          <w:lang w:val="es-ES_tradnl"/>
        </w:rPr>
        <w:t xml:space="preserve">. </w:t>
      </w:r>
      <w:r w:rsidRPr="00414D91">
        <w:rPr>
          <w:rFonts w:asciiTheme="majorHAnsi" w:hAnsiTheme="majorHAnsi"/>
          <w:sz w:val="20"/>
          <w:szCs w:val="20"/>
          <w:lang w:val="es-ES_tradnl"/>
        </w:rPr>
        <w:t xml:space="preserve">En </w:t>
      </w:r>
      <w:r w:rsidR="001C6940" w:rsidRPr="00414D91">
        <w:rPr>
          <w:rFonts w:asciiTheme="majorHAnsi" w:hAnsiTheme="majorHAnsi"/>
          <w:sz w:val="20"/>
          <w:szCs w:val="20"/>
          <w:lang w:val="es-ES_tradnl"/>
        </w:rPr>
        <w:t xml:space="preserve">base a esta nueva imputación fue llevado por segunda vez ante un juez cautelar a quien nuevamente </w:t>
      </w:r>
      <w:r w:rsidR="00EA5D70" w:rsidRPr="00414D91">
        <w:rPr>
          <w:rFonts w:asciiTheme="majorHAnsi" w:hAnsiTheme="majorHAnsi"/>
          <w:sz w:val="20"/>
          <w:szCs w:val="20"/>
          <w:lang w:val="es-ES_tradnl"/>
        </w:rPr>
        <w:t>sus acusadores</w:t>
      </w:r>
      <w:r w:rsidR="001C6940" w:rsidRPr="00414D91">
        <w:rPr>
          <w:rFonts w:asciiTheme="majorHAnsi" w:hAnsiTheme="majorHAnsi"/>
          <w:sz w:val="20"/>
          <w:szCs w:val="20"/>
          <w:lang w:val="es-ES_tradnl"/>
        </w:rPr>
        <w:t xml:space="preserve"> </w:t>
      </w:r>
      <w:r w:rsidR="00EA5D70" w:rsidRPr="00414D91">
        <w:rPr>
          <w:rFonts w:asciiTheme="majorHAnsi" w:hAnsiTheme="majorHAnsi"/>
          <w:sz w:val="20"/>
          <w:szCs w:val="20"/>
          <w:lang w:val="es-ES_tradnl"/>
        </w:rPr>
        <w:t xml:space="preserve">le </w:t>
      </w:r>
      <w:r w:rsidR="001C6940" w:rsidRPr="00414D91">
        <w:rPr>
          <w:rFonts w:asciiTheme="majorHAnsi" w:hAnsiTheme="majorHAnsi"/>
          <w:sz w:val="20"/>
          <w:szCs w:val="20"/>
          <w:lang w:val="es-ES_tradnl"/>
        </w:rPr>
        <w:t>solicit</w:t>
      </w:r>
      <w:r w:rsidR="00EA5D70" w:rsidRPr="00414D91">
        <w:rPr>
          <w:rFonts w:asciiTheme="majorHAnsi" w:hAnsiTheme="majorHAnsi"/>
          <w:sz w:val="20"/>
          <w:szCs w:val="20"/>
          <w:lang w:val="es-ES_tradnl"/>
        </w:rPr>
        <w:t>aron</w:t>
      </w:r>
      <w:r w:rsidR="001C6940" w:rsidRPr="00414D91">
        <w:rPr>
          <w:rFonts w:asciiTheme="majorHAnsi" w:hAnsiTheme="majorHAnsi"/>
          <w:sz w:val="20"/>
          <w:szCs w:val="20"/>
          <w:lang w:val="es-ES_tradnl"/>
        </w:rPr>
        <w:t xml:space="preserve"> que ordenara su detención preventiva. </w:t>
      </w:r>
      <w:r w:rsidR="00EA5D70" w:rsidRPr="00414D91">
        <w:rPr>
          <w:rFonts w:asciiTheme="majorHAnsi" w:hAnsiTheme="majorHAnsi"/>
          <w:sz w:val="20"/>
          <w:szCs w:val="20"/>
          <w:lang w:val="es-ES_tradnl"/>
        </w:rPr>
        <w:t>El peticionario a</w:t>
      </w:r>
      <w:r w:rsidR="001C6940" w:rsidRPr="00414D91">
        <w:rPr>
          <w:rFonts w:asciiTheme="majorHAnsi" w:hAnsiTheme="majorHAnsi"/>
          <w:sz w:val="20"/>
          <w:szCs w:val="20"/>
          <w:lang w:val="es-ES_tradnl"/>
        </w:rPr>
        <w:t xml:space="preserve">duce que </w:t>
      </w:r>
      <w:r w:rsidR="00391C21" w:rsidRPr="00414D91">
        <w:rPr>
          <w:rFonts w:asciiTheme="majorHAnsi" w:hAnsiTheme="majorHAnsi"/>
          <w:sz w:val="20"/>
          <w:szCs w:val="20"/>
          <w:lang w:val="es-ES_tradnl"/>
        </w:rPr>
        <w:t>este juez ya había pactado con sus perseguidores dar curso a una segunda detención preventiva</w:t>
      </w:r>
      <w:r w:rsidR="00703AB0" w:rsidRPr="00414D91">
        <w:rPr>
          <w:rFonts w:asciiTheme="majorHAnsi" w:hAnsiTheme="majorHAnsi"/>
          <w:sz w:val="20"/>
          <w:szCs w:val="20"/>
          <w:lang w:val="es-ES_tradnl"/>
        </w:rPr>
        <w:t>,</w:t>
      </w:r>
      <w:r w:rsidR="00391C21" w:rsidRPr="00414D91">
        <w:rPr>
          <w:rFonts w:asciiTheme="majorHAnsi" w:hAnsiTheme="majorHAnsi"/>
          <w:sz w:val="20"/>
          <w:szCs w:val="20"/>
          <w:lang w:val="es-ES_tradnl"/>
        </w:rPr>
        <w:t xml:space="preserve"> luego de que la primera hubiese sido anulada en sentencia de </w:t>
      </w:r>
      <w:r w:rsidR="00E34EDF" w:rsidRPr="00414D91">
        <w:rPr>
          <w:rFonts w:asciiTheme="majorHAnsi" w:hAnsiTheme="majorHAnsi"/>
          <w:sz w:val="20"/>
          <w:szCs w:val="20"/>
          <w:lang w:val="es-ES_tradnl"/>
        </w:rPr>
        <w:t>hábeas</w:t>
      </w:r>
      <w:r w:rsidR="00391C21" w:rsidRPr="00414D91">
        <w:rPr>
          <w:rFonts w:asciiTheme="majorHAnsi" w:hAnsiTheme="majorHAnsi"/>
          <w:sz w:val="20"/>
          <w:szCs w:val="20"/>
          <w:lang w:val="es-ES_tradnl"/>
        </w:rPr>
        <w:t xml:space="preserve"> corpus, razón por la que </w:t>
      </w:r>
      <w:r w:rsidR="00EA5D70" w:rsidRPr="00414D91">
        <w:rPr>
          <w:rFonts w:asciiTheme="majorHAnsi" w:hAnsiTheme="majorHAnsi"/>
          <w:sz w:val="20"/>
          <w:szCs w:val="20"/>
          <w:lang w:val="es-ES_tradnl"/>
        </w:rPr>
        <w:t xml:space="preserve">el juez </w:t>
      </w:r>
      <w:r w:rsidR="00391C21" w:rsidRPr="00414D91">
        <w:rPr>
          <w:rFonts w:asciiTheme="majorHAnsi" w:hAnsiTheme="majorHAnsi"/>
          <w:sz w:val="20"/>
          <w:szCs w:val="20"/>
          <w:lang w:val="es-ES_tradnl"/>
        </w:rPr>
        <w:t xml:space="preserve">no dio curso a sus solicitudes de declinatoria de competencia. </w:t>
      </w:r>
      <w:r w:rsidR="00EA5D70" w:rsidRPr="00414D91">
        <w:rPr>
          <w:rFonts w:asciiTheme="majorHAnsi" w:hAnsiTheme="majorHAnsi"/>
          <w:sz w:val="20"/>
          <w:szCs w:val="20"/>
          <w:lang w:val="es-ES_tradnl"/>
        </w:rPr>
        <w:t>El peticionario manifiesta que</w:t>
      </w:r>
      <w:r w:rsidR="00391C21" w:rsidRPr="00414D91">
        <w:rPr>
          <w:rFonts w:asciiTheme="majorHAnsi" w:hAnsiTheme="majorHAnsi"/>
          <w:sz w:val="20"/>
          <w:szCs w:val="20"/>
          <w:lang w:val="es-ES_tradnl"/>
        </w:rPr>
        <w:t xml:space="preserve"> no hubiese sido procedente presentar una apelación contra esta segunda decisión de detenerlo preventivamente porque ello hubiese acarreado reconocer competencia a un juez que en su opinión no la t</w:t>
      </w:r>
      <w:r w:rsidR="00EA5D70" w:rsidRPr="00414D91">
        <w:rPr>
          <w:rFonts w:asciiTheme="majorHAnsi" w:hAnsiTheme="majorHAnsi"/>
          <w:sz w:val="20"/>
          <w:szCs w:val="20"/>
          <w:lang w:val="es-ES_tradnl"/>
        </w:rPr>
        <w:t>enía</w:t>
      </w:r>
      <w:r w:rsidR="00391C21" w:rsidRPr="00414D91">
        <w:rPr>
          <w:rFonts w:asciiTheme="majorHAnsi" w:hAnsiTheme="majorHAnsi"/>
          <w:sz w:val="20"/>
          <w:szCs w:val="20"/>
          <w:lang w:val="es-ES_tradnl"/>
        </w:rPr>
        <w:t xml:space="preserve">. </w:t>
      </w:r>
      <w:r w:rsidR="00FF5263" w:rsidRPr="00414D91">
        <w:rPr>
          <w:rFonts w:asciiTheme="majorHAnsi" w:hAnsiTheme="majorHAnsi"/>
          <w:sz w:val="20"/>
          <w:szCs w:val="20"/>
          <w:lang w:val="es-ES_tradnl"/>
        </w:rPr>
        <w:t xml:space="preserve"> </w:t>
      </w:r>
    </w:p>
    <w:p w14:paraId="79483D5C" w14:textId="491DB1A8" w:rsidR="005E473B" w:rsidRPr="00414D91" w:rsidRDefault="00EA5D70" w:rsidP="00466170">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_tradnl"/>
        </w:rPr>
      </w:pPr>
      <w:r w:rsidRPr="00414D91">
        <w:rPr>
          <w:rFonts w:asciiTheme="majorHAnsi" w:hAnsiTheme="majorHAnsi"/>
          <w:sz w:val="20"/>
          <w:szCs w:val="20"/>
          <w:lang w:val="es-ES_tradnl"/>
        </w:rPr>
        <w:t>Considera el peticionario</w:t>
      </w:r>
      <w:r w:rsidR="00FF5263" w:rsidRPr="00414D91">
        <w:rPr>
          <w:rFonts w:asciiTheme="majorHAnsi" w:hAnsiTheme="majorHAnsi"/>
          <w:sz w:val="20"/>
          <w:szCs w:val="20"/>
          <w:lang w:val="es-ES_tradnl"/>
        </w:rPr>
        <w:t xml:space="preserve"> que al habérsele abierto tres causas distintas por los mismos hechos se violentó el artículo 4 del Código de Procesamiento Penal boliviano que establece que “</w:t>
      </w:r>
      <w:r w:rsidR="00FF5263" w:rsidRPr="00414D91">
        <w:rPr>
          <w:rFonts w:asciiTheme="majorHAnsi" w:hAnsiTheme="majorHAnsi"/>
          <w:i/>
          <w:iCs/>
          <w:sz w:val="20"/>
          <w:szCs w:val="20"/>
          <w:lang w:val="es-ES_tradnl"/>
        </w:rPr>
        <w:t>nadie puede ser procesado ni condenado más de una vez por el mismo hecho</w:t>
      </w:r>
      <w:r w:rsidR="00FF5263" w:rsidRPr="00414D91">
        <w:rPr>
          <w:rFonts w:asciiTheme="majorHAnsi" w:hAnsiTheme="majorHAnsi"/>
          <w:sz w:val="20"/>
          <w:szCs w:val="20"/>
          <w:lang w:val="es-ES_tradnl"/>
        </w:rPr>
        <w:t>”. De igual manera alega que en los procesos ante la justicia ordinaria se vulneró su derecho al juez natural</w:t>
      </w:r>
      <w:r w:rsidRPr="00414D91">
        <w:rPr>
          <w:rFonts w:asciiTheme="majorHAnsi" w:hAnsiTheme="majorHAnsi"/>
          <w:sz w:val="20"/>
          <w:szCs w:val="20"/>
          <w:lang w:val="es-ES_tradnl"/>
        </w:rPr>
        <w:t>,</w:t>
      </w:r>
      <w:r w:rsidR="00FF5263" w:rsidRPr="00414D91">
        <w:rPr>
          <w:rFonts w:asciiTheme="majorHAnsi" w:hAnsiTheme="majorHAnsi"/>
          <w:sz w:val="20"/>
          <w:szCs w:val="20"/>
          <w:lang w:val="es-ES_tradnl"/>
        </w:rPr>
        <w:t xml:space="preserve"> </w:t>
      </w:r>
      <w:r w:rsidR="00C24C19" w:rsidRPr="00414D91">
        <w:rPr>
          <w:rFonts w:asciiTheme="majorHAnsi" w:hAnsiTheme="majorHAnsi"/>
          <w:sz w:val="20"/>
          <w:szCs w:val="20"/>
          <w:lang w:val="es-ES_tradnl"/>
        </w:rPr>
        <w:t>pues estos</w:t>
      </w:r>
      <w:r w:rsidR="00FF5263" w:rsidRPr="00414D91">
        <w:rPr>
          <w:rFonts w:asciiTheme="majorHAnsi" w:hAnsiTheme="majorHAnsi"/>
          <w:sz w:val="20"/>
          <w:szCs w:val="20"/>
          <w:lang w:val="es-ES_tradnl"/>
        </w:rPr>
        <w:t xml:space="preserve"> se adelantaron ante jueces de La Paz, mientras que según las normas de competencia territorial debían adelantarse ante jueces de Pando. </w:t>
      </w:r>
      <w:r w:rsidRPr="00414D91">
        <w:rPr>
          <w:rFonts w:asciiTheme="majorHAnsi" w:hAnsiTheme="majorHAnsi"/>
          <w:sz w:val="20"/>
          <w:szCs w:val="20"/>
          <w:lang w:val="es-ES_tradnl"/>
        </w:rPr>
        <w:t>En este sentido, d</w:t>
      </w:r>
      <w:r w:rsidR="00FF5263" w:rsidRPr="00414D91">
        <w:rPr>
          <w:rFonts w:asciiTheme="majorHAnsi" w:hAnsiTheme="majorHAnsi"/>
          <w:sz w:val="20"/>
          <w:szCs w:val="20"/>
          <w:lang w:val="es-ES_tradnl"/>
        </w:rPr>
        <w:t xml:space="preserve">estaca que </w:t>
      </w:r>
      <w:r w:rsidR="00C24C19" w:rsidRPr="00414D91">
        <w:rPr>
          <w:rFonts w:asciiTheme="majorHAnsi" w:hAnsiTheme="majorHAnsi"/>
          <w:sz w:val="20"/>
          <w:szCs w:val="20"/>
          <w:lang w:val="es-ES_tradnl"/>
        </w:rPr>
        <w:t xml:space="preserve">los hechos ocurrieron en Pando y que todas las evidencias se encontraban en </w:t>
      </w:r>
      <w:r w:rsidRPr="00414D91">
        <w:rPr>
          <w:rFonts w:asciiTheme="majorHAnsi" w:hAnsiTheme="majorHAnsi"/>
          <w:sz w:val="20"/>
          <w:szCs w:val="20"/>
          <w:lang w:val="es-ES_tradnl"/>
        </w:rPr>
        <w:t>P</w:t>
      </w:r>
      <w:r w:rsidR="00C24C19" w:rsidRPr="00414D91">
        <w:rPr>
          <w:rFonts w:asciiTheme="majorHAnsi" w:hAnsiTheme="majorHAnsi"/>
          <w:sz w:val="20"/>
          <w:szCs w:val="20"/>
          <w:lang w:val="es-ES_tradnl"/>
        </w:rPr>
        <w:t xml:space="preserve">ando, y que la mayoría de los imputados y presuntas víctimas no tenían residencia en La Paz. </w:t>
      </w:r>
      <w:r w:rsidR="007F210C" w:rsidRPr="00414D91">
        <w:rPr>
          <w:rFonts w:asciiTheme="majorHAnsi" w:hAnsiTheme="majorHAnsi"/>
          <w:sz w:val="20"/>
          <w:szCs w:val="20"/>
          <w:lang w:val="es-ES_tradnl"/>
        </w:rPr>
        <w:t>Denuncia a</w:t>
      </w:r>
      <w:r w:rsidRPr="00414D91">
        <w:rPr>
          <w:rFonts w:asciiTheme="majorHAnsi" w:hAnsiTheme="majorHAnsi"/>
          <w:sz w:val="20"/>
          <w:szCs w:val="20"/>
          <w:lang w:val="es-ES_tradnl"/>
        </w:rPr>
        <w:t>demás</w:t>
      </w:r>
      <w:r w:rsidR="007F210C" w:rsidRPr="00414D91">
        <w:rPr>
          <w:rFonts w:asciiTheme="majorHAnsi" w:hAnsiTheme="majorHAnsi"/>
          <w:sz w:val="20"/>
          <w:szCs w:val="20"/>
          <w:lang w:val="es-ES_tradnl"/>
        </w:rPr>
        <w:t xml:space="preserve"> que ha recibido un trato discriminatorio ante la justicia</w:t>
      </w:r>
      <w:r w:rsidRPr="00414D91">
        <w:rPr>
          <w:rFonts w:asciiTheme="majorHAnsi" w:hAnsiTheme="majorHAnsi"/>
          <w:sz w:val="20"/>
          <w:szCs w:val="20"/>
          <w:lang w:val="es-ES_tradnl"/>
        </w:rPr>
        <w:t>,</w:t>
      </w:r>
      <w:r w:rsidR="007F210C" w:rsidRPr="00414D91">
        <w:rPr>
          <w:rFonts w:asciiTheme="majorHAnsi" w:hAnsiTheme="majorHAnsi"/>
          <w:sz w:val="20"/>
          <w:szCs w:val="20"/>
          <w:lang w:val="es-ES_tradnl"/>
        </w:rPr>
        <w:t xml:space="preserve"> porque</w:t>
      </w:r>
      <w:r w:rsidRPr="00414D91">
        <w:rPr>
          <w:rFonts w:asciiTheme="majorHAnsi" w:hAnsiTheme="majorHAnsi"/>
          <w:sz w:val="20"/>
          <w:szCs w:val="20"/>
          <w:lang w:val="es-ES_tradnl"/>
        </w:rPr>
        <w:t xml:space="preserve"> en los casos en su contra</w:t>
      </w:r>
      <w:r w:rsidR="007F210C" w:rsidRPr="00414D91">
        <w:rPr>
          <w:rFonts w:asciiTheme="majorHAnsi" w:hAnsiTheme="majorHAnsi"/>
          <w:sz w:val="20"/>
          <w:szCs w:val="20"/>
          <w:lang w:val="es-ES_tradnl"/>
        </w:rPr>
        <w:t xml:space="preserve"> se amenaza con enjuiciar y se ha enjuiciado a los jueces, vocales y ministros de la Corte Suprema que no den la razón a sus acusadores. </w:t>
      </w:r>
    </w:p>
    <w:p w14:paraId="0E86E0AB" w14:textId="1F20EF50" w:rsidR="00CF35FC" w:rsidRPr="00414D91" w:rsidRDefault="001E7EA7" w:rsidP="002E62D9">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_tradnl"/>
        </w:rPr>
      </w:pPr>
      <w:r w:rsidRPr="00414D91">
        <w:rPr>
          <w:rFonts w:asciiTheme="majorHAnsi" w:hAnsiTheme="majorHAnsi"/>
          <w:sz w:val="20"/>
          <w:szCs w:val="20"/>
          <w:lang w:val="es-ES_tradnl"/>
        </w:rPr>
        <w:lastRenderedPageBreak/>
        <w:t>Señala también el peticionario</w:t>
      </w:r>
      <w:r w:rsidR="00EA5D70" w:rsidRPr="00414D91">
        <w:rPr>
          <w:rFonts w:asciiTheme="majorHAnsi" w:hAnsiTheme="majorHAnsi"/>
          <w:sz w:val="20"/>
          <w:szCs w:val="20"/>
          <w:lang w:val="es-ES_tradnl"/>
        </w:rPr>
        <w:t xml:space="preserve"> que</w:t>
      </w:r>
      <w:r w:rsidR="006E48F9" w:rsidRPr="00414D91">
        <w:rPr>
          <w:rFonts w:asciiTheme="majorHAnsi" w:hAnsiTheme="majorHAnsi"/>
          <w:sz w:val="20"/>
          <w:szCs w:val="20"/>
          <w:lang w:val="es-ES_tradnl"/>
        </w:rPr>
        <w:t xml:space="preserve"> en abril de 2010, encontrándose detenido por más de </w:t>
      </w:r>
      <w:r w:rsidR="006C4613" w:rsidRPr="00414D91">
        <w:rPr>
          <w:rFonts w:asciiTheme="majorHAnsi" w:hAnsiTheme="majorHAnsi"/>
          <w:sz w:val="20"/>
          <w:szCs w:val="20"/>
          <w:lang w:val="es-ES_tradnl"/>
        </w:rPr>
        <w:t>dieciocho</w:t>
      </w:r>
      <w:r w:rsidR="006E48F9" w:rsidRPr="00414D91">
        <w:rPr>
          <w:rFonts w:asciiTheme="majorHAnsi" w:hAnsiTheme="majorHAnsi"/>
          <w:sz w:val="20"/>
          <w:szCs w:val="20"/>
          <w:lang w:val="es-ES_tradnl"/>
        </w:rPr>
        <w:t xml:space="preserve"> meses sin sentencia en su contra, presentó un recurso de cesación de detención</w:t>
      </w:r>
      <w:r w:rsidR="00342588" w:rsidRPr="00414D91">
        <w:rPr>
          <w:rFonts w:asciiTheme="majorHAnsi" w:hAnsiTheme="majorHAnsi"/>
          <w:sz w:val="20"/>
          <w:szCs w:val="20"/>
          <w:lang w:val="es-ES_tradnl"/>
        </w:rPr>
        <w:t xml:space="preserve"> con fundamento en la ley que se encontraba vigente en ese momento</w:t>
      </w:r>
      <w:r w:rsidR="006E48F9" w:rsidRPr="00414D91">
        <w:rPr>
          <w:rFonts w:asciiTheme="majorHAnsi" w:hAnsiTheme="majorHAnsi"/>
          <w:sz w:val="20"/>
          <w:szCs w:val="20"/>
          <w:lang w:val="es-ES_tradnl"/>
        </w:rPr>
        <w:t xml:space="preserve">. </w:t>
      </w:r>
      <w:r w:rsidR="00342588" w:rsidRPr="00414D91">
        <w:rPr>
          <w:rFonts w:asciiTheme="majorHAnsi" w:hAnsiTheme="majorHAnsi"/>
          <w:sz w:val="20"/>
          <w:szCs w:val="20"/>
          <w:lang w:val="es-ES_tradnl"/>
        </w:rPr>
        <w:t>El peticionario denuncia</w:t>
      </w:r>
      <w:r w:rsidR="006E48F9" w:rsidRPr="00414D91">
        <w:rPr>
          <w:rFonts w:asciiTheme="majorHAnsi" w:hAnsiTheme="majorHAnsi"/>
          <w:sz w:val="20"/>
          <w:szCs w:val="20"/>
          <w:lang w:val="es-ES_tradnl"/>
        </w:rPr>
        <w:t xml:space="preserve"> que</w:t>
      </w:r>
      <w:r w:rsidR="00EA5D70" w:rsidRPr="00414D91">
        <w:rPr>
          <w:rFonts w:asciiTheme="majorHAnsi" w:hAnsiTheme="majorHAnsi"/>
          <w:sz w:val="20"/>
          <w:szCs w:val="20"/>
          <w:lang w:val="es-ES_tradnl"/>
        </w:rPr>
        <w:t>,</w:t>
      </w:r>
      <w:r w:rsidR="006E48F9" w:rsidRPr="00414D91">
        <w:rPr>
          <w:rFonts w:asciiTheme="majorHAnsi" w:hAnsiTheme="majorHAnsi"/>
          <w:sz w:val="20"/>
          <w:szCs w:val="20"/>
          <w:lang w:val="es-ES_tradnl"/>
        </w:rPr>
        <w:t xml:space="preserve"> con la finalidad de mantenerlo detenido</w:t>
      </w:r>
      <w:r w:rsidR="00EA5D70" w:rsidRPr="00414D91">
        <w:rPr>
          <w:rFonts w:asciiTheme="majorHAnsi" w:hAnsiTheme="majorHAnsi"/>
          <w:sz w:val="20"/>
          <w:szCs w:val="20"/>
          <w:lang w:val="es-ES_tradnl"/>
        </w:rPr>
        <w:t>,</w:t>
      </w:r>
      <w:r w:rsidR="006E48F9" w:rsidRPr="00414D91">
        <w:rPr>
          <w:rFonts w:asciiTheme="majorHAnsi" w:hAnsiTheme="majorHAnsi"/>
          <w:sz w:val="20"/>
          <w:szCs w:val="20"/>
          <w:lang w:val="es-ES_tradnl"/>
        </w:rPr>
        <w:t xml:space="preserve"> el Poder Ejecutivo presentó al legislativo un proyecto de ley para ampliar el plazo máximo de detención preventiva a </w:t>
      </w:r>
      <w:r w:rsidR="006C4613" w:rsidRPr="00414D91">
        <w:rPr>
          <w:rFonts w:asciiTheme="majorHAnsi" w:hAnsiTheme="majorHAnsi"/>
          <w:sz w:val="20"/>
          <w:szCs w:val="20"/>
          <w:lang w:val="es-ES_tradnl"/>
        </w:rPr>
        <w:t>treinta y seis</w:t>
      </w:r>
      <w:r w:rsidR="006E48F9" w:rsidRPr="00414D91">
        <w:rPr>
          <w:rFonts w:asciiTheme="majorHAnsi" w:hAnsiTheme="majorHAnsi"/>
          <w:sz w:val="20"/>
          <w:szCs w:val="20"/>
          <w:lang w:val="es-ES_tradnl"/>
        </w:rPr>
        <w:t xml:space="preserve"> meses, ley que fue promulgada y aplicada retroactivamente a su caso.</w:t>
      </w:r>
    </w:p>
    <w:p w14:paraId="0F681AFF" w14:textId="3BE196E1" w:rsidR="00C24C19" w:rsidRPr="00414D91" w:rsidRDefault="006E48F9" w:rsidP="002E62D9">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_tradnl"/>
        </w:rPr>
      </w:pPr>
      <w:r w:rsidRPr="00414D91">
        <w:rPr>
          <w:rFonts w:asciiTheme="majorHAnsi" w:hAnsiTheme="majorHAnsi"/>
          <w:sz w:val="20"/>
          <w:szCs w:val="20"/>
          <w:lang w:val="es-ES_tradnl"/>
        </w:rPr>
        <w:t xml:space="preserve">  </w:t>
      </w:r>
      <w:r w:rsidR="001E7EA7" w:rsidRPr="00414D91">
        <w:rPr>
          <w:rFonts w:asciiTheme="majorHAnsi" w:hAnsiTheme="majorHAnsi"/>
          <w:sz w:val="20"/>
          <w:szCs w:val="20"/>
          <w:lang w:val="es-ES_tradnl"/>
        </w:rPr>
        <w:t>El peticionario indica que</w:t>
      </w:r>
      <w:r w:rsidRPr="00414D91">
        <w:rPr>
          <w:rFonts w:asciiTheme="majorHAnsi" w:hAnsiTheme="majorHAnsi"/>
          <w:sz w:val="20"/>
          <w:szCs w:val="20"/>
          <w:lang w:val="es-ES_tradnl"/>
        </w:rPr>
        <w:t xml:space="preserve"> presentó una nueva solicitud de cesación de detención cumplidos los </w:t>
      </w:r>
      <w:r w:rsidR="00036B47" w:rsidRPr="00414D91">
        <w:rPr>
          <w:rFonts w:asciiTheme="majorHAnsi" w:hAnsiTheme="majorHAnsi"/>
          <w:sz w:val="20"/>
          <w:szCs w:val="20"/>
          <w:lang w:val="es-ES_tradnl"/>
        </w:rPr>
        <w:t>treinta y seis</w:t>
      </w:r>
      <w:r w:rsidRPr="00414D91">
        <w:rPr>
          <w:rFonts w:asciiTheme="majorHAnsi" w:hAnsiTheme="majorHAnsi"/>
          <w:sz w:val="20"/>
          <w:szCs w:val="20"/>
          <w:lang w:val="es-ES_tradnl"/>
        </w:rPr>
        <w:t xml:space="preserve"> meses de detención preventiva</w:t>
      </w:r>
      <w:r w:rsidR="00036B47" w:rsidRPr="00414D91">
        <w:rPr>
          <w:rFonts w:asciiTheme="majorHAnsi" w:hAnsiTheme="majorHAnsi"/>
          <w:sz w:val="20"/>
          <w:szCs w:val="20"/>
          <w:lang w:val="es-ES_tradnl"/>
        </w:rPr>
        <w:t>,</w:t>
      </w:r>
      <w:r w:rsidRPr="00414D91">
        <w:rPr>
          <w:rFonts w:asciiTheme="majorHAnsi" w:hAnsiTheme="majorHAnsi"/>
          <w:sz w:val="20"/>
          <w:szCs w:val="20"/>
          <w:lang w:val="es-ES_tradnl"/>
        </w:rPr>
        <w:t xml:space="preserve"> la que le fue rechazada bajo el falso argumento de que había existido dilación </w:t>
      </w:r>
      <w:r w:rsidR="00F95AA8" w:rsidRPr="00414D91">
        <w:rPr>
          <w:rFonts w:asciiTheme="majorHAnsi" w:hAnsiTheme="majorHAnsi"/>
          <w:sz w:val="20"/>
          <w:szCs w:val="20"/>
          <w:lang w:val="es-ES_tradnl"/>
        </w:rPr>
        <w:t>de</w:t>
      </w:r>
      <w:r w:rsidRPr="00414D91">
        <w:rPr>
          <w:rFonts w:asciiTheme="majorHAnsi" w:hAnsiTheme="majorHAnsi"/>
          <w:sz w:val="20"/>
          <w:szCs w:val="20"/>
          <w:lang w:val="es-ES_tradnl"/>
        </w:rPr>
        <w:t xml:space="preserve"> su parte. En su escrito de 12 de junio de junio de 2012</w:t>
      </w:r>
      <w:r w:rsidR="001E7EA7" w:rsidRPr="00414D91">
        <w:rPr>
          <w:rFonts w:asciiTheme="majorHAnsi" w:hAnsiTheme="majorHAnsi"/>
          <w:sz w:val="20"/>
          <w:szCs w:val="20"/>
          <w:lang w:val="es-ES_tradnl"/>
        </w:rPr>
        <w:t xml:space="preserve"> el peticionario</w:t>
      </w:r>
      <w:r w:rsidRPr="00414D91">
        <w:rPr>
          <w:rFonts w:asciiTheme="majorHAnsi" w:hAnsiTheme="majorHAnsi"/>
          <w:sz w:val="20"/>
          <w:szCs w:val="20"/>
          <w:lang w:val="es-ES_tradnl"/>
        </w:rPr>
        <w:t xml:space="preserve"> indicó que había presentado un recurso de apelación contra esta decisión</w:t>
      </w:r>
      <w:r w:rsidR="001E7EA7" w:rsidRPr="00414D91">
        <w:rPr>
          <w:rFonts w:asciiTheme="majorHAnsi" w:hAnsiTheme="majorHAnsi"/>
          <w:sz w:val="20"/>
          <w:szCs w:val="20"/>
          <w:lang w:val="es-ES_tradnl"/>
        </w:rPr>
        <w:t xml:space="preserve">, </w:t>
      </w:r>
      <w:r w:rsidRPr="00414D91">
        <w:rPr>
          <w:rFonts w:asciiTheme="majorHAnsi" w:hAnsiTheme="majorHAnsi"/>
          <w:sz w:val="20"/>
          <w:szCs w:val="20"/>
          <w:lang w:val="es-ES_tradnl"/>
        </w:rPr>
        <w:t xml:space="preserve">el cual se encontraba pendiente de decisión. </w:t>
      </w:r>
      <w:r w:rsidR="001E7EA7" w:rsidRPr="00414D91">
        <w:rPr>
          <w:rFonts w:asciiTheme="majorHAnsi" w:hAnsiTheme="majorHAnsi"/>
          <w:sz w:val="20"/>
          <w:szCs w:val="20"/>
          <w:lang w:val="es-ES_tradnl"/>
        </w:rPr>
        <w:t>Posteriormente, en</w:t>
      </w:r>
      <w:r w:rsidRPr="00414D91">
        <w:rPr>
          <w:rFonts w:asciiTheme="majorHAnsi" w:hAnsiTheme="majorHAnsi"/>
          <w:sz w:val="20"/>
          <w:szCs w:val="20"/>
          <w:lang w:val="es-ES_tradnl"/>
        </w:rPr>
        <w:t xml:space="preserve"> escrito presentado en las oficinas de la OEA en Bolivia el 8 de octubre de 2015, el hijo del peticionario informó que su padre llevaba más de </w:t>
      </w:r>
      <w:r w:rsidR="00F95AA8" w:rsidRPr="00414D91">
        <w:rPr>
          <w:rFonts w:asciiTheme="majorHAnsi" w:hAnsiTheme="majorHAnsi"/>
          <w:sz w:val="20"/>
          <w:szCs w:val="20"/>
          <w:lang w:val="es-ES_tradnl"/>
        </w:rPr>
        <w:t>siete</w:t>
      </w:r>
      <w:r w:rsidRPr="00414D91">
        <w:rPr>
          <w:rFonts w:asciiTheme="majorHAnsi" w:hAnsiTheme="majorHAnsi"/>
          <w:sz w:val="20"/>
          <w:szCs w:val="20"/>
          <w:lang w:val="es-ES_tradnl"/>
        </w:rPr>
        <w:t xml:space="preserve"> años privado de libertad pese a encontrarse excedido</w:t>
      </w:r>
      <w:r w:rsidR="002B09F3" w:rsidRPr="00414D91">
        <w:rPr>
          <w:rFonts w:asciiTheme="majorHAnsi" w:hAnsiTheme="majorHAnsi"/>
          <w:sz w:val="20"/>
          <w:szCs w:val="20"/>
          <w:lang w:val="es-ES_tradnl"/>
        </w:rPr>
        <w:t>s</w:t>
      </w:r>
      <w:r w:rsidR="001E7EA7" w:rsidRPr="00414D91">
        <w:rPr>
          <w:rFonts w:asciiTheme="majorHAnsi" w:hAnsiTheme="majorHAnsi"/>
          <w:sz w:val="20"/>
          <w:szCs w:val="20"/>
          <w:lang w:val="es-ES_tradnl"/>
        </w:rPr>
        <w:t xml:space="preserve"> </w:t>
      </w:r>
      <w:r w:rsidRPr="00414D91">
        <w:rPr>
          <w:rFonts w:asciiTheme="majorHAnsi" w:hAnsiTheme="majorHAnsi"/>
          <w:sz w:val="20"/>
          <w:szCs w:val="20"/>
          <w:lang w:val="es-ES_tradnl"/>
        </w:rPr>
        <w:t>todos los plazos legales para la detención preventiva.</w:t>
      </w:r>
      <w:r w:rsidR="00D44189" w:rsidRPr="00414D91">
        <w:rPr>
          <w:rFonts w:asciiTheme="majorHAnsi" w:hAnsiTheme="majorHAnsi"/>
          <w:sz w:val="20"/>
          <w:szCs w:val="20"/>
          <w:lang w:val="es-ES_tradnl"/>
        </w:rPr>
        <w:t xml:space="preserve"> En su último escrito a la Comisión</w:t>
      </w:r>
      <w:r w:rsidR="00C85A21" w:rsidRPr="00414D91">
        <w:rPr>
          <w:rFonts w:asciiTheme="majorHAnsi" w:hAnsiTheme="majorHAnsi"/>
          <w:sz w:val="20"/>
          <w:szCs w:val="20"/>
          <w:lang w:val="es-ES_tradnl"/>
        </w:rPr>
        <w:t xml:space="preserve"> fechado 15 de septiembre de 2017</w:t>
      </w:r>
      <w:r w:rsidR="00D44189" w:rsidRPr="00414D91">
        <w:rPr>
          <w:rFonts w:asciiTheme="majorHAnsi" w:hAnsiTheme="majorHAnsi"/>
          <w:sz w:val="20"/>
          <w:szCs w:val="20"/>
          <w:lang w:val="es-ES_tradnl"/>
        </w:rPr>
        <w:t xml:space="preserve">, el peticionario </w:t>
      </w:r>
      <w:r w:rsidR="00DB00A6" w:rsidRPr="00414D91">
        <w:rPr>
          <w:rFonts w:asciiTheme="majorHAnsi" w:hAnsiTheme="majorHAnsi"/>
          <w:sz w:val="20"/>
          <w:szCs w:val="20"/>
          <w:lang w:val="es-ES_tradnl"/>
        </w:rPr>
        <w:t>informó que el juicio en su contra había concluido con una sentencia en la cual se le absolvió de cuatro delitos y se le</w:t>
      </w:r>
      <w:r w:rsidR="00D44189" w:rsidRPr="00414D91">
        <w:rPr>
          <w:rFonts w:asciiTheme="majorHAnsi" w:hAnsiTheme="majorHAnsi"/>
          <w:sz w:val="20"/>
          <w:szCs w:val="20"/>
          <w:lang w:val="es-ES_tradnl"/>
        </w:rPr>
        <w:t xml:space="preserve"> condenó por uno, encontrándose </w:t>
      </w:r>
      <w:r w:rsidR="00DB00A6" w:rsidRPr="00414D91">
        <w:rPr>
          <w:rFonts w:asciiTheme="majorHAnsi" w:hAnsiTheme="majorHAnsi"/>
          <w:sz w:val="20"/>
          <w:szCs w:val="20"/>
          <w:lang w:val="es-ES_tradnl"/>
        </w:rPr>
        <w:t xml:space="preserve">un recurso de apelación contra esta sentencia pendiente de decisión por parte de la Sala Penal Cuarta del Tribunal Departamental de La Paz. </w:t>
      </w:r>
      <w:r w:rsidR="002B09F3" w:rsidRPr="00414D91">
        <w:rPr>
          <w:rFonts w:asciiTheme="majorHAnsi" w:hAnsiTheme="majorHAnsi"/>
          <w:sz w:val="20"/>
          <w:szCs w:val="20"/>
          <w:lang w:val="es-ES_tradnl"/>
        </w:rPr>
        <w:t xml:space="preserve"> </w:t>
      </w:r>
      <w:r w:rsidR="00D44189" w:rsidRPr="00414D91">
        <w:rPr>
          <w:rFonts w:asciiTheme="majorHAnsi" w:hAnsiTheme="majorHAnsi"/>
          <w:color w:val="auto"/>
          <w:sz w:val="20"/>
          <w:szCs w:val="20"/>
          <w:lang w:val="es-ES_tradnl"/>
        </w:rPr>
        <w:t>Según información de naturaleza pública,</w:t>
      </w:r>
      <w:r w:rsidR="00655646" w:rsidRPr="00414D91">
        <w:rPr>
          <w:rFonts w:asciiTheme="majorHAnsi" w:hAnsiTheme="majorHAnsi"/>
          <w:color w:val="auto"/>
          <w:sz w:val="20"/>
          <w:szCs w:val="20"/>
          <w:lang w:val="es-ES_tradnl"/>
        </w:rPr>
        <w:t xml:space="preserve"> el</w:t>
      </w:r>
      <w:r w:rsidR="00D44189" w:rsidRPr="00414D91">
        <w:rPr>
          <w:rFonts w:asciiTheme="majorHAnsi" w:hAnsiTheme="majorHAnsi"/>
          <w:color w:val="auto"/>
          <w:sz w:val="20"/>
          <w:szCs w:val="20"/>
          <w:lang w:val="es-ES_tradnl"/>
        </w:rPr>
        <w:t xml:space="preserve"> recurso de apelación del peticionario habría sido rechazado luego de lo que </w:t>
      </w:r>
      <w:r w:rsidR="00C60254" w:rsidRPr="00414D91">
        <w:rPr>
          <w:rFonts w:asciiTheme="majorHAnsi" w:hAnsiTheme="majorHAnsi"/>
          <w:color w:val="auto"/>
          <w:sz w:val="20"/>
          <w:szCs w:val="20"/>
          <w:lang w:val="es-ES_tradnl"/>
        </w:rPr>
        <w:t>é</w:t>
      </w:r>
      <w:r w:rsidR="00D44189" w:rsidRPr="00414D91">
        <w:rPr>
          <w:rFonts w:asciiTheme="majorHAnsi" w:hAnsiTheme="majorHAnsi"/>
          <w:color w:val="auto"/>
          <w:sz w:val="20"/>
          <w:szCs w:val="20"/>
          <w:lang w:val="es-ES_tradnl"/>
        </w:rPr>
        <w:t>ste habría presentado un recurso de casación</w:t>
      </w:r>
      <w:r w:rsidR="00D44189" w:rsidRPr="00414D91">
        <w:rPr>
          <w:rStyle w:val="FootnoteReference"/>
          <w:rFonts w:asciiTheme="majorHAnsi" w:hAnsiTheme="majorHAnsi"/>
          <w:color w:val="auto"/>
          <w:sz w:val="20"/>
          <w:szCs w:val="20"/>
          <w:lang w:val="es-ES_tradnl"/>
        </w:rPr>
        <w:footnoteReference w:id="4"/>
      </w:r>
      <w:r w:rsidR="00D44189" w:rsidRPr="00414D91">
        <w:rPr>
          <w:rFonts w:asciiTheme="majorHAnsi" w:hAnsiTheme="majorHAnsi"/>
          <w:color w:val="auto"/>
          <w:sz w:val="20"/>
          <w:szCs w:val="20"/>
          <w:lang w:val="es-ES_tradnl"/>
        </w:rPr>
        <w:t>.</w:t>
      </w:r>
      <w:r w:rsidR="00655646" w:rsidRPr="00414D91">
        <w:rPr>
          <w:rFonts w:asciiTheme="majorHAnsi" w:hAnsiTheme="majorHAnsi"/>
          <w:color w:val="auto"/>
          <w:sz w:val="20"/>
          <w:szCs w:val="20"/>
          <w:lang w:val="es-ES_tradnl"/>
        </w:rPr>
        <w:t xml:space="preserve"> </w:t>
      </w:r>
      <w:r w:rsidR="00D44189" w:rsidRPr="00414D91">
        <w:rPr>
          <w:rFonts w:asciiTheme="majorHAnsi" w:hAnsiTheme="majorHAnsi"/>
          <w:color w:val="auto"/>
          <w:sz w:val="20"/>
          <w:szCs w:val="20"/>
          <w:lang w:val="es-ES_tradnl"/>
        </w:rPr>
        <w:t xml:space="preserve"> </w:t>
      </w:r>
    </w:p>
    <w:p w14:paraId="4BE29992" w14:textId="3C122F59" w:rsidR="00024D83" w:rsidRPr="00414D91" w:rsidRDefault="00C60254" w:rsidP="00466170">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_tradnl"/>
        </w:rPr>
      </w:pPr>
      <w:r w:rsidRPr="00414D91">
        <w:rPr>
          <w:rFonts w:asciiTheme="majorHAnsi" w:hAnsiTheme="majorHAnsi"/>
          <w:sz w:val="20"/>
          <w:szCs w:val="20"/>
          <w:lang w:val="es-ES_tradnl"/>
        </w:rPr>
        <w:t>El  peticionario también presenta denuncias respecto a que: el lugar en que</w:t>
      </w:r>
      <w:r w:rsidR="00775E30" w:rsidRPr="00414D91">
        <w:rPr>
          <w:rFonts w:asciiTheme="majorHAnsi" w:hAnsiTheme="majorHAnsi"/>
          <w:sz w:val="20"/>
          <w:szCs w:val="20"/>
          <w:lang w:val="es-ES_tradnl"/>
        </w:rPr>
        <w:t xml:space="preserve"> fue detenido fue rodeado por personas instigadas por el gobierno</w:t>
      </w:r>
      <w:r w:rsidR="00051803" w:rsidRPr="00414D91">
        <w:rPr>
          <w:rFonts w:asciiTheme="majorHAnsi" w:hAnsiTheme="majorHAnsi"/>
          <w:sz w:val="20"/>
          <w:szCs w:val="20"/>
          <w:lang w:val="es-ES_tradnl"/>
        </w:rPr>
        <w:t>,</w:t>
      </w:r>
      <w:r w:rsidR="00775E30" w:rsidRPr="00414D91">
        <w:rPr>
          <w:rFonts w:asciiTheme="majorHAnsi" w:hAnsiTheme="majorHAnsi"/>
          <w:sz w:val="20"/>
          <w:szCs w:val="20"/>
          <w:lang w:val="es-ES_tradnl"/>
        </w:rPr>
        <w:t xml:space="preserve"> quienes se dedicaron al amedrentamiento de quienes le fueran a visitar</w:t>
      </w:r>
      <w:r w:rsidR="00051803" w:rsidRPr="00414D91">
        <w:rPr>
          <w:rFonts w:asciiTheme="majorHAnsi" w:hAnsiTheme="majorHAnsi"/>
          <w:sz w:val="20"/>
          <w:szCs w:val="20"/>
          <w:lang w:val="es-ES_tradnl"/>
        </w:rPr>
        <w:t>. Además,</w:t>
      </w:r>
      <w:r w:rsidR="00775E30" w:rsidRPr="00414D91">
        <w:rPr>
          <w:rFonts w:asciiTheme="majorHAnsi" w:hAnsiTheme="majorHAnsi"/>
          <w:sz w:val="20"/>
          <w:szCs w:val="20"/>
          <w:lang w:val="es-ES_tradnl"/>
        </w:rPr>
        <w:t xml:space="preserve"> se le prohibió a la prensa nacional e internacional tener contacto con él con la finalidad de impedirle contar la verdad sobre los</w:t>
      </w:r>
      <w:r w:rsidR="006E48F9" w:rsidRPr="00414D91">
        <w:rPr>
          <w:rFonts w:asciiTheme="majorHAnsi" w:hAnsiTheme="majorHAnsi"/>
          <w:sz w:val="20"/>
          <w:szCs w:val="20"/>
          <w:lang w:val="es-ES_tradnl"/>
        </w:rPr>
        <w:t xml:space="preserve"> hechos de los que se le acusan;</w:t>
      </w:r>
      <w:r w:rsidR="008D3DE5" w:rsidRPr="00414D91">
        <w:rPr>
          <w:rFonts w:asciiTheme="majorHAnsi" w:hAnsiTheme="majorHAnsi"/>
          <w:sz w:val="20"/>
          <w:szCs w:val="20"/>
          <w:lang w:val="es-ES_tradnl"/>
        </w:rPr>
        <w:t xml:space="preserve"> se </w:t>
      </w:r>
      <w:r w:rsidRPr="00414D91">
        <w:rPr>
          <w:rFonts w:asciiTheme="majorHAnsi" w:hAnsiTheme="majorHAnsi"/>
          <w:sz w:val="20"/>
          <w:szCs w:val="20"/>
          <w:lang w:val="es-ES_tradnl"/>
        </w:rPr>
        <w:t>vulneró</w:t>
      </w:r>
      <w:r w:rsidR="008D3DE5" w:rsidRPr="00414D91">
        <w:rPr>
          <w:rFonts w:asciiTheme="majorHAnsi" w:hAnsiTheme="majorHAnsi"/>
          <w:sz w:val="20"/>
          <w:szCs w:val="20"/>
          <w:lang w:val="es-ES_tradnl"/>
        </w:rPr>
        <w:t xml:space="preserve"> su derecho a la honra y dignidad con la publicación de fotos montadas y tergiversadas; durante los periodos en que su privación de libertad se fundamentó en su calidad de confinado político se le detuvo en un penal público; el 24 de febrero de </w:t>
      </w:r>
      <w:r w:rsidR="00775E30" w:rsidRPr="00414D91">
        <w:rPr>
          <w:rFonts w:asciiTheme="majorHAnsi" w:hAnsiTheme="majorHAnsi"/>
          <w:sz w:val="20"/>
          <w:szCs w:val="20"/>
          <w:lang w:val="es-ES_tradnl"/>
        </w:rPr>
        <w:t xml:space="preserve"> </w:t>
      </w:r>
      <w:r w:rsidR="008D3DE5" w:rsidRPr="00414D91">
        <w:rPr>
          <w:rFonts w:asciiTheme="majorHAnsi" w:hAnsiTheme="majorHAnsi"/>
          <w:sz w:val="20"/>
          <w:szCs w:val="20"/>
          <w:lang w:val="es-ES_tradnl"/>
        </w:rPr>
        <w:t xml:space="preserve">2011 se dispuso sin causa alguna su traslado al penal de máxima seguridad de Chonchocoro, pese a que dicho penal solo alberga detenidos de máxima peligrosidad </w:t>
      </w:r>
      <w:r w:rsidR="00DB00A6" w:rsidRPr="00414D91">
        <w:rPr>
          <w:rFonts w:asciiTheme="majorHAnsi" w:hAnsiTheme="majorHAnsi"/>
          <w:sz w:val="20"/>
          <w:szCs w:val="20"/>
          <w:lang w:val="es-ES_tradnl"/>
        </w:rPr>
        <w:t xml:space="preserve">y con sentencia condenatoria; y que los hechos de violencia ocurridos en Pando y las subsecuentes acciones penales tuvieron el motivo oculto de sacarlo de la prefectura y permitir a las fuerzas políticas en control del ejecutivo nacional obtener el control político del departamento, quedando esto evidenciado en el hecho </w:t>
      </w:r>
      <w:r w:rsidR="00770AF6" w:rsidRPr="00414D91">
        <w:rPr>
          <w:rFonts w:asciiTheme="majorHAnsi" w:hAnsiTheme="majorHAnsi"/>
          <w:sz w:val="20"/>
          <w:szCs w:val="20"/>
          <w:lang w:val="es-ES_tradnl"/>
        </w:rPr>
        <w:t xml:space="preserve">de </w:t>
      </w:r>
      <w:r w:rsidR="00DB00A6" w:rsidRPr="00414D91">
        <w:rPr>
          <w:rFonts w:asciiTheme="majorHAnsi" w:hAnsiTheme="majorHAnsi"/>
          <w:sz w:val="20"/>
          <w:szCs w:val="20"/>
          <w:lang w:val="es-ES_tradnl"/>
        </w:rPr>
        <w:t xml:space="preserve">que tras su detención </w:t>
      </w:r>
      <w:r w:rsidR="00770AF6" w:rsidRPr="00414D91">
        <w:rPr>
          <w:rFonts w:asciiTheme="majorHAnsi" w:hAnsiTheme="majorHAnsi"/>
          <w:sz w:val="20"/>
          <w:szCs w:val="20"/>
          <w:lang w:val="es-ES_tradnl"/>
        </w:rPr>
        <w:t xml:space="preserve">la Presidencia de la República emitió una resolución en la que se nombraba </w:t>
      </w:r>
      <w:r w:rsidR="00DB00A6" w:rsidRPr="00414D91">
        <w:rPr>
          <w:rFonts w:asciiTheme="majorHAnsi" w:hAnsiTheme="majorHAnsi"/>
          <w:sz w:val="20"/>
          <w:szCs w:val="20"/>
          <w:lang w:val="es-ES_tradnl"/>
        </w:rPr>
        <w:t xml:space="preserve">a un prefecto departamental </w:t>
      </w:r>
      <w:r w:rsidR="00D15665" w:rsidRPr="00414D91">
        <w:rPr>
          <w:rFonts w:asciiTheme="majorHAnsi" w:hAnsiTheme="majorHAnsi"/>
          <w:sz w:val="20"/>
          <w:szCs w:val="20"/>
          <w:lang w:val="es-ES_tradnl"/>
        </w:rPr>
        <w:t xml:space="preserve">interino, sin seguir ningún procedimiento formal para declarar vacante su cargo y omitiendo que la ley ordenaba nombrar como prefecto al Secretario General de la Prefectura en casos de impedimento del titular. </w:t>
      </w:r>
    </w:p>
    <w:p w14:paraId="7005592C" w14:textId="0207578A" w:rsidR="00D7258E" w:rsidRPr="00414D91" w:rsidRDefault="0020723F" w:rsidP="00466170">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_tradnl"/>
        </w:rPr>
      </w:pPr>
      <w:r w:rsidRPr="00414D91">
        <w:rPr>
          <w:rFonts w:asciiTheme="majorHAnsi" w:hAnsiTheme="majorHAnsi"/>
          <w:sz w:val="20"/>
          <w:szCs w:val="20"/>
          <w:lang w:val="es-ES_tradnl"/>
        </w:rPr>
        <w:t xml:space="preserve">El Estado, por su parte, </w:t>
      </w:r>
      <w:r w:rsidR="00DB6122" w:rsidRPr="00414D91">
        <w:rPr>
          <w:rFonts w:asciiTheme="majorHAnsi" w:hAnsiTheme="majorHAnsi"/>
          <w:sz w:val="20"/>
          <w:szCs w:val="20"/>
          <w:lang w:val="es-ES_tradnl"/>
        </w:rPr>
        <w:t xml:space="preserve">resalta que los hechos que dieron lugar a la presente petición ocurrieron en un contexto de lucha por la tierra y el territorio de los pueblos indígenas originarios campesinos en Bolivia para la consolidación de un Estado más justo. </w:t>
      </w:r>
      <w:r w:rsidR="006C4710" w:rsidRPr="00414D91">
        <w:rPr>
          <w:rFonts w:asciiTheme="majorHAnsi" w:hAnsiTheme="majorHAnsi"/>
          <w:sz w:val="20"/>
          <w:szCs w:val="20"/>
          <w:lang w:val="es-ES_tradnl"/>
        </w:rPr>
        <w:t>Según su relato,</w:t>
      </w:r>
      <w:r w:rsidR="00C60254" w:rsidRPr="00414D91">
        <w:rPr>
          <w:rFonts w:asciiTheme="majorHAnsi" w:hAnsiTheme="majorHAnsi"/>
          <w:sz w:val="20"/>
          <w:szCs w:val="20"/>
          <w:lang w:val="es-ES_tradnl"/>
        </w:rPr>
        <w:t xml:space="preserve"> </w:t>
      </w:r>
      <w:r w:rsidR="004F2F1E" w:rsidRPr="00414D91">
        <w:rPr>
          <w:rFonts w:asciiTheme="majorHAnsi" w:hAnsiTheme="majorHAnsi"/>
          <w:sz w:val="20"/>
          <w:szCs w:val="20"/>
          <w:lang w:val="es-ES_tradnl"/>
        </w:rPr>
        <w:t>en septiembre de 2008 se desató en Pando un</w:t>
      </w:r>
      <w:r w:rsidR="0081330E" w:rsidRPr="00414D91">
        <w:rPr>
          <w:rFonts w:asciiTheme="majorHAnsi" w:hAnsiTheme="majorHAnsi"/>
          <w:sz w:val="20"/>
          <w:szCs w:val="20"/>
          <w:lang w:val="es-ES_tradnl"/>
        </w:rPr>
        <w:t xml:space="preserve"> conflicto entre partidarios de la prefectura (armados) y campesinos (que no lo estaban)</w:t>
      </w:r>
      <w:r w:rsidR="004F2F1E" w:rsidRPr="00414D91">
        <w:rPr>
          <w:rFonts w:asciiTheme="majorHAnsi" w:hAnsiTheme="majorHAnsi"/>
          <w:sz w:val="20"/>
          <w:szCs w:val="20"/>
          <w:lang w:val="es-ES_tradnl"/>
        </w:rPr>
        <w:t>, el cual</w:t>
      </w:r>
      <w:r w:rsidR="0081330E" w:rsidRPr="00414D91">
        <w:rPr>
          <w:rFonts w:asciiTheme="majorHAnsi" w:hAnsiTheme="majorHAnsi"/>
          <w:sz w:val="20"/>
          <w:szCs w:val="20"/>
          <w:lang w:val="es-ES_tradnl"/>
        </w:rPr>
        <w:t xml:space="preserve"> devino en múltiples hechos de violencia que dejaron un saldo final de </w:t>
      </w:r>
      <w:r w:rsidR="00C60254" w:rsidRPr="00414D91">
        <w:rPr>
          <w:rFonts w:asciiTheme="majorHAnsi" w:hAnsiTheme="majorHAnsi"/>
          <w:sz w:val="20"/>
          <w:szCs w:val="20"/>
          <w:lang w:val="es-ES_tradnl"/>
        </w:rPr>
        <w:t>trece</w:t>
      </w:r>
      <w:r w:rsidR="0081330E" w:rsidRPr="00414D91">
        <w:rPr>
          <w:rFonts w:asciiTheme="majorHAnsi" w:hAnsiTheme="majorHAnsi"/>
          <w:sz w:val="20"/>
          <w:szCs w:val="20"/>
          <w:lang w:val="es-ES_tradnl"/>
        </w:rPr>
        <w:t xml:space="preserve"> fallecid</w:t>
      </w:r>
      <w:r w:rsidR="006C4710" w:rsidRPr="00414D91">
        <w:rPr>
          <w:rFonts w:asciiTheme="majorHAnsi" w:hAnsiTheme="majorHAnsi"/>
          <w:sz w:val="20"/>
          <w:szCs w:val="20"/>
          <w:lang w:val="es-ES_tradnl"/>
        </w:rPr>
        <w:t>o</w:t>
      </w:r>
      <w:r w:rsidR="0081330E" w:rsidRPr="00414D91">
        <w:rPr>
          <w:rFonts w:asciiTheme="majorHAnsi" w:hAnsiTheme="majorHAnsi"/>
          <w:sz w:val="20"/>
          <w:szCs w:val="20"/>
          <w:lang w:val="es-ES_tradnl"/>
        </w:rPr>
        <w:t xml:space="preserve">s y </w:t>
      </w:r>
      <w:r w:rsidR="00C60254" w:rsidRPr="00414D91">
        <w:rPr>
          <w:rFonts w:asciiTheme="majorHAnsi" w:hAnsiTheme="majorHAnsi"/>
          <w:sz w:val="20"/>
          <w:szCs w:val="20"/>
          <w:lang w:val="es-ES_tradnl"/>
        </w:rPr>
        <w:t>cincuenta</w:t>
      </w:r>
      <w:r w:rsidR="0081330E" w:rsidRPr="00414D91">
        <w:rPr>
          <w:rFonts w:asciiTheme="majorHAnsi" w:hAnsiTheme="majorHAnsi"/>
          <w:sz w:val="20"/>
          <w:szCs w:val="20"/>
          <w:lang w:val="es-ES_tradnl"/>
        </w:rPr>
        <w:t xml:space="preserve"> herid</w:t>
      </w:r>
      <w:r w:rsidR="006C4710" w:rsidRPr="00414D91">
        <w:rPr>
          <w:rFonts w:asciiTheme="majorHAnsi" w:hAnsiTheme="majorHAnsi"/>
          <w:sz w:val="20"/>
          <w:szCs w:val="20"/>
          <w:lang w:val="es-ES_tradnl"/>
        </w:rPr>
        <w:t>o</w:t>
      </w:r>
      <w:r w:rsidR="0081330E" w:rsidRPr="00414D91">
        <w:rPr>
          <w:rFonts w:asciiTheme="majorHAnsi" w:hAnsiTheme="majorHAnsi"/>
          <w:sz w:val="20"/>
          <w:szCs w:val="20"/>
          <w:lang w:val="es-ES_tradnl"/>
        </w:rPr>
        <w:t xml:space="preserve">s. </w:t>
      </w:r>
      <w:r w:rsidR="00C60254" w:rsidRPr="00414D91">
        <w:rPr>
          <w:rFonts w:asciiTheme="majorHAnsi" w:hAnsiTheme="majorHAnsi"/>
          <w:sz w:val="20"/>
          <w:szCs w:val="20"/>
          <w:lang w:val="es-ES_tradnl"/>
        </w:rPr>
        <w:t xml:space="preserve">El Estado destaca </w:t>
      </w:r>
      <w:r w:rsidR="0081330E" w:rsidRPr="00414D91">
        <w:rPr>
          <w:rFonts w:asciiTheme="majorHAnsi" w:hAnsiTheme="majorHAnsi"/>
          <w:sz w:val="20"/>
          <w:szCs w:val="20"/>
          <w:lang w:val="es-ES_tradnl"/>
        </w:rPr>
        <w:t>que la Oficina del Alto Comisionado de las Naciones Unidas para los Derechos Humanos emitió un informe reconociendo “</w:t>
      </w:r>
      <w:r w:rsidR="0081330E" w:rsidRPr="00414D91">
        <w:rPr>
          <w:rFonts w:asciiTheme="majorHAnsi" w:hAnsiTheme="majorHAnsi"/>
          <w:i/>
          <w:iCs/>
          <w:sz w:val="20"/>
          <w:szCs w:val="20"/>
          <w:lang w:val="es-ES_tradnl"/>
        </w:rPr>
        <w:t>la desproporcionalidad de la fuerza que se utili</w:t>
      </w:r>
      <w:r w:rsidR="004F2F1E" w:rsidRPr="00414D91">
        <w:rPr>
          <w:rFonts w:asciiTheme="majorHAnsi" w:hAnsiTheme="majorHAnsi"/>
          <w:i/>
          <w:iCs/>
          <w:sz w:val="20"/>
          <w:szCs w:val="20"/>
          <w:lang w:val="es-ES_tradnl"/>
        </w:rPr>
        <w:t xml:space="preserve">zó para agredir a los campesinos </w:t>
      </w:r>
      <w:r w:rsidR="0081330E" w:rsidRPr="00414D91">
        <w:rPr>
          <w:rFonts w:asciiTheme="majorHAnsi" w:hAnsiTheme="majorHAnsi"/>
          <w:i/>
          <w:iCs/>
          <w:sz w:val="20"/>
          <w:szCs w:val="20"/>
          <w:lang w:val="es-ES_tradnl"/>
        </w:rPr>
        <w:t>en un ataque frontal</w:t>
      </w:r>
      <w:r w:rsidR="0081330E" w:rsidRPr="00414D91">
        <w:rPr>
          <w:rFonts w:asciiTheme="majorHAnsi" w:hAnsiTheme="majorHAnsi"/>
          <w:sz w:val="20"/>
          <w:szCs w:val="20"/>
          <w:lang w:val="es-ES_tradnl"/>
        </w:rPr>
        <w:t xml:space="preserve">”. </w:t>
      </w:r>
      <w:r w:rsidR="00BE333D" w:rsidRPr="00414D91">
        <w:rPr>
          <w:rFonts w:asciiTheme="majorHAnsi" w:hAnsiTheme="majorHAnsi"/>
          <w:sz w:val="20"/>
          <w:szCs w:val="20"/>
          <w:lang w:val="es-ES_tradnl"/>
        </w:rPr>
        <w:t xml:space="preserve">A esto agrega </w:t>
      </w:r>
      <w:r w:rsidR="0081330E" w:rsidRPr="00414D91">
        <w:rPr>
          <w:rFonts w:asciiTheme="majorHAnsi" w:hAnsiTheme="majorHAnsi"/>
          <w:sz w:val="20"/>
          <w:szCs w:val="20"/>
          <w:lang w:val="es-ES_tradnl"/>
        </w:rPr>
        <w:t>que el mismo informe concluyó que los hechos acaecidos constituyeron una masacre perpetrada, entre otros, por funcionarios y partidarios de la prefectura a cargo del peticionario.</w:t>
      </w:r>
      <w:r w:rsidR="004F2F1E" w:rsidRPr="00414D91">
        <w:rPr>
          <w:rFonts w:asciiTheme="majorHAnsi" w:hAnsiTheme="majorHAnsi"/>
          <w:sz w:val="20"/>
          <w:szCs w:val="20"/>
          <w:lang w:val="es-ES_tradnl"/>
        </w:rPr>
        <w:t xml:space="preserve"> </w:t>
      </w:r>
    </w:p>
    <w:p w14:paraId="26D7883E" w14:textId="54D4ED16" w:rsidR="00BE333D" w:rsidRPr="00414D91" w:rsidRDefault="00BE333D" w:rsidP="00466170">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_tradnl"/>
        </w:rPr>
      </w:pPr>
      <w:r w:rsidRPr="00414D91">
        <w:rPr>
          <w:rFonts w:asciiTheme="majorHAnsi" w:hAnsiTheme="majorHAnsi"/>
          <w:sz w:val="20"/>
          <w:szCs w:val="20"/>
          <w:lang w:val="es-ES_tradnl"/>
        </w:rPr>
        <w:t>Conforme continúa el relato del Estado, el ejecutivo nacional</w:t>
      </w:r>
      <w:r w:rsidR="004F2F1E" w:rsidRPr="00414D91">
        <w:rPr>
          <w:rFonts w:asciiTheme="majorHAnsi" w:hAnsiTheme="majorHAnsi"/>
          <w:sz w:val="20"/>
          <w:szCs w:val="20"/>
          <w:lang w:val="es-ES_tradnl"/>
        </w:rPr>
        <w:t xml:space="preserve"> se vio forzado a decretar un estado de excepción </w:t>
      </w:r>
      <w:r w:rsidR="00F42752" w:rsidRPr="00414D91">
        <w:rPr>
          <w:rFonts w:asciiTheme="majorHAnsi" w:hAnsiTheme="majorHAnsi"/>
          <w:sz w:val="20"/>
          <w:szCs w:val="20"/>
          <w:lang w:val="es-ES_tradnl"/>
        </w:rPr>
        <w:t xml:space="preserve">en </w:t>
      </w:r>
      <w:r w:rsidR="004F2F1E" w:rsidRPr="00414D91">
        <w:rPr>
          <w:rFonts w:asciiTheme="majorHAnsi" w:hAnsiTheme="majorHAnsi"/>
          <w:sz w:val="20"/>
          <w:szCs w:val="20"/>
          <w:lang w:val="es-ES_tradnl"/>
        </w:rPr>
        <w:t xml:space="preserve">Pando producto de la masacre ocurrida y la </w:t>
      </w:r>
      <w:r w:rsidR="000F6B77" w:rsidRPr="00414D91">
        <w:rPr>
          <w:rFonts w:asciiTheme="majorHAnsi" w:hAnsiTheme="majorHAnsi"/>
          <w:sz w:val="20"/>
          <w:szCs w:val="20"/>
          <w:lang w:val="es-ES_tradnl"/>
        </w:rPr>
        <w:t>“</w:t>
      </w:r>
      <w:r w:rsidR="004F2F1E" w:rsidRPr="00414D91">
        <w:rPr>
          <w:rFonts w:asciiTheme="majorHAnsi" w:hAnsiTheme="majorHAnsi"/>
          <w:sz w:val="20"/>
          <w:szCs w:val="20"/>
          <w:lang w:val="es-ES_tradnl"/>
        </w:rPr>
        <w:t>violencia racista</w:t>
      </w:r>
      <w:r w:rsidR="000F6B77" w:rsidRPr="00414D91">
        <w:rPr>
          <w:rFonts w:asciiTheme="majorHAnsi" w:hAnsiTheme="majorHAnsi"/>
          <w:sz w:val="20"/>
          <w:szCs w:val="20"/>
          <w:lang w:val="es-ES_tradnl"/>
        </w:rPr>
        <w:t>”</w:t>
      </w:r>
      <w:r w:rsidR="004F2F1E" w:rsidRPr="00414D91">
        <w:rPr>
          <w:rFonts w:asciiTheme="majorHAnsi" w:hAnsiTheme="majorHAnsi"/>
          <w:sz w:val="20"/>
          <w:szCs w:val="20"/>
          <w:lang w:val="es-ES_tradnl"/>
        </w:rPr>
        <w:t xml:space="preserve">, hechos delictivos, </w:t>
      </w:r>
      <w:r w:rsidR="0081330E" w:rsidRPr="00414D91">
        <w:rPr>
          <w:rFonts w:asciiTheme="majorHAnsi" w:hAnsiTheme="majorHAnsi"/>
          <w:sz w:val="20"/>
          <w:szCs w:val="20"/>
          <w:lang w:val="es-ES_tradnl"/>
        </w:rPr>
        <w:t>toma violenta y criminal de instituciones públicas y privadas, destrucci</w:t>
      </w:r>
      <w:r w:rsidR="00F43BA5" w:rsidRPr="00414D91">
        <w:rPr>
          <w:rFonts w:asciiTheme="majorHAnsi" w:hAnsiTheme="majorHAnsi"/>
          <w:sz w:val="20"/>
          <w:szCs w:val="20"/>
          <w:lang w:val="es-ES_tradnl"/>
        </w:rPr>
        <w:t xml:space="preserve">ón </w:t>
      </w:r>
      <w:r w:rsidR="0081330E" w:rsidRPr="00414D91">
        <w:rPr>
          <w:rFonts w:asciiTheme="majorHAnsi" w:hAnsiTheme="majorHAnsi"/>
          <w:sz w:val="20"/>
          <w:szCs w:val="20"/>
          <w:lang w:val="es-ES_tradnl"/>
        </w:rPr>
        <w:t xml:space="preserve">de bienes del Estado, bloqueo de </w:t>
      </w:r>
      <w:r w:rsidR="00F43BA5" w:rsidRPr="00414D91">
        <w:rPr>
          <w:rFonts w:asciiTheme="majorHAnsi" w:hAnsiTheme="majorHAnsi"/>
          <w:sz w:val="20"/>
          <w:szCs w:val="20"/>
          <w:lang w:val="es-ES_tradnl"/>
        </w:rPr>
        <w:t>carreteras y</w:t>
      </w:r>
      <w:r w:rsidR="004F2F1E" w:rsidRPr="00414D91">
        <w:rPr>
          <w:rFonts w:asciiTheme="majorHAnsi" w:hAnsiTheme="majorHAnsi"/>
          <w:sz w:val="20"/>
          <w:szCs w:val="20"/>
          <w:lang w:val="es-ES_tradnl"/>
        </w:rPr>
        <w:t xml:space="preserve"> otras alteraciones </w:t>
      </w:r>
      <w:r w:rsidR="0081330E" w:rsidRPr="00414D91">
        <w:rPr>
          <w:rFonts w:asciiTheme="majorHAnsi" w:hAnsiTheme="majorHAnsi"/>
          <w:sz w:val="20"/>
          <w:szCs w:val="20"/>
          <w:lang w:val="es-ES_tradnl"/>
        </w:rPr>
        <w:t xml:space="preserve">al orden público </w:t>
      </w:r>
      <w:r w:rsidR="00F42752" w:rsidRPr="00414D91">
        <w:rPr>
          <w:rFonts w:asciiTheme="majorHAnsi" w:hAnsiTheme="majorHAnsi"/>
          <w:sz w:val="20"/>
          <w:szCs w:val="20"/>
          <w:lang w:val="es-ES_tradnl"/>
        </w:rPr>
        <w:t>que estaban ocurriendo en el dep</w:t>
      </w:r>
      <w:r w:rsidR="009F2403" w:rsidRPr="00414D91">
        <w:rPr>
          <w:rFonts w:asciiTheme="majorHAnsi" w:hAnsiTheme="majorHAnsi"/>
          <w:sz w:val="20"/>
          <w:szCs w:val="20"/>
          <w:lang w:val="es-ES_tradnl"/>
        </w:rPr>
        <w:t>artamento en septiembre de 2008</w:t>
      </w:r>
      <w:r w:rsidR="00F43BA5" w:rsidRPr="00414D91">
        <w:rPr>
          <w:rFonts w:asciiTheme="majorHAnsi" w:hAnsiTheme="majorHAnsi"/>
          <w:sz w:val="20"/>
          <w:szCs w:val="20"/>
          <w:lang w:val="es-ES_tradnl"/>
        </w:rPr>
        <w:t xml:space="preserve">. </w:t>
      </w:r>
      <w:r w:rsidRPr="00414D91">
        <w:rPr>
          <w:rFonts w:asciiTheme="majorHAnsi" w:hAnsiTheme="majorHAnsi"/>
          <w:sz w:val="20"/>
          <w:szCs w:val="20"/>
          <w:lang w:val="es-ES_tradnl"/>
        </w:rPr>
        <w:t>El Estado e</w:t>
      </w:r>
      <w:r w:rsidR="00F43BA5" w:rsidRPr="00414D91">
        <w:rPr>
          <w:rFonts w:asciiTheme="majorHAnsi" w:hAnsiTheme="majorHAnsi"/>
          <w:sz w:val="20"/>
          <w:szCs w:val="20"/>
          <w:lang w:val="es-ES_tradnl"/>
        </w:rPr>
        <w:t>xplica que fue en el marco de</w:t>
      </w:r>
      <w:r w:rsidR="00F42752" w:rsidRPr="00414D91">
        <w:rPr>
          <w:rFonts w:asciiTheme="majorHAnsi" w:hAnsiTheme="majorHAnsi"/>
          <w:sz w:val="20"/>
          <w:szCs w:val="20"/>
          <w:lang w:val="es-ES_tradnl"/>
        </w:rPr>
        <w:t xml:space="preserve"> este</w:t>
      </w:r>
      <w:r w:rsidR="00F43BA5" w:rsidRPr="00414D91">
        <w:rPr>
          <w:rFonts w:asciiTheme="majorHAnsi" w:hAnsiTheme="majorHAnsi"/>
          <w:sz w:val="20"/>
          <w:szCs w:val="20"/>
          <w:lang w:val="es-ES_tradnl"/>
        </w:rPr>
        <w:t xml:space="preserve"> estado de excepción y con fundamento en las normas que lo regían que se dictó el 16 de septiembre de 2008 una orden de confinamiento contra el peticionario por haber de </w:t>
      </w:r>
      <w:r w:rsidR="00F43BA5" w:rsidRPr="00414D91">
        <w:rPr>
          <w:rFonts w:asciiTheme="majorHAnsi" w:hAnsiTheme="majorHAnsi"/>
          <w:sz w:val="20"/>
          <w:szCs w:val="20"/>
          <w:lang w:val="es-ES_tradnl"/>
        </w:rPr>
        <w:lastRenderedPageBreak/>
        <w:t>manera pública y reiterada incumplido y resistido el estado de sitio, poniendo en riesgo la conservación del orden público.</w:t>
      </w:r>
    </w:p>
    <w:p w14:paraId="4D06C510" w14:textId="641805F7" w:rsidR="00E60188" w:rsidRPr="00414D91" w:rsidRDefault="00F43BA5" w:rsidP="00466170">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_tradnl"/>
        </w:rPr>
      </w:pPr>
      <w:r w:rsidRPr="00414D91">
        <w:rPr>
          <w:rFonts w:asciiTheme="majorHAnsi" w:hAnsiTheme="majorHAnsi"/>
          <w:sz w:val="20"/>
          <w:szCs w:val="20"/>
          <w:lang w:val="es-ES_tradnl"/>
        </w:rPr>
        <w:t xml:space="preserve"> Señala</w:t>
      </w:r>
      <w:r w:rsidR="00BE333D" w:rsidRPr="00414D91">
        <w:rPr>
          <w:rFonts w:asciiTheme="majorHAnsi" w:hAnsiTheme="majorHAnsi"/>
          <w:sz w:val="20"/>
          <w:szCs w:val="20"/>
          <w:lang w:val="es-ES_tradnl"/>
        </w:rPr>
        <w:t xml:space="preserve"> el Estado</w:t>
      </w:r>
      <w:r w:rsidRPr="00414D91">
        <w:rPr>
          <w:rFonts w:asciiTheme="majorHAnsi" w:hAnsiTheme="majorHAnsi"/>
          <w:sz w:val="20"/>
          <w:szCs w:val="20"/>
          <w:lang w:val="es-ES_tradnl"/>
        </w:rPr>
        <w:t xml:space="preserve"> que el 15 de septiembre de 2008 el Fisc</w:t>
      </w:r>
      <w:r w:rsidR="009F2403" w:rsidRPr="00414D91">
        <w:rPr>
          <w:rFonts w:asciiTheme="majorHAnsi" w:hAnsiTheme="majorHAnsi"/>
          <w:sz w:val="20"/>
          <w:szCs w:val="20"/>
          <w:lang w:val="es-ES_tradnl"/>
        </w:rPr>
        <w:t>al General de la República</w:t>
      </w:r>
      <w:r w:rsidR="00F42752" w:rsidRPr="00414D91">
        <w:rPr>
          <w:rFonts w:asciiTheme="majorHAnsi" w:hAnsiTheme="majorHAnsi"/>
          <w:sz w:val="20"/>
          <w:szCs w:val="20"/>
          <w:lang w:val="es-ES_tradnl"/>
        </w:rPr>
        <w:t xml:space="preserve"> había</w:t>
      </w:r>
      <w:r w:rsidRPr="00414D91">
        <w:rPr>
          <w:rFonts w:asciiTheme="majorHAnsi" w:hAnsiTheme="majorHAnsi"/>
          <w:sz w:val="20"/>
          <w:szCs w:val="20"/>
          <w:lang w:val="es-ES_tradnl"/>
        </w:rPr>
        <w:t xml:space="preserve"> iniciado</w:t>
      </w:r>
      <w:r w:rsidR="00E60188" w:rsidRPr="00414D91">
        <w:rPr>
          <w:rFonts w:asciiTheme="majorHAnsi" w:hAnsiTheme="majorHAnsi"/>
          <w:sz w:val="20"/>
          <w:szCs w:val="20"/>
          <w:lang w:val="es-ES_tradnl"/>
        </w:rPr>
        <w:t xml:space="preserve"> en forma oficiosa</w:t>
      </w:r>
      <w:r w:rsidRPr="00414D91">
        <w:rPr>
          <w:rFonts w:asciiTheme="majorHAnsi" w:hAnsiTheme="majorHAnsi"/>
          <w:sz w:val="20"/>
          <w:szCs w:val="20"/>
          <w:lang w:val="es-ES_tradnl"/>
        </w:rPr>
        <w:t xml:space="preserve"> investigaciones por genocidio contra el peticionario y que</w:t>
      </w:r>
      <w:r w:rsidR="00E60188" w:rsidRPr="00414D91">
        <w:rPr>
          <w:rFonts w:asciiTheme="majorHAnsi" w:hAnsiTheme="majorHAnsi"/>
          <w:sz w:val="20"/>
          <w:szCs w:val="20"/>
          <w:lang w:val="es-ES_tradnl"/>
        </w:rPr>
        <w:t xml:space="preserve"> el mismo día dos fiscales de la Fiscalía de Distrito de La Paz informaron al juez instructor de turno que habían iniciado investigaciones por los hechos ocurridos en Pando en razón a denuncias presentadas por las víctimas de esos hechos. </w:t>
      </w:r>
      <w:r w:rsidR="00BE333D" w:rsidRPr="00414D91">
        <w:rPr>
          <w:rFonts w:asciiTheme="majorHAnsi" w:hAnsiTheme="majorHAnsi"/>
          <w:sz w:val="20"/>
          <w:szCs w:val="20"/>
          <w:lang w:val="es-ES_tradnl"/>
        </w:rPr>
        <w:t xml:space="preserve">El </w:t>
      </w:r>
      <w:r w:rsidR="00F54EA1" w:rsidRPr="00414D91">
        <w:rPr>
          <w:rFonts w:asciiTheme="majorHAnsi" w:hAnsiTheme="majorHAnsi"/>
          <w:sz w:val="20"/>
          <w:szCs w:val="20"/>
          <w:lang w:val="es-ES_tradnl"/>
        </w:rPr>
        <w:t>E</w:t>
      </w:r>
      <w:r w:rsidR="00BE333D" w:rsidRPr="00414D91">
        <w:rPr>
          <w:rFonts w:asciiTheme="majorHAnsi" w:hAnsiTheme="majorHAnsi"/>
          <w:sz w:val="20"/>
          <w:szCs w:val="20"/>
          <w:lang w:val="es-ES_tradnl"/>
        </w:rPr>
        <w:t>stado indica</w:t>
      </w:r>
      <w:r w:rsidR="00E60188" w:rsidRPr="00414D91">
        <w:rPr>
          <w:rFonts w:asciiTheme="majorHAnsi" w:hAnsiTheme="majorHAnsi"/>
          <w:sz w:val="20"/>
          <w:szCs w:val="20"/>
          <w:lang w:val="es-ES_tradnl"/>
        </w:rPr>
        <w:t xml:space="preserve"> que </w:t>
      </w:r>
      <w:r w:rsidR="00F54EA1" w:rsidRPr="00414D91">
        <w:rPr>
          <w:rFonts w:asciiTheme="majorHAnsi" w:hAnsiTheme="majorHAnsi"/>
          <w:sz w:val="20"/>
          <w:szCs w:val="20"/>
          <w:lang w:val="es-ES_tradnl"/>
        </w:rPr>
        <w:t>al</w:t>
      </w:r>
      <w:r w:rsidR="00E60188" w:rsidRPr="00414D91">
        <w:rPr>
          <w:rFonts w:asciiTheme="majorHAnsi" w:hAnsiTheme="majorHAnsi"/>
          <w:sz w:val="20"/>
          <w:szCs w:val="20"/>
          <w:lang w:val="es-ES_tradnl"/>
        </w:rPr>
        <w:t xml:space="preserve"> día siguiente un fiscal emitió mandamiento de aprehensión contra el peticionario</w:t>
      </w:r>
      <w:r w:rsidR="00F54EA1" w:rsidRPr="00414D91">
        <w:rPr>
          <w:rFonts w:asciiTheme="majorHAnsi" w:hAnsiTheme="majorHAnsi"/>
          <w:sz w:val="20"/>
          <w:szCs w:val="20"/>
          <w:lang w:val="es-ES_tradnl"/>
        </w:rPr>
        <w:t>;</w:t>
      </w:r>
      <w:r w:rsidR="00E60188" w:rsidRPr="00414D91">
        <w:rPr>
          <w:rFonts w:asciiTheme="majorHAnsi" w:hAnsiTheme="majorHAnsi"/>
          <w:sz w:val="20"/>
          <w:szCs w:val="20"/>
          <w:lang w:val="es-ES_tradnl"/>
        </w:rPr>
        <w:t xml:space="preserve"> y </w:t>
      </w:r>
      <w:r w:rsidR="003A1F2D" w:rsidRPr="00414D91">
        <w:rPr>
          <w:rFonts w:asciiTheme="majorHAnsi" w:hAnsiTheme="majorHAnsi"/>
          <w:sz w:val="20"/>
          <w:szCs w:val="20"/>
          <w:lang w:val="es-ES_tradnl"/>
        </w:rPr>
        <w:t>que ese mismo día la Cámara de Diputados estableció</w:t>
      </w:r>
      <w:r w:rsidR="00F54EA1" w:rsidRPr="00414D91">
        <w:rPr>
          <w:rFonts w:asciiTheme="majorHAnsi" w:hAnsiTheme="majorHAnsi"/>
          <w:sz w:val="20"/>
          <w:szCs w:val="20"/>
          <w:lang w:val="es-ES_tradnl"/>
        </w:rPr>
        <w:t>,</w:t>
      </w:r>
      <w:r w:rsidR="003A1F2D" w:rsidRPr="00414D91">
        <w:rPr>
          <w:rFonts w:asciiTheme="majorHAnsi" w:hAnsiTheme="majorHAnsi"/>
          <w:sz w:val="20"/>
          <w:szCs w:val="20"/>
          <w:lang w:val="es-ES_tradnl"/>
        </w:rPr>
        <w:t xml:space="preserve"> conforme se lo permitía la ley, una Comisión Especial con Facultad de Ministerio Público para investigar las muertes ocurridas en Pando.</w:t>
      </w:r>
      <w:r w:rsidR="00252EB1" w:rsidRPr="00414D91">
        <w:rPr>
          <w:rFonts w:asciiTheme="majorHAnsi" w:hAnsiTheme="majorHAnsi"/>
          <w:sz w:val="20"/>
          <w:szCs w:val="20"/>
          <w:lang w:val="es-ES_tradnl"/>
        </w:rPr>
        <w:t xml:space="preserve"> </w:t>
      </w:r>
    </w:p>
    <w:p w14:paraId="4072C2F2" w14:textId="77777777" w:rsidR="00BE333D" w:rsidRPr="00414D91" w:rsidRDefault="00BE333D" w:rsidP="00466170">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_tradnl"/>
        </w:rPr>
      </w:pPr>
      <w:r w:rsidRPr="00414D91">
        <w:rPr>
          <w:rFonts w:asciiTheme="majorHAnsi" w:hAnsiTheme="majorHAnsi"/>
          <w:sz w:val="20"/>
          <w:szCs w:val="20"/>
          <w:lang w:val="es-ES_tradnl"/>
        </w:rPr>
        <w:t>Según sigue el relato del Estado,</w:t>
      </w:r>
      <w:r w:rsidR="009F2403" w:rsidRPr="00414D91">
        <w:rPr>
          <w:rFonts w:asciiTheme="majorHAnsi" w:hAnsiTheme="majorHAnsi"/>
          <w:sz w:val="20"/>
          <w:szCs w:val="20"/>
          <w:lang w:val="es-ES_tradnl"/>
        </w:rPr>
        <w:t xml:space="preserve"> </w:t>
      </w:r>
      <w:r w:rsidR="00F43BA5" w:rsidRPr="00414D91">
        <w:rPr>
          <w:rFonts w:asciiTheme="majorHAnsi" w:hAnsiTheme="majorHAnsi"/>
          <w:sz w:val="20"/>
          <w:szCs w:val="20"/>
          <w:lang w:val="es-ES_tradnl"/>
        </w:rPr>
        <w:t xml:space="preserve">al </w:t>
      </w:r>
      <w:r w:rsidR="001E5977" w:rsidRPr="00414D91">
        <w:rPr>
          <w:rFonts w:asciiTheme="majorHAnsi" w:hAnsiTheme="majorHAnsi"/>
          <w:sz w:val="20"/>
          <w:szCs w:val="20"/>
          <w:lang w:val="es-ES_tradnl"/>
        </w:rPr>
        <w:t>comunicársele la creación de la Comisión Especial el Fiscal General procedió el 17 de septiembre de 2008 a reconocer a ésta como la autoridad competente para la investigación y remitirle los antecedentes.</w:t>
      </w:r>
      <w:r w:rsidR="00267DE6" w:rsidRPr="00414D91">
        <w:rPr>
          <w:rFonts w:asciiTheme="majorHAnsi" w:hAnsiTheme="majorHAnsi"/>
          <w:sz w:val="20"/>
          <w:szCs w:val="20"/>
          <w:lang w:val="es-ES_tradnl"/>
        </w:rPr>
        <w:t xml:space="preserve"> </w:t>
      </w:r>
      <w:r w:rsidRPr="00414D91">
        <w:rPr>
          <w:rFonts w:asciiTheme="majorHAnsi" w:hAnsiTheme="majorHAnsi"/>
          <w:sz w:val="20"/>
          <w:szCs w:val="20"/>
          <w:lang w:val="es-ES_tradnl"/>
        </w:rPr>
        <w:t>E</w:t>
      </w:r>
      <w:r w:rsidR="00267DE6" w:rsidRPr="00414D91">
        <w:rPr>
          <w:rFonts w:asciiTheme="majorHAnsi" w:hAnsiTheme="majorHAnsi"/>
          <w:sz w:val="20"/>
          <w:szCs w:val="20"/>
          <w:lang w:val="es-ES_tradnl"/>
        </w:rPr>
        <w:t xml:space="preserve">se mismo día los fiscales asignados emitieron imputación formal contra el peticionario conllevando a un proceso dentro del cual se celebró una audiencia de medidas cautelares en la que se determinó la detención preventiva del imputado. </w:t>
      </w:r>
    </w:p>
    <w:p w14:paraId="53AD1D22" w14:textId="19FD3592" w:rsidR="0081330E" w:rsidRPr="00414D91" w:rsidRDefault="00BE333D" w:rsidP="00466170">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_tradnl"/>
        </w:rPr>
      </w:pPr>
      <w:r w:rsidRPr="00414D91">
        <w:rPr>
          <w:rFonts w:asciiTheme="majorHAnsi" w:hAnsiTheme="majorHAnsi"/>
          <w:sz w:val="20"/>
          <w:szCs w:val="20"/>
          <w:lang w:val="es-ES_tradnl"/>
        </w:rPr>
        <w:t>El Estado s</w:t>
      </w:r>
      <w:r w:rsidR="00267DE6" w:rsidRPr="00414D91">
        <w:rPr>
          <w:rFonts w:asciiTheme="majorHAnsi" w:hAnsiTheme="majorHAnsi"/>
          <w:sz w:val="20"/>
          <w:szCs w:val="20"/>
          <w:lang w:val="es-ES_tradnl"/>
        </w:rPr>
        <w:t xml:space="preserve">eñala que el peticionario interpuso una acción de </w:t>
      </w:r>
      <w:r w:rsidR="00E34EDF" w:rsidRPr="00414D91">
        <w:rPr>
          <w:rFonts w:asciiTheme="majorHAnsi" w:hAnsiTheme="majorHAnsi"/>
          <w:sz w:val="20"/>
          <w:szCs w:val="20"/>
          <w:lang w:val="es-ES_tradnl"/>
        </w:rPr>
        <w:t>hábeas</w:t>
      </w:r>
      <w:r w:rsidR="00267DE6" w:rsidRPr="00414D91">
        <w:rPr>
          <w:rFonts w:asciiTheme="majorHAnsi" w:hAnsiTheme="majorHAnsi"/>
          <w:sz w:val="20"/>
          <w:szCs w:val="20"/>
          <w:lang w:val="es-ES_tradnl"/>
        </w:rPr>
        <w:t xml:space="preserve"> corpus en procura de su libertad la cual fue declarada improcedente el 18 de septiembre de 2008 por la Sala Penal Tercera de la Corte Superior de Distrito de La Paz; decisión que fue luego confirmada en revisión mediante sentencia constitucional del 25 de octubre de 2008, entre otras razones, porque el solicitante no había agotado los mecanismos ordinarios de protección de los derechos fundamentales.</w:t>
      </w:r>
      <w:r w:rsidR="00EA6B36" w:rsidRPr="00414D91">
        <w:rPr>
          <w:rFonts w:asciiTheme="majorHAnsi" w:hAnsiTheme="majorHAnsi"/>
          <w:sz w:val="20"/>
          <w:szCs w:val="20"/>
          <w:lang w:val="es-ES_tradnl"/>
        </w:rPr>
        <w:t xml:space="preserve"> </w:t>
      </w:r>
      <w:r w:rsidRPr="00414D91">
        <w:rPr>
          <w:rFonts w:asciiTheme="majorHAnsi" w:hAnsiTheme="majorHAnsi"/>
          <w:sz w:val="20"/>
          <w:szCs w:val="20"/>
          <w:lang w:val="es-ES_tradnl"/>
        </w:rPr>
        <w:t>E</w:t>
      </w:r>
      <w:r w:rsidR="00EA6B36" w:rsidRPr="00414D91">
        <w:rPr>
          <w:rFonts w:asciiTheme="majorHAnsi" w:hAnsiTheme="majorHAnsi"/>
          <w:sz w:val="20"/>
          <w:szCs w:val="20"/>
          <w:lang w:val="es-ES_tradnl"/>
        </w:rPr>
        <w:t xml:space="preserve">l 24 de octubre de 2008 el peticionario presentó otra acción de </w:t>
      </w:r>
      <w:r w:rsidR="00E34EDF" w:rsidRPr="00414D91">
        <w:rPr>
          <w:rFonts w:asciiTheme="majorHAnsi" w:hAnsiTheme="majorHAnsi"/>
          <w:sz w:val="20"/>
          <w:szCs w:val="20"/>
          <w:lang w:val="es-ES_tradnl"/>
        </w:rPr>
        <w:t>hábeas</w:t>
      </w:r>
      <w:r w:rsidR="00EA6B36" w:rsidRPr="00414D91">
        <w:rPr>
          <w:rFonts w:asciiTheme="majorHAnsi" w:hAnsiTheme="majorHAnsi"/>
          <w:sz w:val="20"/>
          <w:szCs w:val="20"/>
          <w:lang w:val="es-ES_tradnl"/>
        </w:rPr>
        <w:t xml:space="preserve"> corpus resultando en que inicialmente la Sala Penal de la Corte Superior de Distrito de Chuquisaca concediera la tutela solicitada. Aclara que, sin embargo, esta decisión fue objeto de recursos e impugnaciones por parte del Fiscal General de la Nación y el director del centro penal en que se encontraba recluido el peticionario; siendo finalmente la decisión revocada por el Tribunal Constitucional en sede de revisión el 10 de noviembre de 2010. </w:t>
      </w:r>
      <w:r w:rsidR="001E5977" w:rsidRPr="00414D91">
        <w:rPr>
          <w:rFonts w:asciiTheme="majorHAnsi" w:hAnsiTheme="majorHAnsi"/>
          <w:sz w:val="20"/>
          <w:szCs w:val="20"/>
          <w:lang w:val="es-ES_tradnl"/>
        </w:rPr>
        <w:t xml:space="preserve"> </w:t>
      </w:r>
      <w:r w:rsidR="00EA6B36" w:rsidRPr="00414D91">
        <w:rPr>
          <w:rFonts w:asciiTheme="majorHAnsi" w:hAnsiTheme="majorHAnsi"/>
          <w:sz w:val="20"/>
          <w:szCs w:val="20"/>
          <w:lang w:val="es-ES_tradnl"/>
        </w:rPr>
        <w:t>Destaca además</w:t>
      </w:r>
      <w:r w:rsidRPr="00414D91">
        <w:rPr>
          <w:rFonts w:asciiTheme="majorHAnsi" w:hAnsiTheme="majorHAnsi"/>
          <w:sz w:val="20"/>
          <w:szCs w:val="20"/>
          <w:lang w:val="es-ES_tradnl"/>
        </w:rPr>
        <w:t xml:space="preserve"> </w:t>
      </w:r>
      <w:r w:rsidR="001E5977" w:rsidRPr="00414D91">
        <w:rPr>
          <w:rFonts w:asciiTheme="majorHAnsi" w:hAnsiTheme="majorHAnsi"/>
          <w:sz w:val="20"/>
          <w:szCs w:val="20"/>
          <w:lang w:val="es-ES_tradnl"/>
        </w:rPr>
        <w:t>que el 24 de septiembre de 2009 la Comisión Especial emitió un informe conclusivo dejando establecido que su actuar correspondió al de cabeza de Ministerio Público en una investigación de un proceso penal ordinario</w:t>
      </w:r>
      <w:r w:rsidRPr="00414D91">
        <w:rPr>
          <w:rFonts w:asciiTheme="majorHAnsi" w:hAnsiTheme="majorHAnsi"/>
          <w:sz w:val="20"/>
          <w:szCs w:val="20"/>
          <w:lang w:val="es-ES_tradnl"/>
        </w:rPr>
        <w:t>,</w:t>
      </w:r>
      <w:r w:rsidR="001E5977" w:rsidRPr="00414D91">
        <w:rPr>
          <w:rFonts w:asciiTheme="majorHAnsi" w:hAnsiTheme="majorHAnsi"/>
          <w:sz w:val="20"/>
          <w:szCs w:val="20"/>
          <w:lang w:val="es-ES_tradnl"/>
        </w:rPr>
        <w:t xml:space="preserve"> pues las conductas delictivas en las que el peticionario había incurrido no encajaban en las descritas en la norma que rige el proceso especial de responsabilidades para altos funcionarios públicos</w:t>
      </w:r>
      <w:r w:rsidR="00F73385" w:rsidRPr="00414D91">
        <w:rPr>
          <w:rFonts w:asciiTheme="majorHAnsi" w:hAnsiTheme="majorHAnsi"/>
          <w:sz w:val="20"/>
          <w:szCs w:val="20"/>
          <w:lang w:val="es-ES_tradnl"/>
        </w:rPr>
        <w:t>,</w:t>
      </w:r>
      <w:r w:rsidR="001E5977" w:rsidRPr="00414D91">
        <w:rPr>
          <w:rFonts w:asciiTheme="majorHAnsi" w:hAnsiTheme="majorHAnsi"/>
          <w:sz w:val="20"/>
          <w:szCs w:val="20"/>
          <w:lang w:val="es-ES_tradnl"/>
        </w:rPr>
        <w:t xml:space="preserve"> tales como prefectos de departamento. El informe también concluyó que existían elementos de convicción suficientes para determinar que se conformaron grupos de personas para la </w:t>
      </w:r>
      <w:r w:rsidR="00F73385" w:rsidRPr="00414D91">
        <w:rPr>
          <w:rFonts w:asciiTheme="majorHAnsi" w:hAnsiTheme="majorHAnsi"/>
          <w:sz w:val="20"/>
          <w:szCs w:val="20"/>
          <w:lang w:val="es-ES_tradnl"/>
        </w:rPr>
        <w:t>c</w:t>
      </w:r>
      <w:r w:rsidR="001E5977" w:rsidRPr="00414D91">
        <w:rPr>
          <w:rFonts w:asciiTheme="majorHAnsi" w:hAnsiTheme="majorHAnsi"/>
          <w:sz w:val="20"/>
          <w:szCs w:val="20"/>
          <w:lang w:val="es-ES_tradnl"/>
        </w:rPr>
        <w:t xml:space="preserve">omisión de hechos delictivos en Pando. </w:t>
      </w:r>
    </w:p>
    <w:p w14:paraId="1887C838" w14:textId="6677EA10" w:rsidR="00C01538" w:rsidRPr="00414D91" w:rsidRDefault="00C01538" w:rsidP="00466170">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_tradnl"/>
        </w:rPr>
      </w:pPr>
      <w:r w:rsidRPr="00414D91">
        <w:rPr>
          <w:rFonts w:asciiTheme="majorHAnsi" w:hAnsiTheme="majorHAnsi"/>
          <w:sz w:val="20"/>
          <w:szCs w:val="20"/>
          <w:lang w:val="es-ES_tradnl"/>
        </w:rPr>
        <w:t xml:space="preserve">El Estado </w:t>
      </w:r>
      <w:r w:rsidR="00F73385" w:rsidRPr="00414D91">
        <w:rPr>
          <w:rFonts w:asciiTheme="majorHAnsi" w:hAnsiTheme="majorHAnsi"/>
          <w:sz w:val="20"/>
          <w:szCs w:val="20"/>
          <w:lang w:val="es-ES_tradnl"/>
        </w:rPr>
        <w:t xml:space="preserve">también </w:t>
      </w:r>
      <w:r w:rsidRPr="00414D91">
        <w:rPr>
          <w:rFonts w:asciiTheme="majorHAnsi" w:hAnsiTheme="majorHAnsi"/>
          <w:sz w:val="20"/>
          <w:szCs w:val="20"/>
          <w:lang w:val="es-ES_tradnl"/>
        </w:rPr>
        <w:t>sostiene</w:t>
      </w:r>
      <w:r w:rsidR="00EA6B36" w:rsidRPr="00414D91">
        <w:rPr>
          <w:rFonts w:asciiTheme="majorHAnsi" w:hAnsiTheme="majorHAnsi"/>
          <w:sz w:val="20"/>
          <w:szCs w:val="20"/>
          <w:lang w:val="es-ES_tradnl"/>
        </w:rPr>
        <w:t xml:space="preserve"> que la petición debe ser inadmitida con fundamento en el artículo 46.1</w:t>
      </w:r>
      <w:r w:rsidR="00F73385" w:rsidRPr="00414D91">
        <w:rPr>
          <w:rFonts w:asciiTheme="majorHAnsi" w:hAnsiTheme="majorHAnsi"/>
          <w:sz w:val="20"/>
          <w:szCs w:val="20"/>
          <w:lang w:val="es-ES_tradnl"/>
        </w:rPr>
        <w:t>.</w:t>
      </w:r>
      <w:r w:rsidR="00EA6B36" w:rsidRPr="00414D91">
        <w:rPr>
          <w:rFonts w:asciiTheme="majorHAnsi" w:hAnsiTheme="majorHAnsi"/>
          <w:sz w:val="20"/>
          <w:szCs w:val="20"/>
          <w:lang w:val="es-ES_tradnl"/>
        </w:rPr>
        <w:t xml:space="preserve">a) de la Convención Americana </w:t>
      </w:r>
      <w:r w:rsidR="00E63037" w:rsidRPr="00414D91">
        <w:rPr>
          <w:rFonts w:asciiTheme="majorHAnsi" w:hAnsiTheme="majorHAnsi"/>
          <w:sz w:val="20"/>
          <w:szCs w:val="20"/>
          <w:lang w:val="es-ES_tradnl"/>
        </w:rPr>
        <w:t>debido a</w:t>
      </w:r>
      <w:r w:rsidR="00EA6B36" w:rsidRPr="00414D91">
        <w:rPr>
          <w:rFonts w:asciiTheme="majorHAnsi" w:hAnsiTheme="majorHAnsi"/>
          <w:sz w:val="20"/>
          <w:szCs w:val="20"/>
          <w:lang w:val="es-ES_tradnl"/>
        </w:rPr>
        <w:t xml:space="preserve"> que el peticionario no ha cumplido con el requisito de debido agotamiento de los recursos internos. Con respecto a la supuesta detención y confinamiento indebidos, señala que la acción</w:t>
      </w:r>
      <w:r w:rsidR="00606E3C" w:rsidRPr="00414D91">
        <w:rPr>
          <w:rFonts w:asciiTheme="majorHAnsi" w:hAnsiTheme="majorHAnsi"/>
          <w:sz w:val="20"/>
          <w:szCs w:val="20"/>
          <w:lang w:val="es-ES_tradnl"/>
        </w:rPr>
        <w:t xml:space="preserve"> constitucional</w:t>
      </w:r>
      <w:r w:rsidR="00EA6B36" w:rsidRPr="00414D91">
        <w:rPr>
          <w:rFonts w:asciiTheme="majorHAnsi" w:hAnsiTheme="majorHAnsi"/>
          <w:sz w:val="20"/>
          <w:szCs w:val="20"/>
          <w:lang w:val="es-ES_tradnl"/>
        </w:rPr>
        <w:t xml:space="preserve"> de </w:t>
      </w:r>
      <w:r w:rsidR="00E34EDF" w:rsidRPr="00414D91">
        <w:rPr>
          <w:rFonts w:asciiTheme="majorHAnsi" w:hAnsiTheme="majorHAnsi"/>
          <w:sz w:val="20"/>
          <w:szCs w:val="20"/>
          <w:lang w:val="es-ES_tradnl"/>
        </w:rPr>
        <w:t>hábeas</w:t>
      </w:r>
      <w:r w:rsidR="00EA6B36" w:rsidRPr="00414D91">
        <w:rPr>
          <w:rFonts w:asciiTheme="majorHAnsi" w:hAnsiTheme="majorHAnsi"/>
          <w:sz w:val="20"/>
          <w:szCs w:val="20"/>
          <w:lang w:val="es-ES_tradnl"/>
        </w:rPr>
        <w:t xml:space="preserve"> corpus está concebida como una acción subsidiaria en el ordenamiento boliviano</w:t>
      </w:r>
      <w:r w:rsidR="00606E3C" w:rsidRPr="00414D91">
        <w:rPr>
          <w:rFonts w:asciiTheme="majorHAnsi" w:hAnsiTheme="majorHAnsi"/>
          <w:sz w:val="20"/>
          <w:szCs w:val="20"/>
          <w:lang w:val="es-ES_tradnl"/>
        </w:rPr>
        <w:t>,</w:t>
      </w:r>
      <w:r w:rsidR="00EA6B36" w:rsidRPr="00414D91">
        <w:rPr>
          <w:rFonts w:asciiTheme="majorHAnsi" w:hAnsiTheme="majorHAnsi"/>
          <w:sz w:val="20"/>
          <w:szCs w:val="20"/>
          <w:lang w:val="es-ES_tradnl"/>
        </w:rPr>
        <w:t xml:space="preserve"> por lo que el peticionario debió impugnar la privación de su libertad median</w:t>
      </w:r>
      <w:r w:rsidR="00606E3C" w:rsidRPr="00414D91">
        <w:rPr>
          <w:rFonts w:asciiTheme="majorHAnsi" w:hAnsiTheme="majorHAnsi"/>
          <w:sz w:val="20"/>
          <w:szCs w:val="20"/>
          <w:lang w:val="es-ES_tradnl"/>
        </w:rPr>
        <w:t>te los mecanismos ordinarios en lugar de interponer directamente la acción constitucional. Destaca que el peticionario tuvo la oportunidad de denunciar la</w:t>
      </w:r>
      <w:r w:rsidR="009F2403" w:rsidRPr="00414D91">
        <w:rPr>
          <w:rFonts w:asciiTheme="majorHAnsi" w:hAnsiTheme="majorHAnsi"/>
          <w:sz w:val="20"/>
          <w:szCs w:val="20"/>
          <w:lang w:val="es-ES_tradnl"/>
        </w:rPr>
        <w:t>s</w:t>
      </w:r>
      <w:r w:rsidR="00606E3C" w:rsidRPr="00414D91">
        <w:rPr>
          <w:rFonts w:asciiTheme="majorHAnsi" w:hAnsiTheme="majorHAnsi"/>
          <w:sz w:val="20"/>
          <w:szCs w:val="20"/>
          <w:lang w:val="es-ES_tradnl"/>
        </w:rPr>
        <w:t xml:space="preserve"> supuestas ilegalidades cometidas en su detención ante los distintos jueces de instrucción y cautelares que ejercieron funciones de control durante el pr</w:t>
      </w:r>
      <w:r w:rsidR="00234729" w:rsidRPr="00414D91">
        <w:rPr>
          <w:rFonts w:asciiTheme="majorHAnsi" w:hAnsiTheme="majorHAnsi"/>
          <w:sz w:val="20"/>
          <w:szCs w:val="20"/>
          <w:lang w:val="es-ES_tradnl"/>
        </w:rPr>
        <w:t>oceso en su contra; cosa que no</w:t>
      </w:r>
      <w:r w:rsidR="00606E3C" w:rsidRPr="00414D91">
        <w:rPr>
          <w:rFonts w:asciiTheme="majorHAnsi" w:hAnsiTheme="majorHAnsi"/>
          <w:sz w:val="20"/>
          <w:szCs w:val="20"/>
          <w:lang w:val="es-ES_tradnl"/>
        </w:rPr>
        <w:t xml:space="preserve"> hizo quedando así evidenciado el incumplimiento del requisito de agotamiento de los recursos internos. En específico, señala que el</w:t>
      </w:r>
      <w:r w:rsidR="00023F19" w:rsidRPr="00414D91">
        <w:rPr>
          <w:rFonts w:asciiTheme="majorHAnsi" w:hAnsiTheme="majorHAnsi"/>
          <w:sz w:val="20"/>
          <w:szCs w:val="20"/>
          <w:lang w:val="es-ES_tradnl"/>
        </w:rPr>
        <w:t xml:space="preserve"> peticionario omitió plantear </w:t>
      </w:r>
      <w:r w:rsidR="00606E3C" w:rsidRPr="00414D91">
        <w:rPr>
          <w:rFonts w:asciiTheme="majorHAnsi" w:hAnsiTheme="majorHAnsi"/>
          <w:sz w:val="20"/>
          <w:szCs w:val="20"/>
          <w:lang w:val="es-ES_tradnl"/>
        </w:rPr>
        <w:t>ante estos jueces las excepciones de</w:t>
      </w:r>
      <w:r w:rsidR="00023F19" w:rsidRPr="00414D91">
        <w:rPr>
          <w:rFonts w:asciiTheme="majorHAnsi" w:hAnsiTheme="majorHAnsi"/>
          <w:sz w:val="20"/>
          <w:szCs w:val="20"/>
          <w:lang w:val="es-ES_tradnl"/>
        </w:rPr>
        <w:t xml:space="preserve"> incompetencia y litispendencia, así como</w:t>
      </w:r>
      <w:r w:rsidR="00606E3C" w:rsidRPr="00414D91">
        <w:rPr>
          <w:rFonts w:asciiTheme="majorHAnsi" w:hAnsiTheme="majorHAnsi"/>
          <w:sz w:val="20"/>
          <w:szCs w:val="20"/>
          <w:lang w:val="es-ES_tradnl"/>
        </w:rPr>
        <w:t xml:space="preserve"> el incidente de actividad procesal defectuosa</w:t>
      </w:r>
      <w:r w:rsidR="00023F19" w:rsidRPr="00414D91">
        <w:rPr>
          <w:rFonts w:asciiTheme="majorHAnsi" w:hAnsiTheme="majorHAnsi"/>
          <w:sz w:val="20"/>
          <w:szCs w:val="20"/>
          <w:lang w:val="es-ES_tradnl"/>
        </w:rPr>
        <w:t xml:space="preserve"> y el conflicto de competencia. </w:t>
      </w:r>
    </w:p>
    <w:p w14:paraId="5D1FE4E0" w14:textId="0CA113BB" w:rsidR="004304F0" w:rsidRPr="00414D91" w:rsidRDefault="00495441" w:rsidP="00466170">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_tradnl"/>
        </w:rPr>
      </w:pPr>
      <w:r w:rsidRPr="00414D91">
        <w:rPr>
          <w:rFonts w:asciiTheme="majorHAnsi" w:hAnsiTheme="majorHAnsi"/>
          <w:sz w:val="20"/>
          <w:szCs w:val="20"/>
          <w:lang w:val="es-ES_tradnl"/>
        </w:rPr>
        <w:t>E</w:t>
      </w:r>
      <w:r w:rsidR="00C01538" w:rsidRPr="00414D91">
        <w:rPr>
          <w:rFonts w:asciiTheme="majorHAnsi" w:hAnsiTheme="majorHAnsi"/>
          <w:sz w:val="20"/>
          <w:szCs w:val="20"/>
          <w:lang w:val="es-ES_tradnl"/>
        </w:rPr>
        <w:t>l Estado</w:t>
      </w:r>
      <w:r w:rsidR="00023F19" w:rsidRPr="00414D91">
        <w:rPr>
          <w:rFonts w:asciiTheme="majorHAnsi" w:hAnsiTheme="majorHAnsi"/>
          <w:sz w:val="20"/>
          <w:szCs w:val="20"/>
          <w:lang w:val="es-ES_tradnl"/>
        </w:rPr>
        <w:t xml:space="preserve"> </w:t>
      </w:r>
      <w:r w:rsidRPr="00414D91">
        <w:rPr>
          <w:rFonts w:asciiTheme="majorHAnsi" w:hAnsiTheme="majorHAnsi"/>
          <w:sz w:val="20"/>
          <w:szCs w:val="20"/>
          <w:lang w:val="es-ES_tradnl"/>
        </w:rPr>
        <w:t xml:space="preserve">alega </w:t>
      </w:r>
      <w:r w:rsidR="00023F19" w:rsidRPr="00414D91">
        <w:rPr>
          <w:rFonts w:asciiTheme="majorHAnsi" w:hAnsiTheme="majorHAnsi"/>
          <w:sz w:val="20"/>
          <w:szCs w:val="20"/>
          <w:lang w:val="es-ES_tradnl"/>
        </w:rPr>
        <w:t xml:space="preserve">que </w:t>
      </w:r>
      <w:r w:rsidR="00C01538" w:rsidRPr="00414D91">
        <w:rPr>
          <w:rFonts w:asciiTheme="majorHAnsi" w:hAnsiTheme="majorHAnsi"/>
          <w:sz w:val="20"/>
          <w:szCs w:val="20"/>
          <w:lang w:val="es-ES_tradnl"/>
        </w:rPr>
        <w:t>los</w:t>
      </w:r>
      <w:r w:rsidR="00023F19" w:rsidRPr="00414D91">
        <w:rPr>
          <w:rFonts w:asciiTheme="majorHAnsi" w:hAnsiTheme="majorHAnsi"/>
          <w:sz w:val="20"/>
          <w:szCs w:val="20"/>
          <w:lang w:val="es-ES_tradnl"/>
        </w:rPr>
        <w:t xml:space="preserve"> recursos</w:t>
      </w:r>
      <w:r w:rsidR="00C01538" w:rsidRPr="00414D91">
        <w:rPr>
          <w:rFonts w:asciiTheme="majorHAnsi" w:hAnsiTheme="majorHAnsi"/>
          <w:sz w:val="20"/>
          <w:szCs w:val="20"/>
          <w:lang w:val="es-ES_tradnl"/>
        </w:rPr>
        <w:t xml:space="preserve"> arribas referidos</w:t>
      </w:r>
      <w:r w:rsidR="00023F19" w:rsidRPr="00414D91">
        <w:rPr>
          <w:rFonts w:asciiTheme="majorHAnsi" w:hAnsiTheme="majorHAnsi"/>
          <w:sz w:val="20"/>
          <w:szCs w:val="20"/>
          <w:lang w:val="es-ES_tradnl"/>
        </w:rPr>
        <w:t>, de haber sido interpuestos oportunamente,</w:t>
      </w:r>
      <w:r w:rsidR="00606E3C" w:rsidRPr="00414D91">
        <w:rPr>
          <w:rFonts w:asciiTheme="majorHAnsi" w:hAnsiTheme="majorHAnsi"/>
          <w:sz w:val="20"/>
          <w:szCs w:val="20"/>
          <w:lang w:val="es-ES_tradnl"/>
        </w:rPr>
        <w:t xml:space="preserve"> </w:t>
      </w:r>
      <w:r w:rsidR="00023F19" w:rsidRPr="00414D91">
        <w:rPr>
          <w:rFonts w:asciiTheme="majorHAnsi" w:hAnsiTheme="majorHAnsi"/>
          <w:sz w:val="20"/>
          <w:szCs w:val="20"/>
          <w:lang w:val="es-ES_tradnl"/>
        </w:rPr>
        <w:t>hubiesen resultado idóneos para remediar los supuestos agravios planteados en la petición y añade que en caso de que los recursos no se hubiesen resuelto a su favor</w:t>
      </w:r>
      <w:r w:rsidRPr="00414D91">
        <w:rPr>
          <w:rFonts w:asciiTheme="majorHAnsi" w:hAnsiTheme="majorHAnsi"/>
          <w:sz w:val="20"/>
          <w:szCs w:val="20"/>
          <w:lang w:val="es-ES_tradnl"/>
        </w:rPr>
        <w:t>,</w:t>
      </w:r>
      <w:r w:rsidR="00023F19" w:rsidRPr="00414D91">
        <w:rPr>
          <w:rFonts w:asciiTheme="majorHAnsi" w:hAnsiTheme="majorHAnsi"/>
          <w:sz w:val="20"/>
          <w:szCs w:val="20"/>
          <w:lang w:val="es-ES_tradnl"/>
        </w:rPr>
        <w:t xml:space="preserve"> el peticionario hubiera podido recurrir esas decisiones mediante el recurso de apelación incidental. A</w:t>
      </w:r>
      <w:r w:rsidR="00C01538" w:rsidRPr="00414D91">
        <w:rPr>
          <w:rFonts w:asciiTheme="majorHAnsi" w:hAnsiTheme="majorHAnsi"/>
          <w:sz w:val="20"/>
          <w:szCs w:val="20"/>
          <w:lang w:val="es-ES_tradnl"/>
        </w:rPr>
        <w:t xml:space="preserve"> ello agrega</w:t>
      </w:r>
      <w:r w:rsidR="00023F19" w:rsidRPr="00414D91">
        <w:rPr>
          <w:rFonts w:asciiTheme="majorHAnsi" w:hAnsiTheme="majorHAnsi"/>
          <w:sz w:val="20"/>
          <w:szCs w:val="20"/>
          <w:lang w:val="es-ES_tradnl"/>
        </w:rPr>
        <w:t xml:space="preserve"> que el peticionario intentó plantear la excepción de incompetencia por razón del territorio de forma extemporánea en la etapa de juicio</w:t>
      </w:r>
      <w:r w:rsidRPr="00414D91">
        <w:rPr>
          <w:rFonts w:asciiTheme="majorHAnsi" w:hAnsiTheme="majorHAnsi"/>
          <w:sz w:val="20"/>
          <w:szCs w:val="20"/>
          <w:lang w:val="es-ES_tradnl"/>
        </w:rPr>
        <w:t>,</w:t>
      </w:r>
      <w:r w:rsidR="00023F19" w:rsidRPr="00414D91">
        <w:rPr>
          <w:rFonts w:asciiTheme="majorHAnsi" w:hAnsiTheme="majorHAnsi"/>
          <w:sz w:val="20"/>
          <w:szCs w:val="20"/>
          <w:lang w:val="es-ES_tradnl"/>
        </w:rPr>
        <w:t xml:space="preserve"> en contravención al </w:t>
      </w:r>
      <w:r w:rsidR="00C01538" w:rsidRPr="00414D91">
        <w:rPr>
          <w:rFonts w:asciiTheme="majorHAnsi" w:hAnsiTheme="majorHAnsi"/>
          <w:sz w:val="20"/>
          <w:szCs w:val="20"/>
          <w:lang w:val="es-ES_tradnl"/>
        </w:rPr>
        <w:t>C</w:t>
      </w:r>
      <w:r w:rsidR="00023F19" w:rsidRPr="00414D91">
        <w:rPr>
          <w:rFonts w:asciiTheme="majorHAnsi" w:hAnsiTheme="majorHAnsi"/>
          <w:sz w:val="20"/>
          <w:szCs w:val="20"/>
          <w:lang w:val="es-ES_tradnl"/>
        </w:rPr>
        <w:t xml:space="preserve">ódigo </w:t>
      </w:r>
      <w:r w:rsidR="00C01538" w:rsidRPr="00414D91">
        <w:rPr>
          <w:rFonts w:asciiTheme="majorHAnsi" w:hAnsiTheme="majorHAnsi"/>
          <w:sz w:val="20"/>
          <w:szCs w:val="20"/>
          <w:lang w:val="es-ES_tradnl"/>
        </w:rPr>
        <w:t>P</w:t>
      </w:r>
      <w:r w:rsidR="00023F19" w:rsidRPr="00414D91">
        <w:rPr>
          <w:rFonts w:asciiTheme="majorHAnsi" w:hAnsiTheme="majorHAnsi"/>
          <w:sz w:val="20"/>
          <w:szCs w:val="20"/>
          <w:lang w:val="es-ES_tradnl"/>
        </w:rPr>
        <w:t xml:space="preserve">rocesal </w:t>
      </w:r>
      <w:r w:rsidR="00C01538" w:rsidRPr="00414D91">
        <w:rPr>
          <w:rFonts w:asciiTheme="majorHAnsi" w:hAnsiTheme="majorHAnsi"/>
          <w:sz w:val="20"/>
          <w:szCs w:val="20"/>
          <w:lang w:val="es-ES_tradnl"/>
        </w:rPr>
        <w:t>P</w:t>
      </w:r>
      <w:r w:rsidR="00023F19" w:rsidRPr="00414D91">
        <w:rPr>
          <w:rFonts w:asciiTheme="majorHAnsi" w:hAnsiTheme="majorHAnsi"/>
          <w:sz w:val="20"/>
          <w:szCs w:val="20"/>
          <w:lang w:val="es-ES_tradnl"/>
        </w:rPr>
        <w:t>enal que establece que “</w:t>
      </w:r>
      <w:r w:rsidR="00023F19" w:rsidRPr="00414D91">
        <w:rPr>
          <w:rFonts w:asciiTheme="majorHAnsi" w:hAnsiTheme="majorHAnsi"/>
          <w:i/>
          <w:iCs/>
          <w:sz w:val="20"/>
          <w:szCs w:val="20"/>
          <w:lang w:val="es-ES_tradnl"/>
        </w:rPr>
        <w:t>la competencia territorial de un juez o tribunal de sentencia no podrá ser objetada ni modificada una vez señalada la audiencia del juicio</w:t>
      </w:r>
      <w:r w:rsidR="00023F19" w:rsidRPr="00414D91">
        <w:rPr>
          <w:rFonts w:asciiTheme="majorHAnsi" w:hAnsiTheme="majorHAnsi"/>
          <w:sz w:val="20"/>
          <w:szCs w:val="20"/>
          <w:lang w:val="es-ES_tradnl"/>
        </w:rPr>
        <w:t xml:space="preserve">”. </w:t>
      </w:r>
      <w:r w:rsidR="004304F0" w:rsidRPr="00414D91">
        <w:rPr>
          <w:rFonts w:asciiTheme="majorHAnsi" w:hAnsiTheme="majorHAnsi"/>
          <w:sz w:val="20"/>
          <w:szCs w:val="20"/>
          <w:lang w:val="es-ES_tradnl"/>
        </w:rPr>
        <w:t>Destaca</w:t>
      </w:r>
      <w:r w:rsidR="004373BF" w:rsidRPr="00414D91">
        <w:rPr>
          <w:rFonts w:asciiTheme="majorHAnsi" w:hAnsiTheme="majorHAnsi"/>
          <w:sz w:val="20"/>
          <w:szCs w:val="20"/>
          <w:lang w:val="es-ES_tradnl"/>
        </w:rPr>
        <w:t xml:space="preserve"> también</w:t>
      </w:r>
      <w:r w:rsidR="004304F0" w:rsidRPr="00414D91">
        <w:rPr>
          <w:rFonts w:asciiTheme="majorHAnsi" w:hAnsiTheme="majorHAnsi"/>
          <w:sz w:val="20"/>
          <w:szCs w:val="20"/>
          <w:lang w:val="es-ES_tradnl"/>
        </w:rPr>
        <w:t xml:space="preserve"> que el primer recurso de </w:t>
      </w:r>
      <w:r w:rsidR="00E34EDF" w:rsidRPr="00414D91">
        <w:rPr>
          <w:rFonts w:asciiTheme="majorHAnsi" w:hAnsiTheme="majorHAnsi"/>
          <w:sz w:val="20"/>
          <w:szCs w:val="20"/>
          <w:lang w:val="es-ES_tradnl"/>
        </w:rPr>
        <w:t>hábeas</w:t>
      </w:r>
      <w:r w:rsidR="004304F0" w:rsidRPr="00414D91">
        <w:rPr>
          <w:rFonts w:asciiTheme="majorHAnsi" w:hAnsiTheme="majorHAnsi"/>
          <w:sz w:val="20"/>
          <w:szCs w:val="20"/>
          <w:lang w:val="es-ES_tradnl"/>
        </w:rPr>
        <w:t xml:space="preserve"> corpus presentado por el p</w:t>
      </w:r>
      <w:r w:rsidR="00052E70" w:rsidRPr="00414D91">
        <w:rPr>
          <w:rFonts w:asciiTheme="majorHAnsi" w:hAnsiTheme="majorHAnsi"/>
          <w:sz w:val="20"/>
          <w:szCs w:val="20"/>
          <w:lang w:val="es-ES_tradnl"/>
        </w:rPr>
        <w:t xml:space="preserve">eticionario fue mal interpuesto </w:t>
      </w:r>
      <w:r w:rsidR="002314DC" w:rsidRPr="00414D91">
        <w:rPr>
          <w:rFonts w:asciiTheme="majorHAnsi" w:hAnsiTheme="majorHAnsi"/>
          <w:sz w:val="20"/>
          <w:szCs w:val="20"/>
          <w:lang w:val="es-ES_tradnl"/>
        </w:rPr>
        <w:t>y rechazado</w:t>
      </w:r>
      <w:r w:rsidR="004304F0" w:rsidRPr="00414D91">
        <w:rPr>
          <w:rFonts w:asciiTheme="majorHAnsi" w:hAnsiTheme="majorHAnsi"/>
          <w:sz w:val="20"/>
          <w:szCs w:val="20"/>
          <w:lang w:val="es-ES_tradnl"/>
        </w:rPr>
        <w:t xml:space="preserve"> por falta de legitimación pasiva </w:t>
      </w:r>
      <w:r w:rsidR="004304F0" w:rsidRPr="00414D91">
        <w:rPr>
          <w:rFonts w:asciiTheme="majorHAnsi" w:hAnsiTheme="majorHAnsi"/>
          <w:sz w:val="20"/>
          <w:szCs w:val="20"/>
          <w:lang w:val="es-ES_tradnl"/>
        </w:rPr>
        <w:lastRenderedPageBreak/>
        <w:t>al no haber sido dirigido contra la autoridad que ordenó el confinamiento</w:t>
      </w:r>
      <w:r w:rsidR="00606B19" w:rsidRPr="00414D91">
        <w:rPr>
          <w:rFonts w:asciiTheme="majorHAnsi" w:hAnsiTheme="majorHAnsi"/>
          <w:sz w:val="20"/>
          <w:szCs w:val="20"/>
          <w:lang w:val="es-ES_tradnl"/>
        </w:rPr>
        <w:t>,</w:t>
      </w:r>
      <w:r w:rsidR="004304F0" w:rsidRPr="00414D91">
        <w:rPr>
          <w:rFonts w:asciiTheme="majorHAnsi" w:hAnsiTheme="majorHAnsi"/>
          <w:sz w:val="20"/>
          <w:szCs w:val="20"/>
          <w:lang w:val="es-ES_tradnl"/>
        </w:rPr>
        <w:t xml:space="preserve"> y que la decisión favorable emitida </w:t>
      </w:r>
      <w:r w:rsidR="00414D91" w:rsidRPr="00414D91">
        <w:rPr>
          <w:rFonts w:asciiTheme="majorHAnsi" w:hAnsiTheme="majorHAnsi"/>
          <w:sz w:val="20"/>
          <w:szCs w:val="20"/>
          <w:lang w:val="es-ES_tradnl"/>
        </w:rPr>
        <w:t>debido a</w:t>
      </w:r>
      <w:r w:rsidR="004304F0" w:rsidRPr="00414D91">
        <w:rPr>
          <w:rFonts w:asciiTheme="majorHAnsi" w:hAnsiTheme="majorHAnsi"/>
          <w:sz w:val="20"/>
          <w:szCs w:val="20"/>
          <w:lang w:val="es-ES_tradnl"/>
        </w:rPr>
        <w:t xml:space="preserve"> su segundo amparo fue finalmente revocada por no haberse agotado previamente la vía ordinaria. </w:t>
      </w:r>
    </w:p>
    <w:p w14:paraId="4304175C" w14:textId="77FC1224" w:rsidR="001E5977" w:rsidRPr="00414D91" w:rsidRDefault="004304F0" w:rsidP="00466170">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_tradnl"/>
        </w:rPr>
      </w:pPr>
      <w:r w:rsidRPr="00414D91">
        <w:rPr>
          <w:rFonts w:asciiTheme="majorHAnsi" w:hAnsiTheme="majorHAnsi"/>
          <w:sz w:val="20"/>
          <w:szCs w:val="20"/>
          <w:lang w:val="es-ES_tradnl"/>
        </w:rPr>
        <w:t xml:space="preserve">También señala que el peticionario omitió presentar recurso de apelación contra la resolución emitida por el juez cautelar que dispuso su detención preventiva. </w:t>
      </w:r>
      <w:r w:rsidR="004373BF" w:rsidRPr="00414D91">
        <w:rPr>
          <w:rFonts w:asciiTheme="majorHAnsi" w:hAnsiTheme="majorHAnsi"/>
          <w:sz w:val="20"/>
          <w:szCs w:val="20"/>
          <w:lang w:val="es-ES_tradnl"/>
        </w:rPr>
        <w:t xml:space="preserve">En este sentido sostiene </w:t>
      </w:r>
      <w:r w:rsidRPr="00414D91">
        <w:rPr>
          <w:rFonts w:asciiTheme="majorHAnsi" w:hAnsiTheme="majorHAnsi"/>
          <w:sz w:val="20"/>
          <w:szCs w:val="20"/>
          <w:lang w:val="es-ES_tradnl"/>
        </w:rPr>
        <w:t>que los alegatos del peticionario con respecto a la falta de competencia del juez no pueden validar su no interposición de la apelación cuando este no interpuso excepción de incompetencia ni ningún otro mecanismo de defensa para justificar su afirmación. Resalta</w:t>
      </w:r>
      <w:r w:rsidR="004373BF" w:rsidRPr="00414D91">
        <w:rPr>
          <w:rFonts w:asciiTheme="majorHAnsi" w:hAnsiTheme="majorHAnsi"/>
          <w:sz w:val="20"/>
          <w:szCs w:val="20"/>
          <w:lang w:val="es-ES_tradnl"/>
        </w:rPr>
        <w:t xml:space="preserve"> además</w:t>
      </w:r>
      <w:r w:rsidRPr="00414D91">
        <w:rPr>
          <w:rFonts w:asciiTheme="majorHAnsi" w:hAnsiTheme="majorHAnsi"/>
          <w:sz w:val="20"/>
          <w:szCs w:val="20"/>
          <w:lang w:val="es-ES_tradnl"/>
        </w:rPr>
        <w:t xml:space="preserve"> que el peticionario reconoció tácitamente la competencia del juez cautelar al presentar una recusación contra este, por lo que no puede invocar la supuesta falta de competencia para justificar la no interposici</w:t>
      </w:r>
      <w:r w:rsidR="00B6502F" w:rsidRPr="00414D91">
        <w:rPr>
          <w:rFonts w:asciiTheme="majorHAnsi" w:hAnsiTheme="majorHAnsi"/>
          <w:sz w:val="20"/>
          <w:szCs w:val="20"/>
          <w:lang w:val="es-ES_tradnl"/>
        </w:rPr>
        <w:t xml:space="preserve">ón del recurso de apelación. Añade que la recusación presentada por el peticionario contra el juez cautelar </w:t>
      </w:r>
      <w:r w:rsidR="00844683" w:rsidRPr="00414D91">
        <w:rPr>
          <w:rFonts w:asciiTheme="majorHAnsi" w:hAnsiTheme="majorHAnsi"/>
          <w:sz w:val="20"/>
          <w:szCs w:val="20"/>
          <w:lang w:val="es-ES_tradnl"/>
        </w:rPr>
        <w:t>no fue presentada en debida forma</w:t>
      </w:r>
      <w:r w:rsidR="00606B19" w:rsidRPr="00414D91">
        <w:rPr>
          <w:rFonts w:asciiTheme="majorHAnsi" w:hAnsiTheme="majorHAnsi"/>
          <w:sz w:val="20"/>
          <w:szCs w:val="20"/>
          <w:lang w:val="es-ES_tradnl"/>
        </w:rPr>
        <w:t>,</w:t>
      </w:r>
      <w:r w:rsidR="00844683" w:rsidRPr="00414D91">
        <w:rPr>
          <w:rFonts w:asciiTheme="majorHAnsi" w:hAnsiTheme="majorHAnsi"/>
          <w:sz w:val="20"/>
          <w:szCs w:val="20"/>
          <w:lang w:val="es-ES_tradnl"/>
        </w:rPr>
        <w:t xml:space="preserve"> </w:t>
      </w:r>
      <w:r w:rsidR="00B6502F" w:rsidRPr="00414D91">
        <w:rPr>
          <w:rFonts w:asciiTheme="majorHAnsi" w:hAnsiTheme="majorHAnsi"/>
          <w:sz w:val="20"/>
          <w:szCs w:val="20"/>
          <w:lang w:val="es-ES_tradnl"/>
        </w:rPr>
        <w:t>pues fue presentada</w:t>
      </w:r>
      <w:r w:rsidR="00D64AE4" w:rsidRPr="00414D91">
        <w:rPr>
          <w:rFonts w:asciiTheme="majorHAnsi" w:hAnsiTheme="majorHAnsi"/>
          <w:sz w:val="20"/>
          <w:szCs w:val="20"/>
          <w:lang w:val="es-ES_tradnl"/>
        </w:rPr>
        <w:t xml:space="preserve"> en forma escrita</w:t>
      </w:r>
      <w:r w:rsidR="004373BF" w:rsidRPr="00414D91">
        <w:rPr>
          <w:rFonts w:asciiTheme="majorHAnsi" w:hAnsiTheme="majorHAnsi"/>
          <w:sz w:val="20"/>
          <w:szCs w:val="20"/>
          <w:lang w:val="es-ES_tradnl"/>
        </w:rPr>
        <w:t>,</w:t>
      </w:r>
      <w:r w:rsidR="00D64AE4" w:rsidRPr="00414D91">
        <w:rPr>
          <w:rFonts w:asciiTheme="majorHAnsi" w:hAnsiTheme="majorHAnsi"/>
          <w:sz w:val="20"/>
          <w:szCs w:val="20"/>
          <w:lang w:val="es-ES_tradnl"/>
        </w:rPr>
        <w:t xml:space="preserve"> pero estando solo suscrita por el abogado defensor, sin la firma de la parte procesal como exige la norma procesal</w:t>
      </w:r>
      <w:r w:rsidR="00844683" w:rsidRPr="00414D91">
        <w:rPr>
          <w:rFonts w:asciiTheme="majorHAnsi" w:hAnsiTheme="majorHAnsi"/>
          <w:sz w:val="20"/>
          <w:szCs w:val="20"/>
          <w:lang w:val="es-ES_tradnl"/>
        </w:rPr>
        <w:t>,</w:t>
      </w:r>
      <w:r w:rsidR="00D64AE4" w:rsidRPr="00414D91">
        <w:rPr>
          <w:rFonts w:asciiTheme="majorHAnsi" w:hAnsiTheme="majorHAnsi"/>
          <w:sz w:val="20"/>
          <w:szCs w:val="20"/>
          <w:lang w:val="es-ES_tradnl"/>
        </w:rPr>
        <w:t xml:space="preserve"> y</w:t>
      </w:r>
      <w:r w:rsidR="00844683" w:rsidRPr="00414D91">
        <w:rPr>
          <w:rFonts w:asciiTheme="majorHAnsi" w:hAnsiTheme="majorHAnsi"/>
          <w:sz w:val="20"/>
          <w:szCs w:val="20"/>
          <w:lang w:val="es-ES_tradnl"/>
        </w:rPr>
        <w:t xml:space="preserve"> sin</w:t>
      </w:r>
      <w:r w:rsidR="00D64AE4" w:rsidRPr="00414D91">
        <w:rPr>
          <w:rFonts w:asciiTheme="majorHAnsi" w:hAnsiTheme="majorHAnsi"/>
          <w:sz w:val="20"/>
          <w:szCs w:val="20"/>
          <w:lang w:val="es-ES_tradnl"/>
        </w:rPr>
        <w:t xml:space="preserve"> estar acompañada</w:t>
      </w:r>
      <w:r w:rsidR="00844683" w:rsidRPr="00414D91">
        <w:rPr>
          <w:rFonts w:asciiTheme="majorHAnsi" w:hAnsiTheme="majorHAnsi"/>
          <w:sz w:val="20"/>
          <w:szCs w:val="20"/>
          <w:lang w:val="es-ES_tradnl"/>
        </w:rPr>
        <w:t xml:space="preserve"> </w:t>
      </w:r>
      <w:r w:rsidR="00D64AE4" w:rsidRPr="00414D91">
        <w:rPr>
          <w:rFonts w:asciiTheme="majorHAnsi" w:hAnsiTheme="majorHAnsi"/>
          <w:sz w:val="20"/>
          <w:szCs w:val="20"/>
          <w:lang w:val="es-ES_tradnl"/>
        </w:rPr>
        <w:t xml:space="preserve">de </w:t>
      </w:r>
      <w:r w:rsidR="00844683" w:rsidRPr="00414D91">
        <w:rPr>
          <w:rFonts w:asciiTheme="majorHAnsi" w:hAnsiTheme="majorHAnsi"/>
          <w:sz w:val="20"/>
          <w:szCs w:val="20"/>
          <w:lang w:val="es-ES_tradnl"/>
        </w:rPr>
        <w:t>la debida fundamentación</w:t>
      </w:r>
      <w:r w:rsidR="00D64AE4" w:rsidRPr="00414D91">
        <w:rPr>
          <w:rFonts w:asciiTheme="majorHAnsi" w:hAnsiTheme="majorHAnsi"/>
          <w:sz w:val="20"/>
          <w:szCs w:val="20"/>
          <w:lang w:val="es-ES_tradnl"/>
        </w:rPr>
        <w:t xml:space="preserve"> ni pruebas que acreditaran la causal de recusación invocada. Destaca que el juez cautelar rechazó la recusación y continuó con la audiencia por estas razones, dejando a salvo e</w:t>
      </w:r>
      <w:r w:rsidR="0067028B" w:rsidRPr="00414D91">
        <w:rPr>
          <w:rFonts w:asciiTheme="majorHAnsi" w:hAnsiTheme="majorHAnsi"/>
          <w:sz w:val="20"/>
          <w:szCs w:val="20"/>
          <w:lang w:val="es-ES_tradnl"/>
        </w:rPr>
        <w:t>l derecho a subsanar. Adicionalmente</w:t>
      </w:r>
      <w:r w:rsidR="00606B19" w:rsidRPr="00414D91">
        <w:rPr>
          <w:rFonts w:asciiTheme="majorHAnsi" w:hAnsiTheme="majorHAnsi"/>
          <w:sz w:val="20"/>
          <w:szCs w:val="20"/>
          <w:lang w:val="es-ES_tradnl"/>
        </w:rPr>
        <w:t>,</w:t>
      </w:r>
      <w:r w:rsidR="0067028B" w:rsidRPr="00414D91">
        <w:rPr>
          <w:rFonts w:asciiTheme="majorHAnsi" w:hAnsiTheme="majorHAnsi"/>
          <w:sz w:val="20"/>
          <w:szCs w:val="20"/>
          <w:lang w:val="es-ES_tradnl"/>
        </w:rPr>
        <w:t xml:space="preserve"> indica que el peticionario no denunció los supuestos amedrentamientos realizados contra sus familiares ante las autoridades penitenciarias correspondientes ni las supuestas vulneraciones a sus derechos políticos ante la Corte Nacional Electoral. </w:t>
      </w:r>
    </w:p>
    <w:p w14:paraId="3ED8EB3A" w14:textId="79B5FF91" w:rsidR="004373BF" w:rsidRPr="00414D91" w:rsidRDefault="00D64AE4" w:rsidP="00466170">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_tradnl"/>
        </w:rPr>
      </w:pPr>
      <w:r w:rsidRPr="00414D91">
        <w:rPr>
          <w:rFonts w:asciiTheme="majorHAnsi" w:hAnsiTheme="majorHAnsi"/>
          <w:sz w:val="20"/>
          <w:szCs w:val="20"/>
          <w:lang w:val="es-ES_tradnl"/>
        </w:rPr>
        <w:t>Adicionalmente</w:t>
      </w:r>
      <w:r w:rsidR="004373BF" w:rsidRPr="00414D91">
        <w:rPr>
          <w:rFonts w:asciiTheme="majorHAnsi" w:hAnsiTheme="majorHAnsi"/>
          <w:sz w:val="20"/>
          <w:szCs w:val="20"/>
          <w:lang w:val="es-ES_tradnl"/>
        </w:rPr>
        <w:t xml:space="preserve">, el Estado </w:t>
      </w:r>
      <w:r w:rsidRPr="00414D91">
        <w:rPr>
          <w:rFonts w:asciiTheme="majorHAnsi" w:hAnsiTheme="majorHAnsi"/>
          <w:sz w:val="20"/>
          <w:szCs w:val="20"/>
          <w:lang w:val="es-ES_tradnl"/>
        </w:rPr>
        <w:t>sostiene que la petición debe ser inadmitida porque los hechos expuestos en ella no caracterizan violaciones a los derechos humanos</w:t>
      </w:r>
      <w:r w:rsidR="00D13C37" w:rsidRPr="00414D91">
        <w:rPr>
          <w:rFonts w:asciiTheme="majorHAnsi" w:hAnsiTheme="majorHAnsi"/>
          <w:sz w:val="20"/>
          <w:szCs w:val="20"/>
          <w:lang w:val="es-ES_tradnl"/>
        </w:rPr>
        <w:t>,</w:t>
      </w:r>
      <w:r w:rsidRPr="00414D91">
        <w:rPr>
          <w:rFonts w:asciiTheme="majorHAnsi" w:hAnsiTheme="majorHAnsi"/>
          <w:sz w:val="20"/>
          <w:szCs w:val="20"/>
          <w:lang w:val="es-ES_tradnl"/>
        </w:rPr>
        <w:t xml:space="preserve"> y porque el peticionario pretende improcedentemente que la Comisión actué como una cuarta instancia de revisión de las resoluciones emitidas por las autoridades competentes domésticas.</w:t>
      </w:r>
      <w:r w:rsidR="00D13C37" w:rsidRPr="00414D91">
        <w:rPr>
          <w:rFonts w:asciiTheme="majorHAnsi" w:hAnsiTheme="majorHAnsi"/>
          <w:sz w:val="20"/>
          <w:szCs w:val="20"/>
          <w:lang w:val="es-ES_tradnl"/>
        </w:rPr>
        <w:t xml:space="preserve"> Sostiene</w:t>
      </w:r>
      <w:r w:rsidR="004373BF" w:rsidRPr="00414D91">
        <w:rPr>
          <w:rFonts w:asciiTheme="majorHAnsi" w:hAnsiTheme="majorHAnsi"/>
          <w:sz w:val="20"/>
          <w:szCs w:val="20"/>
          <w:lang w:val="es-ES_tradnl"/>
        </w:rPr>
        <w:t xml:space="preserve"> </w:t>
      </w:r>
      <w:r w:rsidRPr="00414D91">
        <w:rPr>
          <w:rFonts w:asciiTheme="majorHAnsi" w:hAnsiTheme="majorHAnsi"/>
          <w:sz w:val="20"/>
          <w:szCs w:val="20"/>
          <w:lang w:val="es-ES_tradnl"/>
        </w:rPr>
        <w:t>que la privación de libertad de</w:t>
      </w:r>
      <w:r w:rsidR="00092BF5" w:rsidRPr="00414D91">
        <w:rPr>
          <w:rFonts w:asciiTheme="majorHAnsi" w:hAnsiTheme="majorHAnsi"/>
          <w:sz w:val="20"/>
          <w:szCs w:val="20"/>
          <w:lang w:val="es-ES_tradnl"/>
        </w:rPr>
        <w:t xml:space="preserve">l peticionario no puede considerarse violatoria de </w:t>
      </w:r>
      <w:r w:rsidR="00606B19" w:rsidRPr="00414D91">
        <w:rPr>
          <w:rFonts w:asciiTheme="majorHAnsi" w:hAnsiTheme="majorHAnsi"/>
          <w:sz w:val="20"/>
          <w:szCs w:val="20"/>
          <w:lang w:val="es-ES_tradnl"/>
        </w:rPr>
        <w:t>sus</w:t>
      </w:r>
      <w:r w:rsidR="00092BF5" w:rsidRPr="00414D91">
        <w:rPr>
          <w:rFonts w:asciiTheme="majorHAnsi" w:hAnsiTheme="majorHAnsi"/>
          <w:sz w:val="20"/>
          <w:szCs w:val="20"/>
          <w:lang w:val="es-ES_tradnl"/>
        </w:rPr>
        <w:t xml:space="preserve"> derechos humanos</w:t>
      </w:r>
      <w:r w:rsidR="00606B19" w:rsidRPr="00414D91">
        <w:rPr>
          <w:rFonts w:asciiTheme="majorHAnsi" w:hAnsiTheme="majorHAnsi"/>
          <w:sz w:val="20"/>
          <w:szCs w:val="20"/>
          <w:lang w:val="es-ES_tradnl"/>
        </w:rPr>
        <w:t>,</w:t>
      </w:r>
      <w:r w:rsidR="00092BF5" w:rsidRPr="00414D91">
        <w:rPr>
          <w:rFonts w:asciiTheme="majorHAnsi" w:hAnsiTheme="majorHAnsi"/>
          <w:sz w:val="20"/>
          <w:szCs w:val="20"/>
          <w:lang w:val="es-ES_tradnl"/>
        </w:rPr>
        <w:t xml:space="preserve"> pues esta inicialmente se fundamentó en una orden de confinamiento dictada en el marco de un estado de sitio dictado conforme a la constitución y debidamente justificado en razones de orden público.</w:t>
      </w:r>
      <w:r w:rsidR="003C57EE" w:rsidRPr="00414D91">
        <w:rPr>
          <w:rFonts w:asciiTheme="majorHAnsi" w:hAnsiTheme="majorHAnsi"/>
          <w:sz w:val="20"/>
          <w:szCs w:val="20"/>
          <w:lang w:val="es-ES_tradnl"/>
        </w:rPr>
        <w:t xml:space="preserve"> Agrega que posteriormente la privación de libertad del peticionario se mantuvo por órdenes legales de autoridades competentes</w:t>
      </w:r>
      <w:r w:rsidR="004373BF" w:rsidRPr="00414D91">
        <w:rPr>
          <w:rFonts w:asciiTheme="majorHAnsi" w:hAnsiTheme="majorHAnsi"/>
          <w:sz w:val="20"/>
          <w:szCs w:val="20"/>
          <w:lang w:val="es-ES_tradnl"/>
        </w:rPr>
        <w:t>, las</w:t>
      </w:r>
      <w:r w:rsidR="003C57EE" w:rsidRPr="00414D91">
        <w:rPr>
          <w:rFonts w:asciiTheme="majorHAnsi" w:hAnsiTheme="majorHAnsi"/>
          <w:sz w:val="20"/>
          <w:szCs w:val="20"/>
          <w:lang w:val="es-ES_tradnl"/>
        </w:rPr>
        <w:t xml:space="preserve"> que el peticionario no recurrió en debida forma. </w:t>
      </w:r>
    </w:p>
    <w:p w14:paraId="53286E44" w14:textId="3A3D6AAF" w:rsidR="00D64AE4" w:rsidRPr="00414D91" w:rsidRDefault="004373BF" w:rsidP="00466170">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_tradnl"/>
        </w:rPr>
      </w:pPr>
      <w:r w:rsidRPr="00414D91">
        <w:rPr>
          <w:rFonts w:asciiTheme="majorHAnsi" w:hAnsiTheme="majorHAnsi"/>
          <w:sz w:val="20"/>
          <w:szCs w:val="20"/>
          <w:lang w:val="es-ES_tradnl"/>
        </w:rPr>
        <w:t>El Estado también explica</w:t>
      </w:r>
      <w:r w:rsidR="003C57EE" w:rsidRPr="00414D91">
        <w:rPr>
          <w:rFonts w:asciiTheme="majorHAnsi" w:hAnsiTheme="majorHAnsi"/>
          <w:sz w:val="20"/>
          <w:szCs w:val="20"/>
          <w:lang w:val="es-ES_tradnl"/>
        </w:rPr>
        <w:t xml:space="preserve"> que la resolución de </w:t>
      </w:r>
      <w:r w:rsidR="00E34EDF" w:rsidRPr="00414D91">
        <w:rPr>
          <w:rFonts w:asciiTheme="majorHAnsi" w:hAnsiTheme="majorHAnsi"/>
          <w:sz w:val="20"/>
          <w:szCs w:val="20"/>
          <w:lang w:val="es-ES_tradnl"/>
        </w:rPr>
        <w:t>hábeas</w:t>
      </w:r>
      <w:r w:rsidR="003C57EE" w:rsidRPr="00414D91">
        <w:rPr>
          <w:rFonts w:asciiTheme="majorHAnsi" w:hAnsiTheme="majorHAnsi"/>
          <w:sz w:val="20"/>
          <w:szCs w:val="20"/>
          <w:lang w:val="es-ES_tradnl"/>
        </w:rPr>
        <w:t xml:space="preserve"> corpus que el peticionario denuncia como no cumplida no dispuso su </w:t>
      </w:r>
      <w:r w:rsidR="009F2403" w:rsidRPr="00414D91">
        <w:rPr>
          <w:rFonts w:asciiTheme="majorHAnsi" w:hAnsiTheme="majorHAnsi"/>
          <w:sz w:val="20"/>
          <w:szCs w:val="20"/>
          <w:lang w:val="es-ES_tradnl"/>
        </w:rPr>
        <w:t>libertad,</w:t>
      </w:r>
      <w:r w:rsidR="003C57EE" w:rsidRPr="00414D91">
        <w:rPr>
          <w:rFonts w:asciiTheme="majorHAnsi" w:hAnsiTheme="majorHAnsi"/>
          <w:sz w:val="20"/>
          <w:szCs w:val="20"/>
          <w:lang w:val="es-ES_tradnl"/>
        </w:rPr>
        <w:t xml:space="preserve"> sino que solo anuló la resolució</w:t>
      </w:r>
      <w:r w:rsidR="002E1AEF" w:rsidRPr="00414D91">
        <w:rPr>
          <w:rFonts w:asciiTheme="majorHAnsi" w:hAnsiTheme="majorHAnsi"/>
          <w:sz w:val="20"/>
          <w:szCs w:val="20"/>
          <w:lang w:val="es-ES_tradnl"/>
        </w:rPr>
        <w:t xml:space="preserve">n de prisión preventiva y ordenó </w:t>
      </w:r>
      <w:r w:rsidR="003C57EE" w:rsidRPr="00414D91">
        <w:rPr>
          <w:rFonts w:asciiTheme="majorHAnsi" w:hAnsiTheme="majorHAnsi"/>
          <w:sz w:val="20"/>
          <w:szCs w:val="20"/>
          <w:lang w:val="es-ES_tradnl"/>
        </w:rPr>
        <w:t>que fuera puesto a disposición del Fiscal</w:t>
      </w:r>
      <w:r w:rsidRPr="00414D91">
        <w:rPr>
          <w:rFonts w:asciiTheme="majorHAnsi" w:hAnsiTheme="majorHAnsi"/>
          <w:sz w:val="20"/>
          <w:szCs w:val="20"/>
          <w:lang w:val="es-ES_tradnl"/>
        </w:rPr>
        <w:t xml:space="preserve"> </w:t>
      </w:r>
      <w:r w:rsidR="003C57EE" w:rsidRPr="00414D91">
        <w:rPr>
          <w:rFonts w:asciiTheme="majorHAnsi" w:hAnsiTheme="majorHAnsi"/>
          <w:sz w:val="20"/>
          <w:szCs w:val="20"/>
          <w:lang w:val="es-ES_tradnl"/>
        </w:rPr>
        <w:t xml:space="preserve">General; lo que resultaba de imposible cumplimiento ya que antes de dictarse la resolución de </w:t>
      </w:r>
      <w:r w:rsidR="00E34EDF" w:rsidRPr="00414D91">
        <w:rPr>
          <w:rFonts w:asciiTheme="majorHAnsi" w:hAnsiTheme="majorHAnsi"/>
          <w:sz w:val="20"/>
          <w:szCs w:val="20"/>
          <w:lang w:val="es-ES_tradnl"/>
        </w:rPr>
        <w:t>hábeas</w:t>
      </w:r>
      <w:r w:rsidR="003C57EE" w:rsidRPr="00414D91">
        <w:rPr>
          <w:rFonts w:asciiTheme="majorHAnsi" w:hAnsiTheme="majorHAnsi"/>
          <w:sz w:val="20"/>
          <w:szCs w:val="20"/>
          <w:lang w:val="es-ES_tradnl"/>
        </w:rPr>
        <w:t xml:space="preserve"> corpus el Fiscal General ya se había inhibido de conocer la causa contra el peticionario y reconocido la competencia de la Comisión Especial</w:t>
      </w:r>
      <w:r w:rsidRPr="00414D91">
        <w:rPr>
          <w:rFonts w:asciiTheme="majorHAnsi" w:hAnsiTheme="majorHAnsi"/>
          <w:sz w:val="20"/>
          <w:szCs w:val="20"/>
          <w:lang w:val="es-ES_tradnl"/>
        </w:rPr>
        <w:t xml:space="preserve">. Resalta además el Estado </w:t>
      </w:r>
      <w:r w:rsidR="003C57EE" w:rsidRPr="00414D91">
        <w:rPr>
          <w:rFonts w:asciiTheme="majorHAnsi" w:hAnsiTheme="majorHAnsi"/>
          <w:sz w:val="20"/>
          <w:szCs w:val="20"/>
          <w:lang w:val="es-ES_tradnl"/>
        </w:rPr>
        <w:t>que</w:t>
      </w:r>
      <w:r w:rsidRPr="00414D91">
        <w:rPr>
          <w:rFonts w:asciiTheme="majorHAnsi" w:hAnsiTheme="majorHAnsi"/>
          <w:sz w:val="20"/>
          <w:szCs w:val="20"/>
          <w:lang w:val="es-ES_tradnl"/>
        </w:rPr>
        <w:t>,</w:t>
      </w:r>
      <w:r w:rsidR="003C57EE" w:rsidRPr="00414D91">
        <w:rPr>
          <w:rFonts w:asciiTheme="majorHAnsi" w:hAnsiTheme="majorHAnsi"/>
          <w:sz w:val="20"/>
          <w:szCs w:val="20"/>
          <w:lang w:val="es-ES_tradnl"/>
        </w:rPr>
        <w:t xml:space="preserve"> en todo caso</w:t>
      </w:r>
      <w:r w:rsidRPr="00414D91">
        <w:rPr>
          <w:rFonts w:asciiTheme="majorHAnsi" w:hAnsiTheme="majorHAnsi"/>
          <w:sz w:val="20"/>
          <w:szCs w:val="20"/>
          <w:lang w:val="es-ES_tradnl"/>
        </w:rPr>
        <w:t>,</w:t>
      </w:r>
      <w:r w:rsidR="003C57EE" w:rsidRPr="00414D91">
        <w:rPr>
          <w:rFonts w:asciiTheme="majorHAnsi" w:hAnsiTheme="majorHAnsi"/>
          <w:sz w:val="20"/>
          <w:szCs w:val="20"/>
          <w:lang w:val="es-ES_tradnl"/>
        </w:rPr>
        <w:t xml:space="preserve"> </w:t>
      </w:r>
      <w:r w:rsidRPr="00414D91">
        <w:rPr>
          <w:rFonts w:asciiTheme="majorHAnsi" w:hAnsiTheme="majorHAnsi"/>
          <w:sz w:val="20"/>
          <w:szCs w:val="20"/>
          <w:lang w:val="es-ES_tradnl"/>
        </w:rPr>
        <w:t xml:space="preserve">dicha </w:t>
      </w:r>
      <w:r w:rsidR="003C57EE" w:rsidRPr="00414D91">
        <w:rPr>
          <w:rFonts w:asciiTheme="majorHAnsi" w:hAnsiTheme="majorHAnsi"/>
          <w:sz w:val="20"/>
          <w:szCs w:val="20"/>
          <w:lang w:val="es-ES_tradnl"/>
        </w:rPr>
        <w:t xml:space="preserve">resolución de </w:t>
      </w:r>
      <w:r w:rsidR="00E34EDF" w:rsidRPr="00414D91">
        <w:rPr>
          <w:rFonts w:asciiTheme="majorHAnsi" w:hAnsiTheme="majorHAnsi"/>
          <w:sz w:val="20"/>
          <w:szCs w:val="20"/>
          <w:lang w:val="es-ES_tradnl"/>
        </w:rPr>
        <w:t>hábeas</w:t>
      </w:r>
      <w:r w:rsidR="003C57EE" w:rsidRPr="00414D91">
        <w:rPr>
          <w:rFonts w:asciiTheme="majorHAnsi" w:hAnsiTheme="majorHAnsi"/>
          <w:sz w:val="20"/>
          <w:szCs w:val="20"/>
          <w:lang w:val="es-ES_tradnl"/>
        </w:rPr>
        <w:t xml:space="preserve"> corpus fue finalmente revocada mediante sentencia constitucional por haberse dictado en violación de normas procesales de obligatorio cumplimiento.</w:t>
      </w:r>
    </w:p>
    <w:p w14:paraId="0890485E" w14:textId="5557382E" w:rsidR="007D3A79" w:rsidRPr="00414D91" w:rsidRDefault="002E1AEF" w:rsidP="007D3A79">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_tradnl"/>
        </w:rPr>
      </w:pPr>
      <w:r w:rsidRPr="00414D91">
        <w:rPr>
          <w:rFonts w:asciiTheme="majorHAnsi" w:hAnsiTheme="majorHAnsi"/>
          <w:sz w:val="20"/>
          <w:szCs w:val="20"/>
          <w:lang w:val="es-ES_tradnl"/>
        </w:rPr>
        <w:t xml:space="preserve">En cuanto las alegadas violaciones al derecho al juez natural, </w:t>
      </w:r>
      <w:r w:rsidR="007D3A79" w:rsidRPr="00414D91">
        <w:rPr>
          <w:rFonts w:asciiTheme="majorHAnsi" w:hAnsiTheme="majorHAnsi"/>
          <w:sz w:val="20"/>
          <w:szCs w:val="20"/>
          <w:lang w:val="es-ES_tradnl"/>
        </w:rPr>
        <w:t xml:space="preserve">el Estado </w:t>
      </w:r>
      <w:r w:rsidRPr="00414D91">
        <w:rPr>
          <w:rFonts w:asciiTheme="majorHAnsi" w:hAnsiTheme="majorHAnsi"/>
          <w:sz w:val="20"/>
          <w:szCs w:val="20"/>
          <w:lang w:val="es-ES_tradnl"/>
        </w:rPr>
        <w:t xml:space="preserve">destaca que el proceso contra el peticionario en la justicia penal ordinaria fue por los delitos de asesinato, terrorismo y asociación delictuosa; los que no se enmarcan dentro de la descripción normativa de los juicios especiales de responsabilidades a los que el peticionario se pretendía acoger. </w:t>
      </w:r>
      <w:r w:rsidR="00226F8C" w:rsidRPr="00414D91">
        <w:rPr>
          <w:rFonts w:asciiTheme="majorHAnsi" w:hAnsiTheme="majorHAnsi"/>
          <w:sz w:val="20"/>
          <w:szCs w:val="20"/>
          <w:lang w:val="es-ES_tradnl"/>
        </w:rPr>
        <w:t xml:space="preserve">De igual manera, señala que el procesamiento del peticionario por autoridades en La Paz no fue violatorio de sus derechos pues el sistema boliviano permite establecer la competencia territorial en base a los resultados del delito. </w:t>
      </w:r>
      <w:r w:rsidR="00427BF4" w:rsidRPr="00414D91">
        <w:rPr>
          <w:rFonts w:asciiTheme="majorHAnsi" w:hAnsiTheme="majorHAnsi"/>
          <w:sz w:val="20"/>
          <w:szCs w:val="20"/>
          <w:lang w:val="es-ES_tradnl"/>
        </w:rPr>
        <w:t>E</w:t>
      </w:r>
      <w:r w:rsidR="007D3A79" w:rsidRPr="00414D91">
        <w:rPr>
          <w:rFonts w:asciiTheme="majorHAnsi" w:hAnsiTheme="majorHAnsi"/>
          <w:sz w:val="20"/>
          <w:szCs w:val="20"/>
          <w:lang w:val="es-ES_tradnl"/>
        </w:rPr>
        <w:t>xplica</w:t>
      </w:r>
      <w:r w:rsidR="00226F8C" w:rsidRPr="00414D91">
        <w:rPr>
          <w:rFonts w:asciiTheme="majorHAnsi" w:hAnsiTheme="majorHAnsi"/>
          <w:sz w:val="20"/>
          <w:szCs w:val="20"/>
          <w:lang w:val="es-ES_tradnl"/>
        </w:rPr>
        <w:t xml:space="preserve"> que las autoridades de La Paz contaban con competencia para conocer los hechos ocurridos en Pando</w:t>
      </w:r>
      <w:r w:rsidR="00427BF4" w:rsidRPr="00414D91">
        <w:rPr>
          <w:rFonts w:asciiTheme="majorHAnsi" w:hAnsiTheme="majorHAnsi"/>
          <w:sz w:val="20"/>
          <w:szCs w:val="20"/>
          <w:lang w:val="es-ES_tradnl"/>
        </w:rPr>
        <w:t>,</w:t>
      </w:r>
      <w:r w:rsidR="00226F8C" w:rsidRPr="00414D91">
        <w:rPr>
          <w:rFonts w:asciiTheme="majorHAnsi" w:hAnsiTheme="majorHAnsi"/>
          <w:sz w:val="20"/>
          <w:szCs w:val="20"/>
          <w:lang w:val="es-ES_tradnl"/>
        </w:rPr>
        <w:t xml:space="preserve"> dado que estos constituyeron un asunto de connotación nacional por su gravedad.</w:t>
      </w:r>
    </w:p>
    <w:p w14:paraId="5FD1F69F" w14:textId="1BB7A972" w:rsidR="007D3A79" w:rsidRPr="00414D91" w:rsidRDefault="007D3A79" w:rsidP="007D3A79">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_tradnl"/>
        </w:rPr>
      </w:pPr>
      <w:r w:rsidRPr="00414D91">
        <w:rPr>
          <w:rFonts w:asciiTheme="majorHAnsi" w:hAnsiTheme="majorHAnsi"/>
          <w:sz w:val="20"/>
          <w:szCs w:val="20"/>
          <w:lang w:val="es-ES_tradnl"/>
        </w:rPr>
        <w:t>R</w:t>
      </w:r>
      <w:r w:rsidR="00226F8C" w:rsidRPr="00414D91">
        <w:rPr>
          <w:rFonts w:asciiTheme="majorHAnsi" w:hAnsiTheme="majorHAnsi"/>
          <w:sz w:val="20"/>
          <w:szCs w:val="20"/>
          <w:lang w:val="es-ES_tradnl"/>
        </w:rPr>
        <w:t>especto a las alegadas violaciones a la prohibición del doble juzgamiento,</w:t>
      </w:r>
      <w:r w:rsidRPr="00414D91">
        <w:rPr>
          <w:rFonts w:asciiTheme="majorHAnsi" w:hAnsiTheme="majorHAnsi"/>
          <w:sz w:val="20"/>
          <w:szCs w:val="20"/>
          <w:lang w:val="es-ES_tradnl"/>
        </w:rPr>
        <w:t xml:space="preserve"> el Estado</w:t>
      </w:r>
      <w:r w:rsidR="00226F8C" w:rsidRPr="00414D91">
        <w:rPr>
          <w:rFonts w:asciiTheme="majorHAnsi" w:hAnsiTheme="majorHAnsi"/>
          <w:sz w:val="20"/>
          <w:szCs w:val="20"/>
          <w:lang w:val="es-ES_tradnl"/>
        </w:rPr>
        <w:t xml:space="preserve"> alega que esta prohibición solo aplica en los casos </w:t>
      </w:r>
      <w:r w:rsidR="00F13D09" w:rsidRPr="00414D91">
        <w:rPr>
          <w:rFonts w:asciiTheme="majorHAnsi" w:hAnsiTheme="majorHAnsi"/>
          <w:sz w:val="20"/>
          <w:szCs w:val="20"/>
          <w:lang w:val="es-ES_tradnl"/>
        </w:rPr>
        <w:t>en los que</w:t>
      </w:r>
      <w:r w:rsidR="00226F8C" w:rsidRPr="00414D91">
        <w:rPr>
          <w:rFonts w:asciiTheme="majorHAnsi" w:hAnsiTheme="majorHAnsi"/>
          <w:sz w:val="20"/>
          <w:szCs w:val="20"/>
          <w:lang w:val="es-ES_tradnl"/>
        </w:rPr>
        <w:t xml:space="preserve"> existe cosa juzgada; circunstancia que no se configuró en el caso del peticionario. </w:t>
      </w:r>
      <w:r w:rsidRPr="00414D91">
        <w:rPr>
          <w:rFonts w:asciiTheme="majorHAnsi" w:hAnsiTheme="majorHAnsi"/>
          <w:sz w:val="20"/>
          <w:szCs w:val="20"/>
          <w:lang w:val="es-ES_tradnl"/>
        </w:rPr>
        <w:t>Así</w:t>
      </w:r>
      <w:r w:rsidR="00F13D09" w:rsidRPr="00414D91">
        <w:rPr>
          <w:rFonts w:asciiTheme="majorHAnsi" w:hAnsiTheme="majorHAnsi"/>
          <w:sz w:val="20"/>
          <w:szCs w:val="20"/>
          <w:lang w:val="es-ES_tradnl"/>
        </w:rPr>
        <w:t>, e</w:t>
      </w:r>
      <w:r w:rsidRPr="00414D91">
        <w:rPr>
          <w:rFonts w:asciiTheme="majorHAnsi" w:hAnsiTheme="majorHAnsi"/>
          <w:sz w:val="20"/>
          <w:szCs w:val="20"/>
          <w:lang w:val="es-ES_tradnl"/>
        </w:rPr>
        <w:t>xplica</w:t>
      </w:r>
      <w:r w:rsidR="00226F8C" w:rsidRPr="00414D91">
        <w:rPr>
          <w:rFonts w:asciiTheme="majorHAnsi" w:hAnsiTheme="majorHAnsi"/>
          <w:sz w:val="20"/>
          <w:szCs w:val="20"/>
          <w:lang w:val="es-ES_tradnl"/>
        </w:rPr>
        <w:t xml:space="preserve"> que la investigación por genocidio realizada por el Fiscal General no conllevó a la formulación de una acusación y que finalmente se le siguió al peticionario un solo proceso en la justicia ordinaria. </w:t>
      </w:r>
      <w:r w:rsidR="002715DD" w:rsidRPr="00414D91">
        <w:rPr>
          <w:rFonts w:asciiTheme="majorHAnsi" w:hAnsiTheme="majorHAnsi"/>
          <w:sz w:val="20"/>
          <w:szCs w:val="20"/>
          <w:lang w:val="es-ES_tradnl"/>
        </w:rPr>
        <w:t>A</w:t>
      </w:r>
      <w:r w:rsidRPr="00414D91">
        <w:rPr>
          <w:rFonts w:asciiTheme="majorHAnsi" w:hAnsiTheme="majorHAnsi"/>
          <w:sz w:val="20"/>
          <w:szCs w:val="20"/>
          <w:lang w:val="es-ES_tradnl"/>
        </w:rPr>
        <w:t xml:space="preserve"> esto agrega</w:t>
      </w:r>
      <w:r w:rsidR="002715DD" w:rsidRPr="00414D91">
        <w:rPr>
          <w:rFonts w:asciiTheme="majorHAnsi" w:hAnsiTheme="majorHAnsi"/>
          <w:sz w:val="20"/>
          <w:szCs w:val="20"/>
          <w:lang w:val="es-ES_tradnl"/>
        </w:rPr>
        <w:t xml:space="preserve"> que la duración del proceso contra el peticionario ha sido razonable </w:t>
      </w:r>
      <w:r w:rsidR="00054E6D" w:rsidRPr="00414D91">
        <w:rPr>
          <w:rFonts w:asciiTheme="majorHAnsi" w:hAnsiTheme="majorHAnsi"/>
          <w:sz w:val="20"/>
          <w:szCs w:val="20"/>
          <w:lang w:val="es-ES_tradnl"/>
        </w:rPr>
        <w:t>tomando en cuenta que se trata de un proceso complejo donde participan varias acusaciones particulares en adición a la acusación pública</w:t>
      </w:r>
      <w:r w:rsidR="00D8432F" w:rsidRPr="00414D91">
        <w:rPr>
          <w:rFonts w:asciiTheme="majorHAnsi" w:hAnsiTheme="majorHAnsi"/>
          <w:sz w:val="20"/>
          <w:szCs w:val="20"/>
          <w:lang w:val="es-ES_tradnl"/>
        </w:rPr>
        <w:t>.</w:t>
      </w:r>
      <w:r w:rsidR="00054E6D" w:rsidRPr="00414D91">
        <w:rPr>
          <w:rFonts w:asciiTheme="majorHAnsi" w:hAnsiTheme="majorHAnsi"/>
          <w:sz w:val="20"/>
          <w:szCs w:val="20"/>
          <w:lang w:val="es-ES_tradnl"/>
        </w:rPr>
        <w:t xml:space="preserve"> y que involucra veintisiete acusados y cerca de sesenta y tres víctimas. </w:t>
      </w:r>
    </w:p>
    <w:p w14:paraId="0BEB15C8" w14:textId="1604237B" w:rsidR="002E1AEF" w:rsidRPr="00414D91" w:rsidRDefault="00054E6D" w:rsidP="007D3A79">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_tradnl"/>
        </w:rPr>
      </w:pPr>
      <w:r w:rsidRPr="00414D91">
        <w:rPr>
          <w:rFonts w:asciiTheme="majorHAnsi" w:hAnsiTheme="majorHAnsi"/>
          <w:sz w:val="20"/>
          <w:szCs w:val="20"/>
          <w:lang w:val="es-ES_tradnl"/>
        </w:rPr>
        <w:t xml:space="preserve">Manifiesta </w:t>
      </w:r>
      <w:r w:rsidR="007D3A79" w:rsidRPr="00414D91">
        <w:rPr>
          <w:rFonts w:asciiTheme="majorHAnsi" w:hAnsiTheme="majorHAnsi"/>
          <w:sz w:val="20"/>
          <w:szCs w:val="20"/>
          <w:lang w:val="es-ES_tradnl"/>
        </w:rPr>
        <w:t xml:space="preserve">además el Estado </w:t>
      </w:r>
      <w:r w:rsidRPr="00414D91">
        <w:rPr>
          <w:rFonts w:asciiTheme="majorHAnsi" w:hAnsiTheme="majorHAnsi"/>
          <w:sz w:val="20"/>
          <w:szCs w:val="20"/>
          <w:lang w:val="es-ES_tradnl"/>
        </w:rPr>
        <w:t>que no ha existido actuación negligente por parte de las autoridades judiciales ni intención malicios</w:t>
      </w:r>
      <w:r w:rsidR="00D8432F" w:rsidRPr="00414D91">
        <w:rPr>
          <w:rFonts w:asciiTheme="majorHAnsi" w:hAnsiTheme="majorHAnsi"/>
          <w:sz w:val="20"/>
          <w:szCs w:val="20"/>
          <w:lang w:val="es-ES_tradnl"/>
        </w:rPr>
        <w:t>a</w:t>
      </w:r>
      <w:r w:rsidRPr="00414D91">
        <w:rPr>
          <w:rFonts w:asciiTheme="majorHAnsi" w:hAnsiTheme="majorHAnsi"/>
          <w:sz w:val="20"/>
          <w:szCs w:val="20"/>
          <w:lang w:val="es-ES_tradnl"/>
        </w:rPr>
        <w:t xml:space="preserve"> de postergar el proceso. Alega</w:t>
      </w:r>
      <w:r w:rsidR="007D3A79" w:rsidRPr="00414D91">
        <w:rPr>
          <w:rFonts w:asciiTheme="majorHAnsi" w:hAnsiTheme="majorHAnsi"/>
          <w:sz w:val="20"/>
          <w:szCs w:val="20"/>
          <w:lang w:val="es-ES_tradnl"/>
        </w:rPr>
        <w:t xml:space="preserve"> además </w:t>
      </w:r>
      <w:r w:rsidRPr="00414D91">
        <w:rPr>
          <w:rFonts w:asciiTheme="majorHAnsi" w:hAnsiTheme="majorHAnsi"/>
          <w:sz w:val="20"/>
          <w:szCs w:val="20"/>
          <w:lang w:val="es-ES_tradnl"/>
        </w:rPr>
        <w:t xml:space="preserve">que el proceso se ha visto dilatado por la gran cantidad de recusaciones, excepciones, incidentes, recursos y acciones constitucionales </w:t>
      </w:r>
      <w:r w:rsidRPr="00414D91">
        <w:rPr>
          <w:rFonts w:asciiTheme="majorHAnsi" w:hAnsiTheme="majorHAnsi"/>
          <w:sz w:val="20"/>
          <w:szCs w:val="20"/>
          <w:lang w:val="es-ES_tradnl"/>
        </w:rPr>
        <w:lastRenderedPageBreak/>
        <w:t>que han sido presentadas por los sujetos procesales y</w:t>
      </w:r>
      <w:r w:rsidR="007D3A79" w:rsidRPr="00414D91">
        <w:rPr>
          <w:rFonts w:asciiTheme="majorHAnsi" w:hAnsiTheme="majorHAnsi"/>
          <w:sz w:val="20"/>
          <w:szCs w:val="20"/>
          <w:lang w:val="es-ES_tradnl"/>
        </w:rPr>
        <w:t xml:space="preserve"> a las</w:t>
      </w:r>
      <w:r w:rsidRPr="00414D91">
        <w:rPr>
          <w:rFonts w:asciiTheme="majorHAnsi" w:hAnsiTheme="majorHAnsi"/>
          <w:sz w:val="20"/>
          <w:szCs w:val="20"/>
          <w:lang w:val="es-ES_tradnl"/>
        </w:rPr>
        <w:t xml:space="preserve"> que el Estado ha tenido que dar curso en respeto a las leyes y la Constitución. En específico, señala que el proceso se ha visto dilatado por los constantes</w:t>
      </w:r>
      <w:r w:rsidR="00FB6675" w:rsidRPr="00414D91">
        <w:rPr>
          <w:rFonts w:asciiTheme="majorHAnsi" w:hAnsiTheme="majorHAnsi"/>
          <w:sz w:val="20"/>
          <w:szCs w:val="20"/>
          <w:lang w:val="es-ES_tradnl"/>
        </w:rPr>
        <w:t xml:space="preserve"> e improcedentes</w:t>
      </w:r>
      <w:r w:rsidRPr="00414D91">
        <w:rPr>
          <w:rFonts w:asciiTheme="majorHAnsi" w:hAnsiTheme="majorHAnsi"/>
          <w:sz w:val="20"/>
          <w:szCs w:val="20"/>
          <w:lang w:val="es-ES_tradnl"/>
        </w:rPr>
        <w:t xml:space="preserve"> intentos </w:t>
      </w:r>
      <w:r w:rsidR="00FB6675" w:rsidRPr="00414D91">
        <w:rPr>
          <w:rFonts w:asciiTheme="majorHAnsi" w:hAnsiTheme="majorHAnsi"/>
          <w:sz w:val="20"/>
          <w:szCs w:val="20"/>
          <w:lang w:val="es-ES_tradnl"/>
        </w:rPr>
        <w:t>realizados por el peticionario</w:t>
      </w:r>
      <w:r w:rsidRPr="00414D91">
        <w:rPr>
          <w:rFonts w:asciiTheme="majorHAnsi" w:hAnsiTheme="majorHAnsi"/>
          <w:sz w:val="20"/>
          <w:szCs w:val="20"/>
          <w:lang w:val="es-ES_tradnl"/>
        </w:rPr>
        <w:t xml:space="preserve"> para forzar </w:t>
      </w:r>
      <w:r w:rsidR="00FB6675" w:rsidRPr="00414D91">
        <w:rPr>
          <w:rFonts w:asciiTheme="majorHAnsi" w:hAnsiTheme="majorHAnsi"/>
          <w:sz w:val="20"/>
          <w:szCs w:val="20"/>
          <w:lang w:val="es-ES_tradnl"/>
        </w:rPr>
        <w:t>que se su procesamiento se reali</w:t>
      </w:r>
      <w:r w:rsidR="007D3A79" w:rsidRPr="00414D91">
        <w:rPr>
          <w:rFonts w:asciiTheme="majorHAnsi" w:hAnsiTheme="majorHAnsi"/>
          <w:sz w:val="20"/>
          <w:szCs w:val="20"/>
          <w:lang w:val="es-ES_tradnl"/>
        </w:rPr>
        <w:t>ce</w:t>
      </w:r>
      <w:r w:rsidR="00FB6675" w:rsidRPr="00414D91">
        <w:rPr>
          <w:rFonts w:asciiTheme="majorHAnsi" w:hAnsiTheme="majorHAnsi"/>
          <w:sz w:val="20"/>
          <w:szCs w:val="20"/>
          <w:lang w:val="es-ES_tradnl"/>
        </w:rPr>
        <w:t xml:space="preserve"> por la vía del juicio de responsabilidades en lugar de la ordinaria. </w:t>
      </w:r>
    </w:p>
    <w:p w14:paraId="16E451EE" w14:textId="4780174F" w:rsidR="00485134" w:rsidRPr="00414D91" w:rsidRDefault="00FB6675" w:rsidP="00466170">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_tradnl"/>
        </w:rPr>
      </w:pPr>
      <w:r w:rsidRPr="00414D91">
        <w:rPr>
          <w:rFonts w:asciiTheme="majorHAnsi" w:hAnsiTheme="majorHAnsi"/>
          <w:sz w:val="20"/>
          <w:szCs w:val="20"/>
          <w:lang w:val="es-ES_tradnl"/>
        </w:rPr>
        <w:t xml:space="preserve">Respecto a las alegadas violaciones al derecho a la honra y dignidad, </w:t>
      </w:r>
      <w:r w:rsidR="007D3A79" w:rsidRPr="00414D91">
        <w:rPr>
          <w:rFonts w:asciiTheme="majorHAnsi" w:hAnsiTheme="majorHAnsi"/>
          <w:sz w:val="20"/>
          <w:szCs w:val="20"/>
          <w:lang w:val="es-ES_tradnl"/>
        </w:rPr>
        <w:t xml:space="preserve">el Estado </w:t>
      </w:r>
      <w:r w:rsidRPr="00414D91">
        <w:rPr>
          <w:rFonts w:asciiTheme="majorHAnsi" w:hAnsiTheme="majorHAnsi"/>
          <w:sz w:val="20"/>
          <w:szCs w:val="20"/>
          <w:lang w:val="es-ES_tradnl"/>
        </w:rPr>
        <w:t>destaca que el mero inicio de un proceso penal contra el peticionario no constituye una violación de este derecho. En adici</w:t>
      </w:r>
      <w:r w:rsidR="002923F4" w:rsidRPr="00414D91">
        <w:rPr>
          <w:rFonts w:asciiTheme="majorHAnsi" w:hAnsiTheme="majorHAnsi"/>
          <w:sz w:val="20"/>
          <w:szCs w:val="20"/>
          <w:lang w:val="es-ES_tradnl"/>
        </w:rPr>
        <w:t>ón, alega que el peticionario no ha cumplido con explicar de forma clara las razones por las que el Estado sería responsable de la violación de este derecho</w:t>
      </w:r>
      <w:r w:rsidR="00855B76" w:rsidRPr="00414D91">
        <w:rPr>
          <w:rFonts w:asciiTheme="majorHAnsi" w:hAnsiTheme="majorHAnsi"/>
          <w:sz w:val="20"/>
          <w:szCs w:val="20"/>
          <w:lang w:val="es-ES_tradnl"/>
        </w:rPr>
        <w:t>;</w:t>
      </w:r>
      <w:r w:rsidR="002923F4" w:rsidRPr="00414D91">
        <w:rPr>
          <w:rFonts w:asciiTheme="majorHAnsi" w:hAnsiTheme="majorHAnsi"/>
          <w:sz w:val="20"/>
          <w:szCs w:val="20"/>
          <w:lang w:val="es-ES_tradnl"/>
        </w:rPr>
        <w:t xml:space="preserve"> pues, </w:t>
      </w:r>
      <w:r w:rsidRPr="00414D91">
        <w:rPr>
          <w:rFonts w:asciiTheme="majorHAnsi" w:hAnsiTheme="majorHAnsi"/>
          <w:sz w:val="20"/>
          <w:szCs w:val="20"/>
          <w:lang w:val="es-ES_tradnl"/>
        </w:rPr>
        <w:t>si bien ha hecho referencia a la supuesta publicaci</w:t>
      </w:r>
      <w:r w:rsidR="002923F4" w:rsidRPr="00414D91">
        <w:rPr>
          <w:rFonts w:asciiTheme="majorHAnsi" w:hAnsiTheme="majorHAnsi"/>
          <w:sz w:val="20"/>
          <w:szCs w:val="20"/>
          <w:lang w:val="es-ES_tradnl"/>
        </w:rPr>
        <w:t>ón de fotos montadas, no ha explicado</w:t>
      </w:r>
      <w:r w:rsidRPr="00414D91">
        <w:rPr>
          <w:rFonts w:asciiTheme="majorHAnsi" w:hAnsiTheme="majorHAnsi"/>
          <w:sz w:val="20"/>
          <w:szCs w:val="20"/>
          <w:lang w:val="es-ES_tradnl"/>
        </w:rPr>
        <w:t xml:space="preserve"> quiénes serían los presuntos responsables de </w:t>
      </w:r>
      <w:r w:rsidR="002923F4" w:rsidRPr="00414D91">
        <w:rPr>
          <w:rFonts w:asciiTheme="majorHAnsi" w:hAnsiTheme="majorHAnsi"/>
          <w:sz w:val="20"/>
          <w:szCs w:val="20"/>
          <w:lang w:val="es-ES_tradnl"/>
        </w:rPr>
        <w:t>las</w:t>
      </w:r>
      <w:r w:rsidRPr="00414D91">
        <w:rPr>
          <w:rFonts w:asciiTheme="majorHAnsi" w:hAnsiTheme="majorHAnsi"/>
          <w:sz w:val="20"/>
          <w:szCs w:val="20"/>
          <w:lang w:val="es-ES_tradnl"/>
        </w:rPr>
        <w:t xml:space="preserve"> publicaciones</w:t>
      </w:r>
      <w:r w:rsidR="002923F4" w:rsidRPr="00414D91">
        <w:rPr>
          <w:rFonts w:asciiTheme="majorHAnsi" w:hAnsiTheme="majorHAnsi"/>
          <w:sz w:val="20"/>
          <w:szCs w:val="20"/>
          <w:lang w:val="es-ES_tradnl"/>
        </w:rPr>
        <w:t xml:space="preserve"> ni la forma en que estas </w:t>
      </w:r>
      <w:r w:rsidRPr="00414D91">
        <w:rPr>
          <w:rFonts w:asciiTheme="majorHAnsi" w:hAnsiTheme="majorHAnsi"/>
          <w:sz w:val="20"/>
          <w:szCs w:val="20"/>
          <w:lang w:val="es-ES_tradnl"/>
        </w:rPr>
        <w:t>habrían vulnerado sus derechos</w:t>
      </w:r>
      <w:r w:rsidR="002923F4" w:rsidRPr="00414D91">
        <w:rPr>
          <w:rFonts w:asciiTheme="majorHAnsi" w:hAnsiTheme="majorHAnsi"/>
          <w:sz w:val="20"/>
          <w:szCs w:val="20"/>
          <w:lang w:val="es-ES_tradnl"/>
        </w:rPr>
        <w:t xml:space="preserve">. </w:t>
      </w:r>
      <w:r w:rsidR="00485134" w:rsidRPr="00414D91">
        <w:rPr>
          <w:rFonts w:asciiTheme="majorHAnsi" w:hAnsiTheme="majorHAnsi"/>
          <w:sz w:val="20"/>
          <w:szCs w:val="20"/>
          <w:lang w:val="es-ES_tradnl"/>
        </w:rPr>
        <w:t>Sostiene además que las alegaciones del peticionario con respecto a que sus familiares fueron víctimas de amedrentamientos</w:t>
      </w:r>
      <w:r w:rsidR="0025581C" w:rsidRPr="00414D91">
        <w:rPr>
          <w:rFonts w:asciiTheme="majorHAnsi" w:hAnsiTheme="majorHAnsi"/>
          <w:sz w:val="20"/>
          <w:szCs w:val="20"/>
          <w:lang w:val="es-ES_tradnl"/>
        </w:rPr>
        <w:t>,</w:t>
      </w:r>
      <w:r w:rsidR="00485134" w:rsidRPr="00414D91">
        <w:rPr>
          <w:rFonts w:asciiTheme="majorHAnsi" w:hAnsiTheme="majorHAnsi"/>
          <w:sz w:val="20"/>
          <w:szCs w:val="20"/>
          <w:lang w:val="es-ES_tradnl"/>
        </w:rPr>
        <w:t xml:space="preserve"> y a que fue impedido de tener contacto con los medios de comunicación resultas temerarias y carecen de sustento probatorio. De igual manera</w:t>
      </w:r>
      <w:r w:rsidR="007D3A79" w:rsidRPr="00414D91">
        <w:rPr>
          <w:rFonts w:asciiTheme="majorHAnsi" w:hAnsiTheme="majorHAnsi"/>
          <w:sz w:val="20"/>
          <w:szCs w:val="20"/>
          <w:lang w:val="es-ES_tradnl"/>
        </w:rPr>
        <w:t xml:space="preserve"> </w:t>
      </w:r>
      <w:r w:rsidR="00485134" w:rsidRPr="00414D91">
        <w:rPr>
          <w:rFonts w:asciiTheme="majorHAnsi" w:hAnsiTheme="majorHAnsi"/>
          <w:sz w:val="20"/>
          <w:szCs w:val="20"/>
          <w:lang w:val="es-ES_tradnl"/>
        </w:rPr>
        <w:t xml:space="preserve">señala que </w:t>
      </w:r>
      <w:r w:rsidR="007D3A79" w:rsidRPr="00414D91">
        <w:rPr>
          <w:rFonts w:asciiTheme="majorHAnsi" w:hAnsiTheme="majorHAnsi"/>
          <w:sz w:val="20"/>
          <w:szCs w:val="20"/>
          <w:lang w:val="es-ES_tradnl"/>
        </w:rPr>
        <w:t>el</w:t>
      </w:r>
      <w:r w:rsidR="00485134" w:rsidRPr="00414D91">
        <w:rPr>
          <w:rFonts w:asciiTheme="majorHAnsi" w:hAnsiTheme="majorHAnsi"/>
          <w:sz w:val="20"/>
          <w:szCs w:val="20"/>
          <w:lang w:val="es-ES_tradnl"/>
        </w:rPr>
        <w:t xml:space="preserve"> peticionario no ha sustentado sus alegaciones con respecto a la violación de su derecho a la igualdad ante la ley. Indica que, si bien </w:t>
      </w:r>
      <w:r w:rsidR="007D3A79" w:rsidRPr="00414D91">
        <w:rPr>
          <w:rFonts w:asciiTheme="majorHAnsi" w:hAnsiTheme="majorHAnsi"/>
          <w:sz w:val="20"/>
          <w:szCs w:val="20"/>
          <w:lang w:val="es-ES_tradnl"/>
        </w:rPr>
        <w:t>és</w:t>
      </w:r>
      <w:r w:rsidR="00485134" w:rsidRPr="00414D91">
        <w:rPr>
          <w:rFonts w:asciiTheme="majorHAnsi" w:hAnsiTheme="majorHAnsi"/>
          <w:sz w:val="20"/>
          <w:szCs w:val="20"/>
          <w:lang w:val="es-ES_tradnl"/>
        </w:rPr>
        <w:t xml:space="preserve">te ha manifestado que estaría siendo víctima de un trato discriminatorio en la justicia porque se amenazan a jueces para perjudicarlo, no ha cumplido con identificar quienes serían las personas amenazadas y </w:t>
      </w:r>
      <w:r w:rsidR="00B60DBE" w:rsidRPr="00414D91">
        <w:rPr>
          <w:rFonts w:asciiTheme="majorHAnsi" w:hAnsiTheme="majorHAnsi"/>
          <w:sz w:val="20"/>
          <w:szCs w:val="20"/>
          <w:lang w:val="es-ES_tradnl"/>
        </w:rPr>
        <w:t>quiénes</w:t>
      </w:r>
      <w:r w:rsidR="00485134" w:rsidRPr="00414D91">
        <w:rPr>
          <w:rFonts w:asciiTheme="majorHAnsi" w:hAnsiTheme="majorHAnsi"/>
          <w:sz w:val="20"/>
          <w:szCs w:val="20"/>
          <w:lang w:val="es-ES_tradnl"/>
        </w:rPr>
        <w:t xml:space="preserve"> serían los amenazadores. </w:t>
      </w:r>
    </w:p>
    <w:p w14:paraId="777147A4" w14:textId="23C6B8D6" w:rsidR="00FE03F7" w:rsidRPr="00414D91" w:rsidRDefault="002923F4" w:rsidP="002B09F3">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_tradnl"/>
        </w:rPr>
      </w:pPr>
      <w:r w:rsidRPr="00414D91">
        <w:rPr>
          <w:rFonts w:asciiTheme="majorHAnsi" w:hAnsiTheme="majorHAnsi"/>
          <w:sz w:val="20"/>
          <w:szCs w:val="20"/>
          <w:lang w:val="es-ES_tradnl"/>
        </w:rPr>
        <w:t xml:space="preserve">En lo referente a la alegada violación a los derechos políticos, </w:t>
      </w:r>
      <w:r w:rsidR="007D3A79" w:rsidRPr="00414D91">
        <w:rPr>
          <w:rFonts w:asciiTheme="majorHAnsi" w:hAnsiTheme="majorHAnsi"/>
          <w:sz w:val="20"/>
          <w:szCs w:val="20"/>
          <w:lang w:val="es-ES_tradnl"/>
        </w:rPr>
        <w:t xml:space="preserve">el Estado </w:t>
      </w:r>
      <w:r w:rsidRPr="00414D91">
        <w:rPr>
          <w:rFonts w:asciiTheme="majorHAnsi" w:hAnsiTheme="majorHAnsi"/>
          <w:sz w:val="20"/>
          <w:szCs w:val="20"/>
          <w:lang w:val="es-ES_tradnl"/>
        </w:rPr>
        <w:t xml:space="preserve">indica que el peticionario no ha explicado si la víctima de esta supuesta violación sería </w:t>
      </w:r>
      <w:r w:rsidR="007D3A79" w:rsidRPr="00414D91">
        <w:rPr>
          <w:rFonts w:asciiTheme="majorHAnsi" w:hAnsiTheme="majorHAnsi"/>
          <w:sz w:val="20"/>
          <w:szCs w:val="20"/>
          <w:lang w:val="es-ES_tradnl"/>
        </w:rPr>
        <w:t>é</w:t>
      </w:r>
      <w:r w:rsidRPr="00414D91">
        <w:rPr>
          <w:rFonts w:asciiTheme="majorHAnsi" w:hAnsiTheme="majorHAnsi"/>
          <w:sz w:val="20"/>
          <w:szCs w:val="20"/>
          <w:lang w:val="es-ES_tradnl"/>
        </w:rPr>
        <w:t>l o</w:t>
      </w:r>
      <w:r w:rsidR="00FE03F7" w:rsidRPr="00414D91">
        <w:rPr>
          <w:rFonts w:asciiTheme="majorHAnsi" w:hAnsiTheme="majorHAnsi"/>
          <w:sz w:val="20"/>
          <w:szCs w:val="20"/>
          <w:lang w:val="es-ES_tradnl"/>
        </w:rPr>
        <w:t xml:space="preserve"> </w:t>
      </w:r>
      <w:r w:rsidRPr="00414D91">
        <w:rPr>
          <w:rFonts w:asciiTheme="majorHAnsi" w:hAnsiTheme="majorHAnsi"/>
          <w:sz w:val="20"/>
          <w:szCs w:val="20"/>
          <w:lang w:val="es-ES_tradnl"/>
        </w:rPr>
        <w:t xml:space="preserve">el secretario que en su opinión debía </w:t>
      </w:r>
      <w:r w:rsidR="007D3A79" w:rsidRPr="00414D91">
        <w:rPr>
          <w:rFonts w:asciiTheme="majorHAnsi" w:hAnsiTheme="majorHAnsi"/>
          <w:sz w:val="20"/>
          <w:szCs w:val="20"/>
          <w:lang w:val="es-ES_tradnl"/>
        </w:rPr>
        <w:t>haber sido</w:t>
      </w:r>
      <w:r w:rsidRPr="00414D91">
        <w:rPr>
          <w:rFonts w:asciiTheme="majorHAnsi" w:hAnsiTheme="majorHAnsi"/>
          <w:sz w:val="20"/>
          <w:szCs w:val="20"/>
          <w:lang w:val="es-ES_tradnl"/>
        </w:rPr>
        <w:t xml:space="preserve"> designado como prefecto</w:t>
      </w:r>
      <w:r w:rsidR="00485134" w:rsidRPr="00414D91">
        <w:rPr>
          <w:rFonts w:asciiTheme="majorHAnsi" w:hAnsiTheme="majorHAnsi"/>
          <w:sz w:val="20"/>
          <w:szCs w:val="20"/>
          <w:lang w:val="es-ES_tradnl"/>
        </w:rPr>
        <w:t>, incumpliendo el requisito de identificación de las presuntas víctimas</w:t>
      </w:r>
      <w:r w:rsidRPr="00414D91">
        <w:rPr>
          <w:rFonts w:asciiTheme="majorHAnsi" w:hAnsiTheme="majorHAnsi"/>
          <w:sz w:val="20"/>
          <w:szCs w:val="20"/>
          <w:lang w:val="es-ES_tradnl"/>
        </w:rPr>
        <w:t>.</w:t>
      </w:r>
      <w:r w:rsidR="00485134" w:rsidRPr="00414D91">
        <w:rPr>
          <w:rFonts w:asciiTheme="majorHAnsi" w:hAnsiTheme="majorHAnsi"/>
          <w:sz w:val="20"/>
          <w:szCs w:val="20"/>
          <w:lang w:val="es-ES_tradnl"/>
        </w:rPr>
        <w:t xml:space="preserve"> </w:t>
      </w:r>
      <w:r w:rsidR="00E62C84" w:rsidRPr="00414D91">
        <w:rPr>
          <w:rFonts w:asciiTheme="majorHAnsi" w:hAnsiTheme="majorHAnsi"/>
          <w:sz w:val="20"/>
          <w:szCs w:val="20"/>
          <w:lang w:val="es-ES_tradnl"/>
        </w:rPr>
        <w:t>El Estado resalta</w:t>
      </w:r>
      <w:r w:rsidR="00485134" w:rsidRPr="00414D91">
        <w:rPr>
          <w:rFonts w:asciiTheme="majorHAnsi" w:hAnsiTheme="majorHAnsi"/>
          <w:sz w:val="20"/>
          <w:szCs w:val="20"/>
          <w:lang w:val="es-ES_tradnl"/>
        </w:rPr>
        <w:t xml:space="preserve"> que el peticionario fue candidato a la vicepresidencia de Bolivia en 2009, quedando así demostrado que no fue impedido de ejercer sus derechos políticos. </w:t>
      </w:r>
      <w:r w:rsidRPr="00414D91">
        <w:rPr>
          <w:rFonts w:asciiTheme="majorHAnsi" w:hAnsiTheme="majorHAnsi"/>
          <w:sz w:val="20"/>
          <w:szCs w:val="20"/>
          <w:lang w:val="es-ES_tradnl"/>
        </w:rPr>
        <w:t xml:space="preserve"> </w:t>
      </w:r>
      <w:r w:rsidR="00FE03F7" w:rsidRPr="00414D91">
        <w:rPr>
          <w:rFonts w:asciiTheme="majorHAnsi" w:hAnsiTheme="majorHAnsi"/>
          <w:sz w:val="20"/>
          <w:szCs w:val="20"/>
          <w:lang w:val="es-ES_tradnl"/>
        </w:rPr>
        <w:t xml:space="preserve">Agrega que, en todo caso, la designación de un nuevo prefecto por parte del </w:t>
      </w:r>
      <w:r w:rsidR="0025581C" w:rsidRPr="00414D91">
        <w:rPr>
          <w:rFonts w:asciiTheme="majorHAnsi" w:hAnsiTheme="majorHAnsi"/>
          <w:sz w:val="20"/>
          <w:szCs w:val="20"/>
          <w:lang w:val="es-ES_tradnl"/>
        </w:rPr>
        <w:t>P</w:t>
      </w:r>
      <w:r w:rsidR="00FE03F7" w:rsidRPr="00414D91">
        <w:rPr>
          <w:rFonts w:asciiTheme="majorHAnsi" w:hAnsiTheme="majorHAnsi"/>
          <w:sz w:val="20"/>
          <w:szCs w:val="20"/>
          <w:lang w:val="es-ES_tradnl"/>
        </w:rPr>
        <w:t xml:space="preserve">residente </w:t>
      </w:r>
      <w:r w:rsidR="0025581C" w:rsidRPr="00414D91">
        <w:rPr>
          <w:rFonts w:asciiTheme="majorHAnsi" w:hAnsiTheme="majorHAnsi"/>
          <w:sz w:val="20"/>
          <w:szCs w:val="20"/>
          <w:lang w:val="es-ES_tradnl"/>
        </w:rPr>
        <w:t xml:space="preserve">de la República </w:t>
      </w:r>
      <w:r w:rsidR="00FE03F7" w:rsidRPr="00414D91">
        <w:rPr>
          <w:rFonts w:asciiTheme="majorHAnsi" w:hAnsiTheme="majorHAnsi"/>
          <w:sz w:val="20"/>
          <w:szCs w:val="20"/>
          <w:lang w:val="es-ES_tradnl"/>
        </w:rPr>
        <w:t>no fue ilegal</w:t>
      </w:r>
      <w:r w:rsidR="0025581C" w:rsidRPr="00414D91">
        <w:rPr>
          <w:rFonts w:asciiTheme="majorHAnsi" w:hAnsiTheme="majorHAnsi"/>
          <w:sz w:val="20"/>
          <w:szCs w:val="20"/>
          <w:lang w:val="es-ES_tradnl"/>
        </w:rPr>
        <w:t>,</w:t>
      </w:r>
      <w:r w:rsidR="00FE03F7" w:rsidRPr="00414D91">
        <w:rPr>
          <w:rFonts w:asciiTheme="majorHAnsi" w:hAnsiTheme="majorHAnsi"/>
          <w:sz w:val="20"/>
          <w:szCs w:val="20"/>
          <w:lang w:val="es-ES_tradnl"/>
        </w:rPr>
        <w:t xml:space="preserve"> pues aunque la regla general es que el secretario de la prefectura asumiera las funciones en caso de ausencia temporal del principal</w:t>
      </w:r>
      <w:r w:rsidR="00E62C84" w:rsidRPr="00414D91">
        <w:rPr>
          <w:rFonts w:asciiTheme="majorHAnsi" w:hAnsiTheme="majorHAnsi"/>
          <w:sz w:val="20"/>
          <w:szCs w:val="20"/>
          <w:lang w:val="es-ES_tradnl"/>
        </w:rPr>
        <w:t>,</w:t>
      </w:r>
      <w:r w:rsidR="00FE03F7" w:rsidRPr="00414D91">
        <w:rPr>
          <w:rFonts w:asciiTheme="majorHAnsi" w:hAnsiTheme="majorHAnsi"/>
          <w:sz w:val="20"/>
          <w:szCs w:val="20"/>
          <w:lang w:val="es-ES_tradnl"/>
        </w:rPr>
        <w:t xml:space="preserve"> la ley vigente en el momento de los hechos establecía que “</w:t>
      </w:r>
      <w:r w:rsidR="00FE03F7" w:rsidRPr="00414D91">
        <w:rPr>
          <w:rFonts w:asciiTheme="majorHAnsi" w:hAnsiTheme="majorHAnsi"/>
          <w:i/>
          <w:iCs/>
          <w:sz w:val="20"/>
          <w:szCs w:val="20"/>
          <w:lang w:val="es-ES_tradnl"/>
        </w:rPr>
        <w:t>si la ausencia temporal fuera originada por medida cautelar de privación de libertad adoptada por autoridad judicial competente por delitos que atenten contra la seguridad interna del Estado, la Tranquilidad Pública o contra la Vida y la Integridad Corporal, el Presidente de la República designará un Prefecto Interino, quien asumirá el cargo por un plazo máximo de noventa (90) días</w:t>
      </w:r>
      <w:r w:rsidR="00FE03F7" w:rsidRPr="00414D91">
        <w:rPr>
          <w:rFonts w:asciiTheme="majorHAnsi" w:hAnsiTheme="majorHAnsi"/>
          <w:sz w:val="20"/>
          <w:szCs w:val="20"/>
          <w:lang w:val="es-ES_tradnl"/>
        </w:rPr>
        <w:t xml:space="preserve">”. </w:t>
      </w:r>
      <w:r w:rsidR="0067028B" w:rsidRPr="00414D91">
        <w:rPr>
          <w:rFonts w:asciiTheme="majorHAnsi" w:hAnsiTheme="majorHAnsi"/>
          <w:sz w:val="20"/>
          <w:szCs w:val="20"/>
          <w:lang w:val="es-ES_tradnl"/>
        </w:rPr>
        <w:t xml:space="preserve"> </w:t>
      </w:r>
    </w:p>
    <w:p w14:paraId="2F8A5E17" w14:textId="1B8CCABD" w:rsidR="00234729" w:rsidRPr="00414D91" w:rsidRDefault="00234729" w:rsidP="00234729">
      <w:pPr>
        <w:spacing w:before="240" w:after="240"/>
        <w:ind w:firstLine="720"/>
        <w:jc w:val="both"/>
        <w:rPr>
          <w:rFonts w:asciiTheme="majorHAnsi" w:hAnsiTheme="majorHAnsi"/>
          <w:sz w:val="20"/>
          <w:szCs w:val="20"/>
          <w:lang w:val="es-ES_tradnl"/>
        </w:rPr>
      </w:pPr>
      <w:r w:rsidRPr="00414D91">
        <w:rPr>
          <w:rFonts w:asciiTheme="majorHAnsi" w:eastAsia="Cambria" w:hAnsiTheme="majorHAnsi" w:cs="Cambria"/>
          <w:b/>
          <w:bCs/>
          <w:color w:val="000000"/>
          <w:sz w:val="20"/>
          <w:szCs w:val="20"/>
          <w:u w:color="000000"/>
          <w:lang w:val="es-ES_tradnl" w:eastAsia="es-ES"/>
        </w:rPr>
        <w:t>VI.</w:t>
      </w:r>
      <w:r w:rsidRPr="00414D91">
        <w:rPr>
          <w:rFonts w:asciiTheme="majorHAnsi" w:eastAsia="Cambria" w:hAnsiTheme="majorHAnsi" w:cs="Cambria"/>
          <w:b/>
          <w:bCs/>
          <w:color w:val="000000"/>
          <w:sz w:val="20"/>
          <w:szCs w:val="20"/>
          <w:u w:color="000000"/>
          <w:lang w:val="es-ES_tradnl" w:eastAsia="es-ES"/>
        </w:rPr>
        <w:tab/>
      </w:r>
      <w:r w:rsidRPr="00414D91">
        <w:rPr>
          <w:rFonts w:asciiTheme="majorHAnsi" w:hAnsiTheme="majorHAnsi"/>
          <w:b/>
          <w:bCs/>
          <w:sz w:val="20"/>
          <w:szCs w:val="20"/>
          <w:lang w:val="es-ES_tradnl"/>
        </w:rPr>
        <w:t xml:space="preserve">ANÁLISIS DE </w:t>
      </w:r>
      <w:r w:rsidRPr="00414D91">
        <w:rPr>
          <w:rFonts w:asciiTheme="majorHAnsi" w:hAnsiTheme="majorHAnsi"/>
          <w:b/>
          <w:sz w:val="20"/>
          <w:szCs w:val="20"/>
          <w:lang w:val="es-ES_tradnl"/>
        </w:rPr>
        <w:t>AGOTAMIENTO DE LOS RECURSOS INTERNOS Y PLAZO DE PRESENTACIÓN</w:t>
      </w:r>
      <w:r w:rsidRPr="00414D91">
        <w:rPr>
          <w:rFonts w:asciiTheme="majorHAnsi" w:eastAsia="Cambria" w:hAnsiTheme="majorHAnsi" w:cs="Cambria"/>
          <w:b/>
          <w:bCs/>
          <w:color w:val="000000"/>
          <w:sz w:val="20"/>
          <w:szCs w:val="20"/>
          <w:u w:color="000000"/>
          <w:lang w:val="es-ES_tradnl" w:eastAsia="es-ES"/>
        </w:rPr>
        <w:t xml:space="preserve"> </w:t>
      </w:r>
    </w:p>
    <w:p w14:paraId="4B4BF1B3" w14:textId="7A8DB4C5" w:rsidR="00E62C84" w:rsidRPr="00414D91" w:rsidRDefault="00FB1996" w:rsidP="00275BC2">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_tradnl"/>
        </w:rPr>
      </w:pPr>
      <w:r w:rsidRPr="00414D91">
        <w:rPr>
          <w:rFonts w:asciiTheme="majorHAnsi" w:hAnsiTheme="majorHAnsi"/>
          <w:sz w:val="20"/>
          <w:szCs w:val="20"/>
          <w:lang w:val="es-ES_tradnl"/>
        </w:rPr>
        <w:t>La</w:t>
      </w:r>
      <w:r w:rsidR="00666CBC" w:rsidRPr="00414D91">
        <w:rPr>
          <w:rFonts w:asciiTheme="majorHAnsi" w:hAnsiTheme="majorHAnsi"/>
          <w:sz w:val="20"/>
          <w:szCs w:val="20"/>
          <w:lang w:val="es-ES_tradnl"/>
        </w:rPr>
        <w:t xml:space="preserve"> Comisión observa que el peticionario </w:t>
      </w:r>
      <w:r w:rsidR="007F210C" w:rsidRPr="00414D91">
        <w:rPr>
          <w:rFonts w:asciiTheme="majorHAnsi" w:hAnsiTheme="majorHAnsi"/>
          <w:sz w:val="20"/>
          <w:szCs w:val="20"/>
          <w:lang w:val="es-ES_tradnl"/>
        </w:rPr>
        <w:t xml:space="preserve">ha indicado que interpuso dos acciones de </w:t>
      </w:r>
      <w:r w:rsidR="00E34EDF" w:rsidRPr="00414D91">
        <w:rPr>
          <w:rFonts w:asciiTheme="majorHAnsi" w:hAnsiTheme="majorHAnsi"/>
          <w:sz w:val="20"/>
          <w:szCs w:val="20"/>
          <w:lang w:val="es-ES_tradnl"/>
        </w:rPr>
        <w:t>hábeas</w:t>
      </w:r>
      <w:r w:rsidR="007F210C" w:rsidRPr="00414D91">
        <w:rPr>
          <w:rFonts w:asciiTheme="majorHAnsi" w:hAnsiTheme="majorHAnsi"/>
          <w:sz w:val="20"/>
          <w:szCs w:val="20"/>
          <w:lang w:val="es-ES_tradnl"/>
        </w:rPr>
        <w:t xml:space="preserve"> corpus de forma directa, en la primera ocasión porque su reclamo no iba dirigido contra una medida adoptada en el marco de un proceso penal</w:t>
      </w:r>
      <w:r w:rsidR="00FF6177" w:rsidRPr="00414D91">
        <w:rPr>
          <w:rFonts w:asciiTheme="majorHAnsi" w:hAnsiTheme="majorHAnsi"/>
          <w:sz w:val="20"/>
          <w:szCs w:val="20"/>
          <w:lang w:val="es-ES_tradnl"/>
        </w:rPr>
        <w:t>,</w:t>
      </w:r>
      <w:r w:rsidR="007F210C" w:rsidRPr="00414D91">
        <w:rPr>
          <w:rFonts w:asciiTheme="majorHAnsi" w:hAnsiTheme="majorHAnsi"/>
          <w:sz w:val="20"/>
          <w:szCs w:val="20"/>
          <w:lang w:val="es-ES_tradnl"/>
        </w:rPr>
        <w:t xml:space="preserve"> sino contra un acto del ejecutivo adoptado en el marco de un estado de sitio, y en la segunda porque no tenía certeza sobre qui</w:t>
      </w:r>
      <w:r w:rsidR="00234729" w:rsidRPr="00414D91">
        <w:rPr>
          <w:rFonts w:asciiTheme="majorHAnsi" w:hAnsiTheme="majorHAnsi"/>
          <w:sz w:val="20"/>
          <w:szCs w:val="20"/>
          <w:lang w:val="es-ES_tradnl"/>
        </w:rPr>
        <w:t>én</w:t>
      </w:r>
      <w:r w:rsidR="007F210C" w:rsidRPr="00414D91">
        <w:rPr>
          <w:rFonts w:asciiTheme="majorHAnsi" w:hAnsiTheme="majorHAnsi"/>
          <w:sz w:val="20"/>
          <w:szCs w:val="20"/>
          <w:lang w:val="es-ES_tradnl"/>
        </w:rPr>
        <w:t xml:space="preserve"> era el juez competente al existir dualidad de procesos en su contra. </w:t>
      </w:r>
      <w:r w:rsidR="00234729" w:rsidRPr="00414D91">
        <w:rPr>
          <w:rFonts w:asciiTheme="majorHAnsi" w:hAnsiTheme="majorHAnsi"/>
          <w:sz w:val="20"/>
          <w:szCs w:val="20"/>
          <w:lang w:val="es-ES_tradnl"/>
        </w:rPr>
        <w:t>También ha señalado que interpuso dos solicitudes de cesación de detención</w:t>
      </w:r>
      <w:r w:rsidR="00E00741" w:rsidRPr="00414D91">
        <w:rPr>
          <w:rFonts w:asciiTheme="majorHAnsi" w:hAnsiTheme="majorHAnsi"/>
          <w:sz w:val="20"/>
          <w:szCs w:val="20"/>
          <w:lang w:val="es-ES_tradnl"/>
        </w:rPr>
        <w:t>;</w:t>
      </w:r>
      <w:r w:rsidR="00234729" w:rsidRPr="00414D91">
        <w:rPr>
          <w:rFonts w:asciiTheme="majorHAnsi" w:hAnsiTheme="majorHAnsi"/>
          <w:sz w:val="20"/>
          <w:szCs w:val="20"/>
          <w:lang w:val="es-ES_tradnl"/>
        </w:rPr>
        <w:t xml:space="preserve"> y que el proceso penal en su contra no ha concluido definitivamente</w:t>
      </w:r>
      <w:r w:rsidR="00E00741" w:rsidRPr="00414D91">
        <w:rPr>
          <w:rFonts w:asciiTheme="majorHAnsi" w:hAnsiTheme="majorHAnsi"/>
          <w:sz w:val="20"/>
          <w:szCs w:val="20"/>
          <w:lang w:val="es-ES_tradnl"/>
        </w:rPr>
        <w:t>,</w:t>
      </w:r>
      <w:r w:rsidR="00234729" w:rsidRPr="00414D91">
        <w:rPr>
          <w:rFonts w:asciiTheme="majorHAnsi" w:hAnsiTheme="majorHAnsi"/>
          <w:sz w:val="20"/>
          <w:szCs w:val="20"/>
          <w:lang w:val="es-ES_tradnl"/>
        </w:rPr>
        <w:t xml:space="preserve"> pues está pendiente la resolución de una apelación presentada contra la sentencia que lo absolvió de cuatro delitos y lo condenó por uno. </w:t>
      </w:r>
    </w:p>
    <w:p w14:paraId="313A5132" w14:textId="695A4854" w:rsidR="00234729" w:rsidRPr="00414D91" w:rsidRDefault="00234729" w:rsidP="00275BC2">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_tradnl"/>
        </w:rPr>
      </w:pPr>
      <w:r w:rsidRPr="00414D91">
        <w:rPr>
          <w:rFonts w:asciiTheme="majorHAnsi" w:hAnsiTheme="majorHAnsi"/>
          <w:sz w:val="20"/>
          <w:szCs w:val="20"/>
          <w:lang w:val="es-ES_tradnl"/>
        </w:rPr>
        <w:t xml:space="preserve">Por otra parte, el Estado ha indicado que el peticionario no ha cumplido con agotar los recursos internos porque </w:t>
      </w:r>
      <w:r w:rsidR="00E62C84" w:rsidRPr="00414D91">
        <w:rPr>
          <w:rFonts w:asciiTheme="majorHAnsi" w:hAnsiTheme="majorHAnsi"/>
          <w:sz w:val="20"/>
          <w:szCs w:val="20"/>
          <w:lang w:val="es-ES_tradnl"/>
        </w:rPr>
        <w:t>é</w:t>
      </w:r>
      <w:r w:rsidRPr="00414D91">
        <w:rPr>
          <w:rFonts w:asciiTheme="majorHAnsi" w:hAnsiTheme="majorHAnsi"/>
          <w:sz w:val="20"/>
          <w:szCs w:val="20"/>
          <w:lang w:val="es-ES_tradnl"/>
        </w:rPr>
        <w:t>ste no planteó en el marco del proceso penal en su contra las excepciones de incompetencia y litispendencia, ni el incidente de actividad procesal defectuosa o el conflicto de competencia</w:t>
      </w:r>
      <w:r w:rsidR="00006623" w:rsidRPr="00414D91">
        <w:rPr>
          <w:rFonts w:asciiTheme="majorHAnsi" w:hAnsiTheme="majorHAnsi"/>
          <w:sz w:val="20"/>
          <w:szCs w:val="20"/>
          <w:lang w:val="es-ES_tradnl"/>
        </w:rPr>
        <w:t xml:space="preserve">; </w:t>
      </w:r>
      <w:r w:rsidR="007C3ED0" w:rsidRPr="00414D91">
        <w:rPr>
          <w:rFonts w:asciiTheme="majorHAnsi" w:hAnsiTheme="majorHAnsi"/>
          <w:sz w:val="20"/>
          <w:szCs w:val="20"/>
          <w:lang w:val="es-ES_tradnl"/>
        </w:rPr>
        <w:t>y</w:t>
      </w:r>
      <w:r w:rsidR="00006623" w:rsidRPr="00414D91">
        <w:rPr>
          <w:rFonts w:asciiTheme="majorHAnsi" w:hAnsiTheme="majorHAnsi"/>
          <w:sz w:val="20"/>
          <w:szCs w:val="20"/>
          <w:lang w:val="es-ES_tradnl"/>
        </w:rPr>
        <w:t xml:space="preserve"> porque no denunció los supuestos amedrentamientos contra sus familiares ante las autoridades penitenciarias ni las supuestas violaciones a sus derechos políticos ante la Corte Nacional Electoral</w:t>
      </w:r>
      <w:r w:rsidRPr="00414D91">
        <w:rPr>
          <w:rFonts w:asciiTheme="majorHAnsi" w:hAnsiTheme="majorHAnsi"/>
          <w:sz w:val="20"/>
          <w:szCs w:val="20"/>
          <w:lang w:val="es-ES_tradnl"/>
        </w:rPr>
        <w:t xml:space="preserve">. </w:t>
      </w:r>
      <w:r w:rsidR="007C3ED0" w:rsidRPr="00414D91">
        <w:rPr>
          <w:rFonts w:asciiTheme="majorHAnsi" w:hAnsiTheme="majorHAnsi"/>
          <w:sz w:val="20"/>
          <w:szCs w:val="20"/>
          <w:lang w:val="es-ES_tradnl"/>
        </w:rPr>
        <w:t>Además,</w:t>
      </w:r>
      <w:r w:rsidRPr="00414D91">
        <w:rPr>
          <w:rFonts w:asciiTheme="majorHAnsi" w:hAnsiTheme="majorHAnsi"/>
          <w:sz w:val="20"/>
          <w:szCs w:val="20"/>
          <w:lang w:val="es-ES_tradnl"/>
        </w:rPr>
        <w:t xml:space="preserve"> el Estado </w:t>
      </w:r>
      <w:r w:rsidR="007C3ED0" w:rsidRPr="00414D91">
        <w:rPr>
          <w:rFonts w:asciiTheme="majorHAnsi" w:hAnsiTheme="majorHAnsi"/>
          <w:sz w:val="20"/>
          <w:szCs w:val="20"/>
          <w:lang w:val="es-ES_tradnl"/>
        </w:rPr>
        <w:t>aduce</w:t>
      </w:r>
      <w:r w:rsidRPr="00414D91">
        <w:rPr>
          <w:rFonts w:asciiTheme="majorHAnsi" w:hAnsiTheme="majorHAnsi"/>
          <w:sz w:val="20"/>
          <w:szCs w:val="20"/>
          <w:lang w:val="es-ES_tradnl"/>
        </w:rPr>
        <w:t xml:space="preserve"> que las acciones de </w:t>
      </w:r>
      <w:r w:rsidR="00E34EDF" w:rsidRPr="00414D91">
        <w:rPr>
          <w:rFonts w:asciiTheme="majorHAnsi" w:hAnsiTheme="majorHAnsi"/>
          <w:sz w:val="20"/>
          <w:szCs w:val="20"/>
          <w:lang w:val="es-ES_tradnl"/>
        </w:rPr>
        <w:t>hábeas</w:t>
      </w:r>
      <w:r w:rsidRPr="00414D91">
        <w:rPr>
          <w:rFonts w:asciiTheme="majorHAnsi" w:hAnsiTheme="majorHAnsi"/>
          <w:sz w:val="20"/>
          <w:szCs w:val="20"/>
          <w:lang w:val="es-ES_tradnl"/>
        </w:rPr>
        <w:t xml:space="preserve"> corpus no fueron agotadas en forma correcta porque fueron presentadas directamente mientras que la acción constitucional de libertad está concebida como subsidiaria y residual en el ordenamiento boliviano; que la recusación presentada contra un juez cautelar fue presentada sin cumplir con los requisitos de sustanciación y firma del impetrante previstos por la ley; y que la excepción de incompetencia por razón del territorio fue presentada por el peticionario de forma extemporánea.</w:t>
      </w:r>
    </w:p>
    <w:p w14:paraId="3F7615EA" w14:textId="0684C9B9" w:rsidR="00275BC2" w:rsidRPr="00414D91" w:rsidRDefault="00275BC2" w:rsidP="00275BC2">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_tradnl"/>
        </w:rPr>
      </w:pPr>
      <w:r w:rsidRPr="00414D91">
        <w:rPr>
          <w:rFonts w:asciiTheme="majorHAnsi" w:hAnsiTheme="majorHAnsi"/>
          <w:sz w:val="20"/>
          <w:szCs w:val="20"/>
          <w:lang w:val="es-ES_tradnl"/>
        </w:rPr>
        <w:t>La Comisión toma nota que, según lo alegado por las partes, el peticionario habría sido inicialmente detenido con fundamento en una orden de confinamiento dictada en el marco de un e</w:t>
      </w:r>
      <w:r w:rsidR="00717FDF" w:rsidRPr="00414D91">
        <w:rPr>
          <w:rFonts w:asciiTheme="majorHAnsi" w:hAnsiTheme="majorHAnsi"/>
          <w:sz w:val="20"/>
          <w:szCs w:val="20"/>
          <w:lang w:val="es-ES_tradnl"/>
        </w:rPr>
        <w:t>stado de sitio</w:t>
      </w:r>
      <w:r w:rsidR="007C3ED0" w:rsidRPr="00414D91">
        <w:rPr>
          <w:rFonts w:asciiTheme="majorHAnsi" w:hAnsiTheme="majorHAnsi"/>
          <w:sz w:val="20"/>
          <w:szCs w:val="20"/>
          <w:lang w:val="es-ES_tradnl"/>
        </w:rPr>
        <w:t>;</w:t>
      </w:r>
      <w:r w:rsidR="00717FDF" w:rsidRPr="00414D91">
        <w:rPr>
          <w:rFonts w:asciiTheme="majorHAnsi" w:hAnsiTheme="majorHAnsi"/>
          <w:sz w:val="20"/>
          <w:szCs w:val="20"/>
          <w:lang w:val="es-ES_tradnl"/>
        </w:rPr>
        <w:t xml:space="preserve"> y posteriormente</w:t>
      </w:r>
      <w:r w:rsidR="007C3ED0" w:rsidRPr="00414D91">
        <w:rPr>
          <w:rFonts w:asciiTheme="majorHAnsi" w:hAnsiTheme="majorHAnsi"/>
          <w:sz w:val="20"/>
          <w:szCs w:val="20"/>
          <w:lang w:val="es-ES_tradnl"/>
        </w:rPr>
        <w:t>,</w:t>
      </w:r>
      <w:r w:rsidR="00717FDF" w:rsidRPr="00414D91">
        <w:rPr>
          <w:rFonts w:asciiTheme="majorHAnsi" w:hAnsiTheme="majorHAnsi"/>
          <w:sz w:val="20"/>
          <w:szCs w:val="20"/>
          <w:lang w:val="es-ES_tradnl"/>
        </w:rPr>
        <w:t xml:space="preserve"> pero sin haber sido nunca liberado, fue sujeto a un régimen de prisión preventiva en el marco de un proceso penal. En este sentido la Comisión estima que, con respecto a la parte de la petición que </w:t>
      </w:r>
      <w:r w:rsidR="00717FDF" w:rsidRPr="00414D91">
        <w:rPr>
          <w:rFonts w:asciiTheme="majorHAnsi" w:hAnsiTheme="majorHAnsi"/>
          <w:sz w:val="20"/>
          <w:szCs w:val="20"/>
          <w:lang w:val="es-ES_tradnl"/>
        </w:rPr>
        <w:lastRenderedPageBreak/>
        <w:t>denuncia la detención arbitraria del peticionario bajo la figura del confinamiento, la acción de hábeas corpus constituía el recurso idóneo para que esta reclamación fuera atendida a nivel dom</w:t>
      </w:r>
      <w:r w:rsidR="00052E70" w:rsidRPr="00414D91">
        <w:rPr>
          <w:rFonts w:asciiTheme="majorHAnsi" w:hAnsiTheme="majorHAnsi"/>
          <w:sz w:val="20"/>
          <w:szCs w:val="20"/>
          <w:lang w:val="es-ES_tradnl"/>
        </w:rPr>
        <w:t>éstico</w:t>
      </w:r>
      <w:r w:rsidR="00717FDF" w:rsidRPr="00414D91">
        <w:rPr>
          <w:rFonts w:asciiTheme="majorHAnsi" w:hAnsiTheme="majorHAnsi"/>
          <w:sz w:val="20"/>
          <w:szCs w:val="20"/>
          <w:lang w:val="es-ES_tradnl"/>
        </w:rPr>
        <w:t>.</w:t>
      </w:r>
      <w:r w:rsidR="00052E70" w:rsidRPr="00414D91">
        <w:rPr>
          <w:rFonts w:asciiTheme="majorHAnsi" w:hAnsiTheme="majorHAnsi"/>
          <w:sz w:val="20"/>
          <w:szCs w:val="20"/>
          <w:lang w:val="es-ES_tradnl"/>
        </w:rPr>
        <w:t xml:space="preserve"> Por esta razón, y dado que la acción de </w:t>
      </w:r>
      <w:r w:rsidR="00E34EDF" w:rsidRPr="00414D91">
        <w:rPr>
          <w:rFonts w:asciiTheme="majorHAnsi" w:hAnsiTheme="majorHAnsi"/>
          <w:sz w:val="20"/>
          <w:szCs w:val="20"/>
          <w:lang w:val="es-ES_tradnl"/>
        </w:rPr>
        <w:t>hábeas</w:t>
      </w:r>
      <w:r w:rsidR="00052E70" w:rsidRPr="00414D91">
        <w:rPr>
          <w:rFonts w:asciiTheme="majorHAnsi" w:hAnsiTheme="majorHAnsi"/>
          <w:sz w:val="20"/>
          <w:szCs w:val="20"/>
          <w:lang w:val="es-ES_tradnl"/>
        </w:rPr>
        <w:t xml:space="preserve"> corpus pertinente fue presentada el 17 de septiembre de 20</w:t>
      </w:r>
      <w:r w:rsidR="009F2403" w:rsidRPr="00414D91">
        <w:rPr>
          <w:rFonts w:asciiTheme="majorHAnsi" w:hAnsiTheme="majorHAnsi"/>
          <w:sz w:val="20"/>
          <w:szCs w:val="20"/>
          <w:lang w:val="es-ES_tradnl"/>
        </w:rPr>
        <w:t xml:space="preserve">08 </w:t>
      </w:r>
      <w:r w:rsidR="00052E70" w:rsidRPr="00414D91">
        <w:rPr>
          <w:rFonts w:asciiTheme="majorHAnsi" w:hAnsiTheme="majorHAnsi"/>
          <w:sz w:val="20"/>
          <w:szCs w:val="20"/>
          <w:lang w:val="es-ES_tradnl"/>
        </w:rPr>
        <w:t xml:space="preserve">la Comisión concluye que este extremo de la petición cumple con </w:t>
      </w:r>
      <w:r w:rsidR="007C3ED0" w:rsidRPr="00414D91">
        <w:rPr>
          <w:rFonts w:asciiTheme="majorHAnsi" w:hAnsiTheme="majorHAnsi"/>
          <w:sz w:val="20"/>
          <w:szCs w:val="20"/>
          <w:lang w:val="es-ES_tradnl"/>
        </w:rPr>
        <w:t>el</w:t>
      </w:r>
      <w:r w:rsidR="00052E70" w:rsidRPr="00414D91">
        <w:rPr>
          <w:rFonts w:asciiTheme="majorHAnsi" w:hAnsiTheme="majorHAnsi"/>
          <w:sz w:val="20"/>
          <w:szCs w:val="20"/>
          <w:lang w:val="es-ES_tradnl"/>
        </w:rPr>
        <w:t xml:space="preserve"> requisito del artículo 46.1</w:t>
      </w:r>
      <w:r w:rsidR="007C3ED0" w:rsidRPr="00414D91">
        <w:rPr>
          <w:rFonts w:asciiTheme="majorHAnsi" w:hAnsiTheme="majorHAnsi"/>
          <w:sz w:val="20"/>
          <w:szCs w:val="20"/>
          <w:lang w:val="es-ES_tradnl"/>
        </w:rPr>
        <w:t>.</w:t>
      </w:r>
      <w:r w:rsidR="00052E70" w:rsidRPr="00414D91">
        <w:rPr>
          <w:rFonts w:asciiTheme="majorHAnsi" w:hAnsiTheme="majorHAnsi"/>
          <w:sz w:val="20"/>
          <w:szCs w:val="20"/>
          <w:lang w:val="es-ES_tradnl"/>
        </w:rPr>
        <w:t>a) de la Convención Americana.</w:t>
      </w:r>
    </w:p>
    <w:p w14:paraId="6E5E4B10" w14:textId="52BB8C22" w:rsidR="00052E70" w:rsidRPr="00414D91" w:rsidRDefault="00885F6E" w:rsidP="00275BC2">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_tradnl"/>
        </w:rPr>
      </w:pPr>
      <w:r w:rsidRPr="00414D91">
        <w:rPr>
          <w:rFonts w:asciiTheme="majorHAnsi" w:hAnsiTheme="majorHAnsi"/>
          <w:sz w:val="20"/>
          <w:szCs w:val="20"/>
          <w:lang w:val="es-ES_tradnl"/>
        </w:rPr>
        <w:t>Asimismo, c</w:t>
      </w:r>
      <w:r w:rsidR="0055594C" w:rsidRPr="00414D91">
        <w:rPr>
          <w:rFonts w:asciiTheme="majorHAnsi" w:hAnsiTheme="majorHAnsi"/>
          <w:sz w:val="20"/>
          <w:szCs w:val="20"/>
          <w:lang w:val="es-ES_tradnl"/>
        </w:rPr>
        <w:t>on respecto</w:t>
      </w:r>
      <w:r w:rsidR="00D97566" w:rsidRPr="00414D91">
        <w:rPr>
          <w:rFonts w:asciiTheme="majorHAnsi" w:hAnsiTheme="majorHAnsi"/>
          <w:sz w:val="20"/>
          <w:szCs w:val="20"/>
          <w:lang w:val="es-ES_tradnl"/>
        </w:rPr>
        <w:t xml:space="preserve"> a la </w:t>
      </w:r>
      <w:r w:rsidR="00052E70" w:rsidRPr="00414D91">
        <w:rPr>
          <w:rFonts w:asciiTheme="majorHAnsi" w:hAnsiTheme="majorHAnsi"/>
          <w:sz w:val="20"/>
          <w:szCs w:val="20"/>
          <w:lang w:val="es-ES_tradnl"/>
        </w:rPr>
        <w:t>privación de libertad del peticionario</w:t>
      </w:r>
      <w:r w:rsidR="00D97566" w:rsidRPr="00414D91">
        <w:rPr>
          <w:rFonts w:asciiTheme="majorHAnsi" w:hAnsiTheme="majorHAnsi"/>
          <w:sz w:val="20"/>
          <w:szCs w:val="20"/>
          <w:lang w:val="es-ES_tradnl"/>
        </w:rPr>
        <w:t xml:space="preserve"> de forma injustificada, ilegal o desproporcionada</w:t>
      </w:r>
      <w:r w:rsidR="00052E70" w:rsidRPr="00414D91">
        <w:rPr>
          <w:rFonts w:asciiTheme="majorHAnsi" w:hAnsiTheme="majorHAnsi"/>
          <w:sz w:val="20"/>
          <w:szCs w:val="20"/>
          <w:lang w:val="es-ES_tradnl"/>
        </w:rPr>
        <w:t xml:space="preserve"> bajo el régimen de prisión preventiva, la Comisión</w:t>
      </w:r>
      <w:r w:rsidR="00006623" w:rsidRPr="00414D91">
        <w:rPr>
          <w:rFonts w:asciiTheme="majorHAnsi" w:hAnsiTheme="majorHAnsi"/>
          <w:sz w:val="20"/>
          <w:szCs w:val="20"/>
          <w:lang w:val="es-ES_tradnl"/>
        </w:rPr>
        <w:t xml:space="preserve"> toma nota de lo alegado por el Estado en el sentido </w:t>
      </w:r>
      <w:r w:rsidR="0055594C" w:rsidRPr="00414D91">
        <w:rPr>
          <w:rFonts w:asciiTheme="majorHAnsi" w:hAnsiTheme="majorHAnsi"/>
          <w:sz w:val="20"/>
          <w:szCs w:val="20"/>
          <w:lang w:val="es-ES_tradnl"/>
        </w:rPr>
        <w:t xml:space="preserve">de </w:t>
      </w:r>
      <w:r w:rsidR="00006623" w:rsidRPr="00414D91">
        <w:rPr>
          <w:rFonts w:asciiTheme="majorHAnsi" w:hAnsiTheme="majorHAnsi"/>
          <w:sz w:val="20"/>
          <w:szCs w:val="20"/>
          <w:lang w:val="es-ES_tradnl"/>
        </w:rPr>
        <w:t xml:space="preserve">que la acción de </w:t>
      </w:r>
      <w:r w:rsidR="00E34EDF" w:rsidRPr="00414D91">
        <w:rPr>
          <w:rFonts w:asciiTheme="majorHAnsi" w:hAnsiTheme="majorHAnsi"/>
          <w:sz w:val="20"/>
          <w:szCs w:val="20"/>
          <w:lang w:val="es-ES_tradnl"/>
        </w:rPr>
        <w:t>hábeas</w:t>
      </w:r>
      <w:r w:rsidR="00006623" w:rsidRPr="00414D91">
        <w:rPr>
          <w:rFonts w:asciiTheme="majorHAnsi" w:hAnsiTheme="majorHAnsi"/>
          <w:sz w:val="20"/>
          <w:szCs w:val="20"/>
          <w:lang w:val="es-ES_tradnl"/>
        </w:rPr>
        <w:t xml:space="preserve"> corpus no fue agotada de forma correcta y que el peticionario no agotó los recursos que tenía a su disposición ante las autoridades cautelares a cargo de su proceso penal. Sin embargo, la Comisión</w:t>
      </w:r>
      <w:r w:rsidR="00052E70" w:rsidRPr="00414D91">
        <w:rPr>
          <w:rFonts w:asciiTheme="majorHAnsi" w:hAnsiTheme="majorHAnsi"/>
          <w:sz w:val="20"/>
          <w:szCs w:val="20"/>
          <w:lang w:val="es-ES_tradnl"/>
        </w:rPr>
        <w:t xml:space="preserve"> recuerda que ya ha determinado que en los casos en que se alega la mala aplicación o la prolongación excesiva de la prisión preventiva “</w:t>
      </w:r>
      <w:r w:rsidR="00052E70" w:rsidRPr="00414D91">
        <w:rPr>
          <w:rFonts w:asciiTheme="majorHAnsi" w:hAnsiTheme="majorHAnsi" w:cs="Calibri"/>
          <w:i/>
          <w:iCs/>
          <w:sz w:val="20"/>
          <w:szCs w:val="20"/>
          <w:lang w:val="es-ES_tradnl"/>
        </w:rPr>
        <w:t>para el agotamiento de recursos es suficiente la solicitud de excarcelación y su denegatoria</w:t>
      </w:r>
      <w:r w:rsidR="00052E70" w:rsidRPr="00414D91">
        <w:rPr>
          <w:rFonts w:asciiTheme="majorHAnsi" w:hAnsiTheme="majorHAnsi" w:cs="Calibri"/>
          <w:sz w:val="20"/>
          <w:szCs w:val="20"/>
          <w:lang w:val="es-ES_tradnl"/>
        </w:rPr>
        <w:t>”</w:t>
      </w:r>
      <w:r w:rsidR="00052E70" w:rsidRPr="00414D91">
        <w:rPr>
          <w:rStyle w:val="FootnoteReference"/>
          <w:rFonts w:asciiTheme="majorHAnsi" w:hAnsiTheme="majorHAnsi" w:cs="Calibri"/>
          <w:sz w:val="20"/>
          <w:szCs w:val="20"/>
          <w:lang w:val="es-ES_tradnl"/>
        </w:rPr>
        <w:footnoteReference w:id="5"/>
      </w:r>
      <w:r w:rsidR="00052E70" w:rsidRPr="00414D91">
        <w:rPr>
          <w:rFonts w:asciiTheme="majorHAnsi" w:hAnsiTheme="majorHAnsi" w:cs="Calibri"/>
          <w:sz w:val="20"/>
          <w:szCs w:val="20"/>
          <w:lang w:val="es-ES_tradnl"/>
        </w:rPr>
        <w:t>.</w:t>
      </w:r>
      <w:r w:rsidR="00D97566" w:rsidRPr="00414D91">
        <w:rPr>
          <w:rFonts w:asciiTheme="majorHAnsi" w:hAnsiTheme="majorHAnsi" w:cs="Calibri"/>
          <w:sz w:val="20"/>
          <w:szCs w:val="20"/>
          <w:lang w:val="es-ES_tradnl"/>
        </w:rPr>
        <w:t xml:space="preserve"> Consecuentemente, la Co</w:t>
      </w:r>
      <w:r w:rsidR="002314DC" w:rsidRPr="00414D91">
        <w:rPr>
          <w:rFonts w:asciiTheme="majorHAnsi" w:hAnsiTheme="majorHAnsi" w:cs="Calibri"/>
          <w:sz w:val="20"/>
          <w:szCs w:val="20"/>
          <w:lang w:val="es-ES_tradnl"/>
        </w:rPr>
        <w:t>misión valora que en el presente</w:t>
      </w:r>
      <w:r w:rsidR="00D97566" w:rsidRPr="00414D91">
        <w:rPr>
          <w:rFonts w:asciiTheme="majorHAnsi" w:hAnsiTheme="majorHAnsi" w:cs="Calibri"/>
          <w:sz w:val="20"/>
          <w:szCs w:val="20"/>
          <w:lang w:val="es-ES_tradnl"/>
        </w:rPr>
        <w:t xml:space="preserve"> caso el peticionario habría presentado dos solicitudes de cesación de </w:t>
      </w:r>
      <w:r w:rsidR="002314DC" w:rsidRPr="00414D91">
        <w:rPr>
          <w:rFonts w:asciiTheme="majorHAnsi" w:hAnsiTheme="majorHAnsi" w:cs="Calibri"/>
          <w:sz w:val="20"/>
          <w:szCs w:val="20"/>
          <w:lang w:val="es-ES_tradnl"/>
        </w:rPr>
        <w:t>detención,</w:t>
      </w:r>
      <w:r w:rsidR="00D97566" w:rsidRPr="00414D91">
        <w:rPr>
          <w:rFonts w:asciiTheme="majorHAnsi" w:hAnsiTheme="majorHAnsi" w:cs="Calibri"/>
          <w:sz w:val="20"/>
          <w:szCs w:val="20"/>
          <w:lang w:val="es-ES_tradnl"/>
        </w:rPr>
        <w:t xml:space="preserve"> así como una acción de </w:t>
      </w:r>
      <w:r w:rsidR="00E34EDF" w:rsidRPr="00414D91">
        <w:rPr>
          <w:rFonts w:asciiTheme="majorHAnsi" w:hAnsiTheme="majorHAnsi" w:cs="Calibri"/>
          <w:sz w:val="20"/>
          <w:szCs w:val="20"/>
          <w:lang w:val="es-ES_tradnl"/>
        </w:rPr>
        <w:t>hábeas</w:t>
      </w:r>
      <w:r w:rsidR="00D97566" w:rsidRPr="00414D91">
        <w:rPr>
          <w:rFonts w:asciiTheme="majorHAnsi" w:hAnsiTheme="majorHAnsi" w:cs="Calibri"/>
          <w:sz w:val="20"/>
          <w:szCs w:val="20"/>
          <w:lang w:val="es-ES_tradnl"/>
        </w:rPr>
        <w:t xml:space="preserve"> corpus que no puede tacharse de manifiestamente improcedente</w:t>
      </w:r>
      <w:r w:rsidRPr="00414D91">
        <w:rPr>
          <w:rFonts w:asciiTheme="majorHAnsi" w:hAnsiTheme="majorHAnsi" w:cs="Calibri"/>
          <w:sz w:val="20"/>
          <w:szCs w:val="20"/>
          <w:lang w:val="es-ES_tradnl"/>
        </w:rPr>
        <w:t>,</w:t>
      </w:r>
      <w:r w:rsidR="00D97566" w:rsidRPr="00414D91">
        <w:rPr>
          <w:rFonts w:asciiTheme="majorHAnsi" w:hAnsiTheme="majorHAnsi" w:cs="Calibri"/>
          <w:sz w:val="20"/>
          <w:szCs w:val="20"/>
          <w:lang w:val="es-ES_tradnl"/>
        </w:rPr>
        <w:t xml:space="preserve"> toda vez que fue concedida en primera </w:t>
      </w:r>
      <w:r w:rsidR="002314DC" w:rsidRPr="00414D91">
        <w:rPr>
          <w:rFonts w:asciiTheme="majorHAnsi" w:hAnsiTheme="majorHAnsi" w:cs="Calibri"/>
          <w:sz w:val="20"/>
          <w:szCs w:val="20"/>
          <w:lang w:val="es-ES_tradnl"/>
        </w:rPr>
        <w:t>instancia,</w:t>
      </w:r>
      <w:r w:rsidR="00D97566" w:rsidRPr="00414D91">
        <w:rPr>
          <w:rFonts w:asciiTheme="majorHAnsi" w:hAnsiTheme="majorHAnsi" w:cs="Calibri"/>
          <w:sz w:val="20"/>
          <w:szCs w:val="20"/>
          <w:lang w:val="es-ES_tradnl"/>
        </w:rPr>
        <w:t xml:space="preserve"> aunque finalmente revocada. </w:t>
      </w:r>
      <w:r w:rsidRPr="00414D91">
        <w:rPr>
          <w:rFonts w:asciiTheme="majorHAnsi" w:hAnsiTheme="majorHAnsi" w:cs="Calibri"/>
          <w:sz w:val="20"/>
          <w:szCs w:val="20"/>
          <w:lang w:val="es-ES_tradnl"/>
        </w:rPr>
        <w:t xml:space="preserve">Estas consideraciones refuerzan la convicción de la CIDH de que los alegatos relativos a la privación de la libertad del peticionario en cuanto a la legada desproporcionalidad de la medida de prisión </w:t>
      </w:r>
      <w:r w:rsidR="006E6A95" w:rsidRPr="00414D91">
        <w:rPr>
          <w:rFonts w:asciiTheme="majorHAnsi" w:hAnsiTheme="majorHAnsi" w:cs="Calibri"/>
          <w:sz w:val="20"/>
          <w:szCs w:val="20"/>
          <w:lang w:val="es-ES_tradnl"/>
        </w:rPr>
        <w:t>preventiva</w:t>
      </w:r>
      <w:r w:rsidRPr="00414D91">
        <w:rPr>
          <w:rFonts w:asciiTheme="majorHAnsi" w:hAnsiTheme="majorHAnsi" w:cs="Calibri"/>
          <w:sz w:val="20"/>
          <w:szCs w:val="20"/>
          <w:lang w:val="es-ES_tradnl"/>
        </w:rPr>
        <w:t xml:space="preserve"> cumplen, en efecto con el requisito establecido en el artículo 46.1.a) de la Convención Americana. </w:t>
      </w:r>
    </w:p>
    <w:p w14:paraId="0CDF1D9B" w14:textId="7FFBCA5E" w:rsidR="00C72435" w:rsidRPr="00414D91" w:rsidRDefault="00D97566" w:rsidP="00275BC2">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_tradnl"/>
        </w:rPr>
      </w:pPr>
      <w:r w:rsidRPr="00414D91">
        <w:rPr>
          <w:rFonts w:asciiTheme="majorHAnsi" w:hAnsiTheme="majorHAnsi"/>
          <w:sz w:val="20"/>
          <w:szCs w:val="20"/>
          <w:lang w:val="es-ES_tradnl"/>
        </w:rPr>
        <w:t xml:space="preserve">En lo referente a las alegadas violaciones al juez natural por presunta violación de las normas de competencia territorial aplicable, el Estado ha indicado que el peticionario </w:t>
      </w:r>
      <w:r w:rsidR="009A7A17" w:rsidRPr="00414D91">
        <w:rPr>
          <w:rFonts w:asciiTheme="majorHAnsi" w:hAnsiTheme="majorHAnsi"/>
          <w:sz w:val="20"/>
          <w:szCs w:val="20"/>
          <w:lang w:val="es-ES_tradnl"/>
        </w:rPr>
        <w:t>plante</w:t>
      </w:r>
      <w:r w:rsidR="00265E07" w:rsidRPr="00414D91">
        <w:rPr>
          <w:rFonts w:asciiTheme="majorHAnsi" w:hAnsiTheme="majorHAnsi"/>
          <w:sz w:val="20"/>
          <w:szCs w:val="20"/>
          <w:lang w:val="es-ES_tradnl"/>
        </w:rPr>
        <w:t>ó esta reclamación de forma extemporánea impidiendo que los tribunales dom</w:t>
      </w:r>
      <w:r w:rsidR="00B179D5" w:rsidRPr="00414D91">
        <w:rPr>
          <w:rFonts w:asciiTheme="majorHAnsi" w:hAnsiTheme="majorHAnsi"/>
          <w:sz w:val="20"/>
          <w:szCs w:val="20"/>
          <w:lang w:val="es-ES_tradnl"/>
        </w:rPr>
        <w:t>ésticos se pronunciara</w:t>
      </w:r>
      <w:r w:rsidR="00265E07" w:rsidRPr="00414D91">
        <w:rPr>
          <w:rFonts w:asciiTheme="majorHAnsi" w:hAnsiTheme="majorHAnsi"/>
          <w:sz w:val="20"/>
          <w:szCs w:val="20"/>
          <w:lang w:val="es-ES_tradnl"/>
        </w:rPr>
        <w:t>n al respecto. De igual manera y con respecto a la supuesta falta de imparcialidad de un juez cautelar, el Estado ha indicado que la recusación presentada por el peticionario contra este juez no fue presentada en conformidad con los requisitos de la ley impidiendo que la misma fuera examinada. Ante estos planteamientos del Estado, la Comisión recuerda que</w:t>
      </w:r>
      <w:r w:rsidR="00C72435" w:rsidRPr="00414D91">
        <w:rPr>
          <w:rFonts w:asciiTheme="majorHAnsi" w:hAnsiTheme="majorHAnsi"/>
          <w:sz w:val="20"/>
          <w:szCs w:val="20"/>
          <w:lang w:val="es-ES_tradnl"/>
        </w:rPr>
        <w:t>:</w:t>
      </w:r>
      <w:r w:rsidR="00265E07" w:rsidRPr="00414D91">
        <w:rPr>
          <w:rFonts w:asciiTheme="majorHAnsi" w:hAnsiTheme="majorHAnsi"/>
          <w:sz w:val="20"/>
          <w:szCs w:val="20"/>
          <w:lang w:val="es-ES_tradnl"/>
        </w:rPr>
        <w:t xml:space="preserve"> </w:t>
      </w:r>
    </w:p>
    <w:p w14:paraId="43F9C350" w14:textId="7C812AE3" w:rsidR="00C72435" w:rsidRPr="00414D91" w:rsidRDefault="00265E07" w:rsidP="00C72435">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right="720"/>
        <w:jc w:val="both"/>
        <w:rPr>
          <w:rFonts w:asciiTheme="majorHAnsi" w:hAnsiTheme="majorHAnsi"/>
          <w:sz w:val="20"/>
          <w:szCs w:val="20"/>
          <w:lang w:val="es-ES_tradnl"/>
        </w:rPr>
      </w:pPr>
      <w:r w:rsidRPr="00414D91">
        <w:rPr>
          <w:rFonts w:asciiTheme="majorHAnsi" w:hAnsiTheme="majorHAnsi" w:cs="Calibri"/>
          <w:sz w:val="20"/>
          <w:szCs w:val="20"/>
          <w:lang w:val="es-ES_tradnl"/>
        </w:rPr>
        <w:t xml:space="preserve">[E]l peticionario debe agotar los recursos internos de conformidad con la legislación procesal interna. La Comisión no puede considerar que el peticionario ha cumplido debidamente con el requisito del agotamiento previo de los recursos internos si los mismos han sido rechazados con fundamentos procesales razonables y no arbitrarios, como la interposición del recurso de amparo sin el previo agotamiento de las vías pertinentes y la interposición de la acción </w:t>
      </w:r>
      <w:r w:rsidR="00B60DBE" w:rsidRPr="00414D91">
        <w:rPr>
          <w:rFonts w:asciiTheme="majorHAnsi" w:hAnsiTheme="majorHAnsi" w:cs="Calibri"/>
          <w:sz w:val="20"/>
          <w:szCs w:val="20"/>
          <w:lang w:val="es-ES_tradnl"/>
        </w:rPr>
        <w:t>contencioso-administrativa</w:t>
      </w:r>
      <w:r w:rsidRPr="00414D91">
        <w:rPr>
          <w:rFonts w:asciiTheme="majorHAnsi" w:hAnsiTheme="majorHAnsi" w:cs="Calibri"/>
          <w:sz w:val="20"/>
          <w:szCs w:val="20"/>
          <w:lang w:val="es-ES_tradnl"/>
        </w:rPr>
        <w:t xml:space="preserve"> fuera del plazo correspondiente ante los tribunales domésticos</w:t>
      </w:r>
      <w:r w:rsidRPr="00414D91">
        <w:rPr>
          <w:rStyle w:val="FootnoteReference"/>
          <w:rFonts w:asciiTheme="majorHAnsi" w:hAnsiTheme="majorHAnsi" w:cs="Calibri"/>
          <w:sz w:val="20"/>
          <w:szCs w:val="20"/>
          <w:lang w:val="es-ES_tradnl"/>
        </w:rPr>
        <w:footnoteReference w:id="6"/>
      </w:r>
      <w:r w:rsidRPr="00414D91">
        <w:rPr>
          <w:rFonts w:asciiTheme="majorHAnsi" w:hAnsiTheme="majorHAnsi" w:cs="Calibri"/>
          <w:sz w:val="20"/>
          <w:szCs w:val="20"/>
          <w:lang w:val="es-ES_tradnl"/>
        </w:rPr>
        <w:t>.</w:t>
      </w:r>
    </w:p>
    <w:p w14:paraId="013D397D" w14:textId="667F7D60" w:rsidR="00D97566" w:rsidRPr="00414D91" w:rsidRDefault="00265E07" w:rsidP="00275BC2">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_tradnl"/>
        </w:rPr>
      </w:pPr>
      <w:r w:rsidRPr="00414D91">
        <w:rPr>
          <w:rFonts w:asciiTheme="majorHAnsi" w:hAnsiTheme="majorHAnsi" w:cs="Calibri"/>
          <w:sz w:val="20"/>
          <w:szCs w:val="20"/>
          <w:lang w:val="es-ES_tradnl"/>
        </w:rPr>
        <w:t xml:space="preserve"> El peticionario no ha controvertido lo alegado por el E</w:t>
      </w:r>
      <w:r w:rsidR="00B179D5" w:rsidRPr="00414D91">
        <w:rPr>
          <w:rFonts w:asciiTheme="majorHAnsi" w:hAnsiTheme="majorHAnsi" w:cs="Calibri"/>
          <w:sz w:val="20"/>
          <w:szCs w:val="20"/>
          <w:lang w:val="es-ES_tradnl"/>
        </w:rPr>
        <w:t xml:space="preserve">stado con respecto a que </w:t>
      </w:r>
      <w:r w:rsidRPr="00414D91">
        <w:rPr>
          <w:rFonts w:asciiTheme="majorHAnsi" w:hAnsiTheme="majorHAnsi" w:cs="Calibri"/>
          <w:sz w:val="20"/>
          <w:szCs w:val="20"/>
          <w:lang w:val="es-ES_tradnl"/>
        </w:rPr>
        <w:t xml:space="preserve">los recursos planteados </w:t>
      </w:r>
      <w:r w:rsidR="00B179D5" w:rsidRPr="00414D91">
        <w:rPr>
          <w:rFonts w:asciiTheme="majorHAnsi" w:hAnsiTheme="majorHAnsi" w:cs="Calibri"/>
          <w:sz w:val="20"/>
          <w:szCs w:val="20"/>
          <w:lang w:val="es-ES_tradnl"/>
        </w:rPr>
        <w:t>para hacer valer estas dos reclamaciones fueron presentados en forma defectuosa. Tampoco ha</w:t>
      </w:r>
      <w:r w:rsidRPr="00414D91">
        <w:rPr>
          <w:rFonts w:asciiTheme="majorHAnsi" w:hAnsiTheme="majorHAnsi" w:cs="Calibri"/>
          <w:sz w:val="20"/>
          <w:szCs w:val="20"/>
          <w:lang w:val="es-ES_tradnl"/>
        </w:rPr>
        <w:t xml:space="preserve"> alegado que fue impedido de agotar los recursos en debi</w:t>
      </w:r>
      <w:r w:rsidR="00B179D5" w:rsidRPr="00414D91">
        <w:rPr>
          <w:rFonts w:asciiTheme="majorHAnsi" w:hAnsiTheme="majorHAnsi" w:cs="Calibri"/>
          <w:sz w:val="20"/>
          <w:szCs w:val="20"/>
          <w:lang w:val="es-ES_tradnl"/>
        </w:rPr>
        <w:t>do tiempo y forma ni denunciado que los requisitos que se determinaron como incumplidos sean arbitrarios o irrazonables. Por estas razones, la Comisión considera que estas dos reclamaciones no resultan admisible</w:t>
      </w:r>
      <w:r w:rsidR="002314DC" w:rsidRPr="00414D91">
        <w:rPr>
          <w:rFonts w:asciiTheme="majorHAnsi" w:hAnsiTheme="majorHAnsi" w:cs="Calibri"/>
          <w:sz w:val="20"/>
          <w:szCs w:val="20"/>
          <w:lang w:val="es-ES_tradnl"/>
        </w:rPr>
        <w:t>s</w:t>
      </w:r>
      <w:r w:rsidR="00B179D5" w:rsidRPr="00414D91">
        <w:rPr>
          <w:rFonts w:asciiTheme="majorHAnsi" w:hAnsiTheme="majorHAnsi" w:cs="Calibri"/>
          <w:sz w:val="20"/>
          <w:szCs w:val="20"/>
          <w:lang w:val="es-ES_tradnl"/>
        </w:rPr>
        <w:t xml:space="preserve"> por no encontrarse cumplidos los requisitos del artículo 46.1(a) de la Convención Americana.</w:t>
      </w:r>
    </w:p>
    <w:p w14:paraId="2089CCFC" w14:textId="2560702A" w:rsidR="005D6980" w:rsidRPr="00414D91" w:rsidRDefault="00B179D5" w:rsidP="00275BC2">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_tradnl"/>
        </w:rPr>
      </w:pPr>
      <w:r w:rsidRPr="00414D91">
        <w:rPr>
          <w:rFonts w:asciiTheme="majorHAnsi" w:hAnsiTheme="majorHAnsi" w:cs="Calibri"/>
          <w:sz w:val="20"/>
          <w:szCs w:val="20"/>
          <w:lang w:val="es-ES_tradnl"/>
        </w:rPr>
        <w:t xml:space="preserve">En cuanto a las demás alegadas violaciones a los derechos del peticionario que habrían ocurrido en el desarrollo del proceso penal </w:t>
      </w:r>
      <w:r w:rsidRPr="00414D91">
        <w:rPr>
          <w:rFonts w:asciiTheme="majorHAnsi" w:hAnsiTheme="majorHAnsi" w:cs="Calibri"/>
          <w:color w:val="auto"/>
          <w:sz w:val="20"/>
          <w:szCs w:val="20"/>
          <w:lang w:val="es-ES_tradnl"/>
        </w:rPr>
        <w:t>en su contra, la Comisión observa que las causas contra el peticionario habrían iniciado en 2008</w:t>
      </w:r>
      <w:r w:rsidR="006E6A95" w:rsidRPr="00414D91">
        <w:rPr>
          <w:rFonts w:asciiTheme="majorHAnsi" w:hAnsiTheme="majorHAnsi" w:cs="Calibri"/>
          <w:color w:val="auto"/>
          <w:sz w:val="20"/>
          <w:szCs w:val="20"/>
          <w:lang w:val="es-ES_tradnl"/>
        </w:rPr>
        <w:t>;</w:t>
      </w:r>
      <w:r w:rsidRPr="00414D91">
        <w:rPr>
          <w:rFonts w:asciiTheme="majorHAnsi" w:hAnsiTheme="majorHAnsi" w:cs="Calibri"/>
          <w:color w:val="auto"/>
          <w:sz w:val="20"/>
          <w:szCs w:val="20"/>
          <w:lang w:val="es-ES_tradnl"/>
        </w:rPr>
        <w:t xml:space="preserve"> y según la </w:t>
      </w:r>
      <w:r w:rsidR="009C74F4" w:rsidRPr="00414D91">
        <w:rPr>
          <w:rFonts w:asciiTheme="majorHAnsi" w:hAnsiTheme="majorHAnsi" w:cs="Calibri"/>
          <w:color w:val="auto"/>
          <w:sz w:val="20"/>
          <w:szCs w:val="20"/>
          <w:lang w:val="es-ES_tradnl"/>
        </w:rPr>
        <w:t>última información a la que ha tenido acceso la Comisión</w:t>
      </w:r>
      <w:r w:rsidRPr="00414D91">
        <w:rPr>
          <w:rFonts w:asciiTheme="majorHAnsi" w:hAnsiTheme="majorHAnsi" w:cs="Calibri"/>
          <w:color w:val="auto"/>
          <w:sz w:val="20"/>
          <w:szCs w:val="20"/>
          <w:lang w:val="es-ES_tradnl"/>
        </w:rPr>
        <w:t>, no existiría todavía una decisión definitiva al respecto</w:t>
      </w:r>
      <w:r w:rsidR="006E6A95" w:rsidRPr="00414D91">
        <w:rPr>
          <w:rFonts w:asciiTheme="majorHAnsi" w:hAnsiTheme="majorHAnsi" w:cs="Calibri"/>
          <w:color w:val="auto"/>
          <w:sz w:val="20"/>
          <w:szCs w:val="20"/>
          <w:lang w:val="es-ES_tradnl"/>
        </w:rPr>
        <w:t>,</w:t>
      </w:r>
      <w:r w:rsidRPr="00414D91">
        <w:rPr>
          <w:rFonts w:asciiTheme="majorHAnsi" w:hAnsiTheme="majorHAnsi" w:cs="Calibri"/>
          <w:color w:val="auto"/>
          <w:sz w:val="20"/>
          <w:szCs w:val="20"/>
          <w:lang w:val="es-ES_tradnl"/>
        </w:rPr>
        <w:t xml:space="preserve"> estando pendiente la decisión de un recurso de </w:t>
      </w:r>
      <w:r w:rsidR="009C74F4" w:rsidRPr="00414D91">
        <w:rPr>
          <w:rFonts w:asciiTheme="majorHAnsi" w:hAnsiTheme="majorHAnsi" w:cs="Calibri"/>
          <w:color w:val="auto"/>
          <w:sz w:val="20"/>
          <w:szCs w:val="20"/>
          <w:lang w:val="es-ES_tradnl"/>
        </w:rPr>
        <w:t>casación</w:t>
      </w:r>
      <w:r w:rsidRPr="00414D91">
        <w:rPr>
          <w:rFonts w:asciiTheme="majorHAnsi" w:hAnsiTheme="majorHAnsi" w:cs="Calibri"/>
          <w:color w:val="auto"/>
          <w:sz w:val="20"/>
          <w:szCs w:val="20"/>
          <w:lang w:val="es-ES_tradnl"/>
        </w:rPr>
        <w:t xml:space="preserve"> presentado contra la sentencia que condenó al peticionario por un delito y lo absolvió de otros. </w:t>
      </w:r>
    </w:p>
    <w:p w14:paraId="156B1EC3" w14:textId="5A818FF9" w:rsidR="003F4104" w:rsidRPr="00414D91" w:rsidRDefault="00B179D5" w:rsidP="006E6A95">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cs="Calibri"/>
          <w:sz w:val="20"/>
          <w:szCs w:val="20"/>
          <w:lang w:val="es-ES_tradnl"/>
        </w:rPr>
      </w:pPr>
      <w:r w:rsidRPr="00414D91">
        <w:rPr>
          <w:rFonts w:asciiTheme="majorHAnsi" w:hAnsiTheme="majorHAnsi" w:cs="Calibri"/>
          <w:sz w:val="20"/>
          <w:szCs w:val="20"/>
          <w:lang w:val="es-ES_tradnl"/>
        </w:rPr>
        <w:t xml:space="preserve">La Comisión toma nota de lo indicado por el Estado en el sentido que la dilación en la resolución del proceso sería atribuible a </w:t>
      </w:r>
      <w:r w:rsidR="006E6A95" w:rsidRPr="00414D91">
        <w:rPr>
          <w:rFonts w:asciiTheme="majorHAnsi" w:hAnsiTheme="majorHAnsi" w:cs="Calibri"/>
          <w:sz w:val="20"/>
          <w:szCs w:val="20"/>
          <w:lang w:val="es-ES_tradnl"/>
        </w:rPr>
        <w:t>su</w:t>
      </w:r>
      <w:r w:rsidRPr="00414D91">
        <w:rPr>
          <w:rFonts w:asciiTheme="majorHAnsi" w:hAnsiTheme="majorHAnsi" w:cs="Calibri"/>
          <w:sz w:val="20"/>
          <w:szCs w:val="20"/>
          <w:lang w:val="es-ES_tradnl"/>
        </w:rPr>
        <w:t xml:space="preserve"> complejidad y la conducta procesal del peticionario. </w:t>
      </w:r>
      <w:r w:rsidR="003F4104" w:rsidRPr="00414D91">
        <w:rPr>
          <w:rFonts w:asciiTheme="majorHAnsi" w:hAnsiTheme="majorHAnsi" w:cs="Calibri"/>
          <w:sz w:val="20"/>
          <w:szCs w:val="20"/>
          <w:lang w:val="es-ES_tradnl"/>
        </w:rPr>
        <w:t>Ante este planteamiento del Estado, la Comisión estima</w:t>
      </w:r>
      <w:r w:rsidR="00B541AD" w:rsidRPr="00414D91">
        <w:rPr>
          <w:rFonts w:asciiTheme="majorHAnsi" w:hAnsiTheme="majorHAnsi" w:cs="Calibri"/>
          <w:sz w:val="20"/>
          <w:szCs w:val="20"/>
          <w:lang w:val="es-ES_tradnl"/>
        </w:rPr>
        <w:t xml:space="preserve"> que los argumentos del Estado sobre dilaciones imputables al peticionario requieren ser analizados en la etapa de fondo</w:t>
      </w:r>
      <w:r w:rsidR="00CC6A41" w:rsidRPr="00414D91">
        <w:rPr>
          <w:rFonts w:asciiTheme="majorHAnsi" w:hAnsiTheme="majorHAnsi" w:cs="Calibri"/>
          <w:sz w:val="20"/>
          <w:szCs w:val="20"/>
          <w:lang w:val="es-ES_tradnl"/>
        </w:rPr>
        <w:t>;</w:t>
      </w:r>
      <w:r w:rsidR="00B541AD" w:rsidRPr="00414D91">
        <w:rPr>
          <w:rFonts w:asciiTheme="majorHAnsi" w:hAnsiTheme="majorHAnsi" w:cs="Calibri"/>
          <w:sz w:val="20"/>
          <w:szCs w:val="20"/>
          <w:lang w:val="es-ES_tradnl"/>
        </w:rPr>
        <w:t xml:space="preserve"> </w:t>
      </w:r>
      <w:r w:rsidR="00CC6A41" w:rsidRPr="00414D91">
        <w:rPr>
          <w:rFonts w:asciiTheme="majorHAnsi" w:hAnsiTheme="majorHAnsi" w:cs="Calibri"/>
          <w:sz w:val="20"/>
          <w:szCs w:val="20"/>
          <w:lang w:val="es-ES_tradnl"/>
        </w:rPr>
        <w:t>sin embargo,</w:t>
      </w:r>
      <w:r w:rsidR="00B541AD" w:rsidRPr="00414D91">
        <w:rPr>
          <w:rFonts w:asciiTheme="majorHAnsi" w:hAnsiTheme="majorHAnsi" w:cs="Calibri"/>
          <w:sz w:val="20"/>
          <w:szCs w:val="20"/>
          <w:lang w:val="es-ES_tradnl"/>
        </w:rPr>
        <w:t xml:space="preserve"> para efectos </w:t>
      </w:r>
      <w:r w:rsidR="00CC6A41" w:rsidRPr="00414D91">
        <w:rPr>
          <w:rFonts w:asciiTheme="majorHAnsi" w:hAnsiTheme="majorHAnsi" w:cs="Calibri"/>
          <w:sz w:val="20"/>
          <w:szCs w:val="20"/>
          <w:lang w:val="es-ES_tradnl"/>
        </w:rPr>
        <w:t xml:space="preserve">del presente análisis </w:t>
      </w:r>
      <w:r w:rsidR="00B541AD" w:rsidRPr="00414D91">
        <w:rPr>
          <w:rFonts w:asciiTheme="majorHAnsi" w:hAnsiTheme="majorHAnsi" w:cs="Calibri"/>
          <w:sz w:val="20"/>
          <w:szCs w:val="20"/>
          <w:lang w:val="es-ES_tradnl"/>
        </w:rPr>
        <w:t>de admisibilidad</w:t>
      </w:r>
      <w:r w:rsidR="003F4104" w:rsidRPr="00414D91">
        <w:rPr>
          <w:rFonts w:asciiTheme="majorHAnsi" w:hAnsiTheme="majorHAnsi" w:cs="Calibri"/>
          <w:sz w:val="20"/>
          <w:szCs w:val="20"/>
          <w:lang w:val="es-ES_tradnl"/>
        </w:rPr>
        <w:t xml:space="preserve"> los más de </w:t>
      </w:r>
      <w:r w:rsidR="00A30406" w:rsidRPr="00414D91">
        <w:rPr>
          <w:rFonts w:asciiTheme="majorHAnsi" w:hAnsiTheme="majorHAnsi" w:cs="Calibri"/>
          <w:sz w:val="20"/>
          <w:szCs w:val="20"/>
          <w:lang w:val="es-ES_tradnl"/>
        </w:rPr>
        <w:t>diez</w:t>
      </w:r>
      <w:r w:rsidR="003F4104" w:rsidRPr="00414D91">
        <w:rPr>
          <w:rFonts w:asciiTheme="majorHAnsi" w:hAnsiTheme="majorHAnsi" w:cs="Calibri"/>
          <w:sz w:val="20"/>
          <w:szCs w:val="20"/>
          <w:lang w:val="es-ES_tradnl"/>
        </w:rPr>
        <w:t xml:space="preserve"> años transcurridos desde el inicio de las causas penales contra el peticionario sin que exista una decisión definitiva justifica</w:t>
      </w:r>
      <w:r w:rsidR="00B541AD" w:rsidRPr="00414D91">
        <w:rPr>
          <w:rFonts w:asciiTheme="majorHAnsi" w:hAnsiTheme="majorHAnsi" w:cs="Calibri"/>
          <w:sz w:val="20"/>
          <w:szCs w:val="20"/>
          <w:lang w:val="es-ES_tradnl"/>
        </w:rPr>
        <w:t xml:space="preserve"> </w:t>
      </w:r>
      <w:r w:rsidR="003F4104" w:rsidRPr="00414D91">
        <w:rPr>
          <w:rFonts w:asciiTheme="majorHAnsi" w:hAnsiTheme="majorHAnsi" w:cs="Calibri"/>
          <w:sz w:val="20"/>
          <w:szCs w:val="20"/>
          <w:lang w:val="es-ES_tradnl"/>
        </w:rPr>
        <w:t>la aplicación a este extremo de la petición de la excepción al</w:t>
      </w:r>
      <w:r w:rsidR="00B541AD" w:rsidRPr="00414D91">
        <w:rPr>
          <w:rFonts w:asciiTheme="majorHAnsi" w:hAnsiTheme="majorHAnsi" w:cs="Calibri"/>
          <w:sz w:val="20"/>
          <w:szCs w:val="20"/>
          <w:lang w:val="es-ES_tradnl"/>
        </w:rPr>
        <w:t xml:space="preserve"> requisito </w:t>
      </w:r>
      <w:r w:rsidR="003F4104" w:rsidRPr="00414D91">
        <w:rPr>
          <w:rFonts w:asciiTheme="majorHAnsi" w:hAnsiTheme="majorHAnsi" w:cs="Calibri"/>
          <w:sz w:val="20"/>
          <w:szCs w:val="20"/>
          <w:lang w:val="es-ES_tradnl"/>
        </w:rPr>
        <w:t xml:space="preserve"> </w:t>
      </w:r>
      <w:r w:rsidR="003F4104" w:rsidRPr="00414D91">
        <w:rPr>
          <w:rFonts w:asciiTheme="majorHAnsi" w:hAnsiTheme="majorHAnsi" w:cs="Calibri"/>
          <w:sz w:val="20"/>
          <w:szCs w:val="20"/>
          <w:lang w:val="es-ES_tradnl"/>
        </w:rPr>
        <w:lastRenderedPageBreak/>
        <w:t>agotamiento de los recursos internos contemplada en el artículo 46.2</w:t>
      </w:r>
      <w:r w:rsidR="00A30406" w:rsidRPr="00414D91">
        <w:rPr>
          <w:rFonts w:asciiTheme="majorHAnsi" w:hAnsiTheme="majorHAnsi" w:cs="Calibri"/>
          <w:sz w:val="20"/>
          <w:szCs w:val="20"/>
          <w:lang w:val="es-ES_tradnl"/>
        </w:rPr>
        <w:t>.</w:t>
      </w:r>
      <w:r w:rsidR="003F4104" w:rsidRPr="00414D91">
        <w:rPr>
          <w:rFonts w:asciiTheme="majorHAnsi" w:hAnsiTheme="majorHAnsi" w:cs="Calibri"/>
          <w:sz w:val="20"/>
          <w:szCs w:val="20"/>
          <w:lang w:val="es-ES_tradnl"/>
        </w:rPr>
        <w:t>c) de la Convención Americana.</w:t>
      </w:r>
      <w:r w:rsidR="00B541AD" w:rsidRPr="00414D91">
        <w:rPr>
          <w:rFonts w:asciiTheme="majorHAnsi" w:hAnsiTheme="majorHAnsi" w:cs="Calibri"/>
          <w:sz w:val="20"/>
          <w:szCs w:val="20"/>
          <w:lang w:val="es-ES_tradnl"/>
        </w:rPr>
        <w:t xml:space="preserve"> La Comisión además observa que el proceso</w:t>
      </w:r>
      <w:r w:rsidR="003F4104" w:rsidRPr="00414D91">
        <w:rPr>
          <w:rFonts w:asciiTheme="majorHAnsi" w:hAnsiTheme="majorHAnsi" w:cs="Calibri"/>
          <w:sz w:val="20"/>
          <w:szCs w:val="20"/>
          <w:lang w:val="es-ES_tradnl"/>
        </w:rPr>
        <w:t xml:space="preserve"> </w:t>
      </w:r>
      <w:r w:rsidR="00B541AD" w:rsidRPr="00414D91">
        <w:rPr>
          <w:rFonts w:asciiTheme="majorHAnsi" w:hAnsiTheme="majorHAnsi" w:cs="Calibri"/>
          <w:sz w:val="20"/>
          <w:szCs w:val="20"/>
          <w:lang w:val="es-ES_tradnl"/>
        </w:rPr>
        <w:t xml:space="preserve">penal contra el peticionario inició </w:t>
      </w:r>
      <w:r w:rsidR="007C7E01" w:rsidRPr="00414D91">
        <w:rPr>
          <w:rFonts w:asciiTheme="majorHAnsi" w:hAnsiTheme="majorHAnsi" w:cs="Calibri"/>
          <w:sz w:val="20"/>
          <w:szCs w:val="20"/>
          <w:lang w:val="es-ES_tradnl"/>
        </w:rPr>
        <w:t>con posterioridad a septiembre de 2008 y la petición fue presentada el 3 de febrero de 2009. En consecuencia, la Comisión también concluye que este extremo de la petición cumple con el requisito de presentación dentro de plazo razonable en los términos del artículo 32.2 del Reglamento de la Comisión</w:t>
      </w:r>
    </w:p>
    <w:p w14:paraId="7925C221" w14:textId="01095CBD" w:rsidR="009A3FFA" w:rsidRPr="00414D91" w:rsidRDefault="003F4104" w:rsidP="00275BC2">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_tradnl"/>
        </w:rPr>
      </w:pPr>
      <w:r w:rsidRPr="00414D91">
        <w:rPr>
          <w:rFonts w:asciiTheme="majorHAnsi" w:hAnsiTheme="majorHAnsi" w:cs="Calibri"/>
          <w:sz w:val="20"/>
          <w:szCs w:val="20"/>
          <w:lang w:val="es-ES_tradnl"/>
        </w:rPr>
        <w:t>Respecto a las alegadas violaciones a los derechos políticos del peticionario,</w:t>
      </w:r>
      <w:r w:rsidR="00BF66A3" w:rsidRPr="00414D91">
        <w:rPr>
          <w:rFonts w:asciiTheme="majorHAnsi" w:hAnsiTheme="majorHAnsi" w:cs="Calibri"/>
          <w:sz w:val="20"/>
          <w:szCs w:val="20"/>
          <w:lang w:val="es-ES_tradnl"/>
        </w:rPr>
        <w:t xml:space="preserve"> </w:t>
      </w:r>
      <w:r w:rsidR="009374A4" w:rsidRPr="00414D91">
        <w:rPr>
          <w:rFonts w:asciiTheme="majorHAnsi" w:hAnsiTheme="majorHAnsi" w:cs="Calibri"/>
          <w:sz w:val="20"/>
          <w:szCs w:val="20"/>
          <w:lang w:val="es-ES_tradnl"/>
        </w:rPr>
        <w:t>e</w:t>
      </w:r>
      <w:r w:rsidR="00BF66A3" w:rsidRPr="00414D91">
        <w:rPr>
          <w:rFonts w:asciiTheme="majorHAnsi" w:hAnsiTheme="majorHAnsi" w:cs="Calibri"/>
          <w:sz w:val="20"/>
          <w:szCs w:val="20"/>
          <w:lang w:val="es-ES_tradnl"/>
        </w:rPr>
        <w:t>l Estado ha indicado que el peticionario evidentemente pudo ejercer sus derechos políticos al ser candidato a la vicepresidencia del país y que los reclamos sobre violaciones a estos derechos no han sido planteados ante la Corte Nacio</w:t>
      </w:r>
      <w:r w:rsidR="00617EE8" w:rsidRPr="00414D91">
        <w:rPr>
          <w:rFonts w:asciiTheme="majorHAnsi" w:hAnsiTheme="majorHAnsi" w:cs="Calibri"/>
          <w:sz w:val="20"/>
          <w:szCs w:val="20"/>
          <w:lang w:val="es-ES_tradnl"/>
        </w:rPr>
        <w:t>nal Electoral. Sin embargo, la C</w:t>
      </w:r>
      <w:r w:rsidR="00BF66A3" w:rsidRPr="00414D91">
        <w:rPr>
          <w:rFonts w:asciiTheme="majorHAnsi" w:hAnsiTheme="majorHAnsi" w:cs="Calibri"/>
          <w:sz w:val="20"/>
          <w:szCs w:val="20"/>
          <w:lang w:val="es-ES_tradnl"/>
        </w:rPr>
        <w:t xml:space="preserve">omisión estima que los reclamos planteados en la presente petición con respecto a presuntas violaciones de los derechos políticos no se refieren a impedimentos para participar en un </w:t>
      </w:r>
      <w:r w:rsidR="00BF66A3" w:rsidRPr="00414D91">
        <w:rPr>
          <w:rFonts w:asciiTheme="majorHAnsi" w:hAnsiTheme="majorHAnsi" w:cs="Calibri"/>
          <w:color w:val="auto"/>
          <w:sz w:val="20"/>
          <w:szCs w:val="20"/>
          <w:lang w:val="es-ES_tradnl"/>
        </w:rPr>
        <w:t>proceso electoral</w:t>
      </w:r>
      <w:r w:rsidR="000E5E39" w:rsidRPr="00414D91">
        <w:rPr>
          <w:rFonts w:asciiTheme="majorHAnsi" w:hAnsiTheme="majorHAnsi" w:cs="Calibri"/>
          <w:color w:val="auto"/>
          <w:sz w:val="20"/>
          <w:szCs w:val="20"/>
          <w:lang w:val="es-ES_tradnl"/>
        </w:rPr>
        <w:t>,</w:t>
      </w:r>
      <w:r w:rsidR="00BF66A3" w:rsidRPr="00414D91">
        <w:rPr>
          <w:rFonts w:asciiTheme="majorHAnsi" w:hAnsiTheme="majorHAnsi" w:cs="Calibri"/>
          <w:color w:val="auto"/>
          <w:sz w:val="20"/>
          <w:szCs w:val="20"/>
          <w:lang w:val="es-ES_tradnl"/>
        </w:rPr>
        <w:t xml:space="preserve"> sino a</w:t>
      </w:r>
      <w:r w:rsidR="009C74F4" w:rsidRPr="00414D91">
        <w:rPr>
          <w:rFonts w:asciiTheme="majorHAnsi" w:hAnsiTheme="majorHAnsi" w:cs="Calibri"/>
          <w:color w:val="auto"/>
          <w:sz w:val="20"/>
          <w:szCs w:val="20"/>
          <w:lang w:val="es-ES_tradnl"/>
        </w:rPr>
        <w:t xml:space="preserve"> que el peticionario se vio impedido de ejercer el cargo público para el que había sido electo producto de las medidas de confinamiento y prisión preventiva que le fueron impuestas</w:t>
      </w:r>
      <w:r w:rsidR="00BF66A3" w:rsidRPr="00414D91">
        <w:rPr>
          <w:rFonts w:asciiTheme="majorHAnsi" w:hAnsiTheme="majorHAnsi" w:cs="Calibri"/>
          <w:sz w:val="20"/>
          <w:szCs w:val="20"/>
          <w:lang w:val="es-ES_tradnl"/>
        </w:rPr>
        <w:t>. En este sentido</w:t>
      </w:r>
      <w:r w:rsidR="000E5E39" w:rsidRPr="00414D91">
        <w:rPr>
          <w:rFonts w:asciiTheme="majorHAnsi" w:hAnsiTheme="majorHAnsi" w:cs="Calibri"/>
          <w:sz w:val="20"/>
          <w:szCs w:val="20"/>
          <w:lang w:val="es-ES_tradnl"/>
        </w:rPr>
        <w:t>;</w:t>
      </w:r>
      <w:r w:rsidR="00BF66A3" w:rsidRPr="00414D91">
        <w:rPr>
          <w:rFonts w:asciiTheme="majorHAnsi" w:hAnsiTheme="majorHAnsi" w:cs="Calibri"/>
          <w:sz w:val="20"/>
          <w:szCs w:val="20"/>
          <w:lang w:val="es-ES_tradnl"/>
        </w:rPr>
        <w:t xml:space="preserve"> </w:t>
      </w:r>
      <w:r w:rsidR="009A3FFA" w:rsidRPr="00414D91">
        <w:rPr>
          <w:rFonts w:asciiTheme="majorHAnsi" w:hAnsiTheme="majorHAnsi" w:cs="Calibri"/>
          <w:sz w:val="20"/>
          <w:szCs w:val="20"/>
          <w:lang w:val="es-ES_tradnl"/>
        </w:rPr>
        <w:t xml:space="preserve">y dado que el Estado no ha explicado las razones por las que un recurso ante la Corte Nacional Electoral resultaría idóneo para remediar la situación planteada por el peticionario, la Comisión estima que la admisibilidad de las reclamaciones del peticionario </w:t>
      </w:r>
      <w:r w:rsidR="009374A4" w:rsidRPr="00414D91">
        <w:rPr>
          <w:rFonts w:asciiTheme="majorHAnsi" w:hAnsiTheme="majorHAnsi" w:cs="Calibri"/>
          <w:sz w:val="20"/>
          <w:szCs w:val="20"/>
          <w:lang w:val="es-ES_tradnl"/>
        </w:rPr>
        <w:t>sobre presuntas</w:t>
      </w:r>
      <w:r w:rsidR="009A3FFA" w:rsidRPr="00414D91">
        <w:rPr>
          <w:rFonts w:asciiTheme="majorHAnsi" w:hAnsiTheme="majorHAnsi" w:cs="Calibri"/>
          <w:sz w:val="20"/>
          <w:szCs w:val="20"/>
          <w:lang w:val="es-ES_tradnl"/>
        </w:rPr>
        <w:t xml:space="preserve"> </w:t>
      </w:r>
      <w:r w:rsidR="009374A4" w:rsidRPr="00414D91">
        <w:rPr>
          <w:rFonts w:asciiTheme="majorHAnsi" w:hAnsiTheme="majorHAnsi" w:cs="Calibri"/>
          <w:sz w:val="20"/>
          <w:szCs w:val="20"/>
          <w:lang w:val="es-ES_tradnl"/>
        </w:rPr>
        <w:t>violaciones a</w:t>
      </w:r>
      <w:r w:rsidR="009A3FFA" w:rsidRPr="00414D91">
        <w:rPr>
          <w:rFonts w:asciiTheme="majorHAnsi" w:hAnsiTheme="majorHAnsi" w:cs="Calibri"/>
          <w:sz w:val="20"/>
          <w:szCs w:val="20"/>
          <w:lang w:val="es-ES_tradnl"/>
        </w:rPr>
        <w:t xml:space="preserve"> sus derechos políticos no requería el agotamiento de recursos adicionales a los agotados contra las medidas de confi</w:t>
      </w:r>
      <w:r w:rsidR="009C74F4" w:rsidRPr="00414D91">
        <w:rPr>
          <w:rFonts w:asciiTheme="majorHAnsi" w:hAnsiTheme="majorHAnsi" w:cs="Calibri"/>
          <w:sz w:val="20"/>
          <w:szCs w:val="20"/>
          <w:lang w:val="es-ES_tradnl"/>
        </w:rPr>
        <w:t>namiento y prisión preventiva.</w:t>
      </w:r>
    </w:p>
    <w:p w14:paraId="2FFE2587" w14:textId="0213473E" w:rsidR="00B179D5" w:rsidRPr="00414D91" w:rsidRDefault="009A3FFA" w:rsidP="00275BC2">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_tradnl"/>
        </w:rPr>
      </w:pPr>
      <w:r w:rsidRPr="00414D91">
        <w:rPr>
          <w:rFonts w:asciiTheme="majorHAnsi" w:hAnsiTheme="majorHAnsi" w:cs="Calibri"/>
          <w:sz w:val="20"/>
          <w:szCs w:val="20"/>
          <w:lang w:val="es-ES_tradnl"/>
        </w:rPr>
        <w:t xml:space="preserve">En cuanto a las alegadas violaciones a los derechos del peticionario por razón de la publicación de fotos montadas, impedimento para comunicarse con los medios de comunicación, y acciones de amedrentamiento contra las personas que le visitaban en el centro penitenciario, </w:t>
      </w:r>
      <w:r w:rsidR="009374A4" w:rsidRPr="00414D91">
        <w:rPr>
          <w:rFonts w:asciiTheme="majorHAnsi" w:hAnsiTheme="majorHAnsi" w:cs="Tahoma"/>
          <w:color w:val="333333"/>
          <w:sz w:val="20"/>
          <w:szCs w:val="20"/>
          <w:shd w:val="clear" w:color="auto" w:fill="FFFFFF"/>
          <w:lang w:val="es-ES_tradnl"/>
        </w:rPr>
        <w:t>l</w:t>
      </w:r>
      <w:r w:rsidRPr="00414D91">
        <w:rPr>
          <w:rFonts w:asciiTheme="majorHAnsi" w:hAnsiTheme="majorHAnsi" w:cs="Tahoma"/>
          <w:color w:val="333333"/>
          <w:sz w:val="20"/>
          <w:szCs w:val="20"/>
          <w:shd w:val="clear" w:color="auto" w:fill="FFFFFF"/>
          <w:lang w:val="es-ES_tradnl"/>
        </w:rPr>
        <w:t xml:space="preserve">a Comisión observa que el peticionario no ha indicado los recursos que habría agotado para hacer valer estas reclamaciones en sede doméstica ni denunciado la inexistencia de recursos idóneos o haber sido impedido de agotarlos. Por estas razones, la Comisión considera que estos </w:t>
      </w:r>
      <w:r w:rsidR="009374A4" w:rsidRPr="00414D91">
        <w:rPr>
          <w:rFonts w:asciiTheme="majorHAnsi" w:hAnsiTheme="majorHAnsi" w:cs="Tahoma"/>
          <w:color w:val="333333"/>
          <w:sz w:val="20"/>
          <w:szCs w:val="20"/>
          <w:shd w:val="clear" w:color="auto" w:fill="FFFFFF"/>
          <w:lang w:val="es-ES_tradnl"/>
        </w:rPr>
        <w:t>extremos</w:t>
      </w:r>
      <w:r w:rsidRPr="00414D91">
        <w:rPr>
          <w:rFonts w:asciiTheme="majorHAnsi" w:hAnsiTheme="majorHAnsi" w:cs="Tahoma"/>
          <w:color w:val="333333"/>
          <w:sz w:val="20"/>
          <w:szCs w:val="20"/>
          <w:shd w:val="clear" w:color="auto" w:fill="FFFFFF"/>
          <w:lang w:val="es-ES_tradnl"/>
        </w:rPr>
        <w:t xml:space="preserve"> de la petición resultan inadmisibles por no cumplir con los requisitos del artículo 46.1(a) de la Convención Americana. </w:t>
      </w:r>
    </w:p>
    <w:p w14:paraId="35E9BBBC" w14:textId="7BC4C1F1" w:rsidR="003239B8" w:rsidRPr="00414D91" w:rsidRDefault="003239B8" w:rsidP="007F210C">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
          <w:sz w:val="20"/>
          <w:szCs w:val="20"/>
          <w:lang w:val="es-ES_tradnl"/>
        </w:rPr>
      </w:pPr>
      <w:r w:rsidRPr="00414D91">
        <w:rPr>
          <w:rFonts w:asciiTheme="majorHAnsi" w:hAnsiTheme="majorHAnsi"/>
          <w:b/>
          <w:bCs/>
          <w:sz w:val="20"/>
          <w:szCs w:val="20"/>
          <w:lang w:val="es-ES_tradnl"/>
        </w:rPr>
        <w:t>VII.</w:t>
      </w:r>
      <w:r w:rsidRPr="00414D91">
        <w:rPr>
          <w:rFonts w:asciiTheme="majorHAnsi" w:hAnsiTheme="majorHAnsi"/>
          <w:b/>
          <w:bCs/>
          <w:sz w:val="20"/>
          <w:szCs w:val="20"/>
          <w:lang w:val="es-ES_tradnl"/>
        </w:rPr>
        <w:tab/>
      </w:r>
      <w:r w:rsidR="004A6A54" w:rsidRPr="00414D91">
        <w:rPr>
          <w:rFonts w:asciiTheme="majorHAnsi" w:hAnsiTheme="majorHAnsi"/>
          <w:b/>
          <w:bCs/>
          <w:sz w:val="20"/>
          <w:szCs w:val="20"/>
          <w:lang w:val="es-ES_tradnl"/>
        </w:rPr>
        <w:t xml:space="preserve">ANÁLISIS DE </w:t>
      </w:r>
      <w:r w:rsidR="00C21FEF" w:rsidRPr="00414D91">
        <w:rPr>
          <w:rFonts w:asciiTheme="majorHAnsi" w:hAnsiTheme="majorHAnsi"/>
          <w:b/>
          <w:bCs/>
          <w:sz w:val="20"/>
          <w:szCs w:val="20"/>
          <w:lang w:val="es-ES_tradnl"/>
        </w:rPr>
        <w:t>CARACTERIZACIÓN DE LOS HECHOS ALEGADOS</w:t>
      </w:r>
    </w:p>
    <w:p w14:paraId="62D3F12A" w14:textId="00D3C4CB" w:rsidR="0083456D" w:rsidRPr="00414D91" w:rsidRDefault="000F6DC3" w:rsidP="00467EE8">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_tradnl"/>
        </w:rPr>
      </w:pPr>
      <w:r w:rsidRPr="00414D91">
        <w:rPr>
          <w:rFonts w:asciiTheme="majorHAnsi" w:hAnsiTheme="majorHAnsi"/>
          <w:sz w:val="20"/>
          <w:szCs w:val="20"/>
          <w:lang w:val="es-ES_tradnl"/>
        </w:rPr>
        <w:t>La Comisión observa que la presente petición</w:t>
      </w:r>
      <w:r w:rsidR="009374A4" w:rsidRPr="00414D91">
        <w:rPr>
          <w:rFonts w:asciiTheme="majorHAnsi" w:hAnsiTheme="majorHAnsi"/>
          <w:sz w:val="20"/>
          <w:szCs w:val="20"/>
          <w:lang w:val="es-ES_tradnl"/>
        </w:rPr>
        <w:t>, en sus partes que no resultan inadmisibles conforme las determinaciones de la Sección VI del presente informe,</w:t>
      </w:r>
      <w:r w:rsidRPr="00414D91">
        <w:rPr>
          <w:rFonts w:asciiTheme="majorHAnsi" w:hAnsiTheme="majorHAnsi"/>
          <w:sz w:val="20"/>
          <w:szCs w:val="20"/>
          <w:lang w:val="es-ES_tradnl"/>
        </w:rPr>
        <w:t xml:space="preserve"> incluye alegaciones con respecto a que </w:t>
      </w:r>
      <w:r w:rsidR="009A3FFA" w:rsidRPr="00414D91">
        <w:rPr>
          <w:rFonts w:asciiTheme="majorHAnsi" w:hAnsiTheme="majorHAnsi"/>
          <w:sz w:val="20"/>
          <w:szCs w:val="20"/>
          <w:lang w:val="es-ES_tradnl"/>
        </w:rPr>
        <w:t xml:space="preserve">el peticionario </w:t>
      </w:r>
      <w:r w:rsidR="005B599B" w:rsidRPr="00414D91">
        <w:rPr>
          <w:rFonts w:asciiTheme="majorHAnsi" w:hAnsiTheme="majorHAnsi"/>
          <w:sz w:val="20"/>
          <w:szCs w:val="20"/>
          <w:lang w:val="es-ES_tradnl"/>
        </w:rPr>
        <w:t xml:space="preserve">fue privado de su libertad </w:t>
      </w:r>
      <w:r w:rsidR="005B599B" w:rsidRPr="00414D91">
        <w:rPr>
          <w:rFonts w:asciiTheme="majorHAnsi" w:hAnsiTheme="majorHAnsi"/>
          <w:color w:val="auto"/>
          <w:sz w:val="20"/>
          <w:szCs w:val="20"/>
          <w:lang w:val="es-ES_tradnl"/>
        </w:rPr>
        <w:t>en el marco de un estado de excepción sin que se lo concediera acceso a una revisión judicial de la medida; a que el peticionario se encontró privado de su libertad bajo régimen de prisión preventiva</w:t>
      </w:r>
      <w:r w:rsidR="009C74F4" w:rsidRPr="00414D91">
        <w:rPr>
          <w:rFonts w:asciiTheme="majorHAnsi" w:hAnsiTheme="majorHAnsi"/>
          <w:color w:val="auto"/>
          <w:sz w:val="20"/>
          <w:szCs w:val="20"/>
          <w:lang w:val="es-ES_tradnl"/>
        </w:rPr>
        <w:t>, viéndose impedido de ejercer un cargo público para el que había sido electo,</w:t>
      </w:r>
      <w:r w:rsidR="005B599B" w:rsidRPr="00414D91">
        <w:rPr>
          <w:rFonts w:asciiTheme="majorHAnsi" w:hAnsiTheme="majorHAnsi"/>
          <w:color w:val="auto"/>
          <w:sz w:val="20"/>
          <w:szCs w:val="20"/>
          <w:lang w:val="es-ES_tradnl"/>
        </w:rPr>
        <w:t xml:space="preserve"> por un tiempo desproporcionado que además excedió el máximo permitido por la ley doméstica;</w:t>
      </w:r>
      <w:r w:rsidR="009C74F4" w:rsidRPr="00414D91">
        <w:rPr>
          <w:rFonts w:asciiTheme="majorHAnsi" w:hAnsiTheme="majorHAnsi"/>
          <w:color w:val="auto"/>
          <w:sz w:val="20"/>
          <w:szCs w:val="20"/>
          <w:lang w:val="es-ES_tradnl"/>
        </w:rPr>
        <w:t xml:space="preserve"> </w:t>
      </w:r>
      <w:r w:rsidR="009C74F4" w:rsidRPr="00414D91">
        <w:rPr>
          <w:rFonts w:asciiTheme="majorHAnsi" w:hAnsiTheme="majorHAnsi"/>
          <w:sz w:val="20"/>
          <w:szCs w:val="20"/>
          <w:lang w:val="es-ES_tradnl"/>
        </w:rPr>
        <w:t>y</w:t>
      </w:r>
      <w:r w:rsidR="005B599B" w:rsidRPr="00414D91">
        <w:rPr>
          <w:rFonts w:asciiTheme="majorHAnsi" w:hAnsiTheme="majorHAnsi"/>
          <w:sz w:val="20"/>
          <w:szCs w:val="20"/>
          <w:lang w:val="es-ES_tradnl"/>
        </w:rPr>
        <w:t xml:space="preserve"> a que el proceso penal contra el peticionario no ha sido resuelto definitivamente dentro de plazo razonable </w:t>
      </w:r>
    </w:p>
    <w:p w14:paraId="59690537" w14:textId="1FB4FB4D" w:rsidR="00046336" w:rsidRPr="00414D91" w:rsidRDefault="00BA2432" w:rsidP="00046336">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_tradnl"/>
        </w:rPr>
      </w:pPr>
      <w:r w:rsidRPr="00414D91">
        <w:rPr>
          <w:rFonts w:asciiTheme="majorHAnsi" w:hAnsiTheme="majorHAnsi"/>
          <w:sz w:val="20"/>
          <w:szCs w:val="20"/>
          <w:lang w:val="es-ES_tradnl"/>
        </w:rPr>
        <w:t>L</w:t>
      </w:r>
      <w:r w:rsidR="00467EE8" w:rsidRPr="00414D91">
        <w:rPr>
          <w:rFonts w:asciiTheme="majorHAnsi" w:hAnsiTheme="majorHAnsi"/>
          <w:sz w:val="20"/>
          <w:szCs w:val="20"/>
          <w:lang w:val="es-ES_tradnl"/>
        </w:rPr>
        <w:t xml:space="preserve">a Comisión </w:t>
      </w:r>
      <w:r w:rsidR="002A54F4" w:rsidRPr="00414D91">
        <w:rPr>
          <w:rFonts w:asciiTheme="majorHAnsi" w:hAnsiTheme="majorHAnsi"/>
          <w:sz w:val="20"/>
          <w:szCs w:val="20"/>
          <w:lang w:val="es-ES_tradnl"/>
        </w:rPr>
        <w:t>recuerda</w:t>
      </w:r>
      <w:r w:rsidR="00467EE8" w:rsidRPr="00414D91">
        <w:rPr>
          <w:rFonts w:asciiTheme="majorHAnsi" w:hAnsiTheme="majorHAnsi"/>
          <w:sz w:val="20"/>
          <w:szCs w:val="20"/>
          <w:lang w:val="es-ES_tradnl"/>
        </w:rPr>
        <w:t xml:space="preserve"> que </w:t>
      </w:r>
      <w:r w:rsidR="001B2D90" w:rsidRPr="00414D91">
        <w:rPr>
          <w:rFonts w:asciiTheme="majorHAnsi" w:hAnsiTheme="majorHAnsi"/>
          <w:sz w:val="20"/>
          <w:szCs w:val="20"/>
          <w:lang w:val="es-ES_tradnl"/>
        </w:rPr>
        <w:t xml:space="preserve">la </w:t>
      </w:r>
      <w:r w:rsidR="00E32357" w:rsidRPr="00414D91">
        <w:rPr>
          <w:rFonts w:asciiTheme="majorHAnsi" w:hAnsiTheme="majorHAnsi"/>
          <w:sz w:val="20"/>
          <w:szCs w:val="20"/>
          <w:lang w:val="es-ES_tradnl"/>
        </w:rPr>
        <w:t xml:space="preserve">Corte Interamericana ha reconocido que las acciones de </w:t>
      </w:r>
      <w:r w:rsidR="00E34EDF" w:rsidRPr="00414D91">
        <w:rPr>
          <w:rFonts w:asciiTheme="majorHAnsi" w:hAnsiTheme="majorHAnsi"/>
          <w:sz w:val="20"/>
          <w:szCs w:val="20"/>
          <w:lang w:val="es-ES_tradnl"/>
        </w:rPr>
        <w:t>hábeas</w:t>
      </w:r>
      <w:r w:rsidR="00E32357" w:rsidRPr="00414D91">
        <w:rPr>
          <w:rFonts w:asciiTheme="majorHAnsi" w:hAnsiTheme="majorHAnsi"/>
          <w:sz w:val="20"/>
          <w:szCs w:val="20"/>
          <w:lang w:val="es-ES_tradnl"/>
        </w:rPr>
        <w:t xml:space="preserve"> corpus adquieren en contextos de estados de excepción “</w:t>
      </w:r>
      <w:r w:rsidR="00E32357" w:rsidRPr="00414D91">
        <w:rPr>
          <w:rFonts w:asciiTheme="majorHAnsi" w:hAnsiTheme="majorHAnsi"/>
          <w:i/>
          <w:iCs/>
          <w:sz w:val="20"/>
          <w:szCs w:val="20"/>
          <w:lang w:val="es-ES_tradnl"/>
        </w:rPr>
        <w:t>una nueva dimensión fundamental</w:t>
      </w:r>
      <w:r w:rsidR="00E32357" w:rsidRPr="00414D91">
        <w:rPr>
          <w:rFonts w:asciiTheme="majorHAnsi" w:hAnsiTheme="majorHAnsi"/>
          <w:sz w:val="20"/>
          <w:szCs w:val="20"/>
          <w:lang w:val="es-ES_tradnl"/>
        </w:rPr>
        <w:t>”</w:t>
      </w:r>
      <w:r w:rsidR="00E32357" w:rsidRPr="00414D91">
        <w:rPr>
          <w:rStyle w:val="FootnoteReference"/>
          <w:rFonts w:asciiTheme="majorHAnsi" w:hAnsiTheme="majorHAnsi"/>
          <w:sz w:val="20"/>
          <w:szCs w:val="20"/>
          <w:lang w:val="es-ES_tradnl"/>
        </w:rPr>
        <w:footnoteReference w:id="7"/>
      </w:r>
      <w:r w:rsidR="00E32357" w:rsidRPr="00414D91">
        <w:rPr>
          <w:rFonts w:asciiTheme="majorHAnsi" w:hAnsiTheme="majorHAnsi"/>
          <w:sz w:val="20"/>
          <w:szCs w:val="20"/>
          <w:lang w:val="es-ES_tradnl"/>
        </w:rPr>
        <w:t>.</w:t>
      </w:r>
      <w:r w:rsidR="002A54F4" w:rsidRPr="00414D91">
        <w:rPr>
          <w:rFonts w:asciiTheme="majorHAnsi" w:hAnsiTheme="majorHAnsi"/>
          <w:sz w:val="20"/>
          <w:szCs w:val="20"/>
          <w:lang w:val="es-ES_tradnl"/>
        </w:rPr>
        <w:t xml:space="preserve"> En el presente caso, la Comisión estima que el Estado no ha aportado ni surge del expediente información que permita tachar de manifiestamente infundada en esta etapa las alegaciones del peticionario respecto a que no tuvo acceso a un recurso efectivo para</w:t>
      </w:r>
      <w:r w:rsidR="00D3186D" w:rsidRPr="00414D91">
        <w:rPr>
          <w:rFonts w:asciiTheme="majorHAnsi" w:hAnsiTheme="majorHAnsi"/>
          <w:sz w:val="20"/>
          <w:szCs w:val="20"/>
          <w:lang w:val="es-ES_tradnl"/>
        </w:rPr>
        <w:t xml:space="preserve"> la revisión de su privación de libertad dictada con fundamento en un estado de sitio.</w:t>
      </w:r>
    </w:p>
    <w:p w14:paraId="70E16330" w14:textId="77777777" w:rsidR="00400B40" w:rsidRPr="00414D91" w:rsidRDefault="002A54F4" w:rsidP="00046336">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_tradnl"/>
        </w:rPr>
      </w:pPr>
      <w:r w:rsidRPr="00414D91">
        <w:rPr>
          <w:rFonts w:asciiTheme="majorHAnsi" w:hAnsiTheme="majorHAnsi"/>
          <w:sz w:val="20"/>
          <w:szCs w:val="20"/>
          <w:lang w:val="es-ES_tradnl"/>
        </w:rPr>
        <w:t xml:space="preserve"> </w:t>
      </w:r>
      <w:r w:rsidR="00046336" w:rsidRPr="00414D91">
        <w:rPr>
          <w:rFonts w:asciiTheme="majorHAnsi" w:hAnsiTheme="majorHAnsi"/>
          <w:sz w:val="20"/>
          <w:szCs w:val="20"/>
          <w:lang w:val="es-ES_tradnl"/>
        </w:rPr>
        <w:t xml:space="preserve">Por otra parte, la Comisión observa que el Estado no ha aportado ni surge del expediente información que permita desvirtuar las alegaciones del peticionario respecto a que fue mantenido en prisión preventiva en contravención a límites temporales impuestos por el derecho interno. </w:t>
      </w:r>
      <w:r w:rsidR="00400B40" w:rsidRPr="00414D91">
        <w:rPr>
          <w:rFonts w:asciiTheme="majorHAnsi" w:hAnsiTheme="majorHAnsi"/>
          <w:sz w:val="20"/>
          <w:szCs w:val="20"/>
          <w:lang w:val="es-ES_tradnl"/>
        </w:rPr>
        <w:t xml:space="preserve">Tampoco se puede tachar </w:t>
      </w:r>
      <w:r w:rsidR="00400B40" w:rsidRPr="00414D91">
        <w:rPr>
          <w:rFonts w:asciiTheme="majorHAnsi" w:hAnsiTheme="majorHAnsi"/>
          <w:i/>
          <w:iCs/>
          <w:sz w:val="20"/>
          <w:szCs w:val="20"/>
          <w:lang w:val="es-ES_tradnl"/>
        </w:rPr>
        <w:t>prima facie</w:t>
      </w:r>
      <w:r w:rsidR="00400B40" w:rsidRPr="00414D91">
        <w:rPr>
          <w:rFonts w:asciiTheme="majorHAnsi" w:hAnsiTheme="majorHAnsi"/>
          <w:sz w:val="20"/>
          <w:szCs w:val="20"/>
          <w:lang w:val="es-ES_tradnl"/>
        </w:rPr>
        <w:t xml:space="preserve"> de manifiestamente infundado que el tiempo de por lo menos siete años que habría durado la prisión preventiva del peticionario sea irrazonable. </w:t>
      </w:r>
    </w:p>
    <w:p w14:paraId="4B49113C" w14:textId="3FED2837" w:rsidR="00E32357" w:rsidRPr="00414D91" w:rsidRDefault="00400B40" w:rsidP="00046336">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_tradnl"/>
        </w:rPr>
      </w:pPr>
      <w:r w:rsidRPr="00414D91">
        <w:rPr>
          <w:rFonts w:asciiTheme="majorHAnsi" w:hAnsiTheme="majorHAnsi"/>
          <w:sz w:val="20"/>
          <w:szCs w:val="20"/>
          <w:lang w:val="es-ES_tradnl"/>
        </w:rPr>
        <w:t>La Comisión toma nota de los alegatos del Estado respecto a que el peticionario ha incurrido en conductas que han dilatado el proceso penal en su contra. En este sentido la Comisión recuerda que ya</w:t>
      </w:r>
      <w:r w:rsidR="00CE3E61" w:rsidRPr="00414D91">
        <w:rPr>
          <w:rFonts w:asciiTheme="majorHAnsi" w:hAnsiTheme="majorHAnsi"/>
          <w:sz w:val="20"/>
          <w:szCs w:val="20"/>
          <w:lang w:val="es-ES_tradnl"/>
        </w:rPr>
        <w:t xml:space="preserve"> ha concluido que “</w:t>
      </w:r>
      <w:r w:rsidR="00CE3E61" w:rsidRPr="00414D91">
        <w:rPr>
          <w:rFonts w:asciiTheme="majorHAnsi" w:hAnsiTheme="majorHAnsi"/>
          <w:i/>
          <w:iCs/>
          <w:sz w:val="20"/>
          <w:szCs w:val="20"/>
          <w:lang w:val="es-ES_tradnl"/>
        </w:rPr>
        <w:t xml:space="preserve">las actividades procesales del imputado y su defensa no pueden ser consideradas a los fines de </w:t>
      </w:r>
      <w:r w:rsidR="00CE3E61" w:rsidRPr="00414D91">
        <w:rPr>
          <w:rFonts w:asciiTheme="majorHAnsi" w:hAnsiTheme="majorHAnsi"/>
          <w:i/>
          <w:iCs/>
          <w:sz w:val="20"/>
          <w:szCs w:val="20"/>
          <w:lang w:val="es-ES_tradnl"/>
        </w:rPr>
        <w:lastRenderedPageBreak/>
        <w:t>justificar el plazo razonable de detención</w:t>
      </w:r>
      <w:r w:rsidR="00CE3E61" w:rsidRPr="00414D91">
        <w:rPr>
          <w:rFonts w:asciiTheme="majorHAnsi" w:hAnsiTheme="majorHAnsi"/>
          <w:sz w:val="20"/>
          <w:szCs w:val="20"/>
          <w:lang w:val="es-ES_tradnl"/>
        </w:rPr>
        <w:t>”</w:t>
      </w:r>
      <w:r w:rsidR="00CE3E61" w:rsidRPr="00414D91">
        <w:rPr>
          <w:rStyle w:val="FootnoteReference"/>
          <w:rFonts w:asciiTheme="majorHAnsi" w:hAnsiTheme="majorHAnsi"/>
          <w:sz w:val="20"/>
          <w:szCs w:val="20"/>
          <w:lang w:val="es-ES_tradnl"/>
        </w:rPr>
        <w:footnoteReference w:id="8"/>
      </w:r>
      <w:r w:rsidR="00CE3E61" w:rsidRPr="00414D91">
        <w:rPr>
          <w:rFonts w:asciiTheme="majorHAnsi" w:hAnsiTheme="majorHAnsi"/>
          <w:sz w:val="20"/>
          <w:szCs w:val="20"/>
          <w:lang w:val="es-ES_tradnl"/>
        </w:rPr>
        <w:t xml:space="preserve">. </w:t>
      </w:r>
      <w:r w:rsidRPr="00414D91">
        <w:rPr>
          <w:rFonts w:asciiTheme="majorHAnsi" w:hAnsiTheme="majorHAnsi"/>
          <w:sz w:val="20"/>
          <w:szCs w:val="20"/>
          <w:lang w:val="es-ES_tradnl"/>
        </w:rPr>
        <w:t>De igual manera, la Comisión consider</w:t>
      </w:r>
      <w:r w:rsidR="00A4068D" w:rsidRPr="00414D91">
        <w:rPr>
          <w:rFonts w:asciiTheme="majorHAnsi" w:hAnsiTheme="majorHAnsi"/>
          <w:sz w:val="20"/>
          <w:szCs w:val="20"/>
          <w:lang w:val="es-ES_tradnl"/>
        </w:rPr>
        <w:t>a</w:t>
      </w:r>
      <w:r w:rsidRPr="00414D91">
        <w:rPr>
          <w:rFonts w:asciiTheme="majorHAnsi" w:hAnsiTheme="majorHAnsi"/>
          <w:sz w:val="20"/>
          <w:szCs w:val="20"/>
          <w:lang w:val="es-ES_tradnl"/>
        </w:rPr>
        <w:t xml:space="preserve"> las alegaciones presentadas por el Estado en este sentido resultan insuficientes para declarar manifiestamente infundadas en esta etapa las alegaciones del peticionario respecto a que </w:t>
      </w:r>
      <w:r w:rsidR="00A4068D" w:rsidRPr="00414D91">
        <w:rPr>
          <w:rFonts w:asciiTheme="majorHAnsi" w:hAnsiTheme="majorHAnsi"/>
          <w:sz w:val="20"/>
          <w:szCs w:val="20"/>
          <w:lang w:val="es-ES_tradnl"/>
        </w:rPr>
        <w:t xml:space="preserve">el proceso penal en su contra no ha cumplido con el plazo razonable. Esto, sin perjuicio de que esas alegaciones deberán ser analizadas en la etapa de fondo. </w:t>
      </w:r>
    </w:p>
    <w:p w14:paraId="3B9703FC" w14:textId="62EC5312" w:rsidR="00A078DC" w:rsidRPr="00414D91" w:rsidRDefault="00A078DC" w:rsidP="00A078DC">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_tradnl"/>
        </w:rPr>
      </w:pPr>
      <w:r w:rsidRPr="00414D91">
        <w:rPr>
          <w:rFonts w:asciiTheme="majorHAnsi" w:hAnsiTheme="majorHAnsi" w:cs="Arial"/>
          <w:sz w:val="20"/>
          <w:szCs w:val="20"/>
          <w:lang w:val="es-ES_tradnl"/>
        </w:rPr>
        <w:t>En atención a estas consideraciones y tras examinar los elementos de hecho y de derecho expuestos por las partes</w:t>
      </w:r>
      <w:r w:rsidR="00F7254A" w:rsidRPr="00414D91">
        <w:rPr>
          <w:rFonts w:asciiTheme="majorHAnsi" w:hAnsiTheme="majorHAnsi" w:cs="Arial"/>
          <w:sz w:val="20"/>
          <w:szCs w:val="20"/>
          <w:lang w:val="es-ES_tradnl"/>
        </w:rPr>
        <w:t>,</w:t>
      </w:r>
      <w:r w:rsidRPr="00414D91">
        <w:rPr>
          <w:rFonts w:asciiTheme="majorHAnsi" w:hAnsiTheme="majorHAnsi" w:cs="Arial"/>
          <w:sz w:val="20"/>
          <w:szCs w:val="20"/>
          <w:lang w:val="es-ES_tradnl"/>
        </w:rPr>
        <w:t xml:space="preserve"> la Comisión estima que las alegaciones de la parte peticionaria no resultan manifiestamente infundadas y requieren un estudio de fondo pues lo hechos alegados, de corroborarse como ciertos, podrían caracterizar violaciones a los </w:t>
      </w:r>
      <w:r w:rsidRPr="00414D91">
        <w:rPr>
          <w:rFonts w:asciiTheme="majorHAnsi" w:hAnsiTheme="majorHAnsi"/>
          <w:bCs/>
          <w:sz w:val="20"/>
          <w:szCs w:val="20"/>
          <w:lang w:val="es-ES_tradnl"/>
        </w:rPr>
        <w:t>artículos 7 (libertad personal), 8 (garantías judiciales), 23 (derechos políticos), y 25 (protección judicial) de la Convención Americana en relación con su artículo 1.1</w:t>
      </w:r>
      <w:r w:rsidR="007E3694" w:rsidRPr="00414D91">
        <w:rPr>
          <w:rFonts w:asciiTheme="majorHAnsi" w:hAnsiTheme="majorHAnsi"/>
          <w:bCs/>
          <w:sz w:val="20"/>
          <w:szCs w:val="20"/>
          <w:lang w:val="es-ES_tradnl"/>
        </w:rPr>
        <w:t xml:space="preserve"> (obligación de respetar los derechos)</w:t>
      </w:r>
      <w:r w:rsidRPr="00414D91">
        <w:rPr>
          <w:rFonts w:asciiTheme="majorHAnsi" w:hAnsiTheme="majorHAnsi"/>
          <w:bCs/>
          <w:sz w:val="20"/>
          <w:szCs w:val="20"/>
          <w:lang w:val="es-ES_tradnl"/>
        </w:rPr>
        <w:t xml:space="preserve"> y 2 (deber de adoptar disposiciones de derecho interno)</w:t>
      </w:r>
      <w:r w:rsidR="00F7254A" w:rsidRPr="00414D91">
        <w:rPr>
          <w:rFonts w:asciiTheme="majorHAnsi" w:hAnsiTheme="majorHAnsi"/>
          <w:bCs/>
          <w:sz w:val="20"/>
          <w:szCs w:val="20"/>
          <w:lang w:val="es-ES_tradnl"/>
        </w:rPr>
        <w:t>, en perjuicio de Leopoldo Fernández Ferreira</w:t>
      </w:r>
      <w:r w:rsidR="0069338C" w:rsidRPr="00414D91">
        <w:rPr>
          <w:rFonts w:asciiTheme="majorHAnsi" w:hAnsiTheme="majorHAnsi"/>
          <w:bCs/>
          <w:sz w:val="20"/>
          <w:szCs w:val="20"/>
          <w:lang w:val="es-ES_tradnl"/>
        </w:rPr>
        <w:t>.</w:t>
      </w:r>
    </w:p>
    <w:p w14:paraId="6E71AD19" w14:textId="5C9E386A" w:rsidR="00A078DC" w:rsidRPr="00414D91" w:rsidRDefault="00A078DC" w:rsidP="00E32357">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_tradnl"/>
        </w:rPr>
      </w:pPr>
      <w:r w:rsidRPr="00414D91">
        <w:rPr>
          <w:rFonts w:asciiTheme="majorHAnsi" w:hAnsiTheme="majorHAnsi"/>
          <w:color w:val="auto"/>
          <w:sz w:val="20"/>
          <w:szCs w:val="20"/>
          <w:lang w:val="es-ES_tradnl"/>
        </w:rPr>
        <w:t>En cu</w:t>
      </w:r>
      <w:r w:rsidR="007E3694" w:rsidRPr="00414D91">
        <w:rPr>
          <w:rFonts w:asciiTheme="majorHAnsi" w:hAnsiTheme="majorHAnsi"/>
          <w:color w:val="auto"/>
          <w:sz w:val="20"/>
          <w:szCs w:val="20"/>
          <w:lang w:val="es-ES_tradnl"/>
        </w:rPr>
        <w:t>anto las alegadas violaciones a los</w:t>
      </w:r>
      <w:r w:rsidRPr="00414D91">
        <w:rPr>
          <w:rFonts w:asciiTheme="majorHAnsi" w:hAnsiTheme="majorHAnsi"/>
          <w:color w:val="auto"/>
          <w:sz w:val="20"/>
          <w:szCs w:val="20"/>
          <w:lang w:val="es-ES_tradnl"/>
        </w:rPr>
        <w:t xml:space="preserve"> artículo</w:t>
      </w:r>
      <w:r w:rsidR="007E3694" w:rsidRPr="00414D91">
        <w:rPr>
          <w:rFonts w:asciiTheme="majorHAnsi" w:hAnsiTheme="majorHAnsi"/>
          <w:color w:val="auto"/>
          <w:sz w:val="20"/>
          <w:szCs w:val="20"/>
          <w:lang w:val="es-ES_tradnl"/>
        </w:rPr>
        <w:t>s</w:t>
      </w:r>
      <w:r w:rsidRPr="00414D91">
        <w:rPr>
          <w:rFonts w:asciiTheme="majorHAnsi" w:hAnsiTheme="majorHAnsi"/>
          <w:color w:val="auto"/>
          <w:sz w:val="20"/>
          <w:szCs w:val="20"/>
          <w:lang w:val="es-ES_tradnl"/>
        </w:rPr>
        <w:t xml:space="preserve"> 11 (honra y dignidad) </w:t>
      </w:r>
      <w:r w:rsidR="007E3694" w:rsidRPr="00414D91">
        <w:rPr>
          <w:rFonts w:asciiTheme="majorHAnsi" w:hAnsiTheme="majorHAnsi"/>
          <w:color w:val="auto"/>
          <w:sz w:val="20"/>
          <w:szCs w:val="20"/>
          <w:lang w:val="es-ES_tradnl"/>
        </w:rPr>
        <w:t xml:space="preserve">y 24 (igualdad ante la ley) </w:t>
      </w:r>
      <w:r w:rsidRPr="00414D91">
        <w:rPr>
          <w:rFonts w:asciiTheme="majorHAnsi" w:hAnsiTheme="majorHAnsi"/>
          <w:color w:val="auto"/>
          <w:sz w:val="20"/>
          <w:szCs w:val="20"/>
          <w:lang w:val="es-ES_tradnl"/>
        </w:rPr>
        <w:t xml:space="preserve">de la Convención </w:t>
      </w:r>
      <w:r w:rsidRPr="00414D91">
        <w:rPr>
          <w:rFonts w:asciiTheme="majorHAnsi" w:hAnsiTheme="majorHAnsi"/>
          <w:sz w:val="20"/>
          <w:szCs w:val="20"/>
          <w:lang w:val="es-ES_tradnl"/>
        </w:rPr>
        <w:t xml:space="preserve">Americana, la Comisión estima que la petición, dentro de sus partes que resultan admisibles según la sección VI del presente informe, no presenta elementos o sustento suficiente para considerar </w:t>
      </w:r>
      <w:r w:rsidRPr="00414D91">
        <w:rPr>
          <w:rFonts w:asciiTheme="majorHAnsi" w:hAnsiTheme="majorHAnsi"/>
          <w:i/>
          <w:sz w:val="20"/>
          <w:szCs w:val="20"/>
          <w:lang w:val="es-ES_tradnl"/>
        </w:rPr>
        <w:t xml:space="preserve">prima facie </w:t>
      </w:r>
      <w:r w:rsidRPr="00414D91">
        <w:rPr>
          <w:rFonts w:asciiTheme="majorHAnsi" w:hAnsiTheme="majorHAnsi"/>
          <w:sz w:val="20"/>
          <w:szCs w:val="20"/>
          <w:lang w:val="es-ES_tradnl"/>
        </w:rPr>
        <w:t>su posible violación.</w:t>
      </w:r>
    </w:p>
    <w:p w14:paraId="77D7B83D" w14:textId="01C7064B" w:rsidR="003239B8" w:rsidRPr="00414D91" w:rsidRDefault="003239B8" w:rsidP="008C65E3">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
          <w:bCs/>
          <w:sz w:val="20"/>
          <w:szCs w:val="20"/>
          <w:lang w:val="es-ES_tradnl"/>
        </w:rPr>
      </w:pPr>
      <w:r w:rsidRPr="00414D91">
        <w:rPr>
          <w:rFonts w:asciiTheme="majorHAnsi" w:hAnsiTheme="majorHAnsi"/>
          <w:b/>
          <w:bCs/>
          <w:sz w:val="20"/>
          <w:szCs w:val="20"/>
          <w:lang w:val="es-ES_tradnl"/>
        </w:rPr>
        <w:t xml:space="preserve">VIII. </w:t>
      </w:r>
      <w:r w:rsidRPr="00414D91">
        <w:rPr>
          <w:rFonts w:asciiTheme="majorHAnsi" w:hAnsiTheme="majorHAnsi"/>
          <w:b/>
          <w:bCs/>
          <w:sz w:val="20"/>
          <w:szCs w:val="20"/>
          <w:lang w:val="es-ES_tradnl"/>
        </w:rPr>
        <w:tab/>
        <w:t>DECISIÓN</w:t>
      </w:r>
    </w:p>
    <w:p w14:paraId="29C3F027" w14:textId="59BF7674" w:rsidR="000419AD" w:rsidRPr="00414D91" w:rsidRDefault="000419AD" w:rsidP="002E62D9">
      <w:pPr>
        <w:pStyle w:val="ListParagraph"/>
        <w:numPr>
          <w:ilvl w:val="0"/>
          <w:numId w:val="55"/>
        </w:numPr>
        <w:jc w:val="both"/>
        <w:rPr>
          <w:rFonts w:asciiTheme="majorHAnsi" w:eastAsia="Arial Unicode MS" w:hAnsiTheme="majorHAnsi" w:cs="Times New Roman"/>
          <w:color w:val="auto"/>
          <w:sz w:val="20"/>
          <w:szCs w:val="20"/>
          <w:lang w:val="es-ES_tradnl" w:eastAsia="en-US"/>
        </w:rPr>
      </w:pPr>
      <w:r w:rsidRPr="00414D91">
        <w:rPr>
          <w:rFonts w:asciiTheme="majorHAnsi" w:eastAsia="Arial Unicode MS" w:hAnsiTheme="majorHAnsi" w:cs="Times New Roman"/>
          <w:color w:val="000000" w:themeColor="text1"/>
          <w:sz w:val="20"/>
          <w:szCs w:val="20"/>
          <w:lang w:val="es-ES_tradnl" w:eastAsia="en-US"/>
        </w:rPr>
        <w:t xml:space="preserve">Declarar </w:t>
      </w:r>
      <w:r w:rsidR="009317AD" w:rsidRPr="00414D91">
        <w:rPr>
          <w:rFonts w:asciiTheme="majorHAnsi" w:eastAsia="Arial Unicode MS" w:hAnsiTheme="majorHAnsi" w:cs="Times New Roman"/>
          <w:color w:val="000000" w:themeColor="text1"/>
          <w:sz w:val="20"/>
          <w:szCs w:val="20"/>
          <w:lang w:val="es-ES_tradnl" w:eastAsia="en-US"/>
        </w:rPr>
        <w:t>admisible la presente petición e</w:t>
      </w:r>
      <w:r w:rsidR="00466170" w:rsidRPr="00414D91">
        <w:rPr>
          <w:rFonts w:asciiTheme="majorHAnsi" w:eastAsia="Arial Unicode MS" w:hAnsiTheme="majorHAnsi" w:cs="Times New Roman"/>
          <w:color w:val="000000" w:themeColor="text1"/>
          <w:sz w:val="20"/>
          <w:szCs w:val="20"/>
          <w:lang w:val="es-ES_tradnl" w:eastAsia="en-US"/>
        </w:rPr>
        <w:t xml:space="preserve">n relación con los artículos </w:t>
      </w:r>
      <w:r w:rsidR="007E3694" w:rsidRPr="00414D91">
        <w:rPr>
          <w:rFonts w:asciiTheme="majorHAnsi" w:eastAsia="Arial Unicode MS" w:hAnsiTheme="majorHAnsi" w:cs="Times New Roman"/>
          <w:color w:val="000000" w:themeColor="text1"/>
          <w:sz w:val="20"/>
          <w:szCs w:val="20"/>
          <w:lang w:val="es-ES_tradnl" w:eastAsia="en-US"/>
        </w:rPr>
        <w:t xml:space="preserve">7, 8, 23 </w:t>
      </w:r>
      <w:r w:rsidR="00A078DC" w:rsidRPr="00414D91">
        <w:rPr>
          <w:rFonts w:asciiTheme="majorHAnsi" w:eastAsia="Arial Unicode MS" w:hAnsiTheme="majorHAnsi" w:cs="Times New Roman"/>
          <w:color w:val="000000" w:themeColor="text1"/>
          <w:sz w:val="20"/>
          <w:szCs w:val="20"/>
          <w:lang w:val="es-ES_tradnl" w:eastAsia="en-US"/>
        </w:rPr>
        <w:t>y 25 de la Convención Americana en relación con sus artículos 1.1 y 2</w:t>
      </w:r>
      <w:r w:rsidR="008C65E3">
        <w:rPr>
          <w:rFonts w:asciiTheme="majorHAnsi" w:eastAsia="Arial Unicode MS" w:hAnsiTheme="majorHAnsi" w:cs="Times New Roman"/>
          <w:color w:val="000000" w:themeColor="text1"/>
          <w:sz w:val="20"/>
          <w:szCs w:val="20"/>
          <w:lang w:val="es-ES_tradnl" w:eastAsia="en-US"/>
        </w:rPr>
        <w:t>;</w:t>
      </w:r>
    </w:p>
    <w:p w14:paraId="20455D9B" w14:textId="77777777" w:rsidR="009317AD" w:rsidRPr="00414D91" w:rsidRDefault="009317AD" w:rsidP="009317AD">
      <w:pPr>
        <w:pStyle w:val="ListParagraph"/>
        <w:rPr>
          <w:rFonts w:asciiTheme="majorHAnsi" w:eastAsia="Arial Unicode MS" w:hAnsiTheme="majorHAnsi" w:cs="Times New Roman"/>
          <w:color w:val="auto"/>
          <w:sz w:val="20"/>
          <w:szCs w:val="20"/>
          <w:lang w:val="es-ES_tradnl" w:eastAsia="en-US"/>
        </w:rPr>
      </w:pPr>
    </w:p>
    <w:p w14:paraId="5CE0C289" w14:textId="6D6F404F" w:rsidR="000419AD" w:rsidRPr="00414D91" w:rsidRDefault="009317AD">
      <w:pPr>
        <w:pStyle w:val="ListParagraph"/>
        <w:numPr>
          <w:ilvl w:val="0"/>
          <w:numId w:val="55"/>
        </w:numPr>
        <w:jc w:val="both"/>
        <w:rPr>
          <w:rFonts w:asciiTheme="majorHAnsi" w:eastAsia="Arial Unicode MS" w:hAnsiTheme="majorHAnsi" w:cs="Times New Roman"/>
          <w:color w:val="auto"/>
          <w:sz w:val="20"/>
          <w:szCs w:val="20"/>
          <w:lang w:val="es-ES_tradnl" w:eastAsia="en-US"/>
        </w:rPr>
      </w:pPr>
      <w:r w:rsidRPr="00414D91">
        <w:rPr>
          <w:rFonts w:asciiTheme="majorHAnsi" w:eastAsia="Arial Unicode MS" w:hAnsiTheme="majorHAnsi" w:cs="Times New Roman"/>
          <w:color w:val="000000" w:themeColor="text1"/>
          <w:sz w:val="20"/>
          <w:szCs w:val="20"/>
          <w:lang w:val="es-ES_tradnl" w:eastAsia="en-US"/>
        </w:rPr>
        <w:t xml:space="preserve">Declarar inadmisible la presente petición en relación con </w:t>
      </w:r>
      <w:r w:rsidR="007E3694" w:rsidRPr="00414D91">
        <w:rPr>
          <w:rFonts w:asciiTheme="majorHAnsi" w:eastAsia="Arial Unicode MS" w:hAnsiTheme="majorHAnsi" w:cs="Times New Roman"/>
          <w:color w:val="000000" w:themeColor="text1"/>
          <w:sz w:val="20"/>
          <w:szCs w:val="20"/>
          <w:lang w:val="es-ES_tradnl" w:eastAsia="en-US"/>
        </w:rPr>
        <w:t>los artículos</w:t>
      </w:r>
      <w:r w:rsidRPr="00414D91">
        <w:rPr>
          <w:rFonts w:asciiTheme="majorHAnsi" w:eastAsia="Arial Unicode MS" w:hAnsiTheme="majorHAnsi" w:cs="Times New Roman"/>
          <w:color w:val="000000" w:themeColor="text1"/>
          <w:sz w:val="20"/>
          <w:szCs w:val="20"/>
          <w:lang w:val="es-ES_tradnl" w:eastAsia="en-US"/>
        </w:rPr>
        <w:t xml:space="preserve"> </w:t>
      </w:r>
      <w:r w:rsidR="00A078DC" w:rsidRPr="00414D91">
        <w:rPr>
          <w:rFonts w:asciiTheme="majorHAnsi" w:eastAsia="Arial Unicode MS" w:hAnsiTheme="majorHAnsi" w:cs="Times New Roman"/>
          <w:color w:val="000000" w:themeColor="text1"/>
          <w:sz w:val="20"/>
          <w:szCs w:val="20"/>
          <w:lang w:val="es-ES_tradnl" w:eastAsia="en-US"/>
        </w:rPr>
        <w:t xml:space="preserve">11 </w:t>
      </w:r>
      <w:r w:rsidR="007E3694" w:rsidRPr="00414D91">
        <w:rPr>
          <w:rFonts w:asciiTheme="majorHAnsi" w:eastAsia="Arial Unicode MS" w:hAnsiTheme="majorHAnsi" w:cs="Times New Roman"/>
          <w:color w:val="000000" w:themeColor="text1"/>
          <w:sz w:val="20"/>
          <w:szCs w:val="20"/>
          <w:lang w:val="es-ES_tradnl" w:eastAsia="en-US"/>
        </w:rPr>
        <w:t xml:space="preserve">y 24 </w:t>
      </w:r>
      <w:r w:rsidR="00A078DC" w:rsidRPr="00414D91">
        <w:rPr>
          <w:rFonts w:asciiTheme="majorHAnsi" w:eastAsia="Arial Unicode MS" w:hAnsiTheme="majorHAnsi" w:cs="Times New Roman"/>
          <w:color w:val="000000" w:themeColor="text1"/>
          <w:sz w:val="20"/>
          <w:szCs w:val="20"/>
          <w:lang w:val="es-ES_tradnl" w:eastAsia="en-US"/>
        </w:rPr>
        <w:t xml:space="preserve">de la Convención Americana; </w:t>
      </w:r>
      <w:r w:rsidR="00A4068D" w:rsidRPr="00414D91">
        <w:rPr>
          <w:rFonts w:asciiTheme="majorHAnsi" w:eastAsia="Arial Unicode MS" w:hAnsiTheme="majorHAnsi" w:cs="Times New Roman"/>
          <w:color w:val="000000" w:themeColor="text1"/>
          <w:sz w:val="20"/>
          <w:szCs w:val="20"/>
          <w:lang w:val="es-ES_tradnl" w:eastAsia="en-US"/>
        </w:rPr>
        <w:t>y sus partes que no cumplen con el requisito del artículo 46.1(a) de la Convención Americana conforme las determinaciones de la Sección VI del presente informe</w:t>
      </w:r>
      <w:r w:rsidR="008C65E3">
        <w:rPr>
          <w:rFonts w:asciiTheme="majorHAnsi" w:eastAsia="Arial Unicode MS" w:hAnsiTheme="majorHAnsi" w:cs="Times New Roman"/>
          <w:color w:val="000000" w:themeColor="text1"/>
          <w:sz w:val="20"/>
          <w:szCs w:val="20"/>
          <w:lang w:val="es-ES_tradnl" w:eastAsia="en-US"/>
        </w:rPr>
        <w:t>, y;</w:t>
      </w:r>
    </w:p>
    <w:p w14:paraId="51749BBE" w14:textId="77777777" w:rsidR="00A4068D" w:rsidRPr="00414D91" w:rsidRDefault="00A4068D" w:rsidP="00A4068D">
      <w:pPr>
        <w:jc w:val="both"/>
        <w:rPr>
          <w:rFonts w:asciiTheme="majorHAnsi" w:hAnsiTheme="majorHAnsi"/>
          <w:sz w:val="20"/>
          <w:szCs w:val="20"/>
          <w:lang w:val="es-ES_tradnl"/>
        </w:rPr>
      </w:pPr>
    </w:p>
    <w:p w14:paraId="3593EEB7" w14:textId="77777777" w:rsidR="008D768D" w:rsidRDefault="004A6A54" w:rsidP="0030583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414D91">
        <w:rPr>
          <w:rFonts w:asciiTheme="majorHAnsi" w:hAnsiTheme="majorHAnsi"/>
          <w:sz w:val="20"/>
          <w:szCs w:val="20"/>
          <w:lang w:val="es-ES_tradnl"/>
        </w:rPr>
        <w:t>Notificar a las partes la presente decisión; continuar con el análisis del fondo de la cuestión; y publicar esta decisión e incluirla en su Informe Anual a la Asamblea General de la Organización de los Estados Americanos.</w:t>
      </w:r>
    </w:p>
    <w:p w14:paraId="31491F48" w14:textId="024FFBDE" w:rsidR="008C65E3" w:rsidRPr="00EF2B5A" w:rsidRDefault="00CD515B" w:rsidP="00EF2B5A">
      <w:pPr>
        <w:ind w:firstLine="720"/>
        <w:jc w:val="both"/>
        <w:rPr>
          <w:rFonts w:asciiTheme="majorHAnsi" w:hAnsiTheme="majorHAnsi" w:cs="Arial"/>
          <w:noProof/>
          <w:spacing w:val="-2"/>
          <w:sz w:val="20"/>
          <w:szCs w:val="20"/>
          <w:lang w:val="es-CL"/>
        </w:rPr>
      </w:pPr>
      <w:bookmarkStart w:id="2" w:name="_Hlk95209781"/>
      <w:bookmarkStart w:id="3" w:name="_Hlk89320357"/>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a </w:t>
      </w:r>
      <w:r w:rsidRPr="00B76FE0">
        <w:rPr>
          <w:rFonts w:asciiTheme="majorHAnsi" w:hAnsiTheme="majorHAnsi" w:cs="Arial"/>
          <w:noProof/>
          <w:spacing w:val="-2"/>
          <w:sz w:val="20"/>
          <w:szCs w:val="20"/>
          <w:lang w:val="es-CL"/>
        </w:rPr>
        <w:t xml:space="preserve">los </w:t>
      </w:r>
      <w:r>
        <w:rPr>
          <w:rFonts w:asciiTheme="majorHAnsi" w:hAnsiTheme="majorHAnsi" w:cs="Arial"/>
          <w:noProof/>
          <w:spacing w:val="-2"/>
          <w:sz w:val="20"/>
          <w:szCs w:val="20"/>
          <w:lang w:val="es-CL"/>
        </w:rPr>
        <w:t>24</w:t>
      </w:r>
      <w:r w:rsidRPr="00B76FE0">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agosto</w:t>
      </w:r>
      <w:r w:rsidRPr="00B76FE0">
        <w:rPr>
          <w:rFonts w:asciiTheme="majorHAnsi" w:hAnsiTheme="majorHAnsi" w:cs="Arial"/>
          <w:noProof/>
          <w:spacing w:val="-2"/>
          <w:sz w:val="20"/>
          <w:szCs w:val="20"/>
          <w:lang w:val="es-CL"/>
        </w:rPr>
        <w:t xml:space="preserve"> de 2022.  (Firmado): Julissa Mantilla Falcón, Presidenta; </w:t>
      </w:r>
      <w:r>
        <w:rPr>
          <w:rFonts w:asciiTheme="majorHAnsi" w:hAnsiTheme="majorHAnsi" w:cs="Arial"/>
          <w:noProof/>
          <w:spacing w:val="-2"/>
          <w:sz w:val="20"/>
          <w:szCs w:val="20"/>
          <w:lang w:val="es-CL"/>
        </w:rPr>
        <w:t xml:space="preserve">Stuardo Ralón Orellana, Primer Vicepresidente;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sidR="0009333A">
        <w:rPr>
          <w:rFonts w:asciiTheme="majorHAnsi" w:hAnsiTheme="majorHAnsi" w:cs="Arial"/>
          <w:noProof/>
          <w:spacing w:val="-2"/>
          <w:sz w:val="20"/>
          <w:szCs w:val="20"/>
          <w:lang w:val="es-CL"/>
        </w:rPr>
        <w:t xml:space="preserve"> y</w:t>
      </w:r>
      <w:r>
        <w:rPr>
          <w:rFonts w:asciiTheme="majorHAnsi" w:hAnsiTheme="majorHAnsi" w:cs="Arial"/>
          <w:noProof/>
          <w:spacing w:val="-2"/>
          <w:sz w:val="20"/>
          <w:szCs w:val="20"/>
          <w:lang w:val="es-CL"/>
        </w:rPr>
        <w:t xml:space="preserve"> Joel Hernández, </w:t>
      </w:r>
      <w:r w:rsidR="00EF2B5A">
        <w:rPr>
          <w:rFonts w:asciiTheme="majorHAnsi" w:hAnsiTheme="majorHAnsi" w:cs="Arial"/>
          <w:noProof/>
          <w:spacing w:val="-2"/>
          <w:sz w:val="20"/>
          <w:szCs w:val="20"/>
          <w:lang w:val="es-CL"/>
        </w:rPr>
        <w:t>m</w:t>
      </w:r>
      <w:r w:rsidRPr="00A37B82">
        <w:rPr>
          <w:rFonts w:asciiTheme="majorHAnsi" w:hAnsiTheme="majorHAnsi" w:cs="Arial"/>
          <w:noProof/>
          <w:spacing w:val="-2"/>
          <w:sz w:val="20"/>
          <w:szCs w:val="20"/>
          <w:lang w:val="es-CL"/>
        </w:rPr>
        <w:t>iembros de la Comisión.</w:t>
      </w:r>
      <w:r w:rsidRPr="00A37B82">
        <w:rPr>
          <w:rFonts w:asciiTheme="majorHAnsi" w:hAnsiTheme="majorHAnsi" w:cs="Arial"/>
          <w:noProof/>
          <w:sz w:val="20"/>
          <w:szCs w:val="20"/>
          <w:lang w:val="es-CL"/>
        </w:rPr>
        <w:t xml:space="preserve"> </w:t>
      </w:r>
      <w:bookmarkEnd w:id="2"/>
      <w:bookmarkEnd w:id="3"/>
    </w:p>
    <w:p w14:paraId="6E08F653" w14:textId="77777777" w:rsidR="008C65E3" w:rsidRPr="00414D91" w:rsidRDefault="008C65E3" w:rsidP="008C65E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p>
    <w:p w14:paraId="0739C05F" w14:textId="77777777" w:rsidR="00722C9F" w:rsidRPr="00414D91" w:rsidRDefault="00722C9F" w:rsidP="00BD0FF5">
      <w:pPr>
        <w:jc w:val="both"/>
        <w:rPr>
          <w:rFonts w:asciiTheme="majorHAnsi" w:hAnsiTheme="majorHAnsi" w:cs="Calibri"/>
          <w:sz w:val="20"/>
          <w:szCs w:val="20"/>
          <w:lang w:val="es-ES_tradnl"/>
        </w:rPr>
      </w:pPr>
    </w:p>
    <w:sectPr w:rsidR="00722C9F" w:rsidRPr="00414D91"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EA13A" w14:textId="77777777" w:rsidR="005521BB" w:rsidRDefault="005521BB">
      <w:r>
        <w:separator/>
      </w:r>
    </w:p>
  </w:endnote>
  <w:endnote w:type="continuationSeparator" w:id="0">
    <w:p w14:paraId="19F8C9D9" w14:textId="77777777" w:rsidR="005521BB" w:rsidRDefault="005521BB">
      <w:r>
        <w:continuationSeparator/>
      </w:r>
    </w:p>
  </w:endnote>
  <w:endnote w:type="continuationNotice" w:id="1">
    <w:p w14:paraId="3C6DA4E2" w14:textId="77777777" w:rsidR="005521BB" w:rsidRDefault="005521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047EF7ED" w14:textId="736DCF59" w:rsidR="003F4104" w:rsidRPr="00934A2C" w:rsidRDefault="003F4104">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2E62D9">
          <w:rPr>
            <w:noProof/>
            <w:sz w:val="16"/>
            <w:szCs w:val="22"/>
          </w:rPr>
          <w:t>10</w:t>
        </w:r>
        <w:r w:rsidRPr="00934A2C">
          <w:rPr>
            <w:noProof/>
            <w:sz w:val="16"/>
            <w:szCs w:val="22"/>
          </w:rPr>
          <w:fldChar w:fldCharType="end"/>
        </w:r>
      </w:p>
    </w:sdtContent>
  </w:sdt>
  <w:p w14:paraId="15F9E1B8" w14:textId="77777777" w:rsidR="003F4104" w:rsidRDefault="003F41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477E5" w14:textId="77777777" w:rsidR="003F4104" w:rsidRPr="00934A2C" w:rsidRDefault="003F4104">
    <w:pPr>
      <w:pStyle w:val="Footer"/>
      <w:jc w:val="center"/>
      <w:rPr>
        <w:sz w:val="16"/>
        <w:szCs w:val="22"/>
      </w:rPr>
    </w:pPr>
  </w:p>
  <w:p w14:paraId="76A852D9" w14:textId="77777777" w:rsidR="003F4104" w:rsidRDefault="003F41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D3DE5" w14:textId="77777777" w:rsidR="005521BB" w:rsidRPr="000F35ED" w:rsidRDefault="005521BB">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568B1FDB" w14:textId="77777777" w:rsidR="005521BB" w:rsidRPr="000F35ED" w:rsidRDefault="005521BB" w:rsidP="000F35ED">
      <w:pPr>
        <w:rPr>
          <w:rFonts w:asciiTheme="majorHAnsi" w:hAnsiTheme="majorHAnsi"/>
          <w:sz w:val="16"/>
          <w:szCs w:val="16"/>
        </w:rPr>
      </w:pPr>
      <w:r w:rsidRPr="000F35ED">
        <w:rPr>
          <w:rFonts w:asciiTheme="majorHAnsi" w:hAnsiTheme="majorHAnsi"/>
          <w:sz w:val="16"/>
          <w:szCs w:val="16"/>
        </w:rPr>
        <w:separator/>
      </w:r>
    </w:p>
    <w:p w14:paraId="3251FAD6" w14:textId="77777777" w:rsidR="005521BB" w:rsidRPr="000F35ED" w:rsidRDefault="005521BB"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32ECB2D0" w14:textId="77777777" w:rsidR="005521BB" w:rsidRPr="000F35ED" w:rsidRDefault="005521BB"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2FCD2FCF" w14:textId="77777777" w:rsidR="003F4104" w:rsidRPr="00262484" w:rsidRDefault="003F4104" w:rsidP="000C1117">
      <w:pPr>
        <w:pStyle w:val="FootnoteText"/>
        <w:ind w:firstLine="720"/>
        <w:jc w:val="both"/>
        <w:rPr>
          <w:rFonts w:asciiTheme="majorHAnsi" w:hAnsiTheme="majorHAnsi"/>
          <w:sz w:val="16"/>
          <w:szCs w:val="16"/>
          <w:lang w:val="es-ES"/>
        </w:rPr>
      </w:pPr>
      <w:r w:rsidRPr="00262484">
        <w:rPr>
          <w:rStyle w:val="FootnoteReference"/>
          <w:rFonts w:asciiTheme="majorHAnsi" w:hAnsiTheme="majorHAnsi"/>
          <w:sz w:val="16"/>
          <w:szCs w:val="16"/>
        </w:rPr>
        <w:footnoteRef/>
      </w:r>
      <w:r w:rsidRPr="00262484">
        <w:rPr>
          <w:rFonts w:asciiTheme="majorHAnsi" w:hAnsiTheme="majorHAnsi"/>
          <w:sz w:val="16"/>
          <w:szCs w:val="16"/>
          <w:lang w:val="es-ES"/>
        </w:rPr>
        <w:t xml:space="preserve"> En adelante “la Convención” o “la Convención Americana”</w:t>
      </w:r>
    </w:p>
  </w:footnote>
  <w:footnote w:id="3">
    <w:p w14:paraId="6DAFEFDD" w14:textId="77777777" w:rsidR="003F4104" w:rsidRPr="00262484" w:rsidRDefault="003F4104" w:rsidP="00306F33">
      <w:pPr>
        <w:pStyle w:val="FootnoteText"/>
        <w:ind w:firstLine="720"/>
        <w:jc w:val="both"/>
        <w:rPr>
          <w:rFonts w:asciiTheme="majorHAnsi" w:hAnsiTheme="majorHAnsi"/>
          <w:sz w:val="16"/>
          <w:szCs w:val="16"/>
          <w:lang w:val="es-ES"/>
        </w:rPr>
      </w:pPr>
      <w:r w:rsidRPr="00262484">
        <w:rPr>
          <w:rStyle w:val="FootnoteReference"/>
          <w:rFonts w:asciiTheme="majorHAnsi" w:hAnsiTheme="majorHAnsi"/>
          <w:sz w:val="16"/>
          <w:szCs w:val="16"/>
        </w:rPr>
        <w:footnoteRef/>
      </w:r>
      <w:r w:rsidRPr="00262484">
        <w:rPr>
          <w:rFonts w:asciiTheme="majorHAnsi" w:hAnsiTheme="majorHAnsi"/>
          <w:sz w:val="16"/>
          <w:szCs w:val="16"/>
          <w:lang w:val="es-ES"/>
        </w:rPr>
        <w:t xml:space="preserve"> Las observaciones de cada parte fueron debidamente trasladadas a la parte contraria.</w:t>
      </w:r>
    </w:p>
  </w:footnote>
  <w:footnote w:id="4">
    <w:p w14:paraId="66CE3843" w14:textId="43BC5A0F" w:rsidR="00D44189" w:rsidRPr="00262484" w:rsidRDefault="00D44189" w:rsidP="00655646">
      <w:pPr>
        <w:pStyle w:val="FootnoteText"/>
        <w:ind w:firstLine="720"/>
        <w:jc w:val="both"/>
        <w:rPr>
          <w:rFonts w:asciiTheme="majorHAnsi" w:hAnsiTheme="majorHAnsi"/>
          <w:sz w:val="16"/>
          <w:szCs w:val="16"/>
          <w:lang w:val="es-PA"/>
        </w:rPr>
      </w:pPr>
      <w:r w:rsidRPr="00262484">
        <w:rPr>
          <w:rStyle w:val="FootnoteReference"/>
          <w:rFonts w:asciiTheme="majorHAnsi" w:hAnsiTheme="majorHAnsi"/>
          <w:sz w:val="16"/>
          <w:szCs w:val="16"/>
        </w:rPr>
        <w:footnoteRef/>
      </w:r>
      <w:r w:rsidRPr="00262484">
        <w:rPr>
          <w:rFonts w:asciiTheme="majorHAnsi" w:hAnsiTheme="majorHAnsi"/>
          <w:sz w:val="16"/>
          <w:szCs w:val="16"/>
          <w:lang w:val="es-PA"/>
        </w:rPr>
        <w:t xml:space="preserve"> </w:t>
      </w:r>
      <w:r w:rsidR="00655646" w:rsidRPr="00262484">
        <w:rPr>
          <w:rFonts w:asciiTheme="majorHAnsi" w:hAnsiTheme="majorHAnsi"/>
          <w:sz w:val="16"/>
          <w:szCs w:val="16"/>
          <w:lang w:val="es-PA"/>
        </w:rPr>
        <w:t xml:space="preserve">Ver Tribunal Supremo de Justicia de Bolivia, Auto Supremo No. 372/2019-RA (disponible en </w:t>
      </w:r>
      <w:hyperlink r:id="rId1" w:history="1">
        <w:r w:rsidR="00655646" w:rsidRPr="00262484">
          <w:rPr>
            <w:rStyle w:val="Hyperlink"/>
            <w:rFonts w:asciiTheme="majorHAnsi" w:hAnsiTheme="majorHAnsi"/>
            <w:color w:val="auto"/>
            <w:sz w:val="16"/>
            <w:szCs w:val="16"/>
            <w:u w:val="none"/>
            <w:lang w:val="es-PA"/>
          </w:rPr>
          <w:t>http://tribunalsupremo.organojudicial.gob.bo/AS/penal/P0-2019/as201910372.html</w:t>
        </w:r>
      </w:hyperlink>
      <w:r w:rsidR="00655646" w:rsidRPr="00262484">
        <w:rPr>
          <w:rFonts w:asciiTheme="majorHAnsi" w:hAnsiTheme="majorHAnsi"/>
          <w:sz w:val="16"/>
          <w:szCs w:val="16"/>
          <w:lang w:val="es-PA"/>
        </w:rPr>
        <w:t xml:space="preserve">) en el que dicho tribunal admite parcialmente el recurso de casación interpuesto por el peticionario. </w:t>
      </w:r>
    </w:p>
  </w:footnote>
  <w:footnote w:id="5">
    <w:p w14:paraId="32F65B12" w14:textId="77777777" w:rsidR="003F4104" w:rsidRPr="00262484" w:rsidRDefault="003F4104" w:rsidP="00052E70">
      <w:pPr>
        <w:pStyle w:val="FootnoteText"/>
        <w:jc w:val="both"/>
        <w:rPr>
          <w:rFonts w:asciiTheme="majorHAnsi" w:hAnsiTheme="majorHAnsi"/>
          <w:sz w:val="16"/>
          <w:szCs w:val="16"/>
          <w:lang w:val="es-ES"/>
        </w:rPr>
      </w:pPr>
      <w:r w:rsidRPr="00262484">
        <w:rPr>
          <w:rFonts w:asciiTheme="majorHAnsi" w:hAnsiTheme="majorHAnsi"/>
          <w:sz w:val="16"/>
          <w:szCs w:val="16"/>
          <w:lang w:val="es-ES"/>
        </w:rPr>
        <w:tab/>
      </w:r>
      <w:r w:rsidRPr="00262484">
        <w:rPr>
          <w:rStyle w:val="FootnoteReference"/>
          <w:rFonts w:asciiTheme="majorHAnsi" w:hAnsiTheme="majorHAnsi"/>
          <w:sz w:val="16"/>
          <w:szCs w:val="16"/>
        </w:rPr>
        <w:footnoteRef/>
      </w:r>
      <w:r w:rsidRPr="00262484">
        <w:rPr>
          <w:rFonts w:asciiTheme="majorHAnsi" w:hAnsiTheme="majorHAnsi"/>
          <w:sz w:val="16"/>
          <w:szCs w:val="16"/>
          <w:lang w:val="es-ES"/>
        </w:rPr>
        <w:t xml:space="preserve"> CIDH, Informe No. 49/18, Petición 1542-07. Admisibilidad. Juan Espinosa Romero. Ecuador. 5 de mayo de 2018, párr. 13.</w:t>
      </w:r>
    </w:p>
  </w:footnote>
  <w:footnote w:id="6">
    <w:p w14:paraId="666420BC" w14:textId="77777777" w:rsidR="003F4104" w:rsidRPr="00262484" w:rsidRDefault="003F4104" w:rsidP="00265E07">
      <w:pPr>
        <w:pStyle w:val="FootnoteText"/>
        <w:ind w:firstLine="720"/>
        <w:jc w:val="both"/>
        <w:rPr>
          <w:rFonts w:asciiTheme="majorHAnsi" w:hAnsiTheme="majorHAnsi"/>
          <w:sz w:val="16"/>
          <w:szCs w:val="16"/>
          <w:lang w:val="es-ES"/>
        </w:rPr>
      </w:pPr>
      <w:r w:rsidRPr="00262484">
        <w:rPr>
          <w:rStyle w:val="FootnoteReference"/>
          <w:rFonts w:asciiTheme="majorHAnsi" w:hAnsiTheme="majorHAnsi"/>
          <w:sz w:val="16"/>
          <w:szCs w:val="16"/>
        </w:rPr>
        <w:footnoteRef/>
      </w:r>
      <w:r w:rsidRPr="00262484">
        <w:rPr>
          <w:rFonts w:asciiTheme="majorHAnsi" w:hAnsiTheme="majorHAnsi"/>
          <w:sz w:val="16"/>
          <w:szCs w:val="16"/>
          <w:lang w:val="es-ES"/>
        </w:rPr>
        <w:t xml:space="preserve"> </w:t>
      </w:r>
      <w:r w:rsidRPr="00262484">
        <w:rPr>
          <w:rFonts w:asciiTheme="majorHAnsi" w:hAnsiTheme="majorHAnsi"/>
          <w:sz w:val="16"/>
          <w:szCs w:val="16"/>
          <w:lang w:val="es-ES_tradnl"/>
        </w:rPr>
        <w:t>CIDH, Informe No. 90/03, Petición 0581/1999. Inadmisibilidad. Gustavo Trujillo González. Perú. 22 de octubre de 2003, párr. 32.</w:t>
      </w:r>
    </w:p>
  </w:footnote>
  <w:footnote w:id="7">
    <w:p w14:paraId="6B2EA8F0" w14:textId="06E78FB1" w:rsidR="00E32357" w:rsidRPr="00C8729C" w:rsidRDefault="00E32357" w:rsidP="00E32357">
      <w:pPr>
        <w:pStyle w:val="FootnoteText"/>
        <w:ind w:firstLine="720"/>
        <w:jc w:val="both"/>
        <w:rPr>
          <w:rFonts w:asciiTheme="majorHAnsi" w:hAnsiTheme="majorHAnsi"/>
          <w:sz w:val="16"/>
          <w:szCs w:val="16"/>
          <w:lang w:val="pt-BR"/>
        </w:rPr>
      </w:pPr>
      <w:r w:rsidRPr="00262484">
        <w:rPr>
          <w:rStyle w:val="FootnoteReference"/>
          <w:rFonts w:asciiTheme="majorHAnsi" w:hAnsiTheme="majorHAnsi"/>
          <w:sz w:val="16"/>
          <w:szCs w:val="16"/>
        </w:rPr>
        <w:footnoteRef/>
      </w:r>
      <w:r w:rsidRPr="00262484">
        <w:rPr>
          <w:rFonts w:asciiTheme="majorHAnsi" w:hAnsiTheme="majorHAnsi"/>
          <w:sz w:val="16"/>
          <w:szCs w:val="16"/>
          <w:lang w:val="es-PA"/>
        </w:rPr>
        <w:t xml:space="preserve"> </w:t>
      </w:r>
      <w:r w:rsidR="00CE3E61" w:rsidRPr="00262484">
        <w:rPr>
          <w:rFonts w:asciiTheme="majorHAnsi" w:hAnsiTheme="majorHAnsi"/>
          <w:sz w:val="16"/>
          <w:szCs w:val="16"/>
          <w:lang w:val="es-PA"/>
        </w:rPr>
        <w:t>Corte I.D.H., El Hábeas corpus bajo suspensión de garantías (arts. 27.2, 25.1 y 7.6 Convención Americana sobre Derechos Humanos), Opinión Consultiva O</w:t>
      </w:r>
      <w:r w:rsidR="00A078DC" w:rsidRPr="00262484">
        <w:rPr>
          <w:rFonts w:asciiTheme="majorHAnsi" w:hAnsiTheme="majorHAnsi"/>
          <w:sz w:val="16"/>
          <w:szCs w:val="16"/>
          <w:lang w:val="es-PA"/>
        </w:rPr>
        <w:t>C-8/87 del 30 de enero de 1987</w:t>
      </w:r>
      <w:r w:rsidR="00CE3E61" w:rsidRPr="00262484">
        <w:rPr>
          <w:rFonts w:asciiTheme="majorHAnsi" w:hAnsiTheme="majorHAnsi"/>
          <w:sz w:val="16"/>
          <w:szCs w:val="16"/>
          <w:lang w:val="es-PA"/>
        </w:rPr>
        <w:t xml:space="preserve">, </w:t>
      </w:r>
      <w:r w:rsidR="00B60DBE" w:rsidRPr="00262484">
        <w:rPr>
          <w:rFonts w:asciiTheme="majorHAnsi" w:hAnsiTheme="majorHAnsi"/>
          <w:sz w:val="16"/>
          <w:szCs w:val="16"/>
          <w:lang w:val="es-PA"/>
        </w:rPr>
        <w:t>párr.</w:t>
      </w:r>
      <w:r w:rsidR="00CE3E61" w:rsidRPr="00262484">
        <w:rPr>
          <w:rFonts w:asciiTheme="majorHAnsi" w:hAnsiTheme="majorHAnsi"/>
          <w:sz w:val="16"/>
          <w:szCs w:val="16"/>
          <w:lang w:val="es-PA"/>
        </w:rPr>
        <w:t xml:space="preserve"> </w:t>
      </w:r>
      <w:r w:rsidR="00CE3E61" w:rsidRPr="00C8729C">
        <w:rPr>
          <w:rFonts w:asciiTheme="majorHAnsi" w:hAnsiTheme="majorHAnsi"/>
          <w:sz w:val="16"/>
          <w:szCs w:val="16"/>
          <w:lang w:val="pt-BR"/>
        </w:rPr>
        <w:t>40.</w:t>
      </w:r>
    </w:p>
  </w:footnote>
  <w:footnote w:id="8">
    <w:p w14:paraId="1D390434" w14:textId="77777777" w:rsidR="00CE3E61" w:rsidRPr="00262484" w:rsidRDefault="00CE3E61" w:rsidP="00CE3E61">
      <w:pPr>
        <w:pStyle w:val="FootnoteText"/>
        <w:ind w:firstLine="720"/>
        <w:jc w:val="both"/>
        <w:rPr>
          <w:rFonts w:asciiTheme="majorHAnsi" w:hAnsiTheme="majorHAnsi"/>
          <w:sz w:val="16"/>
          <w:szCs w:val="16"/>
          <w:lang w:val="es-PA"/>
        </w:rPr>
      </w:pPr>
      <w:r w:rsidRPr="00262484">
        <w:rPr>
          <w:rStyle w:val="FootnoteReference"/>
          <w:rFonts w:asciiTheme="majorHAnsi" w:hAnsiTheme="majorHAnsi"/>
          <w:sz w:val="16"/>
          <w:szCs w:val="16"/>
        </w:rPr>
        <w:footnoteRef/>
      </w:r>
      <w:r w:rsidRPr="00262484">
        <w:rPr>
          <w:rFonts w:asciiTheme="majorHAnsi" w:hAnsiTheme="majorHAnsi"/>
          <w:sz w:val="16"/>
          <w:szCs w:val="16"/>
          <w:lang w:val="pt-BR"/>
        </w:rPr>
        <w:t xml:space="preserve"> CIDH. Informe No. 86/09, caso 12.553, Fondo, Jorge José y Dante Peirano Basso, Uruguay, 6 de agosto de 2009, párr. </w:t>
      </w:r>
      <w:r w:rsidRPr="00262484">
        <w:rPr>
          <w:rFonts w:asciiTheme="majorHAnsi" w:hAnsiTheme="majorHAnsi"/>
          <w:sz w:val="16"/>
          <w:szCs w:val="16"/>
          <w:lang w:val="es-PA"/>
        </w:rPr>
        <w:t>130.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07A9C" w14:textId="77777777" w:rsidR="003F4104" w:rsidRDefault="003F4104" w:rsidP="00E0255C">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692CA2D6" w14:textId="77777777" w:rsidR="003F4104" w:rsidRDefault="003F41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2BA05" w14:textId="77777777" w:rsidR="003F4104" w:rsidRDefault="003F4104" w:rsidP="00A50FCF">
    <w:pPr>
      <w:pStyle w:val="Header"/>
      <w:tabs>
        <w:tab w:val="clear" w:pos="4320"/>
        <w:tab w:val="clear" w:pos="8640"/>
      </w:tabs>
      <w:jc w:val="center"/>
      <w:rPr>
        <w:sz w:val="22"/>
        <w:szCs w:val="22"/>
      </w:rPr>
    </w:pPr>
    <w:r>
      <w:rPr>
        <w:noProof/>
        <w:sz w:val="22"/>
        <w:szCs w:val="22"/>
      </w:rPr>
      <w:drawing>
        <wp:inline distT="0" distB="0" distL="0" distR="0" wp14:anchorId="637B0596" wp14:editId="0192488D">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6AE71879" w14:textId="77777777" w:rsidR="003F4104" w:rsidRPr="00EC7D62" w:rsidRDefault="00205774" w:rsidP="00A50FCF">
    <w:pPr>
      <w:pStyle w:val="Header"/>
      <w:tabs>
        <w:tab w:val="clear" w:pos="4320"/>
        <w:tab w:val="clear" w:pos="8640"/>
      </w:tabs>
      <w:jc w:val="center"/>
      <w:rPr>
        <w:sz w:val="22"/>
        <w:szCs w:val="22"/>
      </w:rPr>
    </w:pPr>
    <w:r>
      <w:rPr>
        <w:noProof/>
        <w:sz w:val="22"/>
        <w:szCs w:val="22"/>
        <w:bdr w:val="nil"/>
      </w:rPr>
      <w:pict w14:anchorId="63F602C4">
        <v:rect id="_x0000_i1025" style="width:441.9pt;height:.0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F60244D"/>
    <w:multiLevelType w:val="hybridMultilevel"/>
    <w:tmpl w:val="91DC24B4"/>
    <w:lvl w:ilvl="0" w:tplc="043478A8">
      <w:start w:val="18"/>
      <w:numFmt w:val="decimal"/>
      <w:lvlText w:val="%1."/>
      <w:lvlJc w:val="left"/>
      <w:pPr>
        <w:tabs>
          <w:tab w:val="num" w:pos="720"/>
        </w:tabs>
        <w:ind w:firstLine="720"/>
      </w:pPr>
      <w:rPr>
        <w:rFonts w:cs="Times New Roman" w:hint="default"/>
        <w:b w:val="0"/>
        <w:color w:val="auto"/>
        <w:sz w:val="20"/>
        <w:szCs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64252436"/>
    <w:multiLevelType w:val="hybridMultilevel"/>
    <w:tmpl w:val="896087DE"/>
    <w:lvl w:ilvl="0" w:tplc="C34E3F2E">
      <w:start w:val="1"/>
      <w:numFmt w:val="decimal"/>
      <w:lvlText w:val="%1."/>
      <w:lvlJc w:val="left"/>
      <w:pPr>
        <w:ind w:left="1890" w:hanging="360"/>
      </w:pPr>
      <w:rPr>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0"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5"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929654980">
    <w:abstractNumId w:val="3"/>
  </w:num>
  <w:num w:numId="2" w16cid:durableId="349259955">
    <w:abstractNumId w:val="4"/>
  </w:num>
  <w:num w:numId="3" w16cid:durableId="313993285">
    <w:abstractNumId w:val="54"/>
  </w:num>
  <w:num w:numId="4" w16cid:durableId="866454084">
    <w:abstractNumId w:val="20"/>
  </w:num>
  <w:num w:numId="5" w16cid:durableId="2058123979">
    <w:abstractNumId w:val="48"/>
  </w:num>
  <w:num w:numId="6" w16cid:durableId="1681466845">
    <w:abstractNumId w:val="27"/>
  </w:num>
  <w:num w:numId="7" w16cid:durableId="979042985">
    <w:abstractNumId w:val="5"/>
  </w:num>
  <w:num w:numId="8" w16cid:durableId="1324357048">
    <w:abstractNumId w:val="15"/>
  </w:num>
  <w:num w:numId="9" w16cid:durableId="1318076891">
    <w:abstractNumId w:val="42"/>
  </w:num>
  <w:num w:numId="10" w16cid:durableId="1875922300">
    <w:abstractNumId w:val="0"/>
  </w:num>
  <w:num w:numId="11" w16cid:durableId="1262227106">
    <w:abstractNumId w:val="37"/>
  </w:num>
  <w:num w:numId="12" w16cid:durableId="149103001">
    <w:abstractNumId w:val="38"/>
  </w:num>
  <w:num w:numId="13" w16cid:durableId="1192374458">
    <w:abstractNumId w:val="44"/>
  </w:num>
  <w:num w:numId="14" w16cid:durableId="1971863993">
    <w:abstractNumId w:val="1"/>
  </w:num>
  <w:num w:numId="15" w16cid:durableId="1421367723">
    <w:abstractNumId w:val="2"/>
  </w:num>
  <w:num w:numId="16" w16cid:durableId="1922135155">
    <w:abstractNumId w:val="6"/>
  </w:num>
  <w:num w:numId="17" w16cid:durableId="756942326">
    <w:abstractNumId w:val="7"/>
  </w:num>
  <w:num w:numId="18" w16cid:durableId="2082409247">
    <w:abstractNumId w:val="8"/>
  </w:num>
  <w:num w:numId="19" w16cid:durableId="1937054430">
    <w:abstractNumId w:val="9"/>
  </w:num>
  <w:num w:numId="20" w16cid:durableId="1276137235">
    <w:abstractNumId w:val="10"/>
  </w:num>
  <w:num w:numId="21" w16cid:durableId="43339593">
    <w:abstractNumId w:val="11"/>
  </w:num>
  <w:num w:numId="22" w16cid:durableId="600142088">
    <w:abstractNumId w:val="12"/>
  </w:num>
  <w:num w:numId="23" w16cid:durableId="1620185388">
    <w:abstractNumId w:val="13"/>
  </w:num>
  <w:num w:numId="24" w16cid:durableId="2088458850">
    <w:abstractNumId w:val="14"/>
  </w:num>
  <w:num w:numId="25" w16cid:durableId="181824756">
    <w:abstractNumId w:val="16"/>
  </w:num>
  <w:num w:numId="26" w16cid:durableId="2062097136">
    <w:abstractNumId w:val="17"/>
  </w:num>
  <w:num w:numId="27" w16cid:durableId="1295023745">
    <w:abstractNumId w:val="21"/>
  </w:num>
  <w:num w:numId="28" w16cid:durableId="1988194842">
    <w:abstractNumId w:val="22"/>
  </w:num>
  <w:num w:numId="29" w16cid:durableId="1185825816">
    <w:abstractNumId w:val="23"/>
  </w:num>
  <w:num w:numId="30" w16cid:durableId="299698871">
    <w:abstractNumId w:val="25"/>
  </w:num>
  <w:num w:numId="31" w16cid:durableId="1862936696">
    <w:abstractNumId w:val="28"/>
  </w:num>
  <w:num w:numId="32" w16cid:durableId="226303824">
    <w:abstractNumId w:val="29"/>
  </w:num>
  <w:num w:numId="33" w16cid:durableId="2106992725">
    <w:abstractNumId w:val="30"/>
  </w:num>
  <w:num w:numId="34" w16cid:durableId="922685873">
    <w:abstractNumId w:val="31"/>
  </w:num>
  <w:num w:numId="35" w16cid:durableId="231893535">
    <w:abstractNumId w:val="32"/>
  </w:num>
  <w:num w:numId="36" w16cid:durableId="1267035072">
    <w:abstractNumId w:val="33"/>
  </w:num>
  <w:num w:numId="37" w16cid:durableId="1689402016">
    <w:abstractNumId w:val="34"/>
  </w:num>
  <w:num w:numId="38" w16cid:durableId="1626883056">
    <w:abstractNumId w:val="35"/>
  </w:num>
  <w:num w:numId="39" w16cid:durableId="511261023">
    <w:abstractNumId w:val="39"/>
  </w:num>
  <w:num w:numId="40" w16cid:durableId="361321535">
    <w:abstractNumId w:val="40"/>
  </w:num>
  <w:num w:numId="41" w16cid:durableId="826017966">
    <w:abstractNumId w:val="46"/>
  </w:num>
  <w:num w:numId="42" w16cid:durableId="1833133978">
    <w:abstractNumId w:val="49"/>
  </w:num>
  <w:num w:numId="43" w16cid:durableId="467355649">
    <w:abstractNumId w:val="50"/>
  </w:num>
  <w:num w:numId="44" w16cid:durableId="1236160414">
    <w:abstractNumId w:val="52"/>
  </w:num>
  <w:num w:numId="45" w16cid:durableId="1432579541">
    <w:abstractNumId w:val="53"/>
  </w:num>
  <w:num w:numId="46" w16cid:durableId="726227409">
    <w:abstractNumId w:val="55"/>
  </w:num>
  <w:num w:numId="47" w16cid:durableId="964699149">
    <w:abstractNumId w:val="56"/>
  </w:num>
  <w:num w:numId="48" w16cid:durableId="1756515990">
    <w:abstractNumId w:val="57"/>
  </w:num>
  <w:num w:numId="49" w16cid:durableId="845099959">
    <w:abstractNumId w:val="58"/>
  </w:num>
  <w:num w:numId="50" w16cid:durableId="2019426849">
    <w:abstractNumId w:val="59"/>
  </w:num>
  <w:num w:numId="51" w16cid:durableId="93748625">
    <w:abstractNumId w:val="19"/>
  </w:num>
  <w:num w:numId="52" w16cid:durableId="1402753672">
    <w:abstractNumId w:val="41"/>
  </w:num>
  <w:num w:numId="53" w16cid:durableId="302466863">
    <w:abstractNumId w:val="51"/>
  </w:num>
  <w:num w:numId="54" w16cid:durableId="188565804">
    <w:abstractNumId w:val="45"/>
  </w:num>
  <w:num w:numId="55" w16cid:durableId="1580794686">
    <w:abstractNumId w:val="43"/>
  </w:num>
  <w:num w:numId="56" w16cid:durableId="1972132651">
    <w:abstractNumId w:val="26"/>
  </w:num>
  <w:num w:numId="57" w16cid:durableId="1065840754">
    <w:abstractNumId w:val="24"/>
  </w:num>
  <w:num w:numId="58" w16cid:durableId="735711632">
    <w:abstractNumId w:val="36"/>
  </w:num>
  <w:num w:numId="59" w16cid:durableId="338430278">
    <w:abstractNumId w:val="47"/>
  </w:num>
  <w:num w:numId="60" w16cid:durableId="361784018">
    <w:abstractNumId w:val="18"/>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CDA"/>
    <w:rsid w:val="0000621C"/>
    <w:rsid w:val="00006623"/>
    <w:rsid w:val="00006E1F"/>
    <w:rsid w:val="000070D7"/>
    <w:rsid w:val="0001788C"/>
    <w:rsid w:val="00023F19"/>
    <w:rsid w:val="00024D83"/>
    <w:rsid w:val="000337EF"/>
    <w:rsid w:val="00036B47"/>
    <w:rsid w:val="00040C3A"/>
    <w:rsid w:val="000419AD"/>
    <w:rsid w:val="000433C9"/>
    <w:rsid w:val="00044B28"/>
    <w:rsid w:val="00045012"/>
    <w:rsid w:val="00046237"/>
    <w:rsid w:val="00046336"/>
    <w:rsid w:val="00051803"/>
    <w:rsid w:val="00052E70"/>
    <w:rsid w:val="00054E6D"/>
    <w:rsid w:val="00060C83"/>
    <w:rsid w:val="00071174"/>
    <w:rsid w:val="000716C5"/>
    <w:rsid w:val="0007387D"/>
    <w:rsid w:val="00075E23"/>
    <w:rsid w:val="000851E3"/>
    <w:rsid w:val="00092BF5"/>
    <w:rsid w:val="0009333A"/>
    <w:rsid w:val="0009344A"/>
    <w:rsid w:val="000A392E"/>
    <w:rsid w:val="000A575F"/>
    <w:rsid w:val="000B38F8"/>
    <w:rsid w:val="000C1117"/>
    <w:rsid w:val="000C683D"/>
    <w:rsid w:val="000D05BA"/>
    <w:rsid w:val="000D05CB"/>
    <w:rsid w:val="000D10DB"/>
    <w:rsid w:val="000D33BA"/>
    <w:rsid w:val="000E5E39"/>
    <w:rsid w:val="000E5EB5"/>
    <w:rsid w:val="000F35ED"/>
    <w:rsid w:val="000F5AC8"/>
    <w:rsid w:val="000F6B77"/>
    <w:rsid w:val="000F6DC3"/>
    <w:rsid w:val="001057BA"/>
    <w:rsid w:val="00107131"/>
    <w:rsid w:val="0010736F"/>
    <w:rsid w:val="00113F73"/>
    <w:rsid w:val="0012183B"/>
    <w:rsid w:val="00121CC2"/>
    <w:rsid w:val="00130C92"/>
    <w:rsid w:val="00130F69"/>
    <w:rsid w:val="00131425"/>
    <w:rsid w:val="00133EE5"/>
    <w:rsid w:val="001352C1"/>
    <w:rsid w:val="001375A5"/>
    <w:rsid w:val="001645A0"/>
    <w:rsid w:val="00167A34"/>
    <w:rsid w:val="00177D71"/>
    <w:rsid w:val="00180E67"/>
    <w:rsid w:val="00196CBF"/>
    <w:rsid w:val="001A4919"/>
    <w:rsid w:val="001A520D"/>
    <w:rsid w:val="001A7870"/>
    <w:rsid w:val="001B2D90"/>
    <w:rsid w:val="001B3A00"/>
    <w:rsid w:val="001B4FA1"/>
    <w:rsid w:val="001C1B41"/>
    <w:rsid w:val="001C6940"/>
    <w:rsid w:val="001C7E62"/>
    <w:rsid w:val="001D0781"/>
    <w:rsid w:val="001D65EF"/>
    <w:rsid w:val="001E0518"/>
    <w:rsid w:val="001E2B74"/>
    <w:rsid w:val="001E3E79"/>
    <w:rsid w:val="001E49E7"/>
    <w:rsid w:val="001E5977"/>
    <w:rsid w:val="001E7EA7"/>
    <w:rsid w:val="001F7201"/>
    <w:rsid w:val="002011C8"/>
    <w:rsid w:val="00205774"/>
    <w:rsid w:val="0020723F"/>
    <w:rsid w:val="00210FBA"/>
    <w:rsid w:val="00221BF3"/>
    <w:rsid w:val="00223A29"/>
    <w:rsid w:val="002250A3"/>
    <w:rsid w:val="00226F8C"/>
    <w:rsid w:val="002314DC"/>
    <w:rsid w:val="00234729"/>
    <w:rsid w:val="00235217"/>
    <w:rsid w:val="00235653"/>
    <w:rsid w:val="002403A6"/>
    <w:rsid w:val="00246D1F"/>
    <w:rsid w:val="00247403"/>
    <w:rsid w:val="00247542"/>
    <w:rsid w:val="0025187E"/>
    <w:rsid w:val="00252EB1"/>
    <w:rsid w:val="00255461"/>
    <w:rsid w:val="0025581C"/>
    <w:rsid w:val="00262484"/>
    <w:rsid w:val="00265E07"/>
    <w:rsid w:val="00266B61"/>
    <w:rsid w:val="0026712A"/>
    <w:rsid w:val="00267DE6"/>
    <w:rsid w:val="00270334"/>
    <w:rsid w:val="002704DB"/>
    <w:rsid w:val="002715DD"/>
    <w:rsid w:val="00274618"/>
    <w:rsid w:val="00275BC2"/>
    <w:rsid w:val="00285452"/>
    <w:rsid w:val="0028753D"/>
    <w:rsid w:val="00291A69"/>
    <w:rsid w:val="002923F4"/>
    <w:rsid w:val="002A0AAE"/>
    <w:rsid w:val="002A54F4"/>
    <w:rsid w:val="002A5820"/>
    <w:rsid w:val="002A7D66"/>
    <w:rsid w:val="002B09F3"/>
    <w:rsid w:val="002C0ED5"/>
    <w:rsid w:val="002C2252"/>
    <w:rsid w:val="002C2EA0"/>
    <w:rsid w:val="002D240A"/>
    <w:rsid w:val="002D2422"/>
    <w:rsid w:val="002D2B26"/>
    <w:rsid w:val="002D3DD0"/>
    <w:rsid w:val="002D43FE"/>
    <w:rsid w:val="002D4515"/>
    <w:rsid w:val="002D7EA2"/>
    <w:rsid w:val="002E187C"/>
    <w:rsid w:val="002E1AEF"/>
    <w:rsid w:val="002E284C"/>
    <w:rsid w:val="002E62D9"/>
    <w:rsid w:val="002F0F29"/>
    <w:rsid w:val="002F5A23"/>
    <w:rsid w:val="00302733"/>
    <w:rsid w:val="00302CBA"/>
    <w:rsid w:val="00305835"/>
    <w:rsid w:val="003064C1"/>
    <w:rsid w:val="00306F33"/>
    <w:rsid w:val="00314078"/>
    <w:rsid w:val="0031535D"/>
    <w:rsid w:val="0031708C"/>
    <w:rsid w:val="003239B8"/>
    <w:rsid w:val="00323B88"/>
    <w:rsid w:val="0033169F"/>
    <w:rsid w:val="00333065"/>
    <w:rsid w:val="00342588"/>
    <w:rsid w:val="00344977"/>
    <w:rsid w:val="00346C95"/>
    <w:rsid w:val="00355303"/>
    <w:rsid w:val="00356185"/>
    <w:rsid w:val="00360380"/>
    <w:rsid w:val="00360A93"/>
    <w:rsid w:val="00363089"/>
    <w:rsid w:val="00367E6C"/>
    <w:rsid w:val="0037519E"/>
    <w:rsid w:val="003807DF"/>
    <w:rsid w:val="0038129F"/>
    <w:rsid w:val="00386CF0"/>
    <w:rsid w:val="00391C21"/>
    <w:rsid w:val="003A1F2D"/>
    <w:rsid w:val="003B70FB"/>
    <w:rsid w:val="003C0D08"/>
    <w:rsid w:val="003C2F7A"/>
    <w:rsid w:val="003C308B"/>
    <w:rsid w:val="003C57EE"/>
    <w:rsid w:val="003C676B"/>
    <w:rsid w:val="003D3BC2"/>
    <w:rsid w:val="003E6CA1"/>
    <w:rsid w:val="003F4104"/>
    <w:rsid w:val="003F5154"/>
    <w:rsid w:val="00400B40"/>
    <w:rsid w:val="00404E86"/>
    <w:rsid w:val="0040537B"/>
    <w:rsid w:val="00405F9C"/>
    <w:rsid w:val="004065A8"/>
    <w:rsid w:val="00414D91"/>
    <w:rsid w:val="004165C2"/>
    <w:rsid w:val="00422839"/>
    <w:rsid w:val="00427BF4"/>
    <w:rsid w:val="004304F0"/>
    <w:rsid w:val="0043072A"/>
    <w:rsid w:val="0043223D"/>
    <w:rsid w:val="004373BF"/>
    <w:rsid w:val="00441ECB"/>
    <w:rsid w:val="00445193"/>
    <w:rsid w:val="00462C1B"/>
    <w:rsid w:val="00466170"/>
    <w:rsid w:val="004677D7"/>
    <w:rsid w:val="00467B7E"/>
    <w:rsid w:val="00467EE8"/>
    <w:rsid w:val="00473BB4"/>
    <w:rsid w:val="00477592"/>
    <w:rsid w:val="00485134"/>
    <w:rsid w:val="00486F1C"/>
    <w:rsid w:val="0049419D"/>
    <w:rsid w:val="00495441"/>
    <w:rsid w:val="004A6A54"/>
    <w:rsid w:val="004B421C"/>
    <w:rsid w:val="004B4621"/>
    <w:rsid w:val="004B5D05"/>
    <w:rsid w:val="004C20D2"/>
    <w:rsid w:val="004C2312"/>
    <w:rsid w:val="004C46B6"/>
    <w:rsid w:val="004C4B62"/>
    <w:rsid w:val="004C54C9"/>
    <w:rsid w:val="004D4ABA"/>
    <w:rsid w:val="004D5091"/>
    <w:rsid w:val="004D6025"/>
    <w:rsid w:val="004E2649"/>
    <w:rsid w:val="004E4D91"/>
    <w:rsid w:val="004F0017"/>
    <w:rsid w:val="004F2F1E"/>
    <w:rsid w:val="004F626F"/>
    <w:rsid w:val="00501399"/>
    <w:rsid w:val="005047ED"/>
    <w:rsid w:val="0050633D"/>
    <w:rsid w:val="00507BC4"/>
    <w:rsid w:val="005128E4"/>
    <w:rsid w:val="005133DB"/>
    <w:rsid w:val="00514504"/>
    <w:rsid w:val="0052136C"/>
    <w:rsid w:val="00521E1F"/>
    <w:rsid w:val="00522E1E"/>
    <w:rsid w:val="00523715"/>
    <w:rsid w:val="00525560"/>
    <w:rsid w:val="00533236"/>
    <w:rsid w:val="0053387B"/>
    <w:rsid w:val="00536594"/>
    <w:rsid w:val="005366BB"/>
    <w:rsid w:val="0053684E"/>
    <w:rsid w:val="00536A8D"/>
    <w:rsid w:val="00544C49"/>
    <w:rsid w:val="00547936"/>
    <w:rsid w:val="005516A1"/>
    <w:rsid w:val="005521BB"/>
    <w:rsid w:val="0055594C"/>
    <w:rsid w:val="005559EF"/>
    <w:rsid w:val="00557206"/>
    <w:rsid w:val="005574FB"/>
    <w:rsid w:val="00563557"/>
    <w:rsid w:val="005672E9"/>
    <w:rsid w:val="0057402A"/>
    <w:rsid w:val="005771D0"/>
    <w:rsid w:val="005841F9"/>
    <w:rsid w:val="0059191A"/>
    <w:rsid w:val="005921FF"/>
    <w:rsid w:val="00597AFE"/>
    <w:rsid w:val="005A24ED"/>
    <w:rsid w:val="005A6D0E"/>
    <w:rsid w:val="005B0C72"/>
    <w:rsid w:val="005B52B0"/>
    <w:rsid w:val="005B599B"/>
    <w:rsid w:val="005B6806"/>
    <w:rsid w:val="005B7153"/>
    <w:rsid w:val="005C3818"/>
    <w:rsid w:val="005C4225"/>
    <w:rsid w:val="005C4E8F"/>
    <w:rsid w:val="005D1E12"/>
    <w:rsid w:val="005D42E3"/>
    <w:rsid w:val="005D6980"/>
    <w:rsid w:val="005D7311"/>
    <w:rsid w:val="005E473B"/>
    <w:rsid w:val="005F0DAD"/>
    <w:rsid w:val="005F0F33"/>
    <w:rsid w:val="00600DEB"/>
    <w:rsid w:val="0060199D"/>
    <w:rsid w:val="00606B19"/>
    <w:rsid w:val="00606E3C"/>
    <w:rsid w:val="00617EE8"/>
    <w:rsid w:val="00627C9F"/>
    <w:rsid w:val="00630F37"/>
    <w:rsid w:val="006311E9"/>
    <w:rsid w:val="00632354"/>
    <w:rsid w:val="00635421"/>
    <w:rsid w:val="00642810"/>
    <w:rsid w:val="006435FE"/>
    <w:rsid w:val="00652333"/>
    <w:rsid w:val="00655646"/>
    <w:rsid w:val="00666CBC"/>
    <w:rsid w:val="0067028B"/>
    <w:rsid w:val="006756CE"/>
    <w:rsid w:val="00677CCC"/>
    <w:rsid w:val="0068009E"/>
    <w:rsid w:val="0068165B"/>
    <w:rsid w:val="00684A76"/>
    <w:rsid w:val="00691E5B"/>
    <w:rsid w:val="00692219"/>
    <w:rsid w:val="0069338C"/>
    <w:rsid w:val="006A17D2"/>
    <w:rsid w:val="006A1FCA"/>
    <w:rsid w:val="006A73E6"/>
    <w:rsid w:val="006B2D5C"/>
    <w:rsid w:val="006C0ECF"/>
    <w:rsid w:val="006C3B63"/>
    <w:rsid w:val="006C4613"/>
    <w:rsid w:val="006C4710"/>
    <w:rsid w:val="006C4EB1"/>
    <w:rsid w:val="006C6822"/>
    <w:rsid w:val="006D35A9"/>
    <w:rsid w:val="006E0166"/>
    <w:rsid w:val="006E2FFB"/>
    <w:rsid w:val="006E48F9"/>
    <w:rsid w:val="006E657D"/>
    <w:rsid w:val="006E6A95"/>
    <w:rsid w:val="006E7B34"/>
    <w:rsid w:val="006F2348"/>
    <w:rsid w:val="00703AB0"/>
    <w:rsid w:val="0070697F"/>
    <w:rsid w:val="007103C4"/>
    <w:rsid w:val="00714441"/>
    <w:rsid w:val="00717FDF"/>
    <w:rsid w:val="0072199C"/>
    <w:rsid w:val="00722C9F"/>
    <w:rsid w:val="007253B8"/>
    <w:rsid w:val="0073741F"/>
    <w:rsid w:val="00741896"/>
    <w:rsid w:val="00760449"/>
    <w:rsid w:val="0076643F"/>
    <w:rsid w:val="00767129"/>
    <w:rsid w:val="00770AF6"/>
    <w:rsid w:val="00775E30"/>
    <w:rsid w:val="00777868"/>
    <w:rsid w:val="00777F63"/>
    <w:rsid w:val="007913EA"/>
    <w:rsid w:val="00794508"/>
    <w:rsid w:val="007A1C05"/>
    <w:rsid w:val="007A4338"/>
    <w:rsid w:val="007A5817"/>
    <w:rsid w:val="007B05C4"/>
    <w:rsid w:val="007B60E9"/>
    <w:rsid w:val="007B639A"/>
    <w:rsid w:val="007B648A"/>
    <w:rsid w:val="007B6CC3"/>
    <w:rsid w:val="007B76D3"/>
    <w:rsid w:val="007C3334"/>
    <w:rsid w:val="007C3ED0"/>
    <w:rsid w:val="007C7E01"/>
    <w:rsid w:val="007C7ED8"/>
    <w:rsid w:val="007D2B98"/>
    <w:rsid w:val="007D3A79"/>
    <w:rsid w:val="007E21BC"/>
    <w:rsid w:val="007E3694"/>
    <w:rsid w:val="007E58F6"/>
    <w:rsid w:val="007E7C82"/>
    <w:rsid w:val="007F210C"/>
    <w:rsid w:val="007F2AA1"/>
    <w:rsid w:val="007F588D"/>
    <w:rsid w:val="008023DD"/>
    <w:rsid w:val="00803F1C"/>
    <w:rsid w:val="0080600E"/>
    <w:rsid w:val="008113CA"/>
    <w:rsid w:val="0081165C"/>
    <w:rsid w:val="0081330E"/>
    <w:rsid w:val="00814688"/>
    <w:rsid w:val="00817612"/>
    <w:rsid w:val="008338A4"/>
    <w:rsid w:val="0083456D"/>
    <w:rsid w:val="00834D49"/>
    <w:rsid w:val="00837C45"/>
    <w:rsid w:val="00844683"/>
    <w:rsid w:val="00844730"/>
    <w:rsid w:val="008457C2"/>
    <w:rsid w:val="00853A3E"/>
    <w:rsid w:val="00855B76"/>
    <w:rsid w:val="00856AA4"/>
    <w:rsid w:val="00857A82"/>
    <w:rsid w:val="00873836"/>
    <w:rsid w:val="00877671"/>
    <w:rsid w:val="00885737"/>
    <w:rsid w:val="00885F6E"/>
    <w:rsid w:val="00890650"/>
    <w:rsid w:val="00891DDD"/>
    <w:rsid w:val="008944DC"/>
    <w:rsid w:val="00897E12"/>
    <w:rsid w:val="008A7E0F"/>
    <w:rsid w:val="008B12F5"/>
    <w:rsid w:val="008C4C96"/>
    <w:rsid w:val="008C5E2D"/>
    <w:rsid w:val="008C65E3"/>
    <w:rsid w:val="008D3DE5"/>
    <w:rsid w:val="008D768D"/>
    <w:rsid w:val="008E3759"/>
    <w:rsid w:val="008E3BFE"/>
    <w:rsid w:val="008F1912"/>
    <w:rsid w:val="0090270B"/>
    <w:rsid w:val="009041DC"/>
    <w:rsid w:val="00917B5A"/>
    <w:rsid w:val="00920A58"/>
    <w:rsid w:val="00920A8C"/>
    <w:rsid w:val="009212E9"/>
    <w:rsid w:val="009317AD"/>
    <w:rsid w:val="00934A2C"/>
    <w:rsid w:val="009353E9"/>
    <w:rsid w:val="009374A4"/>
    <w:rsid w:val="00937D43"/>
    <w:rsid w:val="009627D7"/>
    <w:rsid w:val="0096706E"/>
    <w:rsid w:val="00974491"/>
    <w:rsid w:val="00975C4E"/>
    <w:rsid w:val="00981FBA"/>
    <w:rsid w:val="0098333F"/>
    <w:rsid w:val="00990687"/>
    <w:rsid w:val="00997BC5"/>
    <w:rsid w:val="009A3FFA"/>
    <w:rsid w:val="009A4F41"/>
    <w:rsid w:val="009A7A17"/>
    <w:rsid w:val="009B381B"/>
    <w:rsid w:val="009C106B"/>
    <w:rsid w:val="009C74F4"/>
    <w:rsid w:val="009D1753"/>
    <w:rsid w:val="009D6822"/>
    <w:rsid w:val="009D7611"/>
    <w:rsid w:val="009E0B61"/>
    <w:rsid w:val="009E53DE"/>
    <w:rsid w:val="009F21E8"/>
    <w:rsid w:val="009F2403"/>
    <w:rsid w:val="009F506F"/>
    <w:rsid w:val="009F610B"/>
    <w:rsid w:val="00A04A82"/>
    <w:rsid w:val="00A0564A"/>
    <w:rsid w:val="00A078DC"/>
    <w:rsid w:val="00A11212"/>
    <w:rsid w:val="00A11E44"/>
    <w:rsid w:val="00A1581C"/>
    <w:rsid w:val="00A24F83"/>
    <w:rsid w:val="00A30100"/>
    <w:rsid w:val="00A30406"/>
    <w:rsid w:val="00A328B3"/>
    <w:rsid w:val="00A37D3E"/>
    <w:rsid w:val="00A4068D"/>
    <w:rsid w:val="00A43C39"/>
    <w:rsid w:val="00A50FCF"/>
    <w:rsid w:val="00A528D1"/>
    <w:rsid w:val="00A6049F"/>
    <w:rsid w:val="00A610CD"/>
    <w:rsid w:val="00A758AA"/>
    <w:rsid w:val="00A84150"/>
    <w:rsid w:val="00A9606B"/>
    <w:rsid w:val="00AA09A2"/>
    <w:rsid w:val="00AA63FF"/>
    <w:rsid w:val="00AA7996"/>
    <w:rsid w:val="00AC19CB"/>
    <w:rsid w:val="00AC5732"/>
    <w:rsid w:val="00AD471A"/>
    <w:rsid w:val="00AD5180"/>
    <w:rsid w:val="00AE14BF"/>
    <w:rsid w:val="00AE5488"/>
    <w:rsid w:val="00AE6F91"/>
    <w:rsid w:val="00AF5571"/>
    <w:rsid w:val="00AF575A"/>
    <w:rsid w:val="00B07341"/>
    <w:rsid w:val="00B179D5"/>
    <w:rsid w:val="00B30539"/>
    <w:rsid w:val="00B314DB"/>
    <w:rsid w:val="00B361F2"/>
    <w:rsid w:val="00B370F0"/>
    <w:rsid w:val="00B3718B"/>
    <w:rsid w:val="00B3745F"/>
    <w:rsid w:val="00B4632A"/>
    <w:rsid w:val="00B530F1"/>
    <w:rsid w:val="00B53A35"/>
    <w:rsid w:val="00B541AD"/>
    <w:rsid w:val="00B5569C"/>
    <w:rsid w:val="00B55E02"/>
    <w:rsid w:val="00B5743B"/>
    <w:rsid w:val="00B60DBE"/>
    <w:rsid w:val="00B644B0"/>
    <w:rsid w:val="00B6502F"/>
    <w:rsid w:val="00B73F4B"/>
    <w:rsid w:val="00B9002E"/>
    <w:rsid w:val="00B93D7F"/>
    <w:rsid w:val="00BA2432"/>
    <w:rsid w:val="00BA276C"/>
    <w:rsid w:val="00BB019D"/>
    <w:rsid w:val="00BB306F"/>
    <w:rsid w:val="00BC1BC4"/>
    <w:rsid w:val="00BD0FF5"/>
    <w:rsid w:val="00BD31BD"/>
    <w:rsid w:val="00BD4B89"/>
    <w:rsid w:val="00BD5922"/>
    <w:rsid w:val="00BD6473"/>
    <w:rsid w:val="00BD6523"/>
    <w:rsid w:val="00BE11C2"/>
    <w:rsid w:val="00BE3147"/>
    <w:rsid w:val="00BE333D"/>
    <w:rsid w:val="00BE6DC5"/>
    <w:rsid w:val="00BF02CB"/>
    <w:rsid w:val="00BF1C6D"/>
    <w:rsid w:val="00BF66A3"/>
    <w:rsid w:val="00BF6FD8"/>
    <w:rsid w:val="00C01538"/>
    <w:rsid w:val="00C03680"/>
    <w:rsid w:val="00C054DF"/>
    <w:rsid w:val="00C05F71"/>
    <w:rsid w:val="00C1014B"/>
    <w:rsid w:val="00C21762"/>
    <w:rsid w:val="00C21FEF"/>
    <w:rsid w:val="00C23BA4"/>
    <w:rsid w:val="00C24543"/>
    <w:rsid w:val="00C24C19"/>
    <w:rsid w:val="00C256A2"/>
    <w:rsid w:val="00C25ADB"/>
    <w:rsid w:val="00C47439"/>
    <w:rsid w:val="00C51515"/>
    <w:rsid w:val="00C5660B"/>
    <w:rsid w:val="00C60254"/>
    <w:rsid w:val="00C66B72"/>
    <w:rsid w:val="00C70DE9"/>
    <w:rsid w:val="00C72435"/>
    <w:rsid w:val="00C73D4F"/>
    <w:rsid w:val="00C74870"/>
    <w:rsid w:val="00C85A21"/>
    <w:rsid w:val="00C8729C"/>
    <w:rsid w:val="00C87AC4"/>
    <w:rsid w:val="00C904CE"/>
    <w:rsid w:val="00C9567A"/>
    <w:rsid w:val="00CA2442"/>
    <w:rsid w:val="00CB212D"/>
    <w:rsid w:val="00CB2660"/>
    <w:rsid w:val="00CB7755"/>
    <w:rsid w:val="00CC311B"/>
    <w:rsid w:val="00CC5078"/>
    <w:rsid w:val="00CC5E90"/>
    <w:rsid w:val="00CC6A41"/>
    <w:rsid w:val="00CD046C"/>
    <w:rsid w:val="00CD515B"/>
    <w:rsid w:val="00CD78D7"/>
    <w:rsid w:val="00CE076C"/>
    <w:rsid w:val="00CE3E61"/>
    <w:rsid w:val="00CE5199"/>
    <w:rsid w:val="00CE66D5"/>
    <w:rsid w:val="00CF35FC"/>
    <w:rsid w:val="00CF637A"/>
    <w:rsid w:val="00CF7563"/>
    <w:rsid w:val="00D059DE"/>
    <w:rsid w:val="00D05ABD"/>
    <w:rsid w:val="00D13C37"/>
    <w:rsid w:val="00D13FCE"/>
    <w:rsid w:val="00D15665"/>
    <w:rsid w:val="00D306D1"/>
    <w:rsid w:val="00D30800"/>
    <w:rsid w:val="00D31278"/>
    <w:rsid w:val="00D3186D"/>
    <w:rsid w:val="00D34786"/>
    <w:rsid w:val="00D37BFC"/>
    <w:rsid w:val="00D406C1"/>
    <w:rsid w:val="00D44189"/>
    <w:rsid w:val="00D44D19"/>
    <w:rsid w:val="00D47A8E"/>
    <w:rsid w:val="00D51C25"/>
    <w:rsid w:val="00D52D14"/>
    <w:rsid w:val="00D54EAB"/>
    <w:rsid w:val="00D64AE4"/>
    <w:rsid w:val="00D65815"/>
    <w:rsid w:val="00D665DA"/>
    <w:rsid w:val="00D712D3"/>
    <w:rsid w:val="00D71422"/>
    <w:rsid w:val="00D7258E"/>
    <w:rsid w:val="00D72DC6"/>
    <w:rsid w:val="00D7558D"/>
    <w:rsid w:val="00D81D92"/>
    <w:rsid w:val="00D8432F"/>
    <w:rsid w:val="00D876F9"/>
    <w:rsid w:val="00D97566"/>
    <w:rsid w:val="00DA7B5F"/>
    <w:rsid w:val="00DB00A6"/>
    <w:rsid w:val="00DB6122"/>
    <w:rsid w:val="00DC11E7"/>
    <w:rsid w:val="00DC1D96"/>
    <w:rsid w:val="00DC24E3"/>
    <w:rsid w:val="00DC379F"/>
    <w:rsid w:val="00DC7023"/>
    <w:rsid w:val="00DC769A"/>
    <w:rsid w:val="00DD3D86"/>
    <w:rsid w:val="00DD4AD2"/>
    <w:rsid w:val="00DE04D9"/>
    <w:rsid w:val="00DE11C7"/>
    <w:rsid w:val="00DE2862"/>
    <w:rsid w:val="00DF17CC"/>
    <w:rsid w:val="00DF1EC4"/>
    <w:rsid w:val="00DF736C"/>
    <w:rsid w:val="00E00741"/>
    <w:rsid w:val="00E0255C"/>
    <w:rsid w:val="00E0340B"/>
    <w:rsid w:val="00E04A90"/>
    <w:rsid w:val="00E0551F"/>
    <w:rsid w:val="00E12C35"/>
    <w:rsid w:val="00E219C7"/>
    <w:rsid w:val="00E21BE5"/>
    <w:rsid w:val="00E32357"/>
    <w:rsid w:val="00E34EDF"/>
    <w:rsid w:val="00E37513"/>
    <w:rsid w:val="00E4118C"/>
    <w:rsid w:val="00E41917"/>
    <w:rsid w:val="00E43157"/>
    <w:rsid w:val="00E461CE"/>
    <w:rsid w:val="00E573E4"/>
    <w:rsid w:val="00E57F1F"/>
    <w:rsid w:val="00E60188"/>
    <w:rsid w:val="00E62C84"/>
    <w:rsid w:val="00E63037"/>
    <w:rsid w:val="00E64C3D"/>
    <w:rsid w:val="00E720CA"/>
    <w:rsid w:val="00E80DCA"/>
    <w:rsid w:val="00E82C2D"/>
    <w:rsid w:val="00E84EB5"/>
    <w:rsid w:val="00E85662"/>
    <w:rsid w:val="00E8789F"/>
    <w:rsid w:val="00E97B71"/>
    <w:rsid w:val="00EA3D34"/>
    <w:rsid w:val="00EA5D70"/>
    <w:rsid w:val="00EA6B36"/>
    <w:rsid w:val="00EB454D"/>
    <w:rsid w:val="00EB7FBD"/>
    <w:rsid w:val="00EC1C06"/>
    <w:rsid w:val="00ED0FD8"/>
    <w:rsid w:val="00ED549D"/>
    <w:rsid w:val="00ED5E10"/>
    <w:rsid w:val="00ED6594"/>
    <w:rsid w:val="00ED76BE"/>
    <w:rsid w:val="00EE00E9"/>
    <w:rsid w:val="00EF1AAA"/>
    <w:rsid w:val="00EF2B5A"/>
    <w:rsid w:val="00EF513F"/>
    <w:rsid w:val="00EF619B"/>
    <w:rsid w:val="00EF6AD6"/>
    <w:rsid w:val="00EF755E"/>
    <w:rsid w:val="00F00838"/>
    <w:rsid w:val="00F00B55"/>
    <w:rsid w:val="00F0157A"/>
    <w:rsid w:val="00F02AD1"/>
    <w:rsid w:val="00F07658"/>
    <w:rsid w:val="00F13D09"/>
    <w:rsid w:val="00F14698"/>
    <w:rsid w:val="00F176E8"/>
    <w:rsid w:val="00F253CC"/>
    <w:rsid w:val="00F37106"/>
    <w:rsid w:val="00F42752"/>
    <w:rsid w:val="00F43BA5"/>
    <w:rsid w:val="00F44E25"/>
    <w:rsid w:val="00F509C1"/>
    <w:rsid w:val="00F519CF"/>
    <w:rsid w:val="00F5430D"/>
    <w:rsid w:val="00F54EA1"/>
    <w:rsid w:val="00F56BA5"/>
    <w:rsid w:val="00F60E22"/>
    <w:rsid w:val="00F708AD"/>
    <w:rsid w:val="00F7254A"/>
    <w:rsid w:val="00F73385"/>
    <w:rsid w:val="00F81395"/>
    <w:rsid w:val="00F81BB8"/>
    <w:rsid w:val="00F90C64"/>
    <w:rsid w:val="00F917D1"/>
    <w:rsid w:val="00F95AA8"/>
    <w:rsid w:val="00F9653B"/>
    <w:rsid w:val="00FB1996"/>
    <w:rsid w:val="00FB62CF"/>
    <w:rsid w:val="00FB6675"/>
    <w:rsid w:val="00FC1990"/>
    <w:rsid w:val="00FC7F54"/>
    <w:rsid w:val="00FD29BB"/>
    <w:rsid w:val="00FD3C3B"/>
    <w:rsid w:val="00FE03F7"/>
    <w:rsid w:val="00FE07DD"/>
    <w:rsid w:val="00FE6B45"/>
    <w:rsid w:val="00FF4C5B"/>
    <w:rsid w:val="00FF5263"/>
    <w:rsid w:val="00FF55F3"/>
    <w:rsid w:val="00FF5851"/>
    <w:rsid w:val="00FF6177"/>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575D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NoList"/>
    <w:pPr>
      <w:numPr>
        <w:numId w:val="31"/>
      </w:numPr>
    </w:pPr>
  </w:style>
  <w:style w:type="numbering" w:customStyle="1" w:styleId="List1">
    <w:name w:val="List 1"/>
    <w:basedOn w:val="NoList"/>
    <w:pPr>
      <w:numPr>
        <w:numId w:val="1"/>
      </w:numPr>
    </w:pPr>
  </w:style>
  <w:style w:type="numbering" w:customStyle="1" w:styleId="List210">
    <w:name w:val="List 21"/>
    <w:basedOn w:val="NoList"/>
    <w:pPr>
      <w:numPr>
        <w:numId w:val="52"/>
      </w:numPr>
    </w:pPr>
  </w:style>
  <w:style w:type="numbering" w:customStyle="1" w:styleId="List31">
    <w:name w:val="List 31"/>
    <w:basedOn w:val="NoList"/>
    <w:pPr>
      <w:numPr>
        <w:numId w:val="51"/>
      </w:numPr>
    </w:pPr>
  </w:style>
  <w:style w:type="numbering" w:customStyle="1" w:styleId="List41">
    <w:name w:val="List 41"/>
    <w:basedOn w:val="NoList"/>
    <w:pPr>
      <w:numPr>
        <w:numId w:val="2"/>
      </w:numPr>
    </w:pPr>
  </w:style>
  <w:style w:type="numbering" w:customStyle="1" w:styleId="List510">
    <w:name w:val="List 51"/>
    <w:basedOn w:val="NoList"/>
    <w:pPr>
      <w:numPr>
        <w:numId w:val="54"/>
      </w:numPr>
    </w:pPr>
  </w:style>
  <w:style w:type="numbering" w:customStyle="1" w:styleId="List6">
    <w:name w:val="List 6"/>
    <w:basedOn w:val="NoList"/>
    <w:pPr>
      <w:numPr>
        <w:numId w:val="3"/>
      </w:numPr>
    </w:pPr>
  </w:style>
  <w:style w:type="numbering" w:customStyle="1" w:styleId="List7">
    <w:name w:val="List 7"/>
    <w:basedOn w:val="NoList"/>
    <w:pPr>
      <w:numPr>
        <w:numId w:val="4"/>
      </w:numPr>
    </w:pPr>
  </w:style>
  <w:style w:type="numbering" w:customStyle="1" w:styleId="List8">
    <w:name w:val="List 8"/>
    <w:basedOn w:val="NoList"/>
    <w:pPr>
      <w:numPr>
        <w:numId w:val="5"/>
      </w:numPr>
    </w:pPr>
  </w:style>
  <w:style w:type="numbering" w:customStyle="1" w:styleId="List9">
    <w:name w:val="List 9"/>
    <w:basedOn w:val="NoList"/>
    <w:pPr>
      <w:numPr>
        <w:numId w:val="22"/>
      </w:numPr>
    </w:pPr>
  </w:style>
  <w:style w:type="numbering" w:customStyle="1" w:styleId="List10">
    <w:name w:val="List 10"/>
    <w:basedOn w:val="NoList"/>
    <w:pPr>
      <w:numPr>
        <w:numId w:val="6"/>
      </w:numPr>
    </w:pPr>
  </w:style>
  <w:style w:type="numbering" w:customStyle="1" w:styleId="List11">
    <w:name w:val="List 11"/>
    <w:basedOn w:val="NoList"/>
    <w:pPr>
      <w:numPr>
        <w:numId w:val="7"/>
      </w:numPr>
    </w:pPr>
  </w:style>
  <w:style w:type="numbering" w:customStyle="1" w:styleId="List12">
    <w:name w:val="List 12"/>
    <w:basedOn w:val="NoList"/>
    <w:pPr>
      <w:numPr>
        <w:numId w:val="36"/>
      </w:numPr>
    </w:pPr>
  </w:style>
  <w:style w:type="numbering" w:customStyle="1" w:styleId="List13">
    <w:name w:val="List 13"/>
    <w:basedOn w:val="NoList"/>
    <w:pPr>
      <w:numPr>
        <w:numId w:val="42"/>
      </w:numPr>
    </w:pPr>
  </w:style>
  <w:style w:type="numbering" w:customStyle="1" w:styleId="List14">
    <w:name w:val="List 14"/>
    <w:basedOn w:val="NoList"/>
    <w:pPr>
      <w:numPr>
        <w:numId w:val="17"/>
      </w:numPr>
    </w:pPr>
  </w:style>
  <w:style w:type="numbering" w:customStyle="1" w:styleId="List15">
    <w:name w:val="List 15"/>
    <w:basedOn w:val="NoList"/>
    <w:pPr>
      <w:numPr>
        <w:numId w:val="16"/>
      </w:numPr>
    </w:pPr>
  </w:style>
  <w:style w:type="numbering" w:customStyle="1" w:styleId="List16">
    <w:name w:val="List 16"/>
    <w:basedOn w:val="NoList"/>
    <w:pPr>
      <w:numPr>
        <w:numId w:val="10"/>
      </w:numPr>
    </w:pPr>
  </w:style>
  <w:style w:type="numbering" w:customStyle="1" w:styleId="List17">
    <w:name w:val="List 17"/>
    <w:basedOn w:val="NoList"/>
    <w:pPr>
      <w:numPr>
        <w:numId w:val="25"/>
      </w:numPr>
    </w:pPr>
  </w:style>
  <w:style w:type="numbering" w:customStyle="1" w:styleId="List18">
    <w:name w:val="List 18"/>
    <w:basedOn w:val="NoList"/>
    <w:pPr>
      <w:numPr>
        <w:numId w:val="27"/>
      </w:numPr>
    </w:pPr>
  </w:style>
  <w:style w:type="numbering" w:customStyle="1" w:styleId="List19">
    <w:name w:val="List 19"/>
    <w:basedOn w:val="NoList"/>
    <w:pPr>
      <w:numPr>
        <w:numId w:val="19"/>
      </w:numPr>
    </w:pPr>
  </w:style>
  <w:style w:type="numbering" w:customStyle="1" w:styleId="List20">
    <w:name w:val="List 20"/>
    <w:basedOn w:val="NoList"/>
    <w:pPr>
      <w:numPr>
        <w:numId w:val="43"/>
      </w:numPr>
    </w:pPr>
  </w:style>
  <w:style w:type="numbering" w:customStyle="1" w:styleId="List21">
    <w:name w:val="List 21"/>
    <w:basedOn w:val="NoList"/>
    <w:pPr>
      <w:numPr>
        <w:numId w:val="38"/>
      </w:numPr>
    </w:pPr>
  </w:style>
  <w:style w:type="numbering" w:customStyle="1" w:styleId="List22">
    <w:name w:val="List 22"/>
    <w:basedOn w:val="NoList"/>
    <w:pPr>
      <w:numPr>
        <w:numId w:val="28"/>
      </w:numPr>
    </w:pPr>
  </w:style>
  <w:style w:type="numbering" w:customStyle="1" w:styleId="List23">
    <w:name w:val="List 23"/>
    <w:basedOn w:val="NoList"/>
    <w:pPr>
      <w:numPr>
        <w:numId w:val="18"/>
      </w:numPr>
    </w:pPr>
  </w:style>
  <w:style w:type="numbering" w:customStyle="1" w:styleId="List24">
    <w:name w:val="List 24"/>
    <w:basedOn w:val="NoList"/>
    <w:pPr>
      <w:numPr>
        <w:numId w:val="13"/>
      </w:numPr>
    </w:pPr>
  </w:style>
  <w:style w:type="numbering" w:customStyle="1" w:styleId="List25">
    <w:name w:val="List 25"/>
    <w:basedOn w:val="NoList"/>
    <w:pPr>
      <w:numPr>
        <w:numId w:val="15"/>
      </w:numPr>
    </w:pPr>
  </w:style>
  <w:style w:type="numbering" w:customStyle="1" w:styleId="List26">
    <w:name w:val="List 26"/>
    <w:basedOn w:val="NoList"/>
    <w:pPr>
      <w:numPr>
        <w:numId w:val="49"/>
      </w:numPr>
    </w:pPr>
  </w:style>
  <w:style w:type="numbering" w:customStyle="1" w:styleId="List27">
    <w:name w:val="List 27"/>
    <w:basedOn w:val="NoList"/>
    <w:pPr>
      <w:numPr>
        <w:numId w:val="41"/>
      </w:numPr>
    </w:pPr>
  </w:style>
  <w:style w:type="numbering" w:customStyle="1" w:styleId="List28">
    <w:name w:val="List 28"/>
    <w:basedOn w:val="NoList"/>
    <w:pPr>
      <w:numPr>
        <w:numId w:val="30"/>
      </w:numPr>
    </w:pPr>
  </w:style>
  <w:style w:type="numbering" w:customStyle="1" w:styleId="List29">
    <w:name w:val="List 29"/>
    <w:basedOn w:val="NoList"/>
    <w:pPr>
      <w:numPr>
        <w:numId w:val="34"/>
      </w:numPr>
    </w:pPr>
  </w:style>
  <w:style w:type="numbering" w:customStyle="1" w:styleId="List30">
    <w:name w:val="List 30"/>
    <w:basedOn w:val="NoList"/>
    <w:pPr>
      <w:numPr>
        <w:numId w:val="32"/>
      </w:numPr>
    </w:pPr>
  </w:style>
  <w:style w:type="numbering" w:customStyle="1" w:styleId="List310">
    <w:name w:val="List 31"/>
    <w:basedOn w:val="NoList"/>
    <w:pPr>
      <w:numPr>
        <w:numId w:val="45"/>
      </w:numPr>
    </w:pPr>
  </w:style>
  <w:style w:type="numbering" w:customStyle="1" w:styleId="List32">
    <w:name w:val="List 32"/>
    <w:basedOn w:val="NoList"/>
    <w:pPr>
      <w:numPr>
        <w:numId w:val="48"/>
      </w:numPr>
    </w:p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NoList"/>
    <w:pPr>
      <w:numPr>
        <w:numId w:val="26"/>
      </w:numPr>
    </w:pPr>
  </w:style>
  <w:style w:type="numbering" w:customStyle="1" w:styleId="List34">
    <w:name w:val="List 34"/>
    <w:basedOn w:val="NoList"/>
    <w:pPr>
      <w:numPr>
        <w:numId w:val="11"/>
      </w:numPr>
    </w:pPr>
  </w:style>
  <w:style w:type="numbering" w:customStyle="1" w:styleId="List35">
    <w:name w:val="List 35"/>
    <w:basedOn w:val="NoList"/>
    <w:pPr>
      <w:numPr>
        <w:numId w:val="8"/>
      </w:numPr>
    </w:pPr>
  </w:style>
  <w:style w:type="numbering" w:customStyle="1" w:styleId="List36">
    <w:name w:val="List 36"/>
    <w:basedOn w:val="NoList"/>
    <w:pPr>
      <w:numPr>
        <w:numId w:val="14"/>
      </w:numPr>
    </w:pPr>
  </w:style>
  <w:style w:type="numbering" w:customStyle="1" w:styleId="List37">
    <w:name w:val="List 37"/>
    <w:basedOn w:val="NoList"/>
    <w:pPr>
      <w:numPr>
        <w:numId w:val="47"/>
      </w:numPr>
    </w:pPr>
  </w:style>
  <w:style w:type="numbering" w:customStyle="1" w:styleId="List38">
    <w:name w:val="List 38"/>
    <w:basedOn w:val="NoList"/>
    <w:pPr>
      <w:numPr>
        <w:numId w:val="35"/>
      </w:numPr>
    </w:pPr>
  </w:style>
  <w:style w:type="numbering" w:customStyle="1" w:styleId="List39">
    <w:name w:val="List 39"/>
    <w:basedOn w:val="NoList"/>
    <w:pPr>
      <w:numPr>
        <w:numId w:val="46"/>
      </w:numPr>
    </w:pPr>
  </w:style>
  <w:style w:type="numbering" w:customStyle="1" w:styleId="List40">
    <w:name w:val="List 40"/>
    <w:basedOn w:val="NoList"/>
    <w:pPr>
      <w:numPr>
        <w:numId w:val="21"/>
      </w:numPr>
    </w:pPr>
  </w:style>
  <w:style w:type="numbering" w:customStyle="1" w:styleId="List410">
    <w:name w:val="List 41"/>
    <w:basedOn w:val="NoList"/>
    <w:pPr>
      <w:numPr>
        <w:numId w:val="44"/>
      </w:numPr>
    </w:pPr>
  </w:style>
  <w:style w:type="numbering" w:customStyle="1" w:styleId="List42">
    <w:name w:val="List 42"/>
    <w:basedOn w:val="NoList"/>
    <w:pPr>
      <w:numPr>
        <w:numId w:val="12"/>
      </w:numPr>
    </w:pPr>
  </w:style>
  <w:style w:type="numbering" w:customStyle="1" w:styleId="List43">
    <w:name w:val="List 43"/>
    <w:basedOn w:val="NoList"/>
    <w:pPr>
      <w:numPr>
        <w:numId w:val="23"/>
      </w:numPr>
    </w:pPr>
  </w:style>
  <w:style w:type="numbering" w:customStyle="1" w:styleId="List44">
    <w:name w:val="List 44"/>
    <w:basedOn w:val="NoList"/>
    <w:pPr>
      <w:numPr>
        <w:numId w:val="40"/>
      </w:numPr>
    </w:pPr>
  </w:style>
  <w:style w:type="numbering" w:customStyle="1" w:styleId="List45">
    <w:name w:val="List 45"/>
    <w:basedOn w:val="NoList"/>
    <w:pPr>
      <w:numPr>
        <w:numId w:val="20"/>
      </w:numPr>
    </w:pPr>
  </w:style>
  <w:style w:type="numbering" w:customStyle="1" w:styleId="List46">
    <w:name w:val="List 46"/>
    <w:basedOn w:val="NoList"/>
    <w:pPr>
      <w:numPr>
        <w:numId w:val="24"/>
      </w:numPr>
    </w:pPr>
  </w:style>
  <w:style w:type="numbering" w:customStyle="1" w:styleId="List47">
    <w:name w:val="List 47"/>
    <w:basedOn w:val="NoList"/>
    <w:pPr>
      <w:numPr>
        <w:numId w:val="29"/>
      </w:numPr>
    </w:pPr>
  </w:style>
  <w:style w:type="numbering" w:customStyle="1" w:styleId="List48">
    <w:name w:val="List 48"/>
    <w:basedOn w:val="NoList"/>
    <w:pPr>
      <w:numPr>
        <w:numId w:val="50"/>
      </w:numPr>
    </w:pPr>
  </w:style>
  <w:style w:type="numbering" w:customStyle="1" w:styleId="List49">
    <w:name w:val="List 49"/>
    <w:basedOn w:val="NoList"/>
    <w:pPr>
      <w:numPr>
        <w:numId w:val="39"/>
      </w:numPr>
    </w:pPr>
  </w:style>
  <w:style w:type="numbering" w:customStyle="1" w:styleId="List50">
    <w:name w:val="List 50"/>
    <w:basedOn w:val="NoList"/>
    <w:pPr>
      <w:numPr>
        <w:numId w:val="37"/>
      </w:numPr>
    </w:pPr>
  </w:style>
  <w:style w:type="numbering" w:customStyle="1" w:styleId="List51">
    <w:name w:val="List 51"/>
    <w:basedOn w:val="NoList"/>
    <w:pPr>
      <w:numPr>
        <w:numId w:val="33"/>
      </w:numPr>
    </w:pPr>
  </w:style>
  <w:style w:type="numbering" w:customStyle="1" w:styleId="List52">
    <w:name w:val="List 52"/>
    <w:basedOn w:val="NoList"/>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4GChar"/>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uiPriority w:val="99"/>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uiPriority w:val="99"/>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F1C6D"/>
    <w:rPr>
      <w:sz w:val="16"/>
      <w:szCs w:val="16"/>
    </w:rPr>
  </w:style>
  <w:style w:type="paragraph" w:styleId="CommentText">
    <w:name w:val="annotation text"/>
    <w:basedOn w:val="Normal"/>
    <w:link w:val="CommentTextChar"/>
    <w:uiPriority w:val="99"/>
    <w:unhideWhenUsed/>
    <w:rsid w:val="00BF1C6D"/>
    <w:rPr>
      <w:sz w:val="20"/>
      <w:szCs w:val="20"/>
    </w:rPr>
  </w:style>
  <w:style w:type="character" w:customStyle="1" w:styleId="CommentTextChar">
    <w:name w:val="Comment Text Char"/>
    <w:basedOn w:val="DefaultParagraphFont"/>
    <w:link w:val="CommentText"/>
    <w:uiPriority w:val="99"/>
    <w:rsid w:val="00BF1C6D"/>
    <w:rPr>
      <w:lang w:val="en-US" w:eastAsia="en-US"/>
    </w:rPr>
  </w:style>
  <w:style w:type="paragraph" w:styleId="CommentSubject">
    <w:name w:val="annotation subject"/>
    <w:basedOn w:val="CommentText"/>
    <w:next w:val="CommentText"/>
    <w:link w:val="CommentSubjectChar"/>
    <w:uiPriority w:val="99"/>
    <w:semiHidden/>
    <w:unhideWhenUsed/>
    <w:rsid w:val="00BF1C6D"/>
    <w:rPr>
      <w:b/>
      <w:bCs/>
    </w:rPr>
  </w:style>
  <w:style w:type="character" w:customStyle="1" w:styleId="CommentSubjectChar">
    <w:name w:val="Comment Subject Char"/>
    <w:basedOn w:val="CommentTextChar"/>
    <w:link w:val="CommentSubject"/>
    <w:uiPriority w:val="99"/>
    <w:semiHidden/>
    <w:rsid w:val="00BF1C6D"/>
    <w:rPr>
      <w:b/>
      <w:bCs/>
      <w:lang w:val="en-US" w:eastAsia="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basedOn w:val="DefaultParagraphFont"/>
    <w:uiPriority w:val="99"/>
    <w:locked/>
    <w:rsid w:val="002403A6"/>
    <w:rPr>
      <w:rFonts w:ascii="Calibri" w:hAnsi="Calibri" w:cs="Times New Roman"/>
      <w:color w:val="000000"/>
      <w:u w:color="000000"/>
      <w:lang w:val="en-U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qFormat/>
    <w:rsid w:val="001B2D90"/>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qFormat/>
    <w:rsid w:val="00877671"/>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5519632">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04473628">
      <w:bodyDiv w:val="1"/>
      <w:marLeft w:val="0"/>
      <w:marRight w:val="0"/>
      <w:marTop w:val="0"/>
      <w:marBottom w:val="0"/>
      <w:divBdr>
        <w:top w:val="none" w:sz="0" w:space="0" w:color="auto"/>
        <w:left w:val="none" w:sz="0" w:space="0" w:color="auto"/>
        <w:bottom w:val="none" w:sz="0" w:space="0" w:color="auto"/>
        <w:right w:val="none" w:sz="0" w:space="0" w:color="auto"/>
      </w:divBdr>
      <w:divsChild>
        <w:div w:id="1456025085">
          <w:marLeft w:val="0"/>
          <w:marRight w:val="0"/>
          <w:marTop w:val="0"/>
          <w:marBottom w:val="0"/>
          <w:divBdr>
            <w:top w:val="none" w:sz="0" w:space="0" w:color="auto"/>
            <w:left w:val="none" w:sz="0" w:space="0" w:color="auto"/>
            <w:bottom w:val="none" w:sz="0" w:space="0" w:color="auto"/>
            <w:right w:val="none" w:sz="0" w:space="0" w:color="auto"/>
          </w:divBdr>
          <w:divsChild>
            <w:div w:id="198125910">
              <w:marLeft w:val="0"/>
              <w:marRight w:val="0"/>
              <w:marTop w:val="0"/>
              <w:marBottom w:val="0"/>
              <w:divBdr>
                <w:top w:val="none" w:sz="0" w:space="0" w:color="auto"/>
                <w:left w:val="none" w:sz="0" w:space="0" w:color="auto"/>
                <w:bottom w:val="none" w:sz="0" w:space="0" w:color="auto"/>
                <w:right w:val="none" w:sz="0" w:space="0" w:color="auto"/>
              </w:divBdr>
              <w:divsChild>
                <w:div w:id="270668171">
                  <w:marLeft w:val="0"/>
                  <w:marRight w:val="0"/>
                  <w:marTop w:val="0"/>
                  <w:marBottom w:val="0"/>
                  <w:divBdr>
                    <w:top w:val="none" w:sz="0" w:space="0" w:color="auto"/>
                    <w:left w:val="none" w:sz="0" w:space="0" w:color="auto"/>
                    <w:bottom w:val="none" w:sz="0" w:space="0" w:color="auto"/>
                    <w:right w:val="none" w:sz="0" w:space="0" w:color="auto"/>
                  </w:divBdr>
                  <w:divsChild>
                    <w:div w:id="139619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tribunalsupremo.organojudicial.gob.bo/AS/penal/P0-2019/as201910372.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4126C"/>
    <w:rsid w:val="000D54C3"/>
    <w:rsid w:val="000F2584"/>
    <w:rsid w:val="00200821"/>
    <w:rsid w:val="0025245B"/>
    <w:rsid w:val="002A3923"/>
    <w:rsid w:val="00301448"/>
    <w:rsid w:val="00335FF5"/>
    <w:rsid w:val="00394049"/>
    <w:rsid w:val="003B0C71"/>
    <w:rsid w:val="003D5043"/>
    <w:rsid w:val="00487F2A"/>
    <w:rsid w:val="00490987"/>
    <w:rsid w:val="004B5BBB"/>
    <w:rsid w:val="004F2DF8"/>
    <w:rsid w:val="00517E2A"/>
    <w:rsid w:val="00561E14"/>
    <w:rsid w:val="005B727C"/>
    <w:rsid w:val="0060610D"/>
    <w:rsid w:val="00631C9D"/>
    <w:rsid w:val="006C09CD"/>
    <w:rsid w:val="006F24A1"/>
    <w:rsid w:val="007F225F"/>
    <w:rsid w:val="0080217F"/>
    <w:rsid w:val="009A261B"/>
    <w:rsid w:val="009A5E14"/>
    <w:rsid w:val="00A345FE"/>
    <w:rsid w:val="00AA2E17"/>
    <w:rsid w:val="00AC15A4"/>
    <w:rsid w:val="00B0336C"/>
    <w:rsid w:val="00BE2EE2"/>
    <w:rsid w:val="00C26308"/>
    <w:rsid w:val="00D241E9"/>
    <w:rsid w:val="00D7750D"/>
    <w:rsid w:val="00E279E2"/>
    <w:rsid w:val="00E4051C"/>
    <w:rsid w:val="00EF12DF"/>
    <w:rsid w:val="00F00D2F"/>
    <w:rsid w:val="00F128DF"/>
    <w:rsid w:val="00F859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98FF31-6890-45E0-96FF-4B5AB1D44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6448</Words>
  <Characters>36757</Characters>
  <Application>Microsoft Office Word</Application>
  <DocSecurity>0</DocSecurity>
  <Lines>306</Lines>
  <Paragraphs>86</Paragraphs>
  <ScaleCrop>false</ScaleCrop>
  <Company/>
  <LinksUpToDate>false</LinksUpToDate>
  <CharactersWithSpaces>43119</CharactersWithSpaces>
  <SharedDoc>false</SharedDoc>
  <HLinks>
    <vt:vector size="6" baseType="variant">
      <vt:variant>
        <vt:i4>7536752</vt:i4>
      </vt:variant>
      <vt:variant>
        <vt:i4>0</vt:i4>
      </vt:variant>
      <vt:variant>
        <vt:i4>0</vt:i4>
      </vt:variant>
      <vt:variant>
        <vt:i4>5</vt:i4>
      </vt:variant>
      <vt:variant>
        <vt:lpwstr>http://tribunalsupremo.organojudicial.gob.bo/AS/penal/P0-2019/as201910372.html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2022-10-14T13:51:00Z</dcterms:created>
  <dcterms:modified xsi:type="dcterms:W3CDTF">2022-10-14T13:51:00Z</dcterms:modified>
</cp:coreProperties>
</file>