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27AB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39C2AB70">
                <wp:simplePos x="0" y="0"/>
                <wp:positionH relativeFrom="column">
                  <wp:posOffset>1355270</wp:posOffset>
                </wp:positionH>
                <wp:positionV relativeFrom="paragraph">
                  <wp:posOffset>107859</wp:posOffset>
                </wp:positionV>
                <wp:extent cx="456111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6111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E2EC0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26011">
                              <w:rPr>
                                <w:rFonts w:asciiTheme="majorHAnsi" w:hAnsiTheme="majorHAnsi" w:cs="Arial"/>
                                <w:b/>
                                <w:bCs/>
                                <w:color w:val="0D0D0D" w:themeColor="text1" w:themeTint="F2"/>
                                <w:sz w:val="36"/>
                                <w:szCs w:val="22"/>
                                <w:lang w:val="es-ES_tradnl"/>
                              </w:rPr>
                              <w:t>245</w:t>
                            </w:r>
                            <w:r w:rsidR="007B05C4">
                              <w:rPr>
                                <w:rFonts w:asciiTheme="majorHAnsi" w:hAnsiTheme="majorHAnsi" w:cs="Arial"/>
                                <w:b/>
                                <w:bCs/>
                                <w:color w:val="0D0D0D" w:themeColor="text1" w:themeTint="F2"/>
                                <w:sz w:val="36"/>
                                <w:szCs w:val="22"/>
                                <w:lang w:val="es-ES_tradnl"/>
                              </w:rPr>
                              <w:t>/</w:t>
                            </w:r>
                            <w:r w:rsidR="00BC63A9">
                              <w:rPr>
                                <w:rFonts w:asciiTheme="majorHAnsi" w:hAnsiTheme="majorHAnsi" w:cs="Arial"/>
                                <w:b/>
                                <w:bCs/>
                                <w:color w:val="0D0D0D" w:themeColor="text1" w:themeTint="F2"/>
                                <w:sz w:val="36"/>
                                <w:szCs w:val="22"/>
                                <w:lang w:val="es-ES_tradnl"/>
                              </w:rPr>
                              <w:t>22</w:t>
                            </w:r>
                          </w:p>
                          <w:p w14:paraId="45F30ECA" w14:textId="25587AD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E5D85">
                              <w:rPr>
                                <w:rFonts w:asciiTheme="majorHAnsi" w:hAnsiTheme="majorHAnsi" w:cs="Arial"/>
                                <w:b/>
                                <w:color w:val="0D0D0D" w:themeColor="text1" w:themeTint="F2"/>
                                <w:sz w:val="36"/>
                                <w:szCs w:val="22"/>
                                <w:lang w:val="es-ES_tradnl"/>
                              </w:rPr>
                              <w:t>728</w:t>
                            </w:r>
                            <w:r w:rsidR="00246D1F" w:rsidRPr="004E2649">
                              <w:rPr>
                                <w:rFonts w:asciiTheme="majorHAnsi" w:hAnsiTheme="majorHAnsi" w:cs="Arial"/>
                                <w:b/>
                                <w:color w:val="0D0D0D" w:themeColor="text1" w:themeTint="F2"/>
                                <w:sz w:val="36"/>
                                <w:szCs w:val="22"/>
                                <w:lang w:val="es-ES_tradnl"/>
                              </w:rPr>
                              <w:t>-</w:t>
                            </w:r>
                            <w:r w:rsidR="001E5D85">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790EFC8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DFCCC41" w:rsidR="005B52B0" w:rsidRPr="0010736F" w:rsidRDefault="001E5D8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LIGIA MÓNICA VELÁSQUEZ CASTAÑOS</w:t>
                            </w:r>
                            <w:r w:rsidR="0032449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ROSARIO CH</w:t>
                            </w:r>
                            <w:r w:rsidR="00C60582">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NEZ CHIRE</w:t>
                            </w:r>
                            <w:r w:rsidR="00324495">
                              <w:rPr>
                                <w:rFonts w:asciiTheme="majorHAnsi" w:hAnsiTheme="majorHAnsi" w:cs="Arial"/>
                                <w:color w:val="0D0D0D" w:themeColor="text1" w:themeTint="F2"/>
                                <w:szCs w:val="22"/>
                                <w:lang w:val="es-ES_tradnl"/>
                              </w:rPr>
                              <w:t xml:space="preserve"> Y GUALBERTO CUSI MAMANI</w:t>
                            </w:r>
                          </w:p>
                          <w:bookmarkEnd w:id="0"/>
                          <w:p w14:paraId="0B9F7D22" w14:textId="775C5B83" w:rsidR="005B52B0" w:rsidRPr="00F56ECB" w:rsidRDefault="001E5D85"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7pt;margin-top:8.5pt;width:359.1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" filled="f" stroked="f" strokeweight=".5pt">
                <v:textbox>
                  <w:txbxContent>
                    <w:p w14:paraId="7D7328D9" w14:textId="5E2EC0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26011">
                        <w:rPr>
                          <w:rFonts w:asciiTheme="majorHAnsi" w:hAnsiTheme="majorHAnsi" w:cs="Arial"/>
                          <w:b/>
                          <w:bCs/>
                          <w:color w:val="0D0D0D" w:themeColor="text1" w:themeTint="F2"/>
                          <w:sz w:val="36"/>
                          <w:szCs w:val="22"/>
                          <w:lang w:val="es-ES_tradnl"/>
                        </w:rPr>
                        <w:t>245</w:t>
                      </w:r>
                      <w:r w:rsidR="007B05C4">
                        <w:rPr>
                          <w:rFonts w:asciiTheme="majorHAnsi" w:hAnsiTheme="majorHAnsi" w:cs="Arial"/>
                          <w:b/>
                          <w:bCs/>
                          <w:color w:val="0D0D0D" w:themeColor="text1" w:themeTint="F2"/>
                          <w:sz w:val="36"/>
                          <w:szCs w:val="22"/>
                          <w:lang w:val="es-ES_tradnl"/>
                        </w:rPr>
                        <w:t>/</w:t>
                      </w:r>
                      <w:r w:rsidR="00BC63A9">
                        <w:rPr>
                          <w:rFonts w:asciiTheme="majorHAnsi" w:hAnsiTheme="majorHAnsi" w:cs="Arial"/>
                          <w:b/>
                          <w:bCs/>
                          <w:color w:val="0D0D0D" w:themeColor="text1" w:themeTint="F2"/>
                          <w:sz w:val="36"/>
                          <w:szCs w:val="22"/>
                          <w:lang w:val="es-ES_tradnl"/>
                        </w:rPr>
                        <w:t>22</w:t>
                      </w:r>
                    </w:p>
                    <w:p w14:paraId="45F30ECA" w14:textId="25587AD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E5D85">
                        <w:rPr>
                          <w:rFonts w:asciiTheme="majorHAnsi" w:hAnsiTheme="majorHAnsi" w:cs="Arial"/>
                          <w:b/>
                          <w:color w:val="0D0D0D" w:themeColor="text1" w:themeTint="F2"/>
                          <w:sz w:val="36"/>
                          <w:szCs w:val="22"/>
                          <w:lang w:val="es-ES_tradnl"/>
                        </w:rPr>
                        <w:t>728</w:t>
                      </w:r>
                      <w:r w:rsidR="00246D1F" w:rsidRPr="004E2649">
                        <w:rPr>
                          <w:rFonts w:asciiTheme="majorHAnsi" w:hAnsiTheme="majorHAnsi" w:cs="Arial"/>
                          <w:b/>
                          <w:color w:val="0D0D0D" w:themeColor="text1" w:themeTint="F2"/>
                          <w:sz w:val="36"/>
                          <w:szCs w:val="22"/>
                          <w:lang w:val="es-ES_tradnl"/>
                        </w:rPr>
                        <w:t>-</w:t>
                      </w:r>
                      <w:r w:rsidR="001E5D85">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790EFC8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DFCCC41" w:rsidR="005B52B0" w:rsidRPr="0010736F" w:rsidRDefault="001E5D8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LIGIA MÓNICA VELÁSQUEZ CASTAÑOS</w:t>
                      </w:r>
                      <w:r w:rsidR="0032449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ROSARIO CH</w:t>
                      </w:r>
                      <w:r w:rsidR="00C60582">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NEZ CHIRE</w:t>
                      </w:r>
                      <w:r w:rsidR="00324495">
                        <w:rPr>
                          <w:rFonts w:asciiTheme="majorHAnsi" w:hAnsiTheme="majorHAnsi" w:cs="Arial"/>
                          <w:color w:val="0D0D0D" w:themeColor="text1" w:themeTint="F2"/>
                          <w:szCs w:val="22"/>
                          <w:lang w:val="es-ES_tradnl"/>
                        </w:rPr>
                        <w:t xml:space="preserve"> Y GUALBERTO CUSI MAMANI</w:t>
                      </w:r>
                    </w:p>
                    <w:bookmarkEnd w:id="1"/>
                    <w:p w14:paraId="0B9F7D22" w14:textId="775C5B83" w:rsidR="005B52B0" w:rsidRPr="00F56ECB" w:rsidRDefault="001E5D85"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BOLIVIA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2916715" w:rsidR="00627C9F" w:rsidRPr="006E0460" w:rsidRDefault="00834D49" w:rsidP="007A5817">
                            <w:pPr>
                              <w:spacing w:line="276" w:lineRule="auto"/>
                              <w:jc w:val="right"/>
                              <w:rPr>
                                <w:rFonts w:asciiTheme="minorHAnsi" w:hAnsiTheme="minorHAnsi"/>
                                <w:color w:val="FFFFFF" w:themeColor="background1"/>
                                <w:sz w:val="22"/>
                                <w:lang w:val="es-AR"/>
                              </w:rPr>
                            </w:pPr>
                            <w:r w:rsidRPr="006E0460">
                              <w:rPr>
                                <w:rFonts w:asciiTheme="minorHAnsi" w:hAnsiTheme="minorHAnsi"/>
                                <w:color w:val="FFFFFF" w:themeColor="background1"/>
                                <w:sz w:val="22"/>
                                <w:lang w:val="es-AR"/>
                              </w:rPr>
                              <w:t>OEA/Ser.L/V/II</w:t>
                            </w:r>
                          </w:p>
                          <w:p w14:paraId="71D2D5D2" w14:textId="5F1DA112" w:rsidR="00627C9F" w:rsidRPr="006E0460" w:rsidRDefault="00627C9F" w:rsidP="007A5817">
                            <w:pPr>
                              <w:spacing w:line="276" w:lineRule="auto"/>
                              <w:jc w:val="right"/>
                              <w:rPr>
                                <w:rFonts w:asciiTheme="minorHAnsi" w:hAnsiTheme="minorHAnsi"/>
                                <w:color w:val="FFFFFF" w:themeColor="background1"/>
                                <w:sz w:val="22"/>
                                <w:lang w:val="es-AR"/>
                              </w:rPr>
                            </w:pPr>
                            <w:r w:rsidRPr="006E0460">
                              <w:rPr>
                                <w:rFonts w:asciiTheme="minorHAnsi" w:hAnsiTheme="minorHAnsi"/>
                                <w:color w:val="FFFFFF" w:themeColor="background1"/>
                                <w:sz w:val="22"/>
                                <w:lang w:val="es-AR"/>
                              </w:rPr>
                              <w:t xml:space="preserve">Doc. </w:t>
                            </w:r>
                            <w:r w:rsidR="004274DA" w:rsidRPr="006E0460">
                              <w:rPr>
                                <w:rFonts w:asciiTheme="minorHAnsi" w:hAnsiTheme="minorHAnsi"/>
                                <w:color w:val="FFFFFF" w:themeColor="background1"/>
                                <w:sz w:val="22"/>
                                <w:lang w:val="es-AR"/>
                              </w:rPr>
                              <w:t>248</w:t>
                            </w:r>
                          </w:p>
                          <w:p w14:paraId="4061DBBD" w14:textId="1567CDE2" w:rsidR="00627C9F" w:rsidRPr="00C25ADB" w:rsidRDefault="004274D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E5D85">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2916715" w:rsidR="00627C9F" w:rsidRPr="006E0460" w:rsidRDefault="00834D49" w:rsidP="007A5817">
                      <w:pPr>
                        <w:spacing w:line="276" w:lineRule="auto"/>
                        <w:jc w:val="right"/>
                        <w:rPr>
                          <w:rFonts w:asciiTheme="minorHAnsi" w:hAnsiTheme="minorHAnsi"/>
                          <w:color w:val="FFFFFF" w:themeColor="background1"/>
                          <w:sz w:val="22"/>
                          <w:lang w:val="es-AR"/>
                        </w:rPr>
                      </w:pPr>
                      <w:r w:rsidRPr="006E0460">
                        <w:rPr>
                          <w:rFonts w:asciiTheme="minorHAnsi" w:hAnsiTheme="minorHAnsi"/>
                          <w:color w:val="FFFFFF" w:themeColor="background1"/>
                          <w:sz w:val="22"/>
                          <w:lang w:val="es-AR"/>
                        </w:rPr>
                        <w:t>OEA/Ser.L/V/II</w:t>
                      </w:r>
                    </w:p>
                    <w:p w14:paraId="71D2D5D2" w14:textId="5F1DA112" w:rsidR="00627C9F" w:rsidRPr="006E0460" w:rsidRDefault="00627C9F" w:rsidP="007A5817">
                      <w:pPr>
                        <w:spacing w:line="276" w:lineRule="auto"/>
                        <w:jc w:val="right"/>
                        <w:rPr>
                          <w:rFonts w:asciiTheme="minorHAnsi" w:hAnsiTheme="minorHAnsi"/>
                          <w:color w:val="FFFFFF" w:themeColor="background1"/>
                          <w:sz w:val="22"/>
                          <w:lang w:val="es-AR"/>
                        </w:rPr>
                      </w:pPr>
                      <w:r w:rsidRPr="006E0460">
                        <w:rPr>
                          <w:rFonts w:asciiTheme="minorHAnsi" w:hAnsiTheme="minorHAnsi"/>
                          <w:color w:val="FFFFFF" w:themeColor="background1"/>
                          <w:sz w:val="22"/>
                          <w:lang w:val="es-AR"/>
                        </w:rPr>
                        <w:t xml:space="preserve">Doc. </w:t>
                      </w:r>
                      <w:r w:rsidR="004274DA" w:rsidRPr="006E0460">
                        <w:rPr>
                          <w:rFonts w:asciiTheme="minorHAnsi" w:hAnsiTheme="minorHAnsi"/>
                          <w:color w:val="FFFFFF" w:themeColor="background1"/>
                          <w:sz w:val="22"/>
                          <w:lang w:val="es-AR"/>
                        </w:rPr>
                        <w:t>248</w:t>
                      </w:r>
                    </w:p>
                    <w:p w14:paraId="4061DBBD" w14:textId="1567CDE2" w:rsidR="00627C9F" w:rsidRPr="00C25ADB" w:rsidRDefault="004274D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E5D85">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101748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rPr>
                              <w:t xml:space="preserve"> por la Comisión el </w:t>
                            </w:r>
                            <w:r w:rsidR="004274DA">
                              <w:rPr>
                                <w:rFonts w:asciiTheme="majorHAnsi" w:hAnsiTheme="majorHAnsi"/>
                                <w:color w:val="0D0D0D" w:themeColor="text1" w:themeTint="F2"/>
                                <w:sz w:val="18"/>
                                <w:szCs w:val="22"/>
                              </w:rPr>
                              <w:t>26</w:t>
                            </w:r>
                            <w:r w:rsidRPr="00890650">
                              <w:rPr>
                                <w:rFonts w:asciiTheme="majorHAnsi" w:hAnsiTheme="majorHAnsi"/>
                                <w:color w:val="0D0D0D" w:themeColor="text1" w:themeTint="F2"/>
                                <w:sz w:val="18"/>
                                <w:szCs w:val="22"/>
                              </w:rPr>
                              <w:t xml:space="preserve"> de </w:t>
                            </w:r>
                            <w:r w:rsidR="004274DA">
                              <w:rPr>
                                <w:rFonts w:asciiTheme="majorHAnsi" w:hAnsiTheme="majorHAnsi"/>
                                <w:color w:val="0D0D0D" w:themeColor="text1" w:themeTint="F2"/>
                                <w:sz w:val="18"/>
                                <w:szCs w:val="22"/>
                              </w:rPr>
                              <w:t>septiembre</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w:t>
                            </w:r>
                            <w:r w:rsidR="00480063">
                              <w:rPr>
                                <w:rFonts w:asciiTheme="majorHAnsi" w:hAnsiTheme="majorHAnsi"/>
                                <w:color w:val="0D0D0D" w:themeColor="text1" w:themeTint="F2"/>
                                <w:sz w:val="18"/>
                                <w:szCs w:val="22"/>
                              </w:rPr>
                              <w:t>2</w:t>
                            </w:r>
                            <w:r w:rsidR="004274DA">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101748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rPr>
                        <w:t xml:space="preserve"> por la Comisión el </w:t>
                      </w:r>
                      <w:r w:rsidR="004274DA">
                        <w:rPr>
                          <w:rFonts w:asciiTheme="majorHAnsi" w:hAnsiTheme="majorHAnsi"/>
                          <w:color w:val="0D0D0D" w:themeColor="text1" w:themeTint="F2"/>
                          <w:sz w:val="18"/>
                          <w:szCs w:val="22"/>
                        </w:rPr>
                        <w:t>26</w:t>
                      </w:r>
                      <w:r w:rsidRPr="00890650">
                        <w:rPr>
                          <w:rFonts w:asciiTheme="majorHAnsi" w:hAnsiTheme="majorHAnsi"/>
                          <w:color w:val="0D0D0D" w:themeColor="text1" w:themeTint="F2"/>
                          <w:sz w:val="18"/>
                          <w:szCs w:val="22"/>
                        </w:rPr>
                        <w:t xml:space="preserve"> de </w:t>
                      </w:r>
                      <w:r w:rsidR="004274DA">
                        <w:rPr>
                          <w:rFonts w:asciiTheme="majorHAnsi" w:hAnsiTheme="majorHAnsi"/>
                          <w:color w:val="0D0D0D" w:themeColor="text1" w:themeTint="F2"/>
                          <w:sz w:val="18"/>
                          <w:szCs w:val="22"/>
                        </w:rPr>
                        <w:t>septiembre</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w:t>
                      </w:r>
                      <w:r w:rsidR="00480063">
                        <w:rPr>
                          <w:rFonts w:asciiTheme="majorHAnsi" w:hAnsiTheme="majorHAnsi"/>
                          <w:color w:val="0D0D0D" w:themeColor="text1" w:themeTint="F2"/>
                          <w:sz w:val="18"/>
                          <w:szCs w:val="22"/>
                        </w:rPr>
                        <w:t>2</w:t>
                      </w:r>
                      <w:r w:rsidR="004274DA">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24BA677D"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170DA" w:rsidRPr="008170DA">
                              <w:rPr>
                                <w:rFonts w:asciiTheme="majorHAnsi" w:hAnsiTheme="majorHAnsi"/>
                                <w:color w:val="595959" w:themeColor="text1" w:themeTint="A6"/>
                                <w:sz w:val="18"/>
                                <w:szCs w:val="18"/>
                                <w:lang w:val="pt-BR"/>
                              </w:rPr>
                              <w:t>245</w:t>
                            </w:r>
                            <w:r w:rsidR="007B05C4" w:rsidRPr="008170DA">
                              <w:rPr>
                                <w:rFonts w:asciiTheme="majorHAnsi" w:hAnsiTheme="majorHAnsi"/>
                                <w:color w:val="595959" w:themeColor="text1" w:themeTint="A6"/>
                                <w:sz w:val="18"/>
                                <w:szCs w:val="18"/>
                                <w:lang w:val="pt-BR"/>
                              </w:rPr>
                              <w:t>/</w:t>
                            </w:r>
                            <w:r w:rsidR="008170DA" w:rsidRPr="008170DA">
                              <w:rPr>
                                <w:rFonts w:asciiTheme="majorHAnsi" w:hAnsiTheme="majorHAnsi"/>
                                <w:color w:val="595959" w:themeColor="text1" w:themeTint="A6"/>
                                <w:sz w:val="18"/>
                                <w:szCs w:val="18"/>
                                <w:lang w:val="pt-BR"/>
                              </w:rPr>
                              <w:t>22</w:t>
                            </w:r>
                            <w:r w:rsidRPr="008170D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 xml:space="preserve">ón </w:t>
                            </w:r>
                            <w:r w:rsidR="00480063">
                              <w:rPr>
                                <w:rFonts w:asciiTheme="majorHAnsi" w:hAnsiTheme="majorHAnsi"/>
                                <w:color w:val="595959" w:themeColor="text1" w:themeTint="A6"/>
                                <w:sz w:val="18"/>
                                <w:szCs w:val="18"/>
                              </w:rPr>
                              <w:t>728</w:t>
                            </w:r>
                            <w:r w:rsidR="000433C9">
                              <w:rPr>
                                <w:rFonts w:asciiTheme="majorHAnsi" w:hAnsiTheme="majorHAnsi"/>
                                <w:color w:val="595959" w:themeColor="text1" w:themeTint="A6"/>
                                <w:sz w:val="18"/>
                                <w:szCs w:val="18"/>
                              </w:rPr>
                              <w:t>-</w:t>
                            </w:r>
                            <w:r w:rsidR="00480063">
                              <w:rPr>
                                <w:rFonts w:asciiTheme="majorHAnsi" w:hAnsiTheme="majorHAnsi"/>
                                <w:color w:val="595959" w:themeColor="text1" w:themeTint="A6"/>
                                <w:sz w:val="18"/>
                                <w:szCs w:val="18"/>
                              </w:rPr>
                              <w:t>15</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sidR="00480063">
                              <w:rPr>
                                <w:rFonts w:asciiTheme="majorHAnsi" w:hAnsiTheme="majorHAnsi"/>
                                <w:color w:val="595959" w:themeColor="text1" w:themeTint="A6"/>
                                <w:sz w:val="18"/>
                                <w:szCs w:val="18"/>
                                <w:lang w:val="es-ES_tradnl"/>
                              </w:rPr>
                              <w:t>Ligia Mónica Velásquez Castaños</w:t>
                            </w:r>
                            <w:r w:rsidR="00324495">
                              <w:rPr>
                                <w:rFonts w:asciiTheme="majorHAnsi" w:hAnsiTheme="majorHAnsi"/>
                                <w:color w:val="595959" w:themeColor="text1" w:themeTint="A6"/>
                                <w:sz w:val="18"/>
                                <w:szCs w:val="18"/>
                                <w:lang w:val="es-ES_tradnl"/>
                              </w:rPr>
                              <w:t xml:space="preserve">, </w:t>
                            </w:r>
                            <w:r w:rsidR="00480063">
                              <w:rPr>
                                <w:rFonts w:asciiTheme="majorHAnsi" w:hAnsiTheme="majorHAnsi"/>
                                <w:color w:val="595959" w:themeColor="text1" w:themeTint="A6"/>
                                <w:sz w:val="18"/>
                                <w:szCs w:val="18"/>
                                <w:lang w:val="es-ES_tradnl"/>
                              </w:rPr>
                              <w:t>Rosario Ch</w:t>
                            </w:r>
                            <w:r w:rsidR="00C60582">
                              <w:rPr>
                                <w:rFonts w:asciiTheme="majorHAnsi" w:hAnsiTheme="majorHAnsi"/>
                                <w:color w:val="595959" w:themeColor="text1" w:themeTint="A6"/>
                                <w:sz w:val="18"/>
                                <w:szCs w:val="18"/>
                                <w:lang w:val="es-ES_tradnl"/>
                              </w:rPr>
                              <w:t>á</w:t>
                            </w:r>
                            <w:r w:rsidR="00480063">
                              <w:rPr>
                                <w:rFonts w:asciiTheme="majorHAnsi" w:hAnsiTheme="majorHAnsi"/>
                                <w:color w:val="595959" w:themeColor="text1" w:themeTint="A6"/>
                                <w:sz w:val="18"/>
                                <w:szCs w:val="18"/>
                                <w:lang w:val="es-ES_tradnl"/>
                              </w:rPr>
                              <w:t>nez Chire</w:t>
                            </w:r>
                            <w:r w:rsidR="00324495">
                              <w:rPr>
                                <w:rFonts w:asciiTheme="majorHAnsi" w:hAnsiTheme="majorHAnsi"/>
                                <w:color w:val="595959" w:themeColor="text1" w:themeTint="A6"/>
                                <w:sz w:val="18"/>
                                <w:szCs w:val="18"/>
                                <w:lang w:val="es-ES_tradnl"/>
                              </w:rPr>
                              <w:t xml:space="preserve"> y Gualberto Cusi Mamani</w:t>
                            </w:r>
                            <w:r w:rsidRPr="00890650">
                              <w:rPr>
                                <w:rFonts w:asciiTheme="majorHAnsi" w:hAnsiTheme="majorHAnsi"/>
                                <w:color w:val="595959" w:themeColor="text1" w:themeTint="A6"/>
                                <w:sz w:val="18"/>
                                <w:szCs w:val="18"/>
                                <w:lang w:val="es-ES_tradnl"/>
                              </w:rPr>
                              <w:t xml:space="preserve">. </w:t>
                            </w:r>
                            <w:r w:rsidR="00480063">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FE255F">
                              <w:rPr>
                                <w:rFonts w:asciiTheme="majorHAnsi" w:hAnsiTheme="majorHAnsi"/>
                                <w:color w:val="595959" w:themeColor="text1" w:themeTint="A6"/>
                                <w:sz w:val="18"/>
                                <w:szCs w:val="18"/>
                              </w:rPr>
                              <w:t>26 de septiembre de 2022</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24BA677D"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170DA" w:rsidRPr="008170DA">
                        <w:rPr>
                          <w:rFonts w:asciiTheme="majorHAnsi" w:hAnsiTheme="majorHAnsi"/>
                          <w:color w:val="595959" w:themeColor="text1" w:themeTint="A6"/>
                          <w:sz w:val="18"/>
                          <w:szCs w:val="18"/>
                          <w:lang w:val="pt-BR"/>
                        </w:rPr>
                        <w:t>245</w:t>
                      </w:r>
                      <w:r w:rsidR="007B05C4" w:rsidRPr="008170DA">
                        <w:rPr>
                          <w:rFonts w:asciiTheme="majorHAnsi" w:hAnsiTheme="majorHAnsi"/>
                          <w:color w:val="595959" w:themeColor="text1" w:themeTint="A6"/>
                          <w:sz w:val="18"/>
                          <w:szCs w:val="18"/>
                          <w:lang w:val="pt-BR"/>
                        </w:rPr>
                        <w:t>/</w:t>
                      </w:r>
                      <w:r w:rsidR="008170DA" w:rsidRPr="008170DA">
                        <w:rPr>
                          <w:rFonts w:asciiTheme="majorHAnsi" w:hAnsiTheme="majorHAnsi"/>
                          <w:color w:val="595959" w:themeColor="text1" w:themeTint="A6"/>
                          <w:sz w:val="18"/>
                          <w:szCs w:val="18"/>
                          <w:lang w:val="pt-BR"/>
                        </w:rPr>
                        <w:t>22</w:t>
                      </w:r>
                      <w:r w:rsidRPr="008170D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 xml:space="preserve">ón </w:t>
                      </w:r>
                      <w:r w:rsidR="00480063">
                        <w:rPr>
                          <w:rFonts w:asciiTheme="majorHAnsi" w:hAnsiTheme="majorHAnsi"/>
                          <w:color w:val="595959" w:themeColor="text1" w:themeTint="A6"/>
                          <w:sz w:val="18"/>
                          <w:szCs w:val="18"/>
                        </w:rPr>
                        <w:t>728</w:t>
                      </w:r>
                      <w:r w:rsidR="000433C9">
                        <w:rPr>
                          <w:rFonts w:asciiTheme="majorHAnsi" w:hAnsiTheme="majorHAnsi"/>
                          <w:color w:val="595959" w:themeColor="text1" w:themeTint="A6"/>
                          <w:sz w:val="18"/>
                          <w:szCs w:val="18"/>
                        </w:rPr>
                        <w:t>-</w:t>
                      </w:r>
                      <w:r w:rsidR="00480063">
                        <w:rPr>
                          <w:rFonts w:asciiTheme="majorHAnsi" w:hAnsiTheme="majorHAnsi"/>
                          <w:color w:val="595959" w:themeColor="text1" w:themeTint="A6"/>
                          <w:sz w:val="18"/>
                          <w:szCs w:val="18"/>
                        </w:rPr>
                        <w:t>15</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sidR="00480063">
                        <w:rPr>
                          <w:rFonts w:asciiTheme="majorHAnsi" w:hAnsiTheme="majorHAnsi"/>
                          <w:color w:val="595959" w:themeColor="text1" w:themeTint="A6"/>
                          <w:sz w:val="18"/>
                          <w:szCs w:val="18"/>
                          <w:lang w:val="es-ES_tradnl"/>
                        </w:rPr>
                        <w:t>Ligia Mónica Velásquez Castaños</w:t>
                      </w:r>
                      <w:r w:rsidR="00324495">
                        <w:rPr>
                          <w:rFonts w:asciiTheme="majorHAnsi" w:hAnsiTheme="majorHAnsi"/>
                          <w:color w:val="595959" w:themeColor="text1" w:themeTint="A6"/>
                          <w:sz w:val="18"/>
                          <w:szCs w:val="18"/>
                          <w:lang w:val="es-ES_tradnl"/>
                        </w:rPr>
                        <w:t xml:space="preserve">, </w:t>
                      </w:r>
                      <w:r w:rsidR="00480063">
                        <w:rPr>
                          <w:rFonts w:asciiTheme="majorHAnsi" w:hAnsiTheme="majorHAnsi"/>
                          <w:color w:val="595959" w:themeColor="text1" w:themeTint="A6"/>
                          <w:sz w:val="18"/>
                          <w:szCs w:val="18"/>
                          <w:lang w:val="es-ES_tradnl"/>
                        </w:rPr>
                        <w:t>Rosario Ch</w:t>
                      </w:r>
                      <w:r w:rsidR="00C60582">
                        <w:rPr>
                          <w:rFonts w:asciiTheme="majorHAnsi" w:hAnsiTheme="majorHAnsi"/>
                          <w:color w:val="595959" w:themeColor="text1" w:themeTint="A6"/>
                          <w:sz w:val="18"/>
                          <w:szCs w:val="18"/>
                          <w:lang w:val="es-ES_tradnl"/>
                        </w:rPr>
                        <w:t>á</w:t>
                      </w:r>
                      <w:r w:rsidR="00480063">
                        <w:rPr>
                          <w:rFonts w:asciiTheme="majorHAnsi" w:hAnsiTheme="majorHAnsi"/>
                          <w:color w:val="595959" w:themeColor="text1" w:themeTint="A6"/>
                          <w:sz w:val="18"/>
                          <w:szCs w:val="18"/>
                          <w:lang w:val="es-ES_tradnl"/>
                        </w:rPr>
                        <w:t>nez Chire</w:t>
                      </w:r>
                      <w:r w:rsidR="00324495">
                        <w:rPr>
                          <w:rFonts w:asciiTheme="majorHAnsi" w:hAnsiTheme="majorHAnsi"/>
                          <w:color w:val="595959" w:themeColor="text1" w:themeTint="A6"/>
                          <w:sz w:val="18"/>
                          <w:szCs w:val="18"/>
                          <w:lang w:val="es-ES_tradnl"/>
                        </w:rPr>
                        <w:t xml:space="preserve"> y Gualberto Cusi Mamani</w:t>
                      </w:r>
                      <w:r w:rsidRPr="00890650">
                        <w:rPr>
                          <w:rFonts w:asciiTheme="majorHAnsi" w:hAnsiTheme="majorHAnsi"/>
                          <w:color w:val="595959" w:themeColor="text1" w:themeTint="A6"/>
                          <w:sz w:val="18"/>
                          <w:szCs w:val="18"/>
                          <w:lang w:val="es-ES_tradnl"/>
                        </w:rPr>
                        <w:t xml:space="preserve">. </w:t>
                      </w:r>
                      <w:r w:rsidR="00480063">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FE255F">
                        <w:rPr>
                          <w:rFonts w:asciiTheme="majorHAnsi" w:hAnsiTheme="majorHAnsi"/>
                          <w:color w:val="595959" w:themeColor="text1" w:themeTint="A6"/>
                          <w:sz w:val="18"/>
                          <w:szCs w:val="18"/>
                        </w:rPr>
                        <w:t>26 de septiembre de 2022</w:t>
                      </w:r>
                      <w:r w:rsidRPr="007B05C4">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4BF127B6"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30F4658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D8D4DF3" w:rsidR="0070697F" w:rsidRDefault="00FE255F"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3C2F40A">
                <wp:simplePos x="0" y="0"/>
                <wp:positionH relativeFrom="column">
                  <wp:posOffset>1323975</wp:posOffset>
                </wp:positionH>
                <wp:positionV relativeFrom="paragraph">
                  <wp:posOffset>570593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25pt;margin-top:44.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0615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4E6DBE6F" w:rsidR="003239B8" w:rsidRPr="00006156" w:rsidRDefault="00006156" w:rsidP="008D2290">
            <w:pPr>
              <w:jc w:val="both"/>
              <w:rPr>
                <w:rFonts w:ascii="Cambria" w:hAnsi="Cambria"/>
                <w:bCs/>
                <w:sz w:val="20"/>
                <w:szCs w:val="20"/>
              </w:rPr>
            </w:pPr>
            <w:r w:rsidRPr="00006156">
              <w:rPr>
                <w:rFonts w:ascii="Cambria" w:hAnsi="Cambria"/>
                <w:bCs/>
                <w:sz w:val="20"/>
                <w:szCs w:val="20"/>
              </w:rPr>
              <w:t>Bjorn Arp y Derechos en Acción</w:t>
            </w:r>
          </w:p>
        </w:tc>
      </w:tr>
      <w:tr w:rsidR="003239B8" w:rsidRPr="0000615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3D260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4889EB40" w:rsidR="003239B8" w:rsidRPr="000D05CB" w:rsidRDefault="00006156" w:rsidP="008D2290">
            <w:pPr>
              <w:jc w:val="both"/>
              <w:rPr>
                <w:rFonts w:ascii="Cambria" w:hAnsi="Cambria"/>
                <w:bCs/>
                <w:sz w:val="20"/>
                <w:szCs w:val="20"/>
              </w:rPr>
            </w:pPr>
            <w:r w:rsidRPr="00006156">
              <w:rPr>
                <w:rFonts w:ascii="Cambria" w:hAnsi="Cambria"/>
                <w:bCs/>
                <w:sz w:val="20"/>
                <w:szCs w:val="20"/>
                <w:lang w:val="es-ES_tradnl"/>
              </w:rPr>
              <w:t>Ligia Mónica Velásquez Castaños</w:t>
            </w:r>
            <w:r w:rsidR="00324495">
              <w:rPr>
                <w:rFonts w:ascii="Cambria" w:hAnsi="Cambria"/>
                <w:bCs/>
                <w:sz w:val="20"/>
                <w:szCs w:val="20"/>
                <w:lang w:val="es-ES_tradnl"/>
              </w:rPr>
              <w:t xml:space="preserve">, </w:t>
            </w:r>
            <w:r w:rsidRPr="00006156">
              <w:rPr>
                <w:rFonts w:ascii="Cambria" w:hAnsi="Cambria"/>
                <w:bCs/>
                <w:sz w:val="20"/>
                <w:szCs w:val="20"/>
                <w:lang w:val="es-ES_tradnl"/>
              </w:rPr>
              <w:t>Rosario Ch</w:t>
            </w:r>
            <w:r w:rsidR="00C60582">
              <w:rPr>
                <w:rFonts w:ascii="Cambria" w:hAnsi="Cambria"/>
                <w:bCs/>
                <w:sz w:val="20"/>
                <w:szCs w:val="20"/>
                <w:lang w:val="es-ES_tradnl"/>
              </w:rPr>
              <w:t>á</w:t>
            </w:r>
            <w:r w:rsidRPr="00006156">
              <w:rPr>
                <w:rFonts w:ascii="Cambria" w:hAnsi="Cambria"/>
                <w:bCs/>
                <w:sz w:val="20"/>
                <w:szCs w:val="20"/>
                <w:lang w:val="es-ES_tradnl"/>
              </w:rPr>
              <w:t>nez Chire</w:t>
            </w:r>
            <w:r w:rsidR="00324495">
              <w:rPr>
                <w:rFonts w:ascii="Cambria" w:hAnsi="Cambria"/>
                <w:bCs/>
                <w:sz w:val="20"/>
                <w:szCs w:val="20"/>
                <w:lang w:val="es-ES_tradnl"/>
              </w:rPr>
              <w:t xml:space="preserve"> y </w:t>
            </w:r>
            <w:r w:rsidR="00324495" w:rsidRPr="00006156">
              <w:rPr>
                <w:rFonts w:ascii="Cambria" w:hAnsi="Cambria"/>
                <w:bCs/>
                <w:sz w:val="20"/>
                <w:szCs w:val="20"/>
                <w:lang w:val="es-ES_tradnl"/>
              </w:rPr>
              <w:t>Gualberto Cusi Mamani</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131B2758" w:rsidR="003239B8" w:rsidRPr="000D05CB" w:rsidRDefault="00480063" w:rsidP="008D2290">
            <w:pPr>
              <w:jc w:val="both"/>
              <w:rPr>
                <w:rFonts w:ascii="Cambria" w:hAnsi="Cambria"/>
                <w:bCs/>
                <w:sz w:val="20"/>
                <w:szCs w:val="20"/>
              </w:rPr>
            </w:pPr>
            <w:r>
              <w:rPr>
                <w:rFonts w:ascii="Cambria" w:hAnsi="Cambria"/>
                <w:bCs/>
                <w:sz w:val="20"/>
                <w:szCs w:val="20"/>
              </w:rPr>
              <w:t>Bolivia</w:t>
            </w:r>
          </w:p>
        </w:tc>
      </w:tr>
      <w:tr w:rsidR="00223A29" w:rsidRPr="0000615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2C902A86" w:rsidR="00223A29" w:rsidRPr="00006156" w:rsidRDefault="00006156" w:rsidP="008D2290">
            <w:pPr>
              <w:jc w:val="both"/>
              <w:rPr>
                <w:rFonts w:ascii="Cambria" w:hAnsi="Cambria"/>
                <w:bCs/>
                <w:sz w:val="20"/>
                <w:szCs w:val="20"/>
              </w:rPr>
            </w:pPr>
            <w:r w:rsidRPr="00006156">
              <w:rPr>
                <w:rFonts w:ascii="Cambria" w:hAnsi="Cambria"/>
                <w:bCs/>
                <w:sz w:val="20"/>
                <w:szCs w:val="20"/>
              </w:rPr>
              <w:t>Artículos 4 (derecho a la vida</w:t>
            </w:r>
            <w:r>
              <w:rPr>
                <w:rFonts w:ascii="Cambria" w:hAnsi="Cambria"/>
                <w:bCs/>
                <w:sz w:val="20"/>
                <w:szCs w:val="20"/>
              </w:rPr>
              <w:t>), 8 (garantías judiciales), 11 (dignidad y honra), 23 (derechos políticos) y 25 (protección judicial) de la Convención Americana sobre Derechos Humanos</w:t>
            </w:r>
            <w:r w:rsidR="00DB43F4">
              <w:rPr>
                <w:rStyle w:val="FootnoteReference"/>
                <w:rFonts w:ascii="Cambria" w:hAnsi="Cambria"/>
                <w:bCs/>
                <w:sz w:val="20"/>
                <w:szCs w:val="20"/>
              </w:rPr>
              <w:footnoteReference w:id="2"/>
            </w:r>
            <w:r w:rsidR="00DB43F4">
              <w:rPr>
                <w:rFonts w:ascii="Cambria" w:hAnsi="Cambria"/>
                <w:bCs/>
                <w:sz w:val="20"/>
                <w:szCs w:val="20"/>
              </w:rPr>
              <w:t xml:space="preserve"> </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4C2312" w:rsidRPr="003239B8">
              <w:rPr>
                <w:rFonts w:ascii="Cambria" w:hAnsi="Cambria"/>
                <w:b/>
                <w:bCs/>
                <w:color w:val="FFFFFF" w:themeColor="background1"/>
                <w:sz w:val="20"/>
                <w:szCs w:val="20"/>
              </w:rPr>
              <w:t>resentación de la petición:</w:t>
            </w:r>
          </w:p>
        </w:tc>
        <w:tc>
          <w:tcPr>
            <w:tcW w:w="5647" w:type="dxa"/>
            <w:vAlign w:val="center"/>
          </w:tcPr>
          <w:p w14:paraId="6883A5F8" w14:textId="283C5740" w:rsidR="004C2312" w:rsidRPr="003239B8" w:rsidRDefault="00480063" w:rsidP="002625EA">
            <w:pPr>
              <w:jc w:val="both"/>
              <w:rPr>
                <w:rFonts w:ascii="Cambria" w:hAnsi="Cambria"/>
                <w:bCs/>
                <w:sz w:val="20"/>
                <w:szCs w:val="20"/>
              </w:rPr>
            </w:pPr>
            <w:r>
              <w:rPr>
                <w:rFonts w:ascii="Cambria" w:hAnsi="Cambria"/>
                <w:bCs/>
                <w:sz w:val="20"/>
                <w:szCs w:val="20"/>
              </w:rPr>
              <w:t>6 de julio de 2015</w:t>
            </w:r>
          </w:p>
        </w:tc>
      </w:tr>
      <w:tr w:rsidR="00131425" w:rsidRPr="001E5D85"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Información adicional recibida durante la etapa de estudio:</w:t>
            </w:r>
          </w:p>
        </w:tc>
        <w:tc>
          <w:tcPr>
            <w:tcW w:w="5647" w:type="dxa"/>
            <w:vAlign w:val="center"/>
          </w:tcPr>
          <w:p w14:paraId="65CBC29E" w14:textId="4DBF5C28" w:rsidR="00131425" w:rsidRPr="003239B8" w:rsidRDefault="00480063" w:rsidP="002625EA">
            <w:pPr>
              <w:jc w:val="both"/>
              <w:rPr>
                <w:rFonts w:ascii="Cambria" w:hAnsi="Cambria"/>
                <w:bCs/>
                <w:sz w:val="20"/>
                <w:szCs w:val="20"/>
              </w:rPr>
            </w:pPr>
            <w:r>
              <w:rPr>
                <w:rFonts w:ascii="Cambria" w:hAnsi="Cambria"/>
                <w:bCs/>
                <w:sz w:val="20"/>
                <w:szCs w:val="20"/>
              </w:rPr>
              <w:t>29 de febrero de 2016</w:t>
            </w:r>
            <w:r w:rsidR="00D036F1">
              <w:rPr>
                <w:rFonts w:ascii="Cambria" w:hAnsi="Cambria"/>
                <w:bCs/>
                <w:sz w:val="20"/>
                <w:szCs w:val="20"/>
              </w:rPr>
              <w:t>, 7 de febrero de 2017 y 13 de febrero de 2019</w:t>
            </w:r>
          </w:p>
        </w:tc>
      </w:tr>
      <w:tr w:rsidR="004C2312" w:rsidRPr="001E5D8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w:t>
            </w:r>
            <w:r w:rsidR="004C2312" w:rsidRPr="003239B8">
              <w:rPr>
                <w:rFonts w:ascii="Cambria" w:hAnsi="Cambria"/>
                <w:b/>
                <w:color w:val="FFFFFF" w:themeColor="background1"/>
                <w:sz w:val="20"/>
                <w:szCs w:val="20"/>
              </w:rPr>
              <w:t>otificación de la petición al Estado:</w:t>
            </w:r>
          </w:p>
        </w:tc>
        <w:tc>
          <w:tcPr>
            <w:tcW w:w="5647" w:type="dxa"/>
            <w:vAlign w:val="center"/>
          </w:tcPr>
          <w:p w14:paraId="58485921" w14:textId="29858C6C" w:rsidR="004C2312" w:rsidRPr="003239B8" w:rsidRDefault="00E73CF7" w:rsidP="008D2290">
            <w:pPr>
              <w:jc w:val="both"/>
              <w:rPr>
                <w:rFonts w:ascii="Cambria" w:hAnsi="Cambria"/>
                <w:bCs/>
                <w:sz w:val="20"/>
                <w:szCs w:val="20"/>
              </w:rPr>
            </w:pPr>
            <w:r>
              <w:rPr>
                <w:rFonts w:ascii="Cambria" w:hAnsi="Cambria"/>
                <w:bCs/>
                <w:sz w:val="20"/>
                <w:szCs w:val="20"/>
              </w:rPr>
              <w:t>9 de febrero de 2019</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P</w:t>
            </w:r>
            <w:r w:rsidR="004C2312" w:rsidRPr="003239B8">
              <w:rPr>
                <w:rFonts w:ascii="Cambria" w:hAnsi="Cambria"/>
                <w:b/>
                <w:color w:val="FFFFFF" w:themeColor="background1"/>
                <w:sz w:val="20"/>
                <w:szCs w:val="20"/>
              </w:rPr>
              <w:t>rimera respuesta del Estado:</w:t>
            </w:r>
          </w:p>
        </w:tc>
        <w:tc>
          <w:tcPr>
            <w:tcW w:w="5647" w:type="dxa"/>
            <w:vAlign w:val="center"/>
          </w:tcPr>
          <w:p w14:paraId="6B47064C" w14:textId="15CCD4C9" w:rsidR="004C2312" w:rsidRPr="003239B8" w:rsidRDefault="00E73CF7" w:rsidP="008D2290">
            <w:pPr>
              <w:jc w:val="both"/>
              <w:rPr>
                <w:rFonts w:ascii="Cambria" w:hAnsi="Cambria"/>
                <w:bCs/>
                <w:sz w:val="20"/>
                <w:szCs w:val="20"/>
              </w:rPr>
            </w:pPr>
            <w:r>
              <w:rPr>
                <w:rFonts w:ascii="Cambria" w:hAnsi="Cambria"/>
                <w:bCs/>
                <w:sz w:val="20"/>
                <w:szCs w:val="20"/>
              </w:rPr>
              <w:t>29 de marzo de 2021</w:t>
            </w:r>
          </w:p>
        </w:tc>
      </w:tr>
      <w:tr w:rsidR="004C2312" w:rsidRPr="001E5D85"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Observaciones adicionales de la parte peticionaria:</w:t>
            </w:r>
          </w:p>
        </w:tc>
        <w:tc>
          <w:tcPr>
            <w:tcW w:w="5647" w:type="dxa"/>
            <w:vAlign w:val="center"/>
          </w:tcPr>
          <w:p w14:paraId="66A99206" w14:textId="599F56E8" w:rsidR="004C2312" w:rsidRPr="003239B8" w:rsidRDefault="0076134F" w:rsidP="008D2290">
            <w:pPr>
              <w:jc w:val="both"/>
              <w:rPr>
                <w:rFonts w:ascii="Cambria" w:hAnsi="Cambria"/>
                <w:bCs/>
                <w:sz w:val="20"/>
                <w:szCs w:val="20"/>
              </w:rPr>
            </w:pPr>
            <w:r>
              <w:rPr>
                <w:rFonts w:ascii="Cambria" w:hAnsi="Cambria"/>
                <w:bCs/>
                <w:sz w:val="20"/>
                <w:szCs w:val="20"/>
              </w:rPr>
              <w:t>17 de noviembre de 2021</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6B3AC7E7" w:rsidR="004C2312" w:rsidRPr="0076716A" w:rsidRDefault="0076716A" w:rsidP="008D2290">
            <w:pPr>
              <w:jc w:val="both"/>
              <w:rPr>
                <w:rFonts w:ascii="Cambria" w:hAnsi="Cambria"/>
                <w:bCs/>
                <w:sz w:val="20"/>
                <w:szCs w:val="20"/>
              </w:rPr>
            </w:pPr>
            <w:r w:rsidRPr="0076716A">
              <w:rPr>
                <w:rFonts w:ascii="Cambria" w:hAnsi="Cambria"/>
                <w:bCs/>
                <w:sz w:val="20"/>
                <w:szCs w:val="20"/>
              </w:rPr>
              <w:t>16 de diciembre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III. </w:t>
      </w:r>
      <w:r w:rsidRPr="003239B8">
        <w:rPr>
          <w:rFonts w:asciiTheme="majorHAnsi" w:hAnsiTheme="majorHAnsi"/>
          <w:b/>
          <w:bCs/>
          <w:sz w:val="20"/>
          <w:szCs w:val="20"/>
        </w:rPr>
        <w:tab/>
        <w:t>COMPETENCIA</w:t>
      </w:r>
      <w:r w:rsidR="00EE00E9">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31314D54" w:rsidR="003239B8" w:rsidRPr="0076716A" w:rsidRDefault="0076716A" w:rsidP="008D2290">
            <w:pPr>
              <w:rPr>
                <w:rFonts w:ascii="Cambria" w:hAnsi="Cambria"/>
                <w:bCs/>
                <w:sz w:val="20"/>
                <w:szCs w:val="20"/>
              </w:rPr>
            </w:pPr>
            <w:r w:rsidRPr="0076716A">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2CC8B282" w:rsidR="003239B8" w:rsidRPr="0076716A" w:rsidRDefault="0076716A" w:rsidP="008D2290">
            <w:pPr>
              <w:rPr>
                <w:rFonts w:ascii="Cambria" w:hAnsi="Cambria"/>
                <w:bCs/>
                <w:sz w:val="20"/>
                <w:szCs w:val="20"/>
              </w:rPr>
            </w:pPr>
            <w:r w:rsidRPr="0076716A">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1EE22018" w:rsidR="003239B8" w:rsidRPr="0076716A" w:rsidRDefault="0076716A" w:rsidP="008D2290">
            <w:pPr>
              <w:rPr>
                <w:rFonts w:ascii="Cambria" w:hAnsi="Cambria"/>
                <w:bCs/>
                <w:sz w:val="20"/>
                <w:szCs w:val="20"/>
              </w:rPr>
            </w:pPr>
            <w:r w:rsidRPr="0076716A">
              <w:rPr>
                <w:rFonts w:ascii="Cambria" w:hAnsi="Cambria"/>
                <w:bCs/>
                <w:sz w:val="20"/>
                <w:szCs w:val="20"/>
              </w:rPr>
              <w:t>Sí</w:t>
            </w:r>
          </w:p>
        </w:tc>
      </w:tr>
      <w:tr w:rsidR="003239B8" w:rsidRPr="0076716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46EEB339" w:rsidR="003239B8" w:rsidRPr="00B3745F" w:rsidRDefault="0076716A" w:rsidP="008D2290">
            <w:pPr>
              <w:jc w:val="both"/>
              <w:rPr>
                <w:rFonts w:ascii="Cambria" w:hAnsi="Cambria"/>
                <w:bCs/>
                <w:sz w:val="20"/>
                <w:szCs w:val="20"/>
              </w:rPr>
            </w:pPr>
            <w:r>
              <w:rPr>
                <w:rFonts w:ascii="Cambria" w:hAnsi="Cambria"/>
                <w:bCs/>
                <w:sz w:val="20"/>
                <w:szCs w:val="20"/>
                <w:lang w:eastAsia="es-ES"/>
              </w:rPr>
              <w:t xml:space="preserve">Sí, </w:t>
            </w:r>
            <w:r>
              <w:rPr>
                <w:rFonts w:ascii="Cambria" w:hAnsi="Cambria"/>
                <w:bCs/>
                <w:sz w:val="20"/>
                <w:szCs w:val="20"/>
                <w:lang w:val="es-ES_tradnl" w:eastAsia="es-ES"/>
              </w:rPr>
              <w:t>Convención Americana (depósito del instrumento de ratificación realizado el 19 de julio de 1979)</w:t>
            </w:r>
          </w:p>
        </w:tc>
      </w:tr>
    </w:tbl>
    <w:p w14:paraId="299A3868" w14:textId="1F1595AA"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DUPLICACIÓN</w:t>
      </w:r>
      <w:r w:rsidR="00EE00E9" w:rsidRPr="003239B8">
        <w:rPr>
          <w:rFonts w:asciiTheme="majorHAnsi" w:hAnsiTheme="majorHAnsi"/>
          <w:b/>
          <w:bCs/>
          <w:color w:val="FFFFFF" w:themeColor="background1"/>
          <w:sz w:val="20"/>
          <w:szCs w:val="20"/>
        </w:rPr>
        <w:t xml:space="preserve"> </w:t>
      </w:r>
      <w:r w:rsidR="00EE00E9" w:rsidRPr="003239B8">
        <w:rPr>
          <w:rFonts w:asciiTheme="majorHAnsi" w:hAnsiTheme="majorHAnsi"/>
          <w:b/>
          <w:bCs/>
          <w:sz w:val="20"/>
          <w:szCs w:val="20"/>
        </w:rPr>
        <w:t>DE PROCEDIMIENTOS Y COSA JUZGADA</w:t>
      </w:r>
      <w:r w:rsidR="00EE00E9" w:rsidRPr="003239B8">
        <w:rPr>
          <w:rFonts w:asciiTheme="majorHAnsi" w:hAnsiTheme="majorHAnsi"/>
          <w:b/>
          <w:bCs/>
          <w:i/>
          <w:sz w:val="20"/>
          <w:szCs w:val="20"/>
        </w:rPr>
        <w:t xml:space="preserve"> </w:t>
      </w:r>
      <w:r w:rsidR="00A67FFA" w:rsidRPr="003239B8">
        <w:rPr>
          <w:rFonts w:asciiTheme="majorHAnsi" w:hAnsiTheme="majorHAnsi"/>
          <w:b/>
          <w:bCs/>
          <w:sz w:val="20"/>
          <w:szCs w:val="20"/>
        </w:rPr>
        <w:t>INTERNACIONAL</w:t>
      </w:r>
      <w:r w:rsidR="00A67FFA">
        <w:rPr>
          <w:rFonts w:asciiTheme="majorHAnsi" w:hAnsiTheme="majorHAnsi"/>
          <w:b/>
          <w:bCs/>
          <w:sz w:val="20"/>
          <w:szCs w:val="20"/>
        </w:rPr>
        <w:t xml:space="preserve">, </w:t>
      </w:r>
      <w:r w:rsidR="00A67FFA" w:rsidRPr="003239B8">
        <w:rPr>
          <w:rFonts w:asciiTheme="majorHAnsi" w:hAnsiTheme="majorHAnsi"/>
          <w:b/>
          <w:bCs/>
          <w:sz w:val="20"/>
          <w:szCs w:val="20"/>
        </w:rPr>
        <w:t>CARACTERIZACIÓN</w:t>
      </w:r>
      <w:r w:rsidRPr="003239B8">
        <w:rPr>
          <w:rFonts w:asciiTheme="majorHAnsi" w:hAnsiTheme="majorHAnsi"/>
          <w:b/>
          <w:bCs/>
          <w:sz w:val="20"/>
          <w:szCs w:val="20"/>
        </w:rPr>
        <w:t xml:space="preserve">, </w:t>
      </w:r>
      <w:r w:rsidRPr="003239B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E5D8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Duplicación de procedimientos y cosa juzgada internacional:</w:t>
            </w:r>
          </w:p>
        </w:tc>
        <w:tc>
          <w:tcPr>
            <w:tcW w:w="5760" w:type="dxa"/>
            <w:vAlign w:val="center"/>
          </w:tcPr>
          <w:p w14:paraId="764D7F60" w14:textId="08FAA2A6" w:rsidR="00EE00E9" w:rsidRPr="00DC24E3" w:rsidRDefault="00E81A85" w:rsidP="008D2290">
            <w:pPr>
              <w:jc w:val="both"/>
              <w:rPr>
                <w:rFonts w:ascii="Cambria" w:hAnsi="Cambria"/>
                <w:bCs/>
                <w:sz w:val="20"/>
                <w:szCs w:val="20"/>
              </w:rPr>
            </w:pPr>
            <w:r>
              <w:rPr>
                <w:rFonts w:ascii="Cambria" w:hAnsi="Cambria"/>
                <w:bCs/>
                <w:sz w:val="20"/>
                <w:szCs w:val="20"/>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55AEDE9F" w:rsidR="003239B8" w:rsidRPr="00E81A85" w:rsidRDefault="00E81A85" w:rsidP="008D2290">
            <w:pPr>
              <w:jc w:val="both"/>
              <w:rPr>
                <w:rFonts w:ascii="Cambria" w:hAnsi="Cambria"/>
                <w:bCs/>
                <w:sz w:val="20"/>
                <w:szCs w:val="20"/>
              </w:rPr>
            </w:pPr>
            <w:r>
              <w:rPr>
                <w:rFonts w:ascii="Cambria" w:hAnsi="Cambria"/>
                <w:bCs/>
                <w:sz w:val="20"/>
                <w:szCs w:val="20"/>
              </w:rPr>
              <w:t>Artículos 8 (garantías judiciales), 11 (dignidad y honra), 23 (derechos políticos), 25 (protección judicial) y 26 (derechos económicos, sociales, culturales y medio ambientales) de la Convención Americana</w:t>
            </w:r>
            <w:r w:rsidR="00BC63A9">
              <w:rPr>
                <w:rFonts w:ascii="Cambria" w:hAnsi="Cambria"/>
                <w:bCs/>
                <w:sz w:val="20"/>
                <w:szCs w:val="20"/>
              </w:rPr>
              <w:t>, en conexión con su artículo 1.1</w:t>
            </w:r>
          </w:p>
        </w:tc>
      </w:tr>
      <w:tr w:rsidR="003239B8" w:rsidRPr="001E5D85"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Agotamiento de recursos internos</w:t>
            </w:r>
            <w:r w:rsidR="00EE00E9" w:rsidRPr="00DC24E3">
              <w:rPr>
                <w:rFonts w:ascii="Cambria" w:hAnsi="Cambria"/>
                <w:b/>
                <w:bCs/>
                <w:color w:val="FFFFFF" w:themeColor="background1"/>
                <w:sz w:val="20"/>
                <w:szCs w:val="20"/>
              </w:rPr>
              <w:t xml:space="preserve"> o procedencia de una excepción</w:t>
            </w:r>
            <w:r w:rsidRPr="00DC24E3">
              <w:rPr>
                <w:rFonts w:ascii="Cambria" w:hAnsi="Cambria"/>
                <w:b/>
                <w:bCs/>
                <w:color w:val="FFFFFF" w:themeColor="background1"/>
                <w:sz w:val="20"/>
                <w:szCs w:val="20"/>
              </w:rPr>
              <w:t>:</w:t>
            </w:r>
          </w:p>
        </w:tc>
        <w:tc>
          <w:tcPr>
            <w:tcW w:w="5760" w:type="dxa"/>
            <w:vAlign w:val="center"/>
          </w:tcPr>
          <w:p w14:paraId="7F7C1A19" w14:textId="6263E415" w:rsidR="003239B8" w:rsidRPr="00DC24E3" w:rsidRDefault="00A67FFA" w:rsidP="008D2290">
            <w:pPr>
              <w:rPr>
                <w:rFonts w:ascii="Cambria" w:hAnsi="Cambria"/>
                <w:bCs/>
                <w:sz w:val="20"/>
                <w:szCs w:val="20"/>
              </w:rPr>
            </w:pPr>
            <w:r>
              <w:rPr>
                <w:rFonts w:ascii="Cambria" w:hAnsi="Cambria"/>
                <w:bCs/>
                <w:sz w:val="20"/>
                <w:szCs w:val="20"/>
              </w:rPr>
              <w:t>Sí, en los términos de la sección VI</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3B56759B" w:rsidR="003239B8" w:rsidRPr="00DC24E3" w:rsidRDefault="00A67FFA" w:rsidP="008D2290">
            <w:pPr>
              <w:rPr>
                <w:rFonts w:ascii="Cambria" w:hAnsi="Cambria"/>
                <w:bCs/>
                <w:sz w:val="20"/>
                <w:szCs w:val="20"/>
              </w:rPr>
            </w:pPr>
            <w:r>
              <w:rPr>
                <w:rFonts w:ascii="Cambria" w:hAnsi="Cambria"/>
                <w:bCs/>
                <w:sz w:val="20"/>
                <w:szCs w:val="20"/>
              </w:rPr>
              <w:t>Sí, en los términos de la sección VI</w:t>
            </w:r>
          </w:p>
        </w:tc>
      </w:tr>
    </w:tbl>
    <w:p w14:paraId="56FD5D57" w14:textId="6E7EE137" w:rsidR="003239B8" w:rsidRPr="003643AE" w:rsidRDefault="00223A29" w:rsidP="003239B8">
      <w:pPr>
        <w:spacing w:before="240" w:after="240"/>
        <w:ind w:firstLine="720"/>
        <w:jc w:val="both"/>
        <w:rPr>
          <w:rFonts w:asciiTheme="majorHAnsi" w:hAnsiTheme="majorHAnsi"/>
          <w:b/>
          <w:sz w:val="20"/>
          <w:szCs w:val="20"/>
          <w:lang w:val="es-ES_tradnl"/>
        </w:rPr>
      </w:pPr>
      <w:r w:rsidRPr="003643AE">
        <w:rPr>
          <w:rFonts w:asciiTheme="majorHAnsi" w:hAnsiTheme="majorHAnsi"/>
          <w:b/>
          <w:sz w:val="20"/>
          <w:szCs w:val="20"/>
          <w:lang w:val="es-ES_tradnl"/>
        </w:rPr>
        <w:t xml:space="preserve">V. </w:t>
      </w:r>
      <w:r w:rsidRPr="003643AE">
        <w:rPr>
          <w:rFonts w:asciiTheme="majorHAnsi" w:hAnsiTheme="majorHAnsi"/>
          <w:b/>
          <w:sz w:val="20"/>
          <w:szCs w:val="20"/>
          <w:lang w:val="es-ES_tradnl"/>
        </w:rPr>
        <w:tab/>
      </w:r>
      <w:r w:rsidR="004241A0" w:rsidRPr="003643AE">
        <w:rPr>
          <w:rFonts w:asciiTheme="majorHAnsi" w:hAnsiTheme="majorHAnsi"/>
          <w:b/>
          <w:sz w:val="20"/>
          <w:szCs w:val="20"/>
          <w:lang w:val="es-ES_tradnl"/>
        </w:rPr>
        <w:t>POSICIÓN DE LAS PARTES</w:t>
      </w:r>
      <w:r w:rsidR="003239B8" w:rsidRPr="003643AE">
        <w:rPr>
          <w:rFonts w:asciiTheme="majorHAnsi" w:hAnsiTheme="majorHAnsi"/>
          <w:b/>
          <w:sz w:val="20"/>
          <w:szCs w:val="20"/>
          <w:lang w:val="es-ES_tradnl"/>
        </w:rPr>
        <w:t xml:space="preserve"> </w:t>
      </w:r>
    </w:p>
    <w:p w14:paraId="1492E888" w14:textId="004F8542" w:rsidR="005000D1" w:rsidRPr="003643AE" w:rsidRDefault="005000D1" w:rsidP="003239B8">
      <w:pPr>
        <w:spacing w:before="240" w:after="240"/>
        <w:ind w:firstLine="720"/>
        <w:jc w:val="both"/>
        <w:rPr>
          <w:rFonts w:asciiTheme="majorHAnsi" w:hAnsiTheme="majorHAnsi"/>
          <w:bCs/>
          <w:i/>
          <w:iCs/>
          <w:sz w:val="20"/>
          <w:szCs w:val="20"/>
          <w:lang w:val="es-ES_tradnl"/>
        </w:rPr>
      </w:pPr>
      <w:r w:rsidRPr="003643AE">
        <w:rPr>
          <w:rFonts w:asciiTheme="majorHAnsi" w:hAnsiTheme="majorHAnsi"/>
          <w:bCs/>
          <w:i/>
          <w:iCs/>
          <w:sz w:val="20"/>
          <w:szCs w:val="20"/>
          <w:lang w:val="es-ES_tradnl"/>
        </w:rPr>
        <w:t>Alegatos de la parte peticionaria</w:t>
      </w:r>
    </w:p>
    <w:p w14:paraId="66C6322C" w14:textId="7E58F5E8" w:rsidR="0091471C" w:rsidRPr="003643AE" w:rsidRDefault="0076716A" w:rsidP="00635278">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 xml:space="preserve">La parte peticionaria denuncia que </w:t>
      </w:r>
      <w:r w:rsidR="0091471C" w:rsidRPr="003643AE">
        <w:rPr>
          <w:rFonts w:asciiTheme="majorHAnsi" w:hAnsiTheme="majorHAnsi"/>
          <w:sz w:val="20"/>
          <w:szCs w:val="20"/>
          <w:lang w:val="es-ES_tradnl"/>
        </w:rPr>
        <w:t>la Asamblea Nacional Plurinacional</w:t>
      </w:r>
      <w:r w:rsidR="00635278" w:rsidRPr="003643AE">
        <w:rPr>
          <w:rFonts w:asciiTheme="majorHAnsi" w:hAnsiTheme="majorHAnsi"/>
          <w:sz w:val="20"/>
          <w:szCs w:val="20"/>
          <w:lang w:val="es-ES_tradnl"/>
        </w:rPr>
        <w:t>, mediante un juicio político,</w:t>
      </w:r>
      <w:r w:rsidR="00635278" w:rsidRPr="003643AE">
        <w:rPr>
          <w:rFonts w:asciiTheme="majorHAnsi" w:hAnsiTheme="majorHAnsi"/>
          <w:i/>
          <w:iCs/>
          <w:sz w:val="20"/>
          <w:szCs w:val="20"/>
          <w:lang w:val="es-ES_tradnl"/>
        </w:rPr>
        <w:t xml:space="preserve"> </w:t>
      </w:r>
      <w:r w:rsidR="000C4527" w:rsidRPr="003643AE">
        <w:rPr>
          <w:rFonts w:asciiTheme="majorHAnsi" w:hAnsiTheme="majorHAnsi"/>
          <w:sz w:val="20"/>
          <w:szCs w:val="20"/>
          <w:lang w:val="es-ES_tradnl"/>
        </w:rPr>
        <w:t>suspendió</w:t>
      </w:r>
      <w:r w:rsidR="0091471C" w:rsidRPr="003643AE">
        <w:rPr>
          <w:rFonts w:asciiTheme="majorHAnsi" w:hAnsiTheme="majorHAnsi"/>
          <w:sz w:val="20"/>
          <w:szCs w:val="20"/>
          <w:lang w:val="es-ES_tradnl"/>
        </w:rPr>
        <w:t xml:space="preserve"> </w:t>
      </w:r>
      <w:r w:rsidR="000C4527" w:rsidRPr="003643AE">
        <w:rPr>
          <w:rFonts w:asciiTheme="majorHAnsi" w:hAnsiTheme="majorHAnsi"/>
          <w:sz w:val="20"/>
          <w:szCs w:val="20"/>
          <w:lang w:val="es-ES_tradnl"/>
        </w:rPr>
        <w:t xml:space="preserve">indefinidamente </w:t>
      </w:r>
      <w:r w:rsidR="0091471C" w:rsidRPr="003643AE">
        <w:rPr>
          <w:rFonts w:asciiTheme="majorHAnsi" w:hAnsiTheme="majorHAnsi"/>
          <w:sz w:val="20"/>
          <w:szCs w:val="20"/>
          <w:lang w:val="es-ES_tradnl"/>
        </w:rPr>
        <w:t xml:space="preserve">al señor </w:t>
      </w:r>
      <w:r w:rsidR="00BC63A9" w:rsidRPr="003643AE">
        <w:rPr>
          <w:rFonts w:asciiTheme="majorHAnsi" w:hAnsiTheme="majorHAnsi"/>
          <w:sz w:val="20"/>
          <w:szCs w:val="20"/>
          <w:lang w:val="es-ES_tradnl"/>
        </w:rPr>
        <w:t xml:space="preserve">Gualberto </w:t>
      </w:r>
      <w:r w:rsidR="0091471C" w:rsidRPr="003643AE">
        <w:rPr>
          <w:rFonts w:asciiTheme="majorHAnsi" w:hAnsiTheme="majorHAnsi"/>
          <w:sz w:val="20"/>
          <w:szCs w:val="20"/>
          <w:lang w:val="es-ES_tradnl"/>
        </w:rPr>
        <w:t>Cusi</w:t>
      </w:r>
      <w:r w:rsidR="000C4527" w:rsidRPr="003643AE">
        <w:rPr>
          <w:rFonts w:asciiTheme="majorHAnsi" w:hAnsiTheme="majorHAnsi"/>
          <w:sz w:val="20"/>
          <w:szCs w:val="20"/>
          <w:lang w:val="es-ES_tradnl"/>
        </w:rPr>
        <w:t>, destituyó</w:t>
      </w:r>
      <w:r w:rsidR="0091471C" w:rsidRPr="003643AE">
        <w:rPr>
          <w:rFonts w:asciiTheme="majorHAnsi" w:hAnsiTheme="majorHAnsi"/>
          <w:sz w:val="20"/>
          <w:szCs w:val="20"/>
          <w:lang w:val="es-ES_tradnl"/>
        </w:rPr>
        <w:t xml:space="preserve"> a la señora </w:t>
      </w:r>
      <w:r w:rsidR="00BC63A9" w:rsidRPr="003643AE">
        <w:rPr>
          <w:rFonts w:asciiTheme="majorHAnsi" w:hAnsiTheme="majorHAnsi"/>
          <w:sz w:val="20"/>
          <w:szCs w:val="20"/>
          <w:lang w:val="es-ES_tradnl"/>
        </w:rPr>
        <w:t xml:space="preserve">Rosario </w:t>
      </w:r>
      <w:r w:rsidR="0091471C" w:rsidRPr="003643AE">
        <w:rPr>
          <w:rFonts w:asciiTheme="majorHAnsi" w:hAnsiTheme="majorHAnsi"/>
          <w:sz w:val="20"/>
          <w:szCs w:val="20"/>
          <w:lang w:val="es-ES_tradnl"/>
        </w:rPr>
        <w:t>Ch</w:t>
      </w:r>
      <w:r w:rsidR="00C60582" w:rsidRPr="003643AE">
        <w:rPr>
          <w:rFonts w:asciiTheme="majorHAnsi" w:hAnsiTheme="majorHAnsi"/>
          <w:sz w:val="20"/>
          <w:szCs w:val="20"/>
          <w:lang w:val="es-ES_tradnl"/>
        </w:rPr>
        <w:t>á</w:t>
      </w:r>
      <w:r w:rsidR="0091471C" w:rsidRPr="003643AE">
        <w:rPr>
          <w:rFonts w:asciiTheme="majorHAnsi" w:hAnsiTheme="majorHAnsi"/>
          <w:sz w:val="20"/>
          <w:szCs w:val="20"/>
          <w:lang w:val="es-ES_tradnl"/>
        </w:rPr>
        <w:t>nez</w:t>
      </w:r>
      <w:r w:rsidR="00635278" w:rsidRPr="003643AE">
        <w:rPr>
          <w:rFonts w:asciiTheme="majorHAnsi" w:hAnsiTheme="majorHAnsi"/>
          <w:sz w:val="20"/>
          <w:szCs w:val="20"/>
          <w:lang w:val="es-ES_tradnl"/>
        </w:rPr>
        <w:t xml:space="preserve"> </w:t>
      </w:r>
      <w:r w:rsidR="0091471C" w:rsidRPr="003643AE">
        <w:rPr>
          <w:rFonts w:asciiTheme="majorHAnsi" w:hAnsiTheme="majorHAnsi"/>
          <w:sz w:val="20"/>
          <w:szCs w:val="20"/>
          <w:lang w:val="es-ES_tradnl"/>
        </w:rPr>
        <w:t xml:space="preserve">y forzó la renuncia de la señora </w:t>
      </w:r>
      <w:r w:rsidR="00BC63A9" w:rsidRPr="003643AE">
        <w:rPr>
          <w:rFonts w:asciiTheme="majorHAnsi" w:hAnsiTheme="majorHAnsi"/>
          <w:sz w:val="20"/>
          <w:szCs w:val="20"/>
          <w:lang w:val="es-ES_tradnl"/>
        </w:rPr>
        <w:t xml:space="preserve">Ligia </w:t>
      </w:r>
      <w:r w:rsidR="0091471C" w:rsidRPr="003643AE">
        <w:rPr>
          <w:rFonts w:asciiTheme="majorHAnsi" w:hAnsiTheme="majorHAnsi"/>
          <w:sz w:val="20"/>
          <w:szCs w:val="20"/>
          <w:lang w:val="es-ES_tradnl"/>
        </w:rPr>
        <w:t>Velásquez de sus cargos como magistrado y magistradas</w:t>
      </w:r>
      <w:r w:rsidR="00BC63A9" w:rsidRPr="003643AE">
        <w:rPr>
          <w:rFonts w:asciiTheme="majorHAnsi" w:hAnsiTheme="majorHAnsi"/>
          <w:sz w:val="20"/>
          <w:szCs w:val="20"/>
          <w:lang w:val="es-ES_tradnl"/>
        </w:rPr>
        <w:t>, respectivamente,</w:t>
      </w:r>
      <w:r w:rsidR="0091471C" w:rsidRPr="003643AE">
        <w:rPr>
          <w:rFonts w:asciiTheme="majorHAnsi" w:hAnsiTheme="majorHAnsi"/>
          <w:sz w:val="20"/>
          <w:szCs w:val="20"/>
          <w:lang w:val="es-ES_tradnl"/>
        </w:rPr>
        <w:t xml:space="preserve"> del </w:t>
      </w:r>
      <w:r w:rsidR="0091471C" w:rsidRPr="003643AE">
        <w:rPr>
          <w:rFonts w:asciiTheme="majorHAnsi" w:hAnsiTheme="majorHAnsi"/>
          <w:sz w:val="20"/>
          <w:szCs w:val="20"/>
          <w:lang w:val="es-ES_tradnl"/>
        </w:rPr>
        <w:lastRenderedPageBreak/>
        <w:t>Tribunal Constitucional Plurinacional</w:t>
      </w:r>
      <w:r w:rsidR="00B96543" w:rsidRPr="003643AE">
        <w:rPr>
          <w:rFonts w:asciiTheme="majorHAnsi" w:hAnsiTheme="majorHAnsi"/>
          <w:sz w:val="20"/>
          <w:szCs w:val="20"/>
          <w:lang w:val="es-ES_tradnl"/>
        </w:rPr>
        <w:t xml:space="preserve"> (en adelante, “TCP”)</w:t>
      </w:r>
      <w:r w:rsidR="00635278" w:rsidRPr="003643AE">
        <w:rPr>
          <w:rFonts w:asciiTheme="majorHAnsi" w:hAnsiTheme="majorHAnsi"/>
          <w:sz w:val="20"/>
          <w:szCs w:val="20"/>
          <w:lang w:val="es-ES_tradnl"/>
        </w:rPr>
        <w:t xml:space="preserve">. </w:t>
      </w:r>
      <w:r w:rsidR="00BC63A9" w:rsidRPr="003643AE">
        <w:rPr>
          <w:rFonts w:asciiTheme="majorHAnsi" w:hAnsiTheme="majorHAnsi"/>
          <w:sz w:val="20"/>
          <w:szCs w:val="20"/>
          <w:lang w:val="es-ES_tradnl"/>
        </w:rPr>
        <w:t>E</w:t>
      </w:r>
      <w:r w:rsidR="0091471C" w:rsidRPr="003643AE">
        <w:rPr>
          <w:rFonts w:asciiTheme="majorHAnsi" w:hAnsiTheme="majorHAnsi"/>
          <w:sz w:val="20"/>
          <w:szCs w:val="20"/>
          <w:lang w:val="es-ES_tradnl"/>
        </w:rPr>
        <w:t>ste accionar</w:t>
      </w:r>
      <w:r w:rsidR="00635278" w:rsidRPr="003643AE">
        <w:rPr>
          <w:rFonts w:asciiTheme="majorHAnsi" w:hAnsiTheme="majorHAnsi"/>
          <w:sz w:val="20"/>
          <w:szCs w:val="20"/>
          <w:lang w:val="es-ES_tradnl"/>
        </w:rPr>
        <w:t xml:space="preserve"> </w:t>
      </w:r>
      <w:r w:rsidR="00BC63A9" w:rsidRPr="003643AE">
        <w:rPr>
          <w:rFonts w:asciiTheme="majorHAnsi" w:hAnsiTheme="majorHAnsi"/>
          <w:sz w:val="20"/>
          <w:szCs w:val="20"/>
          <w:lang w:val="es-ES_tradnl"/>
        </w:rPr>
        <w:t>habría violado</w:t>
      </w:r>
      <w:r w:rsidR="00635278" w:rsidRPr="003643AE">
        <w:rPr>
          <w:rFonts w:asciiTheme="majorHAnsi" w:hAnsiTheme="majorHAnsi"/>
          <w:sz w:val="20"/>
          <w:szCs w:val="20"/>
          <w:lang w:val="es-ES_tradnl"/>
        </w:rPr>
        <w:t xml:space="preserve"> los derechos políticos y a las garantías judiciales de las presuntas víctimas, </w:t>
      </w:r>
      <w:r w:rsidR="000C4527" w:rsidRPr="003643AE">
        <w:rPr>
          <w:rFonts w:asciiTheme="majorHAnsi" w:hAnsiTheme="majorHAnsi"/>
          <w:sz w:val="20"/>
          <w:szCs w:val="20"/>
          <w:lang w:val="es-ES_tradnl"/>
        </w:rPr>
        <w:t>además de mermar</w:t>
      </w:r>
      <w:r w:rsidR="00635278" w:rsidRPr="003643AE">
        <w:rPr>
          <w:rFonts w:asciiTheme="majorHAnsi" w:hAnsiTheme="majorHAnsi"/>
          <w:sz w:val="20"/>
          <w:szCs w:val="20"/>
          <w:lang w:val="es-ES_tradnl"/>
        </w:rPr>
        <w:t xml:space="preserve"> el principio de independencia judicial.</w:t>
      </w:r>
    </w:p>
    <w:p w14:paraId="16D6EB01" w14:textId="2E999E3F" w:rsidR="00635278" w:rsidRPr="003643AE" w:rsidRDefault="00635278" w:rsidP="00635278">
      <w:pPr>
        <w:suppressAutoHyphens/>
        <w:spacing w:after="240"/>
        <w:ind w:left="720"/>
        <w:jc w:val="both"/>
        <w:rPr>
          <w:rFonts w:asciiTheme="majorHAnsi" w:hAnsiTheme="majorHAnsi"/>
          <w:i/>
          <w:iCs/>
          <w:sz w:val="20"/>
          <w:szCs w:val="20"/>
          <w:lang w:val="es-ES_tradnl"/>
        </w:rPr>
      </w:pPr>
      <w:r w:rsidRPr="003643AE">
        <w:rPr>
          <w:rFonts w:asciiTheme="majorHAnsi" w:hAnsiTheme="majorHAnsi"/>
          <w:i/>
          <w:iCs/>
          <w:sz w:val="20"/>
          <w:szCs w:val="20"/>
          <w:lang w:val="es-ES_tradnl"/>
        </w:rPr>
        <w:t>Inicio del juicio político contra las presuntas víctimas</w:t>
      </w:r>
    </w:p>
    <w:p w14:paraId="79613C33" w14:textId="4CBE54CD" w:rsidR="00986EDB" w:rsidRPr="003643AE" w:rsidRDefault="00EB79CB" w:rsidP="003D14A9">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La parte peticionaria narra</w:t>
      </w:r>
      <w:r w:rsidR="00635278" w:rsidRPr="003643AE">
        <w:rPr>
          <w:rFonts w:asciiTheme="majorHAnsi" w:hAnsiTheme="majorHAnsi"/>
          <w:sz w:val="20"/>
          <w:szCs w:val="20"/>
          <w:lang w:val="es-ES_tradnl"/>
        </w:rPr>
        <w:t xml:space="preserve"> que el 16 de octubre de 2011, las presuntas</w:t>
      </w:r>
      <w:r w:rsidR="00B96543" w:rsidRPr="003643AE">
        <w:rPr>
          <w:rFonts w:asciiTheme="majorHAnsi" w:hAnsiTheme="majorHAnsi"/>
          <w:sz w:val="20"/>
          <w:szCs w:val="20"/>
          <w:lang w:val="es-ES_tradnl"/>
        </w:rPr>
        <w:t xml:space="preserve"> víctimas fueron elegidas mediante sufragio universal como magistrado y magistradas del TCP, por un periodo de seis años. </w:t>
      </w:r>
      <w:r w:rsidR="003D14A9" w:rsidRPr="003643AE">
        <w:rPr>
          <w:rFonts w:asciiTheme="majorHAnsi" w:hAnsiTheme="majorHAnsi"/>
          <w:sz w:val="20"/>
          <w:szCs w:val="20"/>
          <w:lang w:val="es-ES_tradnl"/>
        </w:rPr>
        <w:t>Señala que</w:t>
      </w:r>
      <w:r w:rsidR="000C4527" w:rsidRPr="003643AE">
        <w:rPr>
          <w:rFonts w:asciiTheme="majorHAnsi" w:hAnsiTheme="majorHAnsi"/>
          <w:sz w:val="20"/>
          <w:szCs w:val="20"/>
          <w:lang w:val="es-ES_tradnl"/>
        </w:rPr>
        <w:t>, en ejercicio de tal cargo, el 13 de marzo de 2014 las presuntas víctimas, en su condición</w:t>
      </w:r>
      <w:r w:rsidR="003D14A9" w:rsidRPr="003643AE">
        <w:rPr>
          <w:rFonts w:asciiTheme="majorHAnsi" w:hAnsiTheme="majorHAnsi"/>
          <w:sz w:val="20"/>
          <w:szCs w:val="20"/>
          <w:lang w:val="es-ES_tradnl"/>
        </w:rPr>
        <w:t xml:space="preserve"> integrantes</w:t>
      </w:r>
      <w:r w:rsidR="000C4527" w:rsidRPr="003643AE">
        <w:rPr>
          <w:rFonts w:asciiTheme="majorHAnsi" w:hAnsiTheme="majorHAnsi"/>
          <w:sz w:val="20"/>
          <w:szCs w:val="20"/>
          <w:lang w:val="es-ES_tradnl"/>
        </w:rPr>
        <w:t xml:space="preserve"> de la Comisión </w:t>
      </w:r>
      <w:r w:rsidR="003D14A9" w:rsidRPr="003643AE">
        <w:rPr>
          <w:rFonts w:asciiTheme="majorHAnsi" w:hAnsiTheme="majorHAnsi"/>
          <w:sz w:val="20"/>
          <w:szCs w:val="20"/>
          <w:lang w:val="es-ES_tradnl"/>
        </w:rPr>
        <w:t xml:space="preserve">de Admisión </w:t>
      </w:r>
      <w:r w:rsidR="000C4527" w:rsidRPr="003643AE">
        <w:rPr>
          <w:rFonts w:asciiTheme="majorHAnsi" w:hAnsiTheme="majorHAnsi"/>
          <w:sz w:val="20"/>
          <w:szCs w:val="20"/>
          <w:lang w:val="es-ES_tradnl"/>
        </w:rPr>
        <w:t xml:space="preserve">del TCP, admitieron una acción de inconstitucionalidad de carácter abstracto contra la Ley Nº 483 </w:t>
      </w:r>
      <w:r w:rsidR="00B65245" w:rsidRPr="003643AE">
        <w:rPr>
          <w:rFonts w:asciiTheme="majorHAnsi" w:hAnsiTheme="majorHAnsi"/>
          <w:sz w:val="20"/>
          <w:szCs w:val="20"/>
          <w:lang w:val="es-ES_tradnl"/>
        </w:rPr>
        <w:t>(</w:t>
      </w:r>
      <w:r w:rsidR="000C4527" w:rsidRPr="003643AE">
        <w:rPr>
          <w:rFonts w:asciiTheme="majorHAnsi" w:hAnsiTheme="majorHAnsi"/>
          <w:sz w:val="20"/>
          <w:szCs w:val="20"/>
          <w:lang w:val="es-ES_tradnl"/>
        </w:rPr>
        <w:t>Ley del Notariado Plurinacional</w:t>
      </w:r>
      <w:r w:rsidR="00B65245" w:rsidRPr="003643AE">
        <w:rPr>
          <w:rFonts w:asciiTheme="majorHAnsi" w:hAnsiTheme="majorHAnsi"/>
          <w:sz w:val="20"/>
          <w:szCs w:val="20"/>
          <w:lang w:val="es-ES_tradnl"/>
        </w:rPr>
        <w:t>)</w:t>
      </w:r>
      <w:r w:rsidR="000C4527" w:rsidRPr="003643AE">
        <w:rPr>
          <w:rFonts w:asciiTheme="majorHAnsi" w:hAnsiTheme="majorHAnsi"/>
          <w:sz w:val="20"/>
          <w:szCs w:val="20"/>
          <w:lang w:val="es-ES_tradnl"/>
        </w:rPr>
        <w:t>, presentad</w:t>
      </w:r>
      <w:r w:rsidR="003D14A9" w:rsidRPr="003643AE">
        <w:rPr>
          <w:rFonts w:asciiTheme="majorHAnsi" w:hAnsiTheme="majorHAnsi"/>
          <w:sz w:val="20"/>
          <w:szCs w:val="20"/>
          <w:lang w:val="es-ES_tradnl"/>
        </w:rPr>
        <w:t>a</w:t>
      </w:r>
      <w:r w:rsidR="000C4527" w:rsidRPr="003643AE">
        <w:rPr>
          <w:rFonts w:asciiTheme="majorHAnsi" w:hAnsiTheme="majorHAnsi"/>
          <w:sz w:val="20"/>
          <w:szCs w:val="20"/>
          <w:lang w:val="es-ES_tradnl"/>
        </w:rPr>
        <w:t xml:space="preserve"> por un diputado, y concedi</w:t>
      </w:r>
      <w:r w:rsidR="003D14A9" w:rsidRPr="003643AE">
        <w:rPr>
          <w:rFonts w:asciiTheme="majorHAnsi" w:hAnsiTheme="majorHAnsi"/>
          <w:sz w:val="20"/>
          <w:szCs w:val="20"/>
          <w:lang w:val="es-ES_tradnl"/>
        </w:rPr>
        <w:t>eron la solicitud del accionante de aplicar como medida cautelar la suspensión de dicha normativa hasta la emisión de una sentencia de fondo</w:t>
      </w:r>
      <w:r w:rsidR="00986EDB" w:rsidRPr="003643AE">
        <w:rPr>
          <w:rFonts w:asciiTheme="majorHAnsi" w:hAnsiTheme="majorHAnsi"/>
          <w:sz w:val="20"/>
          <w:szCs w:val="20"/>
          <w:lang w:val="es-ES_tradnl"/>
        </w:rPr>
        <w:t xml:space="preserve">. </w:t>
      </w:r>
      <w:r w:rsidR="002B3B4C" w:rsidRPr="003643AE">
        <w:rPr>
          <w:rFonts w:asciiTheme="majorHAnsi" w:hAnsiTheme="majorHAnsi"/>
          <w:sz w:val="20"/>
          <w:szCs w:val="20"/>
          <w:lang w:val="es-ES_tradnl"/>
        </w:rPr>
        <w:t>Luego</w:t>
      </w:r>
      <w:r w:rsidR="00986EDB" w:rsidRPr="003643AE">
        <w:rPr>
          <w:rFonts w:asciiTheme="majorHAnsi" w:hAnsiTheme="majorHAnsi"/>
          <w:sz w:val="20"/>
          <w:szCs w:val="20"/>
          <w:lang w:val="es-ES_tradnl"/>
        </w:rPr>
        <w:t xml:space="preserve">, el 22 de mayo de 2014 </w:t>
      </w:r>
      <w:r w:rsidR="00DB0989" w:rsidRPr="003643AE">
        <w:rPr>
          <w:rFonts w:asciiTheme="majorHAnsi" w:hAnsiTheme="majorHAnsi"/>
          <w:sz w:val="20"/>
          <w:szCs w:val="20"/>
          <w:lang w:val="es-ES_tradnl"/>
        </w:rPr>
        <w:t>las presuntas víctimas, mediante el Auto</w:t>
      </w:r>
      <w:r w:rsidR="001241AF" w:rsidRPr="003643AE">
        <w:rPr>
          <w:rFonts w:asciiTheme="majorHAnsi" w:hAnsiTheme="majorHAnsi"/>
          <w:sz w:val="20"/>
          <w:szCs w:val="20"/>
          <w:lang w:val="es-ES_tradnl"/>
        </w:rPr>
        <w:t xml:space="preserve"> </w:t>
      </w:r>
      <w:r w:rsidR="00DB0989" w:rsidRPr="003643AE">
        <w:rPr>
          <w:rFonts w:asciiTheme="majorHAnsi" w:hAnsiTheme="majorHAnsi"/>
          <w:sz w:val="20"/>
          <w:szCs w:val="20"/>
          <w:lang w:val="es-ES_tradnl"/>
        </w:rPr>
        <w:t>072/2014-CA-ECA, modificaron de oficio tal medida cautelar, suspendiendo únicamente tres puntos Ley Nº 483</w:t>
      </w:r>
      <w:r w:rsidR="00DB0989" w:rsidRPr="003643AE">
        <w:rPr>
          <w:rStyle w:val="FootnoteReference"/>
          <w:rFonts w:asciiTheme="majorHAnsi" w:hAnsiTheme="majorHAnsi"/>
          <w:sz w:val="20"/>
          <w:szCs w:val="20"/>
          <w:lang w:val="es-ES_tradnl"/>
        </w:rPr>
        <w:footnoteReference w:id="4"/>
      </w:r>
      <w:r w:rsidR="002B3B4C" w:rsidRPr="003643AE">
        <w:rPr>
          <w:rFonts w:asciiTheme="majorHAnsi" w:hAnsiTheme="majorHAnsi"/>
          <w:sz w:val="20"/>
          <w:szCs w:val="20"/>
          <w:lang w:val="es-ES_tradnl"/>
        </w:rPr>
        <w:t>;</w:t>
      </w:r>
      <w:r w:rsidR="004F68E0" w:rsidRPr="003643AE">
        <w:rPr>
          <w:rFonts w:asciiTheme="majorHAnsi" w:hAnsiTheme="majorHAnsi"/>
          <w:sz w:val="20"/>
          <w:szCs w:val="20"/>
          <w:lang w:val="es-ES_tradnl"/>
        </w:rPr>
        <w:t xml:space="preserve"> y </w:t>
      </w:r>
      <w:r w:rsidR="002B3B4C" w:rsidRPr="003643AE">
        <w:rPr>
          <w:rFonts w:asciiTheme="majorHAnsi" w:hAnsiTheme="majorHAnsi"/>
          <w:sz w:val="20"/>
          <w:szCs w:val="20"/>
          <w:lang w:val="es-ES_tradnl"/>
        </w:rPr>
        <w:t>precisando</w:t>
      </w:r>
      <w:r w:rsidR="004F68E0" w:rsidRPr="003643AE">
        <w:rPr>
          <w:rFonts w:asciiTheme="majorHAnsi" w:hAnsiTheme="majorHAnsi"/>
          <w:sz w:val="20"/>
          <w:szCs w:val="20"/>
          <w:lang w:val="es-ES_tradnl"/>
        </w:rPr>
        <w:t xml:space="preserve"> que “</w:t>
      </w:r>
      <w:r w:rsidR="004F68E0" w:rsidRPr="003643AE">
        <w:rPr>
          <w:rFonts w:asciiTheme="majorHAnsi" w:hAnsiTheme="majorHAnsi"/>
          <w:i/>
          <w:iCs/>
          <w:sz w:val="20"/>
          <w:szCs w:val="20"/>
          <w:lang w:val="es-ES_tradnl"/>
        </w:rPr>
        <w:t>todos los actos notariales efectuados por los notarios en aplicación de la Ley del Notariado Plurinacional son plenamente válidos y surten los efectos legales reconocidos por dicha ley</w:t>
      </w:r>
      <w:r w:rsidR="004F68E0" w:rsidRPr="003643AE">
        <w:rPr>
          <w:rFonts w:asciiTheme="majorHAnsi" w:hAnsiTheme="majorHAnsi"/>
          <w:sz w:val="20"/>
          <w:szCs w:val="20"/>
          <w:lang w:val="es-ES_tradnl"/>
        </w:rPr>
        <w:t>”.</w:t>
      </w:r>
    </w:p>
    <w:p w14:paraId="7FE7FD63" w14:textId="413062DD" w:rsidR="007B41AC" w:rsidRPr="003643AE" w:rsidRDefault="006E0328" w:rsidP="007B41AC">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D</w:t>
      </w:r>
      <w:r w:rsidR="007B41AC" w:rsidRPr="003643AE">
        <w:rPr>
          <w:rFonts w:asciiTheme="majorHAnsi" w:hAnsiTheme="majorHAnsi"/>
          <w:sz w:val="20"/>
          <w:szCs w:val="20"/>
          <w:lang w:val="es-ES_tradnl"/>
        </w:rPr>
        <w:t>ebido a estas decisiones, e</w:t>
      </w:r>
      <w:r w:rsidR="006D7B8D" w:rsidRPr="003643AE">
        <w:rPr>
          <w:rFonts w:asciiTheme="majorHAnsi" w:hAnsiTheme="majorHAnsi"/>
          <w:sz w:val="20"/>
          <w:szCs w:val="20"/>
          <w:lang w:val="es-ES_tradnl"/>
        </w:rPr>
        <w:t>l 4 de junio de 2014 la entonces presidenta de la asociación de notarios de Potosí y la presidenta del tribunal de honor de la</w:t>
      </w:r>
      <w:r w:rsidR="005F626D" w:rsidRPr="003643AE">
        <w:rPr>
          <w:rFonts w:asciiTheme="majorHAnsi" w:hAnsiTheme="majorHAnsi"/>
          <w:sz w:val="20"/>
          <w:szCs w:val="20"/>
          <w:lang w:val="es-ES_tradnl"/>
        </w:rPr>
        <w:t xml:space="preserve"> asociación del notariado boliviano presenta</w:t>
      </w:r>
      <w:r w:rsidR="007B41AC" w:rsidRPr="003643AE">
        <w:rPr>
          <w:rFonts w:asciiTheme="majorHAnsi" w:hAnsiTheme="majorHAnsi"/>
          <w:sz w:val="20"/>
          <w:szCs w:val="20"/>
          <w:lang w:val="es-ES_tradnl"/>
        </w:rPr>
        <w:t>ron</w:t>
      </w:r>
      <w:r w:rsidR="005F626D" w:rsidRPr="003643AE">
        <w:rPr>
          <w:rFonts w:asciiTheme="majorHAnsi" w:hAnsiTheme="majorHAnsi"/>
          <w:sz w:val="20"/>
          <w:szCs w:val="20"/>
          <w:lang w:val="es-ES_tradnl"/>
        </w:rPr>
        <w:t xml:space="preserve"> a la Asamblea Legislativa Plurinacional una denuncia contra las presuntas víctimas alegando la presunta comisión de los delitos de prevaricato, resoluciones contrarias a la Constitución y a las leyes, e incumplimiento de deberes.</w:t>
      </w:r>
      <w:r w:rsidR="007B41AC" w:rsidRPr="003643AE">
        <w:rPr>
          <w:rFonts w:asciiTheme="majorHAnsi" w:hAnsiTheme="majorHAnsi"/>
          <w:sz w:val="20"/>
          <w:szCs w:val="20"/>
          <w:lang w:val="es-ES_tradnl"/>
        </w:rPr>
        <w:t xml:space="preserve"> En consecuencia, e</w:t>
      </w:r>
      <w:r w:rsidR="00BF44A0" w:rsidRPr="003643AE">
        <w:rPr>
          <w:rFonts w:asciiTheme="majorHAnsi" w:hAnsiTheme="majorHAnsi"/>
          <w:sz w:val="20"/>
          <w:szCs w:val="20"/>
          <w:lang w:val="es-ES_tradnl"/>
        </w:rPr>
        <w:t>l 6 de junio de 2014 la Asamblea Legislativa Plurinacional</w:t>
      </w:r>
      <w:r w:rsidR="007B41AC" w:rsidRPr="003643AE">
        <w:rPr>
          <w:rFonts w:asciiTheme="majorHAnsi" w:hAnsiTheme="majorHAnsi"/>
          <w:sz w:val="20"/>
          <w:szCs w:val="20"/>
          <w:lang w:val="es-ES_tradnl"/>
        </w:rPr>
        <w:t xml:space="preserve">, en </w:t>
      </w:r>
      <w:r w:rsidR="001676C0" w:rsidRPr="003643AE">
        <w:rPr>
          <w:rFonts w:asciiTheme="majorHAnsi" w:hAnsiTheme="majorHAnsi"/>
          <w:sz w:val="20"/>
          <w:szCs w:val="20"/>
          <w:lang w:val="es-ES_tradnl"/>
        </w:rPr>
        <w:t>aplicación de</w:t>
      </w:r>
      <w:r w:rsidR="007B41AC" w:rsidRPr="003643AE">
        <w:rPr>
          <w:rFonts w:asciiTheme="majorHAnsi" w:hAnsiTheme="majorHAnsi"/>
          <w:sz w:val="20"/>
          <w:szCs w:val="20"/>
          <w:lang w:val="es-ES_tradnl"/>
        </w:rPr>
        <w:t xml:space="preserve"> </w:t>
      </w:r>
      <w:r w:rsidR="001676C0" w:rsidRPr="003643AE">
        <w:rPr>
          <w:rFonts w:asciiTheme="majorHAnsi" w:hAnsiTheme="majorHAnsi"/>
          <w:sz w:val="20"/>
          <w:szCs w:val="20"/>
          <w:lang w:val="es-ES_tradnl"/>
        </w:rPr>
        <w:t>l</w:t>
      </w:r>
      <w:r w:rsidR="007B41AC" w:rsidRPr="003643AE">
        <w:rPr>
          <w:rFonts w:asciiTheme="majorHAnsi" w:hAnsiTheme="majorHAnsi"/>
          <w:sz w:val="20"/>
          <w:szCs w:val="20"/>
          <w:lang w:val="es-ES_tradnl"/>
        </w:rPr>
        <w:t>a Ley Nº 04</w:t>
      </w:r>
      <w:r w:rsidR="003D14A9" w:rsidRPr="003643AE">
        <w:rPr>
          <w:rFonts w:asciiTheme="majorHAnsi" w:hAnsiTheme="majorHAnsi"/>
          <w:sz w:val="20"/>
          <w:szCs w:val="20"/>
          <w:lang w:val="es-ES_tradnl"/>
        </w:rPr>
        <w:t xml:space="preserve">4, </w:t>
      </w:r>
      <w:r w:rsidR="007B41AC" w:rsidRPr="003643AE">
        <w:rPr>
          <w:rFonts w:asciiTheme="majorHAnsi" w:hAnsiTheme="majorHAnsi"/>
          <w:sz w:val="20"/>
          <w:szCs w:val="20"/>
          <w:lang w:val="es-ES_tradnl"/>
        </w:rPr>
        <w:t>que regula el juzgamiento de altas autoridades,</w:t>
      </w:r>
      <w:r w:rsidR="00BF44A0" w:rsidRPr="003643AE">
        <w:rPr>
          <w:rFonts w:asciiTheme="majorHAnsi" w:hAnsiTheme="majorHAnsi"/>
          <w:sz w:val="20"/>
          <w:szCs w:val="20"/>
          <w:lang w:val="es-ES_tradnl"/>
        </w:rPr>
        <w:t xml:space="preserve"> inició un juicio de responsabilidades </w:t>
      </w:r>
      <w:r w:rsidR="00281C52" w:rsidRPr="003643AE">
        <w:rPr>
          <w:rFonts w:asciiTheme="majorHAnsi" w:hAnsiTheme="majorHAnsi"/>
          <w:sz w:val="20"/>
          <w:szCs w:val="20"/>
          <w:lang w:val="es-ES_tradnl"/>
        </w:rPr>
        <w:t xml:space="preserve">contra las presuntas víctimas, en su condición de magistrados del </w:t>
      </w:r>
      <w:r w:rsidR="001241AF" w:rsidRPr="003643AE">
        <w:rPr>
          <w:rFonts w:asciiTheme="majorHAnsi" w:hAnsiTheme="majorHAnsi"/>
          <w:sz w:val="20"/>
          <w:szCs w:val="20"/>
          <w:lang w:val="es-ES_tradnl"/>
        </w:rPr>
        <w:t>TCP</w:t>
      </w:r>
      <w:r w:rsidR="00281C52" w:rsidRPr="003643AE">
        <w:rPr>
          <w:rFonts w:asciiTheme="majorHAnsi" w:hAnsiTheme="majorHAnsi"/>
          <w:sz w:val="20"/>
          <w:szCs w:val="20"/>
          <w:lang w:val="es-ES_tradnl"/>
        </w:rPr>
        <w:t xml:space="preserve">, alegando </w:t>
      </w:r>
      <w:r w:rsidR="007B41AC" w:rsidRPr="003643AE">
        <w:rPr>
          <w:rFonts w:asciiTheme="majorHAnsi" w:hAnsiTheme="majorHAnsi"/>
          <w:sz w:val="20"/>
          <w:szCs w:val="20"/>
          <w:lang w:val="es-ES_tradnl"/>
        </w:rPr>
        <w:t>que habían cometido</w:t>
      </w:r>
      <w:r w:rsidR="00281C52" w:rsidRPr="003643AE">
        <w:rPr>
          <w:rFonts w:asciiTheme="majorHAnsi" w:hAnsiTheme="majorHAnsi"/>
          <w:sz w:val="20"/>
          <w:szCs w:val="20"/>
          <w:lang w:val="es-ES_tradnl"/>
        </w:rPr>
        <w:t xml:space="preserve"> los </w:t>
      </w:r>
      <w:r w:rsidR="007B41AC" w:rsidRPr="003643AE">
        <w:rPr>
          <w:rFonts w:asciiTheme="majorHAnsi" w:hAnsiTheme="majorHAnsi"/>
          <w:sz w:val="20"/>
          <w:szCs w:val="20"/>
          <w:lang w:val="es-ES_tradnl"/>
        </w:rPr>
        <w:t xml:space="preserve">citados </w:t>
      </w:r>
      <w:r w:rsidR="00281C52" w:rsidRPr="003643AE">
        <w:rPr>
          <w:rFonts w:asciiTheme="majorHAnsi" w:hAnsiTheme="majorHAnsi"/>
          <w:sz w:val="20"/>
          <w:szCs w:val="20"/>
          <w:lang w:val="es-ES_tradnl"/>
        </w:rPr>
        <w:t>delitos</w:t>
      </w:r>
      <w:r w:rsidR="00310DE1" w:rsidRPr="003643AE">
        <w:rPr>
          <w:rFonts w:asciiTheme="majorHAnsi" w:hAnsiTheme="majorHAnsi"/>
          <w:sz w:val="20"/>
          <w:szCs w:val="20"/>
          <w:lang w:val="es-ES_tradnl"/>
        </w:rPr>
        <w:t xml:space="preserve">, </w:t>
      </w:r>
      <w:r w:rsidR="00636899" w:rsidRPr="003643AE">
        <w:rPr>
          <w:rFonts w:asciiTheme="majorHAnsi" w:hAnsiTheme="majorHAnsi"/>
          <w:sz w:val="20"/>
          <w:szCs w:val="20"/>
          <w:lang w:val="es-ES_tradnl"/>
        </w:rPr>
        <w:t>pues</w:t>
      </w:r>
      <w:r w:rsidR="00310DE1" w:rsidRPr="003643AE">
        <w:rPr>
          <w:rFonts w:asciiTheme="majorHAnsi" w:hAnsiTheme="majorHAnsi"/>
          <w:sz w:val="20"/>
          <w:szCs w:val="20"/>
          <w:lang w:val="es-ES_tradnl"/>
        </w:rPr>
        <w:t xml:space="preserve"> no tenían facultades para suspender la aplicación de la Ley del Notariado Plurinacional.</w:t>
      </w:r>
    </w:p>
    <w:p w14:paraId="65D5A097" w14:textId="63AF5E2A" w:rsidR="00A500B5" w:rsidRPr="003643AE" w:rsidRDefault="003D14A9" w:rsidP="001676C0">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 xml:space="preserve">La parte peticionaria resalta </w:t>
      </w:r>
      <w:r w:rsidR="007B41AC" w:rsidRPr="003643AE">
        <w:rPr>
          <w:rFonts w:asciiTheme="majorHAnsi" w:hAnsiTheme="majorHAnsi"/>
          <w:sz w:val="20"/>
          <w:szCs w:val="20"/>
          <w:lang w:val="es-ES_tradnl"/>
        </w:rPr>
        <w:t>que</w:t>
      </w:r>
      <w:r w:rsidR="001676C0" w:rsidRPr="003643AE">
        <w:rPr>
          <w:rFonts w:asciiTheme="majorHAnsi" w:hAnsiTheme="majorHAnsi"/>
          <w:sz w:val="20"/>
          <w:szCs w:val="20"/>
          <w:lang w:val="es-ES_tradnl"/>
        </w:rPr>
        <w:t xml:space="preserve"> </w:t>
      </w:r>
      <w:r w:rsidR="00F93FF8" w:rsidRPr="003643AE">
        <w:rPr>
          <w:rFonts w:asciiTheme="majorHAnsi" w:hAnsiTheme="majorHAnsi"/>
          <w:sz w:val="20"/>
          <w:szCs w:val="20"/>
          <w:lang w:val="es-ES_tradnl"/>
        </w:rPr>
        <w:t>a pesar de que</w:t>
      </w:r>
      <w:r w:rsidR="001676C0" w:rsidRPr="003643AE">
        <w:rPr>
          <w:rFonts w:asciiTheme="majorHAnsi" w:hAnsiTheme="majorHAnsi"/>
          <w:sz w:val="20"/>
          <w:szCs w:val="20"/>
          <w:lang w:val="es-ES_tradnl"/>
        </w:rPr>
        <w:t xml:space="preserve"> existían al menos veintiún demandas de juicio de responsabilidades presentadas previamente contra otras autoridades, sin respetar turno ni criterio de prioridad, </w:t>
      </w:r>
      <w:r w:rsidR="007B41AC" w:rsidRPr="003643AE">
        <w:rPr>
          <w:rFonts w:asciiTheme="majorHAnsi" w:hAnsiTheme="majorHAnsi"/>
          <w:sz w:val="20"/>
          <w:szCs w:val="20"/>
          <w:lang w:val="es-ES_tradnl"/>
        </w:rPr>
        <w:t xml:space="preserve">la etapa preparatoria de dicho juico </w:t>
      </w:r>
      <w:r w:rsidR="001676C0" w:rsidRPr="003643AE">
        <w:rPr>
          <w:rFonts w:asciiTheme="majorHAnsi" w:hAnsiTheme="majorHAnsi"/>
          <w:sz w:val="20"/>
          <w:szCs w:val="20"/>
          <w:lang w:val="es-ES_tradnl"/>
        </w:rPr>
        <w:t>inició de inmediato</w:t>
      </w:r>
      <w:r w:rsidR="00636899" w:rsidRPr="003643AE">
        <w:rPr>
          <w:rFonts w:asciiTheme="majorHAnsi" w:hAnsiTheme="majorHAnsi"/>
          <w:sz w:val="20"/>
          <w:szCs w:val="20"/>
          <w:lang w:val="es-ES_tradnl"/>
        </w:rPr>
        <w:t>;</w:t>
      </w:r>
      <w:r w:rsidR="001676C0" w:rsidRPr="003643AE">
        <w:rPr>
          <w:rFonts w:asciiTheme="majorHAnsi" w:hAnsiTheme="majorHAnsi"/>
          <w:sz w:val="20"/>
          <w:szCs w:val="20"/>
          <w:lang w:val="es-ES_tradnl"/>
        </w:rPr>
        <w:t xml:space="preserve"> y </w:t>
      </w:r>
      <w:r w:rsidR="00310DE1" w:rsidRPr="003643AE">
        <w:rPr>
          <w:rFonts w:asciiTheme="majorHAnsi" w:hAnsiTheme="majorHAnsi"/>
          <w:sz w:val="20"/>
          <w:szCs w:val="20"/>
          <w:lang w:val="es-ES_tradnl"/>
        </w:rPr>
        <w:t xml:space="preserve">el 29 julio de ese año la Cámara de Diputados, con abrumadora mayoría del partido de gobierno, aprobó </w:t>
      </w:r>
      <w:r w:rsidR="00E0274C" w:rsidRPr="003643AE">
        <w:rPr>
          <w:rFonts w:asciiTheme="majorHAnsi" w:hAnsiTheme="majorHAnsi"/>
          <w:sz w:val="20"/>
          <w:szCs w:val="20"/>
          <w:lang w:val="es-ES_tradnl"/>
        </w:rPr>
        <w:t xml:space="preserve">mediante Resolución Camaral Nº 066 </w:t>
      </w:r>
      <w:r w:rsidRPr="003643AE">
        <w:rPr>
          <w:rFonts w:asciiTheme="majorHAnsi" w:hAnsiTheme="majorHAnsi"/>
          <w:sz w:val="20"/>
          <w:szCs w:val="20"/>
          <w:lang w:val="es-ES_tradnl"/>
        </w:rPr>
        <w:t xml:space="preserve">una </w:t>
      </w:r>
      <w:r w:rsidR="00310DE1" w:rsidRPr="003643AE">
        <w:rPr>
          <w:rFonts w:asciiTheme="majorHAnsi" w:hAnsiTheme="majorHAnsi"/>
          <w:sz w:val="20"/>
          <w:szCs w:val="20"/>
          <w:lang w:val="es-ES_tradnl"/>
        </w:rPr>
        <w:t xml:space="preserve">acusación penal contra </w:t>
      </w:r>
      <w:r w:rsidR="001676C0" w:rsidRPr="003643AE">
        <w:rPr>
          <w:rFonts w:asciiTheme="majorHAnsi" w:hAnsiTheme="majorHAnsi"/>
          <w:sz w:val="20"/>
          <w:szCs w:val="20"/>
          <w:lang w:val="es-ES_tradnl"/>
        </w:rPr>
        <w:t xml:space="preserve">las </w:t>
      </w:r>
      <w:r w:rsidR="00F93FF8" w:rsidRPr="003643AE">
        <w:rPr>
          <w:rFonts w:asciiTheme="majorHAnsi" w:hAnsiTheme="majorHAnsi"/>
          <w:sz w:val="20"/>
          <w:szCs w:val="20"/>
          <w:lang w:val="es-ES_tradnl"/>
        </w:rPr>
        <w:t>señora</w:t>
      </w:r>
      <w:r w:rsidR="00636899" w:rsidRPr="003643AE">
        <w:rPr>
          <w:rFonts w:asciiTheme="majorHAnsi" w:hAnsiTheme="majorHAnsi"/>
          <w:sz w:val="20"/>
          <w:szCs w:val="20"/>
          <w:lang w:val="es-ES_tradnl"/>
        </w:rPr>
        <w:t>s Ligia</w:t>
      </w:r>
      <w:r w:rsidR="00F93FF8" w:rsidRPr="003643AE">
        <w:rPr>
          <w:rFonts w:asciiTheme="majorHAnsi" w:hAnsiTheme="majorHAnsi"/>
          <w:sz w:val="20"/>
          <w:szCs w:val="20"/>
          <w:lang w:val="es-ES_tradnl"/>
        </w:rPr>
        <w:t xml:space="preserve"> Velásquez y </w:t>
      </w:r>
      <w:r w:rsidR="00636899" w:rsidRPr="003643AE">
        <w:rPr>
          <w:rFonts w:asciiTheme="majorHAnsi" w:hAnsiTheme="majorHAnsi"/>
          <w:sz w:val="20"/>
          <w:szCs w:val="20"/>
          <w:lang w:val="es-ES_tradnl"/>
        </w:rPr>
        <w:t xml:space="preserve">Rosario </w:t>
      </w:r>
      <w:r w:rsidR="001241AF" w:rsidRPr="003643AE">
        <w:rPr>
          <w:rFonts w:asciiTheme="majorHAnsi" w:hAnsiTheme="majorHAnsi"/>
          <w:sz w:val="20"/>
          <w:szCs w:val="20"/>
          <w:lang w:val="es-ES_tradnl"/>
        </w:rPr>
        <w:t>Chánez</w:t>
      </w:r>
      <w:r w:rsidR="001676C0" w:rsidRPr="003643AE">
        <w:rPr>
          <w:rFonts w:asciiTheme="majorHAnsi" w:hAnsiTheme="majorHAnsi"/>
          <w:sz w:val="20"/>
          <w:szCs w:val="20"/>
          <w:lang w:val="es-ES_tradnl"/>
        </w:rPr>
        <w:t xml:space="preserve"> </w:t>
      </w:r>
      <w:r w:rsidR="0069515A" w:rsidRPr="003643AE">
        <w:rPr>
          <w:rFonts w:asciiTheme="majorHAnsi" w:hAnsiTheme="majorHAnsi"/>
          <w:sz w:val="20"/>
          <w:szCs w:val="20"/>
          <w:lang w:val="es-ES_tradnl"/>
        </w:rPr>
        <w:t>por los delitos por los que fueron denunciadas</w:t>
      </w:r>
      <w:r w:rsidR="00636899" w:rsidRPr="003643AE">
        <w:rPr>
          <w:rFonts w:asciiTheme="majorHAnsi" w:hAnsiTheme="majorHAnsi"/>
          <w:sz w:val="20"/>
          <w:szCs w:val="20"/>
          <w:lang w:val="es-ES_tradnl"/>
        </w:rPr>
        <w:t>;</w:t>
      </w:r>
      <w:r w:rsidR="0069515A" w:rsidRPr="003643AE">
        <w:rPr>
          <w:rFonts w:asciiTheme="majorHAnsi" w:hAnsiTheme="majorHAnsi"/>
          <w:sz w:val="20"/>
          <w:szCs w:val="20"/>
          <w:lang w:val="es-ES_tradnl"/>
        </w:rPr>
        <w:t xml:space="preserve"> </w:t>
      </w:r>
      <w:r w:rsidR="001676C0" w:rsidRPr="003643AE">
        <w:rPr>
          <w:rFonts w:asciiTheme="majorHAnsi" w:hAnsiTheme="majorHAnsi"/>
          <w:sz w:val="20"/>
          <w:szCs w:val="20"/>
          <w:lang w:val="es-ES_tradnl"/>
        </w:rPr>
        <w:t xml:space="preserve">y </w:t>
      </w:r>
      <w:r w:rsidR="00310DE1" w:rsidRPr="003643AE">
        <w:rPr>
          <w:rFonts w:asciiTheme="majorHAnsi" w:hAnsiTheme="majorHAnsi"/>
          <w:sz w:val="20"/>
          <w:szCs w:val="20"/>
          <w:lang w:val="es-ES_tradnl"/>
        </w:rPr>
        <w:t xml:space="preserve">dispuso </w:t>
      </w:r>
      <w:r w:rsidR="001676C0" w:rsidRPr="003643AE">
        <w:rPr>
          <w:rFonts w:asciiTheme="majorHAnsi" w:hAnsiTheme="majorHAnsi"/>
          <w:sz w:val="20"/>
          <w:szCs w:val="20"/>
          <w:lang w:val="es-ES_tradnl"/>
        </w:rPr>
        <w:t>su</w:t>
      </w:r>
      <w:r w:rsidR="00310DE1" w:rsidRPr="003643AE">
        <w:rPr>
          <w:rFonts w:asciiTheme="majorHAnsi" w:hAnsiTheme="majorHAnsi"/>
          <w:sz w:val="20"/>
          <w:szCs w:val="20"/>
          <w:lang w:val="es-ES_tradnl"/>
        </w:rPr>
        <w:t xml:space="preserve"> suspensión</w:t>
      </w:r>
      <w:r w:rsidR="00F93FF8" w:rsidRPr="003643AE">
        <w:rPr>
          <w:rFonts w:asciiTheme="majorHAnsi" w:hAnsiTheme="majorHAnsi"/>
          <w:sz w:val="20"/>
          <w:szCs w:val="20"/>
          <w:lang w:val="es-ES_tradnl"/>
        </w:rPr>
        <w:t xml:space="preserve"> como magistradas del TCP</w:t>
      </w:r>
      <w:r w:rsidR="001676C0" w:rsidRPr="003643AE">
        <w:rPr>
          <w:rFonts w:asciiTheme="majorHAnsi" w:hAnsiTheme="majorHAnsi"/>
          <w:sz w:val="20"/>
          <w:szCs w:val="20"/>
          <w:lang w:val="es-ES_tradnl"/>
        </w:rPr>
        <w:t xml:space="preserve">, </w:t>
      </w:r>
      <w:r w:rsidR="00310DE1" w:rsidRPr="003643AE">
        <w:rPr>
          <w:rFonts w:asciiTheme="majorHAnsi" w:hAnsiTheme="majorHAnsi"/>
          <w:sz w:val="20"/>
          <w:szCs w:val="20"/>
          <w:lang w:val="es-ES_tradnl"/>
        </w:rPr>
        <w:t xml:space="preserve">nombrando a </w:t>
      </w:r>
      <w:r w:rsidR="00F93FF8" w:rsidRPr="003643AE">
        <w:rPr>
          <w:rFonts w:asciiTheme="majorHAnsi" w:hAnsiTheme="majorHAnsi"/>
          <w:sz w:val="20"/>
          <w:szCs w:val="20"/>
          <w:lang w:val="es-ES_tradnl"/>
        </w:rPr>
        <w:t>otros funcionarios</w:t>
      </w:r>
      <w:r w:rsidR="00310DE1" w:rsidRPr="003643AE">
        <w:rPr>
          <w:rFonts w:asciiTheme="majorHAnsi" w:hAnsiTheme="majorHAnsi"/>
          <w:sz w:val="20"/>
          <w:szCs w:val="20"/>
          <w:lang w:val="es-ES_tradnl"/>
        </w:rPr>
        <w:t xml:space="preserve"> en sustitución.</w:t>
      </w:r>
      <w:r w:rsidR="00F93FF8" w:rsidRPr="003643AE">
        <w:rPr>
          <w:rFonts w:asciiTheme="majorHAnsi" w:hAnsiTheme="majorHAnsi"/>
          <w:sz w:val="20"/>
          <w:szCs w:val="20"/>
          <w:lang w:val="es-ES_tradnl"/>
        </w:rPr>
        <w:t xml:space="preserve"> </w:t>
      </w:r>
      <w:r w:rsidR="00241276" w:rsidRPr="003643AE">
        <w:rPr>
          <w:rFonts w:asciiTheme="majorHAnsi" w:hAnsiTheme="majorHAnsi"/>
          <w:sz w:val="20"/>
          <w:szCs w:val="20"/>
          <w:lang w:val="es-ES_tradnl"/>
        </w:rPr>
        <w:t>T</w:t>
      </w:r>
      <w:r w:rsidR="00E0274C" w:rsidRPr="003643AE">
        <w:rPr>
          <w:rFonts w:asciiTheme="majorHAnsi" w:hAnsiTheme="majorHAnsi"/>
          <w:sz w:val="20"/>
          <w:szCs w:val="20"/>
          <w:lang w:val="es-ES_tradnl"/>
        </w:rPr>
        <w:t xml:space="preserve">res meses más tarde, </w:t>
      </w:r>
      <w:r w:rsidR="0069515A" w:rsidRPr="003643AE">
        <w:rPr>
          <w:rFonts w:asciiTheme="majorHAnsi" w:hAnsiTheme="majorHAnsi"/>
          <w:sz w:val="20"/>
          <w:szCs w:val="20"/>
          <w:lang w:val="es-ES_tradnl"/>
        </w:rPr>
        <w:t xml:space="preserve">el 29 de octubre de 2014, la Cámara de Diputados, mediante Resolución Camaral Nº 113, determinó que el señor </w:t>
      </w:r>
      <w:r w:rsidR="00353BFC" w:rsidRPr="003643AE">
        <w:rPr>
          <w:rFonts w:asciiTheme="majorHAnsi" w:hAnsiTheme="majorHAnsi"/>
          <w:sz w:val="20"/>
          <w:szCs w:val="20"/>
          <w:lang w:val="es-ES_tradnl"/>
        </w:rPr>
        <w:t xml:space="preserve">Gualberto </w:t>
      </w:r>
      <w:r w:rsidR="0069515A" w:rsidRPr="003643AE">
        <w:rPr>
          <w:rFonts w:asciiTheme="majorHAnsi" w:hAnsiTheme="majorHAnsi"/>
          <w:sz w:val="20"/>
          <w:szCs w:val="20"/>
          <w:lang w:val="es-ES_tradnl"/>
        </w:rPr>
        <w:t xml:space="preserve">Cusi también fuera suspendido como </w:t>
      </w:r>
      <w:r w:rsidRPr="003643AE">
        <w:rPr>
          <w:rFonts w:asciiTheme="majorHAnsi" w:hAnsiTheme="majorHAnsi"/>
          <w:sz w:val="20"/>
          <w:szCs w:val="20"/>
          <w:lang w:val="es-ES_tradnl"/>
        </w:rPr>
        <w:t>m</w:t>
      </w:r>
      <w:r w:rsidR="0069515A" w:rsidRPr="003643AE">
        <w:rPr>
          <w:rFonts w:asciiTheme="majorHAnsi" w:hAnsiTheme="majorHAnsi"/>
          <w:sz w:val="20"/>
          <w:szCs w:val="20"/>
          <w:lang w:val="es-ES_tradnl"/>
        </w:rPr>
        <w:t>agistrado.</w:t>
      </w:r>
    </w:p>
    <w:p w14:paraId="1FFAD4E9" w14:textId="7059F764" w:rsidR="0069515A" w:rsidRPr="003643AE" w:rsidRDefault="00180249" w:rsidP="0069515A">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Luego de esta decisión,</w:t>
      </w:r>
      <w:r w:rsidR="00A500B5" w:rsidRPr="003643AE">
        <w:rPr>
          <w:rFonts w:asciiTheme="majorHAnsi" w:hAnsiTheme="majorHAnsi"/>
          <w:sz w:val="20"/>
          <w:szCs w:val="20"/>
          <w:lang w:val="es-ES_tradnl"/>
        </w:rPr>
        <w:t xml:space="preserve"> el caso pasó al Senado para su sustentación y sentencia. </w:t>
      </w:r>
      <w:r w:rsidR="0069515A" w:rsidRPr="003643AE">
        <w:rPr>
          <w:rFonts w:asciiTheme="majorHAnsi" w:hAnsiTheme="majorHAnsi"/>
          <w:sz w:val="20"/>
          <w:szCs w:val="20"/>
          <w:lang w:val="es-ES_tradnl"/>
        </w:rPr>
        <w:t xml:space="preserve">Llegado este punto, las presuntas víctimas utilizaron distintas vías judiciales para cuestionar su suspensión y evitar su inminente destitución. En tal sentido, precisa </w:t>
      </w:r>
      <w:r w:rsidR="00DF0AF4" w:rsidRPr="003643AE">
        <w:rPr>
          <w:rFonts w:asciiTheme="majorHAnsi" w:hAnsiTheme="majorHAnsi"/>
          <w:sz w:val="20"/>
          <w:szCs w:val="20"/>
          <w:lang w:val="es-ES_tradnl"/>
        </w:rPr>
        <w:t xml:space="preserve">la parte peticionaria, </w:t>
      </w:r>
      <w:r w:rsidR="0069515A" w:rsidRPr="003643AE">
        <w:rPr>
          <w:rFonts w:asciiTheme="majorHAnsi" w:hAnsiTheme="majorHAnsi"/>
          <w:sz w:val="20"/>
          <w:szCs w:val="20"/>
          <w:lang w:val="es-ES_tradnl"/>
        </w:rPr>
        <w:t xml:space="preserve">si bien las </w:t>
      </w:r>
      <w:r w:rsidR="003D14A9" w:rsidRPr="003643AE">
        <w:rPr>
          <w:rFonts w:asciiTheme="majorHAnsi" w:hAnsiTheme="majorHAnsi"/>
          <w:sz w:val="20"/>
          <w:szCs w:val="20"/>
          <w:lang w:val="es-ES_tradnl"/>
        </w:rPr>
        <w:t xml:space="preserve">todas </w:t>
      </w:r>
      <w:r w:rsidR="0069515A" w:rsidRPr="003643AE">
        <w:rPr>
          <w:rFonts w:asciiTheme="majorHAnsi" w:hAnsiTheme="majorHAnsi"/>
          <w:sz w:val="20"/>
          <w:szCs w:val="20"/>
          <w:lang w:val="es-ES_tradnl"/>
        </w:rPr>
        <w:t xml:space="preserve">presuntas víctimas perdieron su cargo como magistradas del TCP, la Cámara de Senadores adoptó resoluciones diferentes para cada caso. </w:t>
      </w:r>
      <w:r w:rsidR="00DF0AF4" w:rsidRPr="003643AE">
        <w:rPr>
          <w:rFonts w:asciiTheme="majorHAnsi" w:hAnsiTheme="majorHAnsi"/>
          <w:sz w:val="20"/>
          <w:szCs w:val="20"/>
          <w:lang w:val="es-ES_tradnl"/>
        </w:rPr>
        <w:t>A</w:t>
      </w:r>
      <w:r w:rsidR="0069515A" w:rsidRPr="003643AE">
        <w:rPr>
          <w:rFonts w:asciiTheme="majorHAnsi" w:hAnsiTheme="majorHAnsi"/>
          <w:sz w:val="20"/>
          <w:szCs w:val="20"/>
          <w:lang w:val="es-ES_tradnl"/>
        </w:rPr>
        <w:t xml:space="preserve"> continuación se explica cada una se estas situaciones. </w:t>
      </w:r>
    </w:p>
    <w:p w14:paraId="608109AB" w14:textId="1172BE97" w:rsidR="00B91DA1" w:rsidRPr="003643AE" w:rsidRDefault="0069515A" w:rsidP="0069515A">
      <w:pPr>
        <w:suppressAutoHyphens/>
        <w:spacing w:after="240"/>
        <w:ind w:firstLine="720"/>
        <w:jc w:val="both"/>
        <w:rPr>
          <w:rFonts w:asciiTheme="majorHAnsi" w:hAnsiTheme="majorHAnsi"/>
          <w:i/>
          <w:iCs/>
          <w:sz w:val="20"/>
          <w:szCs w:val="20"/>
          <w:lang w:val="es-ES_tradnl"/>
        </w:rPr>
      </w:pPr>
      <w:r w:rsidRPr="003643AE">
        <w:rPr>
          <w:rFonts w:asciiTheme="majorHAnsi" w:hAnsiTheme="majorHAnsi"/>
          <w:i/>
          <w:iCs/>
          <w:sz w:val="20"/>
          <w:szCs w:val="20"/>
          <w:lang w:val="es-ES_tradnl"/>
        </w:rPr>
        <w:t>Acciones adoptadas por la</w:t>
      </w:r>
      <w:r w:rsidR="00B91DA1" w:rsidRPr="003643AE">
        <w:rPr>
          <w:rFonts w:asciiTheme="majorHAnsi" w:hAnsiTheme="majorHAnsi"/>
          <w:i/>
          <w:iCs/>
          <w:sz w:val="20"/>
          <w:szCs w:val="20"/>
          <w:lang w:val="es-ES_tradnl"/>
        </w:rPr>
        <w:t>s</w:t>
      </w:r>
      <w:r w:rsidRPr="003643AE">
        <w:rPr>
          <w:rFonts w:asciiTheme="majorHAnsi" w:hAnsiTheme="majorHAnsi"/>
          <w:i/>
          <w:iCs/>
          <w:sz w:val="20"/>
          <w:szCs w:val="20"/>
          <w:lang w:val="es-ES_tradnl"/>
        </w:rPr>
        <w:t xml:space="preserve"> señora</w:t>
      </w:r>
      <w:r w:rsidR="00B91DA1" w:rsidRPr="003643AE">
        <w:rPr>
          <w:rFonts w:asciiTheme="majorHAnsi" w:hAnsiTheme="majorHAnsi"/>
          <w:i/>
          <w:iCs/>
          <w:sz w:val="20"/>
          <w:szCs w:val="20"/>
          <w:lang w:val="es-ES_tradnl"/>
        </w:rPr>
        <w:t>s</w:t>
      </w:r>
      <w:r w:rsidRPr="003643AE">
        <w:rPr>
          <w:rFonts w:asciiTheme="majorHAnsi" w:hAnsiTheme="majorHAnsi"/>
          <w:i/>
          <w:iCs/>
          <w:sz w:val="20"/>
          <w:szCs w:val="20"/>
          <w:lang w:val="es-ES_tradnl"/>
        </w:rPr>
        <w:t xml:space="preserve"> </w:t>
      </w:r>
      <w:r w:rsidR="00B91DA1" w:rsidRPr="003643AE">
        <w:rPr>
          <w:rFonts w:asciiTheme="majorHAnsi" w:hAnsiTheme="majorHAnsi"/>
          <w:i/>
          <w:iCs/>
          <w:sz w:val="20"/>
          <w:szCs w:val="20"/>
          <w:lang w:val="es-ES_tradnl"/>
        </w:rPr>
        <w:t>Ch</w:t>
      </w:r>
      <w:r w:rsidR="00FB67E4" w:rsidRPr="003643AE">
        <w:rPr>
          <w:rFonts w:asciiTheme="majorHAnsi" w:hAnsiTheme="majorHAnsi"/>
          <w:i/>
          <w:iCs/>
          <w:sz w:val="20"/>
          <w:szCs w:val="20"/>
          <w:lang w:val="es-ES_tradnl"/>
        </w:rPr>
        <w:t>á</w:t>
      </w:r>
      <w:r w:rsidR="00B91DA1" w:rsidRPr="003643AE">
        <w:rPr>
          <w:rFonts w:asciiTheme="majorHAnsi" w:hAnsiTheme="majorHAnsi"/>
          <w:i/>
          <w:iCs/>
          <w:sz w:val="20"/>
          <w:szCs w:val="20"/>
          <w:lang w:val="es-ES_tradnl"/>
        </w:rPr>
        <w:t>nez y Velásquez</w:t>
      </w:r>
    </w:p>
    <w:p w14:paraId="4350EC9E" w14:textId="1B945468" w:rsidR="0069515A" w:rsidRPr="003643AE" w:rsidRDefault="00052A80" w:rsidP="0069515A">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E</w:t>
      </w:r>
      <w:r w:rsidR="0069515A" w:rsidRPr="003643AE">
        <w:rPr>
          <w:rFonts w:asciiTheme="majorHAnsi" w:hAnsiTheme="majorHAnsi"/>
          <w:sz w:val="20"/>
          <w:szCs w:val="20"/>
          <w:lang w:val="es-ES_tradnl"/>
        </w:rPr>
        <w:t>l</w:t>
      </w:r>
      <w:r w:rsidR="00B91DA1" w:rsidRPr="003643AE">
        <w:rPr>
          <w:rFonts w:asciiTheme="majorHAnsi" w:hAnsiTheme="majorHAnsi"/>
          <w:sz w:val="20"/>
          <w:szCs w:val="20"/>
          <w:lang w:val="es-ES_tradnl"/>
        </w:rPr>
        <w:t xml:space="preserve"> </w:t>
      </w:r>
      <w:r w:rsidRPr="003643AE">
        <w:rPr>
          <w:rFonts w:asciiTheme="majorHAnsi" w:hAnsiTheme="majorHAnsi"/>
          <w:sz w:val="20"/>
          <w:szCs w:val="20"/>
          <w:lang w:val="es-ES_tradnl"/>
        </w:rPr>
        <w:t xml:space="preserve">9 </w:t>
      </w:r>
      <w:r w:rsidR="00B91DA1" w:rsidRPr="003643AE">
        <w:rPr>
          <w:rFonts w:asciiTheme="majorHAnsi" w:hAnsiTheme="majorHAnsi"/>
          <w:sz w:val="20"/>
          <w:szCs w:val="20"/>
          <w:lang w:val="es-ES_tradnl"/>
        </w:rPr>
        <w:t>y</w:t>
      </w:r>
      <w:r w:rsidR="0069515A" w:rsidRPr="003643AE">
        <w:rPr>
          <w:rFonts w:asciiTheme="majorHAnsi" w:hAnsiTheme="majorHAnsi"/>
          <w:sz w:val="20"/>
          <w:szCs w:val="20"/>
          <w:lang w:val="es-ES_tradnl"/>
        </w:rPr>
        <w:t xml:space="preserve"> 17 de julio de 2014 la</w:t>
      </w:r>
      <w:r w:rsidR="00B91DA1" w:rsidRPr="003643AE">
        <w:rPr>
          <w:rFonts w:asciiTheme="majorHAnsi" w:hAnsiTheme="majorHAnsi"/>
          <w:sz w:val="20"/>
          <w:szCs w:val="20"/>
          <w:lang w:val="es-ES_tradnl"/>
        </w:rPr>
        <w:t>s</w:t>
      </w:r>
      <w:r w:rsidR="0069515A" w:rsidRPr="003643AE">
        <w:rPr>
          <w:rFonts w:asciiTheme="majorHAnsi" w:hAnsiTheme="majorHAnsi"/>
          <w:sz w:val="20"/>
          <w:szCs w:val="20"/>
          <w:lang w:val="es-ES_tradnl"/>
        </w:rPr>
        <w:t xml:space="preserve"> señora</w:t>
      </w:r>
      <w:r w:rsidR="00B91DA1" w:rsidRPr="003643AE">
        <w:rPr>
          <w:rFonts w:asciiTheme="majorHAnsi" w:hAnsiTheme="majorHAnsi"/>
          <w:sz w:val="20"/>
          <w:szCs w:val="20"/>
          <w:lang w:val="es-ES_tradnl"/>
        </w:rPr>
        <w:t>s</w:t>
      </w:r>
      <w:r w:rsidR="0069515A" w:rsidRPr="003643AE">
        <w:rPr>
          <w:rFonts w:asciiTheme="majorHAnsi" w:hAnsiTheme="majorHAnsi"/>
          <w:sz w:val="20"/>
          <w:szCs w:val="20"/>
          <w:lang w:val="es-ES_tradnl"/>
        </w:rPr>
        <w:t xml:space="preserve"> </w:t>
      </w:r>
      <w:r w:rsidR="00B91DA1" w:rsidRPr="003643AE">
        <w:rPr>
          <w:rFonts w:asciiTheme="majorHAnsi" w:hAnsiTheme="majorHAnsi"/>
          <w:sz w:val="20"/>
          <w:szCs w:val="20"/>
          <w:lang w:val="es-ES_tradnl"/>
        </w:rPr>
        <w:t>Ch</w:t>
      </w:r>
      <w:r w:rsidR="00FB67E4" w:rsidRPr="003643AE">
        <w:rPr>
          <w:rFonts w:asciiTheme="majorHAnsi" w:hAnsiTheme="majorHAnsi"/>
          <w:sz w:val="20"/>
          <w:szCs w:val="20"/>
          <w:lang w:val="es-ES_tradnl"/>
        </w:rPr>
        <w:t>á</w:t>
      </w:r>
      <w:r w:rsidR="00B91DA1" w:rsidRPr="003643AE">
        <w:rPr>
          <w:rFonts w:asciiTheme="majorHAnsi" w:hAnsiTheme="majorHAnsi"/>
          <w:sz w:val="20"/>
          <w:szCs w:val="20"/>
          <w:lang w:val="es-ES_tradnl"/>
        </w:rPr>
        <w:t>nez y Velásquez, respectivamente, p</w:t>
      </w:r>
      <w:r w:rsidR="0069515A" w:rsidRPr="003643AE">
        <w:rPr>
          <w:rFonts w:asciiTheme="majorHAnsi" w:hAnsiTheme="majorHAnsi"/>
          <w:sz w:val="20"/>
          <w:szCs w:val="20"/>
          <w:lang w:val="es-ES_tradnl"/>
        </w:rPr>
        <w:t>resent</w:t>
      </w:r>
      <w:r w:rsidR="00B91DA1" w:rsidRPr="003643AE">
        <w:rPr>
          <w:rFonts w:asciiTheme="majorHAnsi" w:hAnsiTheme="majorHAnsi"/>
          <w:sz w:val="20"/>
          <w:szCs w:val="20"/>
          <w:lang w:val="es-ES_tradnl"/>
        </w:rPr>
        <w:t>aron</w:t>
      </w:r>
      <w:r w:rsidR="0069515A" w:rsidRPr="003643AE">
        <w:rPr>
          <w:rFonts w:asciiTheme="majorHAnsi" w:hAnsiTheme="majorHAnsi"/>
          <w:sz w:val="20"/>
          <w:szCs w:val="20"/>
          <w:lang w:val="es-ES_tradnl"/>
        </w:rPr>
        <w:t xml:space="preserve"> ante la Comisión de Constitución, Legislación y Sistema Electoral de la Cámara de Diputados una acción de inconstitucionalidad contra varios artículos de la Ley Nº 44, argumentando que contravenían los estándares internacionales sobre el derecho a las garantías judiciales; y una excepción de incompetencia en relación con la Asamblea Legislativa Plurinacional. No obstante, el 18 de julio de 2014 la referida Comisión de Constitución, Legislación y Sistema Electoral rechazó ambas acciones sin mayor fundamentación, únicamente indicando que no se había fundamentado adecuadamente en qué medida los artículos impugnados serían contrarios a la Constitución. </w:t>
      </w:r>
      <w:r w:rsidR="005F2281" w:rsidRPr="003643AE">
        <w:rPr>
          <w:rFonts w:asciiTheme="majorHAnsi" w:hAnsiTheme="majorHAnsi"/>
          <w:sz w:val="20"/>
          <w:szCs w:val="20"/>
          <w:lang w:val="es-ES_tradnl"/>
        </w:rPr>
        <w:t>Sin embargo</w:t>
      </w:r>
      <w:r w:rsidR="0069515A" w:rsidRPr="003643AE">
        <w:rPr>
          <w:rFonts w:asciiTheme="majorHAnsi" w:hAnsiTheme="majorHAnsi"/>
          <w:sz w:val="20"/>
          <w:szCs w:val="20"/>
          <w:lang w:val="es-ES_tradnl"/>
        </w:rPr>
        <w:t xml:space="preserve">, el 22 de agosto de 2014 el </w:t>
      </w:r>
      <w:r w:rsidR="001241AF" w:rsidRPr="003643AE">
        <w:rPr>
          <w:rFonts w:asciiTheme="majorHAnsi" w:hAnsiTheme="majorHAnsi"/>
          <w:sz w:val="20"/>
          <w:szCs w:val="20"/>
          <w:lang w:val="es-ES_tradnl"/>
        </w:rPr>
        <w:t>TCP</w:t>
      </w:r>
      <w:r w:rsidR="00B91DA1" w:rsidRPr="003643AE">
        <w:rPr>
          <w:rFonts w:asciiTheme="majorHAnsi" w:hAnsiTheme="majorHAnsi"/>
          <w:sz w:val="20"/>
          <w:szCs w:val="20"/>
          <w:lang w:val="es-ES_tradnl"/>
        </w:rPr>
        <w:t>, mediante auto constitucional 0289/2014,</w:t>
      </w:r>
      <w:r w:rsidR="0069515A" w:rsidRPr="003643AE">
        <w:rPr>
          <w:rFonts w:asciiTheme="majorHAnsi" w:hAnsiTheme="majorHAnsi"/>
          <w:sz w:val="20"/>
          <w:szCs w:val="20"/>
          <w:lang w:val="es-ES_tradnl"/>
        </w:rPr>
        <w:t xml:space="preserve"> confirmó </w:t>
      </w:r>
      <w:r w:rsidR="0069515A" w:rsidRPr="003643AE">
        <w:rPr>
          <w:rFonts w:asciiTheme="majorHAnsi" w:hAnsiTheme="majorHAnsi"/>
          <w:sz w:val="20"/>
          <w:szCs w:val="20"/>
          <w:lang w:val="es-ES_tradnl"/>
        </w:rPr>
        <w:lastRenderedPageBreak/>
        <w:t>el rechazo de la</w:t>
      </w:r>
      <w:r w:rsidR="00B91DA1" w:rsidRPr="003643AE">
        <w:rPr>
          <w:rFonts w:asciiTheme="majorHAnsi" w:hAnsiTheme="majorHAnsi"/>
          <w:sz w:val="20"/>
          <w:szCs w:val="20"/>
          <w:lang w:val="es-ES_tradnl"/>
        </w:rPr>
        <w:t>s</w:t>
      </w:r>
      <w:r w:rsidR="0069515A" w:rsidRPr="003643AE">
        <w:rPr>
          <w:rFonts w:asciiTheme="majorHAnsi" w:hAnsiTheme="majorHAnsi"/>
          <w:sz w:val="20"/>
          <w:szCs w:val="20"/>
          <w:lang w:val="es-ES_tradnl"/>
        </w:rPr>
        <w:t xml:space="preserve"> acci</w:t>
      </w:r>
      <w:r w:rsidR="00B91DA1" w:rsidRPr="003643AE">
        <w:rPr>
          <w:rFonts w:asciiTheme="majorHAnsi" w:hAnsiTheme="majorHAnsi"/>
          <w:sz w:val="20"/>
          <w:szCs w:val="20"/>
          <w:lang w:val="es-ES_tradnl"/>
        </w:rPr>
        <w:t>ones</w:t>
      </w:r>
      <w:r w:rsidR="0069515A" w:rsidRPr="003643AE">
        <w:rPr>
          <w:rFonts w:asciiTheme="majorHAnsi" w:hAnsiTheme="majorHAnsi"/>
          <w:sz w:val="20"/>
          <w:szCs w:val="20"/>
          <w:lang w:val="es-ES_tradnl"/>
        </w:rPr>
        <w:t xml:space="preserve"> de inconstitucionalidad</w:t>
      </w:r>
      <w:r w:rsidR="00B91DA1" w:rsidRPr="003643AE">
        <w:rPr>
          <w:rFonts w:asciiTheme="majorHAnsi" w:hAnsiTheme="majorHAnsi"/>
          <w:sz w:val="20"/>
          <w:szCs w:val="20"/>
          <w:lang w:val="es-ES_tradnl"/>
        </w:rPr>
        <w:t xml:space="preserve"> planteadas por ambas presuntas víctimas</w:t>
      </w:r>
      <w:r w:rsidR="0069515A" w:rsidRPr="003643AE">
        <w:rPr>
          <w:rFonts w:asciiTheme="majorHAnsi" w:hAnsiTheme="majorHAnsi"/>
          <w:sz w:val="20"/>
          <w:szCs w:val="20"/>
          <w:lang w:val="es-ES_tradnl"/>
        </w:rPr>
        <w:t xml:space="preserve">, argumentando </w:t>
      </w:r>
      <w:r w:rsidR="005F2281" w:rsidRPr="003643AE">
        <w:rPr>
          <w:rFonts w:asciiTheme="majorHAnsi" w:hAnsiTheme="majorHAnsi"/>
          <w:i/>
          <w:iCs/>
          <w:sz w:val="20"/>
          <w:szCs w:val="20"/>
          <w:lang w:val="es-ES_tradnl"/>
        </w:rPr>
        <w:t>inter alia</w:t>
      </w:r>
      <w:r w:rsidR="005F2281" w:rsidRPr="003643AE">
        <w:rPr>
          <w:rFonts w:asciiTheme="majorHAnsi" w:hAnsiTheme="majorHAnsi"/>
          <w:sz w:val="20"/>
          <w:szCs w:val="20"/>
          <w:lang w:val="es-ES_tradnl"/>
        </w:rPr>
        <w:t xml:space="preserve"> </w:t>
      </w:r>
      <w:r w:rsidR="0069515A" w:rsidRPr="003643AE">
        <w:rPr>
          <w:rFonts w:asciiTheme="majorHAnsi" w:hAnsiTheme="majorHAnsi"/>
          <w:sz w:val="20"/>
          <w:szCs w:val="20"/>
          <w:lang w:val="es-ES_tradnl"/>
        </w:rPr>
        <w:t>lo siguiente:</w:t>
      </w:r>
    </w:p>
    <w:p w14:paraId="1292371A" w14:textId="42E0E657" w:rsidR="0069515A" w:rsidRPr="003643AE" w:rsidRDefault="0069515A" w:rsidP="005F2281">
      <w:pPr>
        <w:suppressAutoHyphens/>
        <w:spacing w:after="240"/>
        <w:ind w:left="720" w:right="720"/>
        <w:jc w:val="both"/>
        <w:rPr>
          <w:rFonts w:asciiTheme="majorHAnsi" w:hAnsiTheme="majorHAnsi"/>
          <w:sz w:val="20"/>
          <w:szCs w:val="20"/>
          <w:lang w:val="es-ES_tradnl"/>
        </w:rPr>
      </w:pPr>
      <w:r w:rsidRPr="003643AE">
        <w:rPr>
          <w:rFonts w:asciiTheme="majorHAnsi" w:hAnsiTheme="majorHAnsi"/>
          <w:sz w:val="20"/>
          <w:szCs w:val="20"/>
          <w:lang w:val="es-ES_tradnl"/>
        </w:rPr>
        <w:t xml:space="preserve">La presente acción carece de técnica de argumentación jurídica que permita a este Tribunal Constitucional Plurinacional realizar la labor de contraste sobre la constitucionalidad de las citadas normas de la Ley Para el Juzgamiento de </w:t>
      </w:r>
      <w:r w:rsidR="005F2281" w:rsidRPr="003643AE">
        <w:rPr>
          <w:rFonts w:asciiTheme="majorHAnsi" w:hAnsiTheme="majorHAnsi"/>
          <w:sz w:val="20"/>
          <w:szCs w:val="20"/>
          <w:lang w:val="es-ES_tradnl"/>
        </w:rPr>
        <w:t>[</w:t>
      </w:r>
      <w:r w:rsidRPr="003643AE">
        <w:rPr>
          <w:rFonts w:asciiTheme="majorHAnsi" w:hAnsiTheme="majorHAnsi"/>
          <w:sz w:val="20"/>
          <w:szCs w:val="20"/>
          <w:lang w:val="es-ES_tradnl"/>
        </w:rPr>
        <w:t>…</w:t>
      </w:r>
      <w:r w:rsidR="005F2281" w:rsidRPr="003643AE">
        <w:rPr>
          <w:rFonts w:asciiTheme="majorHAnsi" w:hAnsiTheme="majorHAnsi"/>
          <w:sz w:val="20"/>
          <w:szCs w:val="20"/>
          <w:lang w:val="es-ES_tradnl"/>
        </w:rPr>
        <w:t>]</w:t>
      </w:r>
      <w:r w:rsidRPr="003643AE">
        <w:rPr>
          <w:rFonts w:asciiTheme="majorHAnsi" w:hAnsiTheme="majorHAnsi"/>
          <w:sz w:val="20"/>
          <w:szCs w:val="20"/>
          <w:lang w:val="es-ES_tradnl"/>
        </w:rPr>
        <w:t xml:space="preserve"> Altas Autoridades del </w:t>
      </w:r>
      <w:r w:rsidR="005F2281" w:rsidRPr="003643AE">
        <w:rPr>
          <w:rFonts w:asciiTheme="majorHAnsi" w:hAnsiTheme="majorHAnsi"/>
          <w:sz w:val="20"/>
          <w:szCs w:val="20"/>
          <w:lang w:val="es-ES_tradnl"/>
        </w:rPr>
        <w:t>[</w:t>
      </w:r>
      <w:r w:rsidRPr="003643AE">
        <w:rPr>
          <w:rFonts w:asciiTheme="majorHAnsi" w:hAnsiTheme="majorHAnsi"/>
          <w:sz w:val="20"/>
          <w:szCs w:val="20"/>
          <w:lang w:val="es-ES_tradnl"/>
        </w:rPr>
        <w:t>…</w:t>
      </w:r>
      <w:r w:rsidR="005F2281" w:rsidRPr="003643AE">
        <w:rPr>
          <w:rFonts w:asciiTheme="majorHAnsi" w:hAnsiTheme="majorHAnsi"/>
          <w:sz w:val="20"/>
          <w:szCs w:val="20"/>
          <w:lang w:val="es-ES_tradnl"/>
        </w:rPr>
        <w:t>]</w:t>
      </w:r>
      <w:r w:rsidRPr="003643AE">
        <w:rPr>
          <w:rFonts w:asciiTheme="majorHAnsi" w:hAnsiTheme="majorHAnsi"/>
          <w:sz w:val="20"/>
          <w:szCs w:val="20"/>
          <w:lang w:val="es-ES_tradnl"/>
        </w:rPr>
        <w:t xml:space="preserve"> Tribunal Constitucional Plurinacional; es decir, no cumple con la exigencia prevista en el artículo 24.4 del CPCo, que refiere que la acción debe contener 'la identificación de la disposición legal y las normas impugnadas, así como las normas constitucionales que se consideren infringidas, formulando con claridad los motivos por los que la norma impugnada sería contraria a la Constitución Política del Estado, lo que no sucedió. </w:t>
      </w:r>
    </w:p>
    <w:p w14:paraId="0E58A1C9" w14:textId="2BF11C2A" w:rsidR="0069515A" w:rsidRPr="003643AE" w:rsidRDefault="005F2281" w:rsidP="0069515A">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Frente a esta decisión</w:t>
      </w:r>
      <w:r w:rsidR="0069515A" w:rsidRPr="003643AE">
        <w:rPr>
          <w:rFonts w:asciiTheme="majorHAnsi" w:hAnsiTheme="majorHAnsi"/>
          <w:sz w:val="20"/>
          <w:szCs w:val="20"/>
          <w:lang w:val="es-ES_tradnl"/>
        </w:rPr>
        <w:t xml:space="preserve"> </w:t>
      </w:r>
      <w:r w:rsidR="00B91DA1" w:rsidRPr="003643AE">
        <w:rPr>
          <w:rFonts w:asciiTheme="majorHAnsi" w:hAnsiTheme="majorHAnsi"/>
          <w:sz w:val="20"/>
          <w:szCs w:val="20"/>
          <w:lang w:val="es-ES_tradnl"/>
        </w:rPr>
        <w:t xml:space="preserve">las señoras </w:t>
      </w:r>
      <w:r w:rsidR="00FE3BC7" w:rsidRPr="003643AE">
        <w:rPr>
          <w:rFonts w:asciiTheme="majorHAnsi" w:hAnsiTheme="majorHAnsi"/>
          <w:sz w:val="20"/>
          <w:szCs w:val="20"/>
          <w:lang w:val="es-ES_tradnl"/>
        </w:rPr>
        <w:t>Chánez</w:t>
      </w:r>
      <w:r w:rsidR="00FB67E4" w:rsidRPr="003643AE">
        <w:rPr>
          <w:rFonts w:asciiTheme="majorHAnsi" w:hAnsiTheme="majorHAnsi"/>
          <w:sz w:val="20"/>
          <w:szCs w:val="20"/>
          <w:lang w:val="es-ES_tradnl"/>
        </w:rPr>
        <w:t xml:space="preserve"> y Velásquez </w:t>
      </w:r>
      <w:r w:rsidR="0069515A" w:rsidRPr="003643AE">
        <w:rPr>
          <w:rFonts w:asciiTheme="majorHAnsi" w:hAnsiTheme="majorHAnsi"/>
          <w:sz w:val="20"/>
          <w:szCs w:val="20"/>
          <w:lang w:val="es-ES_tradnl"/>
        </w:rPr>
        <w:t>interpus</w:t>
      </w:r>
      <w:r w:rsidR="00FB67E4" w:rsidRPr="003643AE">
        <w:rPr>
          <w:rFonts w:asciiTheme="majorHAnsi" w:hAnsiTheme="majorHAnsi"/>
          <w:sz w:val="20"/>
          <w:szCs w:val="20"/>
          <w:lang w:val="es-ES_tradnl"/>
        </w:rPr>
        <w:t>ieron</w:t>
      </w:r>
      <w:r w:rsidR="0069515A" w:rsidRPr="003643AE">
        <w:rPr>
          <w:rFonts w:asciiTheme="majorHAnsi" w:hAnsiTheme="majorHAnsi"/>
          <w:sz w:val="20"/>
          <w:szCs w:val="20"/>
          <w:lang w:val="es-ES_tradnl"/>
        </w:rPr>
        <w:t xml:space="preserve"> un recurso de queja</w:t>
      </w:r>
      <w:r w:rsidRPr="003643AE">
        <w:rPr>
          <w:rFonts w:asciiTheme="majorHAnsi" w:hAnsiTheme="majorHAnsi"/>
          <w:sz w:val="20"/>
          <w:szCs w:val="20"/>
          <w:lang w:val="es-ES_tradnl"/>
        </w:rPr>
        <w:t>;</w:t>
      </w:r>
      <w:r w:rsidR="0069515A" w:rsidRPr="003643AE">
        <w:rPr>
          <w:rFonts w:asciiTheme="majorHAnsi" w:hAnsiTheme="majorHAnsi"/>
          <w:sz w:val="20"/>
          <w:szCs w:val="20"/>
          <w:lang w:val="es-ES_tradnl"/>
        </w:rPr>
        <w:t xml:space="preserve"> pero el 26 de noviembre de 2014 el TCP, mediante Auto 0010/2014-RQ, </w:t>
      </w:r>
      <w:r w:rsidRPr="003643AE">
        <w:rPr>
          <w:rFonts w:asciiTheme="majorHAnsi" w:hAnsiTheme="majorHAnsi"/>
          <w:sz w:val="20"/>
          <w:szCs w:val="20"/>
          <w:lang w:val="es-ES_tradnl"/>
        </w:rPr>
        <w:t>confirmó</w:t>
      </w:r>
      <w:r w:rsidR="0069515A" w:rsidRPr="003643AE">
        <w:rPr>
          <w:rFonts w:asciiTheme="majorHAnsi" w:hAnsiTheme="majorHAnsi"/>
          <w:sz w:val="20"/>
          <w:szCs w:val="20"/>
          <w:lang w:val="es-ES_tradnl"/>
        </w:rPr>
        <w:t xml:space="preserve"> la decisión impugnada, al considerar la</w:t>
      </w:r>
      <w:r w:rsidR="007D2CA4" w:rsidRPr="003643AE">
        <w:rPr>
          <w:rFonts w:asciiTheme="majorHAnsi" w:hAnsiTheme="majorHAnsi"/>
          <w:sz w:val="20"/>
          <w:szCs w:val="20"/>
          <w:lang w:val="es-ES_tradnl"/>
        </w:rPr>
        <w:t>s</w:t>
      </w:r>
      <w:r w:rsidR="0069515A" w:rsidRPr="003643AE">
        <w:rPr>
          <w:rFonts w:asciiTheme="majorHAnsi" w:hAnsiTheme="majorHAnsi"/>
          <w:sz w:val="20"/>
          <w:szCs w:val="20"/>
          <w:lang w:val="es-ES_tradnl"/>
        </w:rPr>
        <w:t xml:space="preserve"> accionante</w:t>
      </w:r>
      <w:r w:rsidR="007D2CA4" w:rsidRPr="003643AE">
        <w:rPr>
          <w:rFonts w:asciiTheme="majorHAnsi" w:hAnsiTheme="majorHAnsi"/>
          <w:sz w:val="20"/>
          <w:szCs w:val="20"/>
          <w:lang w:val="es-ES_tradnl"/>
        </w:rPr>
        <w:t>s</w:t>
      </w:r>
      <w:r w:rsidR="0069515A" w:rsidRPr="003643AE">
        <w:rPr>
          <w:rFonts w:asciiTheme="majorHAnsi" w:hAnsiTheme="majorHAnsi"/>
          <w:sz w:val="20"/>
          <w:szCs w:val="20"/>
          <w:lang w:val="es-ES_tradnl"/>
        </w:rPr>
        <w:t xml:space="preserve"> no explic</w:t>
      </w:r>
      <w:r w:rsidR="007D2CA4" w:rsidRPr="003643AE">
        <w:rPr>
          <w:rFonts w:asciiTheme="majorHAnsi" w:hAnsiTheme="majorHAnsi"/>
          <w:sz w:val="20"/>
          <w:szCs w:val="20"/>
          <w:lang w:val="es-ES_tradnl"/>
        </w:rPr>
        <w:t>aron</w:t>
      </w:r>
      <w:r w:rsidR="0069515A" w:rsidRPr="003643AE">
        <w:rPr>
          <w:rFonts w:asciiTheme="majorHAnsi" w:hAnsiTheme="majorHAnsi"/>
          <w:sz w:val="20"/>
          <w:szCs w:val="20"/>
          <w:lang w:val="es-ES_tradnl"/>
        </w:rPr>
        <w:t xml:space="preserve"> con claridad los motivos por los cuales cada una de las normas cuestionadas eran contrarias a la Constitución.</w:t>
      </w:r>
    </w:p>
    <w:p w14:paraId="6E8A8D41" w14:textId="0520AE84" w:rsidR="00FB67E4" w:rsidRPr="003643AE" w:rsidRDefault="00FB67E4" w:rsidP="00FB67E4">
      <w:pPr>
        <w:suppressAutoHyphens/>
        <w:spacing w:after="240"/>
        <w:ind w:left="720"/>
        <w:jc w:val="both"/>
        <w:rPr>
          <w:rFonts w:asciiTheme="majorHAnsi" w:hAnsiTheme="majorHAnsi"/>
          <w:i/>
          <w:iCs/>
          <w:sz w:val="20"/>
          <w:szCs w:val="20"/>
          <w:lang w:val="es-ES_tradnl"/>
        </w:rPr>
      </w:pPr>
      <w:r w:rsidRPr="003643AE">
        <w:rPr>
          <w:rFonts w:asciiTheme="majorHAnsi" w:hAnsiTheme="majorHAnsi"/>
          <w:i/>
          <w:iCs/>
          <w:sz w:val="20"/>
          <w:szCs w:val="20"/>
          <w:lang w:val="es-ES_tradnl"/>
        </w:rPr>
        <w:t>Renuncia forzada de la señora Velásquez</w:t>
      </w:r>
    </w:p>
    <w:p w14:paraId="3B7A306E" w14:textId="40831F8B" w:rsidR="007D2CA4" w:rsidRPr="003643AE" w:rsidRDefault="005F2281" w:rsidP="007D2CA4">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La parte peticionaria r</w:t>
      </w:r>
      <w:r w:rsidR="00FB67E4" w:rsidRPr="003643AE">
        <w:rPr>
          <w:rFonts w:asciiTheme="majorHAnsi" w:hAnsiTheme="majorHAnsi"/>
          <w:sz w:val="20"/>
          <w:szCs w:val="20"/>
          <w:lang w:val="es-ES_tradnl"/>
        </w:rPr>
        <w:t>efiere</w:t>
      </w:r>
      <w:r w:rsidR="0069515A" w:rsidRPr="003643AE">
        <w:rPr>
          <w:rFonts w:asciiTheme="majorHAnsi" w:hAnsiTheme="majorHAnsi"/>
          <w:sz w:val="20"/>
          <w:szCs w:val="20"/>
          <w:lang w:val="es-ES_tradnl"/>
        </w:rPr>
        <w:t xml:space="preserve"> que </w:t>
      </w:r>
      <w:r w:rsidRPr="003643AE">
        <w:rPr>
          <w:rFonts w:asciiTheme="majorHAnsi" w:hAnsiTheme="majorHAnsi"/>
          <w:sz w:val="20"/>
          <w:szCs w:val="20"/>
          <w:lang w:val="es-ES_tradnl"/>
        </w:rPr>
        <w:t xml:space="preserve">debido a las citadas decisiones </w:t>
      </w:r>
      <w:r w:rsidR="0069515A" w:rsidRPr="003643AE">
        <w:rPr>
          <w:rFonts w:asciiTheme="majorHAnsi" w:hAnsiTheme="majorHAnsi"/>
          <w:sz w:val="20"/>
          <w:szCs w:val="20"/>
          <w:lang w:val="es-ES_tradnl"/>
        </w:rPr>
        <w:t xml:space="preserve">la señora Velásquez presentó su renuncia al cargo de magistrada del </w:t>
      </w:r>
      <w:r w:rsidR="001241AF" w:rsidRPr="003643AE">
        <w:rPr>
          <w:rFonts w:asciiTheme="majorHAnsi" w:hAnsiTheme="majorHAnsi"/>
          <w:sz w:val="20"/>
          <w:szCs w:val="20"/>
          <w:lang w:val="es-ES_tradnl"/>
        </w:rPr>
        <w:t>TCP</w:t>
      </w:r>
      <w:r w:rsidRPr="003643AE">
        <w:rPr>
          <w:rFonts w:asciiTheme="majorHAnsi" w:hAnsiTheme="majorHAnsi"/>
          <w:sz w:val="20"/>
          <w:szCs w:val="20"/>
          <w:lang w:val="es-ES_tradnl"/>
        </w:rPr>
        <w:t xml:space="preserve"> el 6 de enero de 2015;</w:t>
      </w:r>
      <w:r w:rsidR="0069515A" w:rsidRPr="003643AE">
        <w:rPr>
          <w:rFonts w:asciiTheme="majorHAnsi" w:hAnsiTheme="majorHAnsi"/>
          <w:sz w:val="20"/>
          <w:szCs w:val="20"/>
          <w:lang w:val="es-ES_tradnl"/>
        </w:rPr>
        <w:t xml:space="preserve"> </w:t>
      </w:r>
      <w:r w:rsidRPr="003643AE">
        <w:rPr>
          <w:rFonts w:asciiTheme="majorHAnsi" w:hAnsiTheme="majorHAnsi"/>
          <w:sz w:val="20"/>
          <w:szCs w:val="20"/>
          <w:lang w:val="es-ES_tradnl"/>
        </w:rPr>
        <w:t>pues consideró</w:t>
      </w:r>
      <w:r w:rsidR="0069515A" w:rsidRPr="003643AE">
        <w:rPr>
          <w:rFonts w:asciiTheme="majorHAnsi" w:hAnsiTheme="majorHAnsi"/>
          <w:sz w:val="20"/>
          <w:szCs w:val="20"/>
          <w:lang w:val="es-ES_tradnl"/>
        </w:rPr>
        <w:t xml:space="preserve"> que no encontraría justicia, dada las formas en las que se estaba realizando el juicio en su contra y el acoso político que venía sufriendo. Por ello, </w:t>
      </w:r>
      <w:r w:rsidR="00446170" w:rsidRPr="003643AE">
        <w:rPr>
          <w:rFonts w:asciiTheme="majorHAnsi" w:hAnsiTheme="majorHAnsi"/>
          <w:sz w:val="20"/>
          <w:szCs w:val="20"/>
          <w:lang w:val="es-ES_tradnl"/>
        </w:rPr>
        <w:t>sostiene que su</w:t>
      </w:r>
      <w:r w:rsidR="0069515A" w:rsidRPr="003643AE">
        <w:rPr>
          <w:rFonts w:asciiTheme="majorHAnsi" w:hAnsiTheme="majorHAnsi"/>
          <w:sz w:val="20"/>
          <w:szCs w:val="20"/>
          <w:lang w:val="es-ES_tradnl"/>
        </w:rPr>
        <w:t xml:space="preserve"> renuncia no fue voluntaria, sino se vio forzada a </w:t>
      </w:r>
      <w:r w:rsidR="00446170" w:rsidRPr="003643AE">
        <w:rPr>
          <w:rFonts w:asciiTheme="majorHAnsi" w:hAnsiTheme="majorHAnsi"/>
          <w:sz w:val="20"/>
          <w:szCs w:val="20"/>
          <w:lang w:val="es-ES_tradnl"/>
        </w:rPr>
        <w:t>tomar esa</w:t>
      </w:r>
      <w:r w:rsidR="0069515A" w:rsidRPr="003643AE">
        <w:rPr>
          <w:rFonts w:asciiTheme="majorHAnsi" w:hAnsiTheme="majorHAnsi"/>
          <w:sz w:val="20"/>
          <w:szCs w:val="20"/>
          <w:lang w:val="es-ES_tradnl"/>
        </w:rPr>
        <w:t xml:space="preserve"> decisión debido al estado de indefensión en que se encontraba </w:t>
      </w:r>
      <w:r w:rsidR="00446170" w:rsidRPr="003643AE">
        <w:rPr>
          <w:rFonts w:asciiTheme="majorHAnsi" w:hAnsiTheme="majorHAnsi"/>
          <w:sz w:val="20"/>
          <w:szCs w:val="20"/>
          <w:lang w:val="es-ES_tradnl"/>
        </w:rPr>
        <w:t xml:space="preserve">frente </w:t>
      </w:r>
      <w:r w:rsidR="0069515A" w:rsidRPr="003643AE">
        <w:rPr>
          <w:rFonts w:asciiTheme="majorHAnsi" w:hAnsiTheme="majorHAnsi"/>
          <w:sz w:val="20"/>
          <w:szCs w:val="20"/>
          <w:lang w:val="es-ES_tradnl"/>
        </w:rPr>
        <w:t xml:space="preserve">al accionar de Poder Legislativo y la sentencia del TCP. </w:t>
      </w:r>
      <w:r w:rsidR="007D2CA4" w:rsidRPr="003643AE">
        <w:rPr>
          <w:rFonts w:asciiTheme="majorHAnsi" w:hAnsiTheme="majorHAnsi"/>
          <w:sz w:val="20"/>
          <w:szCs w:val="20"/>
          <w:lang w:val="es-ES_tradnl"/>
        </w:rPr>
        <w:t xml:space="preserve">Así, detalla que </w:t>
      </w:r>
      <w:r w:rsidR="00446170" w:rsidRPr="003643AE">
        <w:rPr>
          <w:rFonts w:asciiTheme="majorHAnsi" w:hAnsiTheme="majorHAnsi"/>
          <w:sz w:val="20"/>
          <w:szCs w:val="20"/>
          <w:lang w:val="es-ES_tradnl"/>
        </w:rPr>
        <w:t>el mismo</w:t>
      </w:r>
      <w:r w:rsidR="007D2CA4" w:rsidRPr="003643AE">
        <w:rPr>
          <w:rFonts w:asciiTheme="majorHAnsi" w:hAnsiTheme="majorHAnsi"/>
          <w:sz w:val="20"/>
          <w:szCs w:val="20"/>
          <w:lang w:val="es-ES_tradnl"/>
        </w:rPr>
        <w:t xml:space="preserve"> día</w:t>
      </w:r>
      <w:r w:rsidR="00446170" w:rsidRPr="003643AE">
        <w:rPr>
          <w:rFonts w:asciiTheme="majorHAnsi" w:hAnsiTheme="majorHAnsi"/>
          <w:sz w:val="20"/>
          <w:szCs w:val="20"/>
          <w:lang w:val="es-ES_tradnl"/>
        </w:rPr>
        <w:t xml:space="preserve"> de su renuncia</w:t>
      </w:r>
      <w:r w:rsidR="007D2CA4" w:rsidRPr="003643AE">
        <w:rPr>
          <w:rFonts w:asciiTheme="majorHAnsi" w:hAnsiTheme="majorHAnsi"/>
          <w:sz w:val="20"/>
          <w:szCs w:val="20"/>
          <w:lang w:val="es-ES_tradnl"/>
        </w:rPr>
        <w:t xml:space="preserve"> el Senado constituido en Tribunal de Sentencia, mediante Resolución Nro. 002/2015, dispuso el archivo de los obrados respecto a dicha presunta víctima. </w:t>
      </w:r>
    </w:p>
    <w:p w14:paraId="79435E7A" w14:textId="2F611C8B" w:rsidR="0069515A" w:rsidRPr="003643AE" w:rsidRDefault="007D2CA4" w:rsidP="0069515A">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Finalmente, r</w:t>
      </w:r>
      <w:r w:rsidR="0069515A" w:rsidRPr="003643AE">
        <w:rPr>
          <w:rFonts w:asciiTheme="majorHAnsi" w:hAnsiTheme="majorHAnsi"/>
          <w:sz w:val="20"/>
          <w:szCs w:val="20"/>
          <w:lang w:val="es-ES_tradnl"/>
        </w:rPr>
        <w:t xml:space="preserve">efiere que, ese mismo día, dicha presunta víctima sufrió un infarto cerebral vascular frontal, lo que demuestra los graves perjuicios de salud que sufrió debido a las presiones ejercidas en su contra para que no continue como magistrada. </w:t>
      </w:r>
    </w:p>
    <w:p w14:paraId="1A388397" w14:textId="030CB368" w:rsidR="00FB67E4" w:rsidRPr="003643AE" w:rsidRDefault="00FB67E4" w:rsidP="00FB67E4">
      <w:pPr>
        <w:suppressAutoHyphens/>
        <w:spacing w:after="240"/>
        <w:ind w:left="720"/>
        <w:jc w:val="both"/>
        <w:rPr>
          <w:rFonts w:asciiTheme="majorHAnsi" w:hAnsiTheme="majorHAnsi"/>
          <w:i/>
          <w:iCs/>
          <w:sz w:val="20"/>
          <w:szCs w:val="20"/>
          <w:lang w:val="es-ES_tradnl"/>
        </w:rPr>
      </w:pPr>
      <w:r w:rsidRPr="003643AE">
        <w:rPr>
          <w:rFonts w:asciiTheme="majorHAnsi" w:hAnsiTheme="majorHAnsi"/>
          <w:i/>
          <w:iCs/>
          <w:sz w:val="20"/>
          <w:szCs w:val="20"/>
          <w:lang w:val="es-ES_tradnl"/>
        </w:rPr>
        <w:t>Destitución de la señora Chánez</w:t>
      </w:r>
      <w:r w:rsidR="002D362E" w:rsidRPr="003643AE">
        <w:rPr>
          <w:rFonts w:asciiTheme="majorHAnsi" w:hAnsiTheme="majorHAnsi"/>
          <w:i/>
          <w:iCs/>
          <w:sz w:val="20"/>
          <w:szCs w:val="20"/>
          <w:lang w:val="es-ES_tradnl"/>
        </w:rPr>
        <w:t xml:space="preserve"> y </w:t>
      </w:r>
      <w:r w:rsidR="00446170" w:rsidRPr="003643AE">
        <w:rPr>
          <w:rFonts w:asciiTheme="majorHAnsi" w:hAnsiTheme="majorHAnsi"/>
          <w:i/>
          <w:iCs/>
          <w:sz w:val="20"/>
          <w:szCs w:val="20"/>
          <w:lang w:val="es-ES_tradnl"/>
        </w:rPr>
        <w:t xml:space="preserve">las </w:t>
      </w:r>
      <w:r w:rsidR="002D362E" w:rsidRPr="003643AE">
        <w:rPr>
          <w:rFonts w:asciiTheme="majorHAnsi" w:hAnsiTheme="majorHAnsi"/>
          <w:i/>
          <w:iCs/>
          <w:sz w:val="20"/>
          <w:szCs w:val="20"/>
          <w:lang w:val="es-ES_tradnl"/>
        </w:rPr>
        <w:t>acciones</w:t>
      </w:r>
      <w:r w:rsidR="001241AF" w:rsidRPr="003643AE">
        <w:rPr>
          <w:rFonts w:asciiTheme="majorHAnsi" w:hAnsiTheme="majorHAnsi"/>
          <w:i/>
          <w:iCs/>
          <w:sz w:val="20"/>
          <w:szCs w:val="20"/>
          <w:lang w:val="es-ES_tradnl"/>
        </w:rPr>
        <w:t xml:space="preserve"> </w:t>
      </w:r>
      <w:r w:rsidR="00446170" w:rsidRPr="003643AE">
        <w:rPr>
          <w:rFonts w:asciiTheme="majorHAnsi" w:hAnsiTheme="majorHAnsi"/>
          <w:i/>
          <w:iCs/>
          <w:sz w:val="20"/>
          <w:szCs w:val="20"/>
          <w:lang w:val="es-ES_tradnl"/>
        </w:rPr>
        <w:t>judiciales que esta ejerció</w:t>
      </w:r>
    </w:p>
    <w:p w14:paraId="44158BC0" w14:textId="059910D5" w:rsidR="00FB67E4" w:rsidRPr="003643AE" w:rsidRDefault="00446170" w:rsidP="00FB67E4">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A</w:t>
      </w:r>
      <w:r w:rsidR="00B91DA1" w:rsidRPr="003643AE">
        <w:rPr>
          <w:rFonts w:asciiTheme="majorHAnsi" w:hAnsiTheme="majorHAnsi"/>
          <w:sz w:val="20"/>
          <w:szCs w:val="20"/>
          <w:lang w:val="es-ES_tradnl"/>
        </w:rPr>
        <w:t>nte la ineficacia de la vía constitucional</w:t>
      </w:r>
      <w:r w:rsidR="00B229A9" w:rsidRPr="003643AE">
        <w:rPr>
          <w:rFonts w:asciiTheme="majorHAnsi" w:hAnsiTheme="majorHAnsi"/>
          <w:sz w:val="20"/>
          <w:szCs w:val="20"/>
          <w:lang w:val="es-ES_tradnl"/>
        </w:rPr>
        <w:t>, el 8 de enero</w:t>
      </w:r>
      <w:r w:rsidR="00B91DA1" w:rsidRPr="003643AE">
        <w:rPr>
          <w:rFonts w:asciiTheme="majorHAnsi" w:hAnsiTheme="majorHAnsi"/>
          <w:sz w:val="20"/>
          <w:szCs w:val="20"/>
          <w:lang w:val="es-ES_tradnl"/>
        </w:rPr>
        <w:t xml:space="preserve"> de 2015</w:t>
      </w:r>
      <w:r w:rsidR="00B229A9" w:rsidRPr="003643AE">
        <w:rPr>
          <w:rFonts w:asciiTheme="majorHAnsi" w:hAnsiTheme="majorHAnsi"/>
          <w:sz w:val="20"/>
          <w:szCs w:val="20"/>
          <w:lang w:val="es-ES_tradnl"/>
        </w:rPr>
        <w:t xml:space="preserve"> la Cámara de Senadores</w:t>
      </w:r>
      <w:r w:rsidR="00FB67E4" w:rsidRPr="003643AE">
        <w:rPr>
          <w:rFonts w:asciiTheme="majorHAnsi" w:hAnsiTheme="majorHAnsi"/>
          <w:sz w:val="20"/>
          <w:szCs w:val="20"/>
          <w:lang w:val="es-ES_tradnl"/>
        </w:rPr>
        <w:t>, mediante</w:t>
      </w:r>
      <w:r w:rsidR="00B229A9" w:rsidRPr="003643AE">
        <w:rPr>
          <w:rFonts w:asciiTheme="majorHAnsi" w:hAnsiTheme="majorHAnsi"/>
          <w:sz w:val="20"/>
          <w:szCs w:val="20"/>
          <w:lang w:val="es-ES_tradnl"/>
        </w:rPr>
        <w:t xml:space="preserve"> sentencia Nº 01/2015, </w:t>
      </w:r>
      <w:r w:rsidR="00FB67E4" w:rsidRPr="003643AE">
        <w:rPr>
          <w:rFonts w:asciiTheme="majorHAnsi" w:hAnsiTheme="majorHAnsi"/>
          <w:sz w:val="20"/>
          <w:szCs w:val="20"/>
          <w:lang w:val="es-ES_tradnl"/>
        </w:rPr>
        <w:t>dictó</w:t>
      </w:r>
      <w:r w:rsidR="00B229A9" w:rsidRPr="003643AE">
        <w:rPr>
          <w:rFonts w:asciiTheme="majorHAnsi" w:hAnsiTheme="majorHAnsi"/>
          <w:sz w:val="20"/>
          <w:szCs w:val="20"/>
          <w:lang w:val="es-ES_tradnl"/>
        </w:rPr>
        <w:t xml:space="preserve"> la destitución de la señora C</w:t>
      </w:r>
      <w:r w:rsidR="00FB67E4" w:rsidRPr="003643AE">
        <w:rPr>
          <w:rFonts w:asciiTheme="majorHAnsi" w:hAnsiTheme="majorHAnsi"/>
          <w:sz w:val="20"/>
          <w:szCs w:val="20"/>
          <w:lang w:val="es-ES_tradnl"/>
        </w:rPr>
        <w:t>hán</w:t>
      </w:r>
      <w:r w:rsidR="00B229A9" w:rsidRPr="003643AE">
        <w:rPr>
          <w:rFonts w:asciiTheme="majorHAnsi" w:hAnsiTheme="majorHAnsi"/>
          <w:sz w:val="20"/>
          <w:szCs w:val="20"/>
          <w:lang w:val="es-ES_tradnl"/>
        </w:rPr>
        <w:t>ez</w:t>
      </w:r>
      <w:r w:rsidR="00AD33E5" w:rsidRPr="003643AE">
        <w:rPr>
          <w:rFonts w:asciiTheme="majorHAnsi" w:hAnsiTheme="majorHAnsi"/>
          <w:sz w:val="20"/>
          <w:szCs w:val="20"/>
          <w:lang w:val="es-ES_tradnl"/>
        </w:rPr>
        <w:t xml:space="preserve"> y disp</w:t>
      </w:r>
      <w:r w:rsidR="007D2CA4" w:rsidRPr="003643AE">
        <w:rPr>
          <w:rFonts w:asciiTheme="majorHAnsi" w:hAnsiTheme="majorHAnsi"/>
          <w:sz w:val="20"/>
          <w:szCs w:val="20"/>
          <w:lang w:val="es-ES_tradnl"/>
        </w:rPr>
        <w:t>uso el inicio de</w:t>
      </w:r>
      <w:r w:rsidR="00AD33E5" w:rsidRPr="003643AE">
        <w:rPr>
          <w:rFonts w:asciiTheme="majorHAnsi" w:hAnsiTheme="majorHAnsi"/>
          <w:sz w:val="20"/>
          <w:szCs w:val="20"/>
          <w:lang w:val="es-ES_tradnl"/>
        </w:rPr>
        <w:t xml:space="preserve"> un nuevo juzgamiento en la justicia ordinaria por los </w:t>
      </w:r>
      <w:r w:rsidR="00254A8E" w:rsidRPr="003643AE">
        <w:rPr>
          <w:rFonts w:asciiTheme="majorHAnsi" w:hAnsiTheme="majorHAnsi"/>
          <w:sz w:val="20"/>
          <w:szCs w:val="20"/>
          <w:lang w:val="es-ES_tradnl"/>
        </w:rPr>
        <w:t>delitos</w:t>
      </w:r>
      <w:r w:rsidR="00AD33E5" w:rsidRPr="003643AE">
        <w:rPr>
          <w:rFonts w:asciiTheme="majorHAnsi" w:hAnsiTheme="majorHAnsi"/>
          <w:sz w:val="20"/>
          <w:szCs w:val="20"/>
          <w:lang w:val="es-ES_tradnl"/>
        </w:rPr>
        <w:t xml:space="preserve"> que se le atribuyeron</w:t>
      </w:r>
      <w:r w:rsidR="00B229A9" w:rsidRPr="003643AE">
        <w:rPr>
          <w:rFonts w:asciiTheme="majorHAnsi" w:hAnsiTheme="majorHAnsi"/>
          <w:sz w:val="20"/>
          <w:szCs w:val="20"/>
          <w:lang w:val="es-ES_tradnl"/>
        </w:rPr>
        <w:t xml:space="preserve">. </w:t>
      </w:r>
      <w:r w:rsidR="00FB67E4" w:rsidRPr="003643AE">
        <w:rPr>
          <w:rFonts w:asciiTheme="majorHAnsi" w:hAnsiTheme="majorHAnsi"/>
          <w:sz w:val="20"/>
          <w:szCs w:val="20"/>
          <w:lang w:val="es-ES_tradnl"/>
        </w:rPr>
        <w:t>A juicio de la parte peticionaria, esta decisión contra la señora Chánez demuestra que en caso el juicio político hubiese continuado contra el resto de presuntas víctimas, hubiese finalizado en su destitución.</w:t>
      </w:r>
    </w:p>
    <w:p w14:paraId="1D63F2C1" w14:textId="53AC3962" w:rsidR="00651368" w:rsidRPr="003643AE" w:rsidRDefault="00FB67E4" w:rsidP="00651368">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Tras ello, la</w:t>
      </w:r>
      <w:r w:rsidR="00AA5E7C" w:rsidRPr="003643AE">
        <w:rPr>
          <w:rFonts w:asciiTheme="majorHAnsi" w:hAnsiTheme="majorHAnsi"/>
          <w:sz w:val="20"/>
          <w:szCs w:val="20"/>
          <w:lang w:val="es-ES_tradnl"/>
        </w:rPr>
        <w:t xml:space="preserve"> presunta víctima </w:t>
      </w:r>
      <w:r w:rsidR="00B91DA1" w:rsidRPr="003643AE">
        <w:rPr>
          <w:rFonts w:asciiTheme="majorHAnsi" w:hAnsiTheme="majorHAnsi"/>
          <w:sz w:val="20"/>
          <w:szCs w:val="20"/>
          <w:lang w:val="es-ES_tradnl"/>
        </w:rPr>
        <w:t>presentó un</w:t>
      </w:r>
      <w:r w:rsidRPr="003643AE">
        <w:rPr>
          <w:rFonts w:asciiTheme="majorHAnsi" w:hAnsiTheme="majorHAnsi"/>
          <w:sz w:val="20"/>
          <w:szCs w:val="20"/>
          <w:lang w:val="es-ES_tradnl"/>
        </w:rPr>
        <w:t xml:space="preserve"> recurso de apelación restringida contra esta sentencia, pero la Comisión de Justicia, Ministerio Público y Defensa Legal del Estado de la Cámara de Diputados rechazó esta acción. Tras ello, planteó un recurso de revisión extraordinario de sentencia. Sin embargo, el 28 de junio de 2016 la Cámara del Senado, mediante resolución camaral Nº 30,</w:t>
      </w:r>
      <w:r w:rsidR="007F5F54" w:rsidRPr="003643AE">
        <w:rPr>
          <w:rFonts w:asciiTheme="majorHAnsi" w:hAnsiTheme="majorHAnsi"/>
          <w:sz w:val="20"/>
          <w:szCs w:val="20"/>
          <w:lang w:val="es-ES_tradnl"/>
        </w:rPr>
        <w:t xml:space="preserve"> lo</w:t>
      </w:r>
      <w:r w:rsidRPr="003643AE">
        <w:rPr>
          <w:rFonts w:asciiTheme="majorHAnsi" w:hAnsiTheme="majorHAnsi"/>
          <w:sz w:val="20"/>
          <w:szCs w:val="20"/>
          <w:lang w:val="es-ES_tradnl"/>
        </w:rPr>
        <w:t xml:space="preserve"> rechazó argumentando que el juicio de responsabilidades no tiene como última finalidad la aplicación de una sanción penal, sino despojar o retirar del poder a un alto servidor público que hace un mal uso de su atribución o potestad legal conferida. </w:t>
      </w:r>
    </w:p>
    <w:p w14:paraId="58822817" w14:textId="50B48E7B" w:rsidR="001241AF" w:rsidRPr="003643AE" w:rsidRDefault="001241AF" w:rsidP="00845BCA">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Finalmente, la señora Chánez presentó un recurso de amparo, argumentando que la citada resolución camaral carecía de fundamentación y motivación. No obstante, el 30 de diciembre de 2016</w:t>
      </w:r>
      <w:r w:rsidR="00651368" w:rsidRPr="003643AE">
        <w:rPr>
          <w:rFonts w:asciiTheme="majorHAnsi" w:hAnsiTheme="majorHAnsi"/>
          <w:sz w:val="20"/>
          <w:szCs w:val="20"/>
          <w:lang w:val="es-ES_tradnl"/>
        </w:rPr>
        <w:t xml:space="preserve"> el Juez Público Civil y Comercial Primero declaró improcedente esta acción, al considerar que no se había respetado el principio de </w:t>
      </w:r>
      <w:r w:rsidR="001B61C9" w:rsidRPr="003643AE">
        <w:rPr>
          <w:rFonts w:asciiTheme="majorHAnsi" w:hAnsiTheme="majorHAnsi"/>
          <w:sz w:val="20"/>
          <w:szCs w:val="20"/>
          <w:lang w:val="es-ES_tradnl"/>
        </w:rPr>
        <w:t>subsidiariedad</w:t>
      </w:r>
      <w:r w:rsidR="00651368" w:rsidRPr="003643AE">
        <w:rPr>
          <w:rFonts w:asciiTheme="majorHAnsi" w:hAnsiTheme="majorHAnsi"/>
          <w:sz w:val="20"/>
          <w:szCs w:val="20"/>
          <w:lang w:val="es-ES_tradnl"/>
        </w:rPr>
        <w:t xml:space="preserve">, dado que la accionante debió presentar un recurso de reconsideración o uno contra resoluciones del Órgano Legislativo. Ante ello, la señora Chánez impugnó esta decisión, argumentando que la moción de reconsideración solo podía ser utilizada por un miembro de la Cámara de Senadores en el curso de un debate, </w:t>
      </w:r>
      <w:r w:rsidR="00845BCA" w:rsidRPr="003643AE">
        <w:rPr>
          <w:rFonts w:asciiTheme="majorHAnsi" w:hAnsiTheme="majorHAnsi"/>
          <w:sz w:val="20"/>
          <w:szCs w:val="20"/>
          <w:lang w:val="es-ES_tradnl"/>
        </w:rPr>
        <w:t xml:space="preserve">por lo que no era una instancia recursiva; y que el recurso contra resoluciones del Órgano Legislativo no se encuentra contemplado como una instancia más en el juicio de responsabilidades contra altas </w:t>
      </w:r>
      <w:r w:rsidR="00845BCA" w:rsidRPr="003643AE">
        <w:rPr>
          <w:rFonts w:asciiTheme="majorHAnsi" w:hAnsiTheme="majorHAnsi"/>
          <w:sz w:val="20"/>
          <w:szCs w:val="20"/>
          <w:lang w:val="es-ES_tradnl"/>
        </w:rPr>
        <w:lastRenderedPageBreak/>
        <w:t>autoridades, por lo que no existía otro medio idóneo para la reparación de sus derechos. Sin embargo, 8 de febrero de 2017, el TCP confirmó la improcedencia del recurso de amparo.</w:t>
      </w:r>
    </w:p>
    <w:p w14:paraId="16082D6D" w14:textId="5E7B9929" w:rsidR="00985083" w:rsidRPr="003643AE" w:rsidRDefault="00985083" w:rsidP="00985083">
      <w:pPr>
        <w:suppressAutoHyphens/>
        <w:spacing w:after="240"/>
        <w:ind w:left="720"/>
        <w:jc w:val="both"/>
        <w:rPr>
          <w:rFonts w:asciiTheme="majorHAnsi" w:hAnsiTheme="majorHAnsi"/>
          <w:i/>
          <w:iCs/>
          <w:sz w:val="20"/>
          <w:szCs w:val="20"/>
          <w:lang w:val="es-ES_tradnl"/>
        </w:rPr>
      </w:pPr>
      <w:r w:rsidRPr="003643AE">
        <w:rPr>
          <w:rFonts w:asciiTheme="majorHAnsi" w:hAnsiTheme="majorHAnsi"/>
          <w:i/>
          <w:iCs/>
          <w:sz w:val="20"/>
          <w:szCs w:val="20"/>
          <w:lang w:val="es-ES_tradnl"/>
        </w:rPr>
        <w:t>Acciones</w:t>
      </w:r>
      <w:r w:rsidR="001241AF" w:rsidRPr="003643AE">
        <w:rPr>
          <w:rFonts w:asciiTheme="majorHAnsi" w:hAnsiTheme="majorHAnsi"/>
          <w:i/>
          <w:iCs/>
          <w:sz w:val="20"/>
          <w:szCs w:val="20"/>
          <w:lang w:val="es-ES_tradnl"/>
        </w:rPr>
        <w:t xml:space="preserve"> judiciales</w:t>
      </w:r>
      <w:r w:rsidRPr="003643AE">
        <w:rPr>
          <w:rFonts w:asciiTheme="majorHAnsi" w:hAnsiTheme="majorHAnsi"/>
          <w:i/>
          <w:iCs/>
          <w:sz w:val="20"/>
          <w:szCs w:val="20"/>
          <w:lang w:val="es-ES_tradnl"/>
        </w:rPr>
        <w:t xml:space="preserve"> adoptadas por el señor </w:t>
      </w:r>
      <w:r w:rsidR="0042492F" w:rsidRPr="003643AE">
        <w:rPr>
          <w:rFonts w:asciiTheme="majorHAnsi" w:hAnsiTheme="majorHAnsi"/>
          <w:i/>
          <w:iCs/>
          <w:sz w:val="20"/>
          <w:szCs w:val="20"/>
          <w:lang w:val="es-ES_tradnl"/>
        </w:rPr>
        <w:t xml:space="preserve">Gualberto </w:t>
      </w:r>
      <w:r w:rsidRPr="003643AE">
        <w:rPr>
          <w:rFonts w:asciiTheme="majorHAnsi" w:hAnsiTheme="majorHAnsi"/>
          <w:i/>
          <w:iCs/>
          <w:sz w:val="20"/>
          <w:szCs w:val="20"/>
          <w:lang w:val="es-ES_tradnl"/>
        </w:rPr>
        <w:t>Cusi, declaraciones del entonces Ministro de Salud sobre su estado de salud y situación vigente de suspensión en el cargo</w:t>
      </w:r>
    </w:p>
    <w:p w14:paraId="6954800A" w14:textId="34DAFEE0" w:rsidR="00863F1A" w:rsidRPr="003643AE" w:rsidRDefault="002E0904" w:rsidP="00863F1A">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El 27 de junio de 2014 el señor Cusi planteó un recurso de inconstitucionalidad ante la Comisión de Constitución, Legislación y Sistema Electoral de la Cámara de Diputados</w:t>
      </w:r>
      <w:r w:rsidR="000F0316" w:rsidRPr="003643AE">
        <w:rPr>
          <w:rFonts w:asciiTheme="majorHAnsi" w:hAnsiTheme="majorHAnsi"/>
          <w:sz w:val="20"/>
          <w:szCs w:val="20"/>
          <w:lang w:val="es-ES_tradnl"/>
        </w:rPr>
        <w:t>,</w:t>
      </w:r>
      <w:r w:rsidRPr="003643AE">
        <w:rPr>
          <w:rFonts w:asciiTheme="majorHAnsi" w:hAnsiTheme="majorHAnsi"/>
          <w:sz w:val="20"/>
          <w:szCs w:val="20"/>
          <w:lang w:val="es-ES_tradnl"/>
        </w:rPr>
        <w:t xml:space="preserve"> contra varios artículos de la Ley Nº 44, argumentando que contravenían los estándares internacionales sobre el derecho a las garantías judiciales</w:t>
      </w:r>
      <w:r w:rsidR="00863F1A" w:rsidRPr="003643AE">
        <w:rPr>
          <w:rFonts w:asciiTheme="majorHAnsi" w:hAnsiTheme="majorHAnsi"/>
          <w:sz w:val="20"/>
          <w:szCs w:val="20"/>
          <w:lang w:val="es-ES_tradnl"/>
        </w:rPr>
        <w:t xml:space="preserve">. Sin embargo, el 2 de octubre de 2014 dicha Comisión desestimó </w:t>
      </w:r>
      <w:r w:rsidR="000F0316" w:rsidRPr="003643AE">
        <w:rPr>
          <w:rFonts w:asciiTheme="majorHAnsi" w:hAnsiTheme="majorHAnsi"/>
          <w:sz w:val="20"/>
          <w:szCs w:val="20"/>
          <w:lang w:val="es-ES_tradnl"/>
        </w:rPr>
        <w:t>la</w:t>
      </w:r>
      <w:r w:rsidR="00863F1A" w:rsidRPr="003643AE">
        <w:rPr>
          <w:rFonts w:asciiTheme="majorHAnsi" w:hAnsiTheme="majorHAnsi"/>
          <w:sz w:val="20"/>
          <w:szCs w:val="20"/>
          <w:lang w:val="es-ES_tradnl"/>
        </w:rPr>
        <w:t xml:space="preserve"> acción. Tras ello, siguiendo el trámite previsto en la legislación interna, el 29 de octubre de 2014 el TCP, mediante auto constitucional 0372/2014, confirmó el rechazo de dicha acción de inconstitucionalidad, replicando el mismo argumento utilizado para desestimar la demanda de las otras dos presuntas víctimas, </w:t>
      </w:r>
      <w:r w:rsidR="000F0316" w:rsidRPr="003643AE">
        <w:rPr>
          <w:rFonts w:asciiTheme="majorHAnsi" w:hAnsiTheme="majorHAnsi"/>
          <w:sz w:val="20"/>
          <w:szCs w:val="20"/>
          <w:lang w:val="es-ES_tradnl"/>
        </w:rPr>
        <w:t>consistente en</w:t>
      </w:r>
      <w:r w:rsidR="00863F1A" w:rsidRPr="003643AE">
        <w:rPr>
          <w:rFonts w:asciiTheme="majorHAnsi" w:hAnsiTheme="majorHAnsi"/>
          <w:sz w:val="20"/>
          <w:szCs w:val="20"/>
          <w:lang w:val="es-ES_tradnl"/>
        </w:rPr>
        <w:t xml:space="preserve"> una supuesta falta de adecuada fundamentación al momento de proponer el recurso constitucional.</w:t>
      </w:r>
    </w:p>
    <w:p w14:paraId="52C35ACE" w14:textId="7FA060E9" w:rsidR="00985083" w:rsidRPr="003643AE" w:rsidRDefault="000F0316" w:rsidP="00985083">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E</w:t>
      </w:r>
      <w:r w:rsidR="00985083" w:rsidRPr="003643AE">
        <w:rPr>
          <w:rFonts w:asciiTheme="majorHAnsi" w:hAnsiTheme="majorHAnsi"/>
          <w:sz w:val="20"/>
          <w:szCs w:val="20"/>
          <w:lang w:val="es-ES_tradnl"/>
        </w:rPr>
        <w:t>l 4 de diciembre de 2014 señor Cusi no se presentó a la audiencia que daba inicio al juicio polític</w:t>
      </w:r>
      <w:r w:rsidR="00487379" w:rsidRPr="003643AE">
        <w:rPr>
          <w:rFonts w:asciiTheme="majorHAnsi" w:hAnsiTheme="majorHAnsi"/>
          <w:sz w:val="20"/>
          <w:szCs w:val="20"/>
          <w:lang w:val="es-ES_tradnl"/>
        </w:rPr>
        <w:t>o</w:t>
      </w:r>
      <w:r w:rsidR="00985083" w:rsidRPr="003643AE">
        <w:rPr>
          <w:rFonts w:asciiTheme="majorHAnsi" w:hAnsiTheme="majorHAnsi"/>
          <w:sz w:val="20"/>
          <w:szCs w:val="20"/>
          <w:lang w:val="es-ES_tradnl"/>
        </w:rPr>
        <w:t xml:space="preserve"> en su contra y del resto de presuntas víctimas debido a su estado de salud. En razón a ello la Cámara de Senado suspendió esta diligencia. </w:t>
      </w:r>
    </w:p>
    <w:p w14:paraId="2B7F711F" w14:textId="4A43A6BE" w:rsidR="00985083" w:rsidRPr="003643AE" w:rsidRDefault="000F0316" w:rsidP="00985083">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La parte peticionaria r</w:t>
      </w:r>
      <w:r w:rsidR="00985083" w:rsidRPr="003643AE">
        <w:rPr>
          <w:rFonts w:asciiTheme="majorHAnsi" w:hAnsiTheme="majorHAnsi"/>
          <w:sz w:val="20"/>
          <w:szCs w:val="20"/>
          <w:lang w:val="es-ES_tradnl"/>
        </w:rPr>
        <w:t xml:space="preserve">esalta que, tras este hecho, el 22 de diciembre de 2014 el entonces Ministro de Salud, en conferencia de prensa, reveló públicamente que la presunta víctima </w:t>
      </w:r>
      <w:r w:rsidR="00487379" w:rsidRPr="003643AE">
        <w:rPr>
          <w:rFonts w:asciiTheme="majorHAnsi" w:hAnsiTheme="majorHAnsi"/>
          <w:sz w:val="20"/>
          <w:szCs w:val="20"/>
          <w:lang w:val="es-ES_tradnl"/>
        </w:rPr>
        <w:t>“</w:t>
      </w:r>
      <w:r w:rsidR="00985083" w:rsidRPr="003643AE">
        <w:rPr>
          <w:rFonts w:asciiTheme="majorHAnsi" w:hAnsiTheme="majorHAnsi"/>
          <w:i/>
          <w:iCs/>
          <w:sz w:val="20"/>
          <w:szCs w:val="20"/>
          <w:lang w:val="es-ES_tradnl"/>
        </w:rPr>
        <w:t>estaba enferma con tuberculos</w:t>
      </w:r>
      <w:r w:rsidR="00487379" w:rsidRPr="003643AE">
        <w:rPr>
          <w:rFonts w:asciiTheme="majorHAnsi" w:hAnsiTheme="majorHAnsi"/>
          <w:i/>
          <w:iCs/>
          <w:sz w:val="20"/>
          <w:szCs w:val="20"/>
          <w:lang w:val="es-ES_tradnl"/>
        </w:rPr>
        <w:t>i</w:t>
      </w:r>
      <w:r w:rsidR="00985083" w:rsidRPr="003643AE">
        <w:rPr>
          <w:rFonts w:asciiTheme="majorHAnsi" w:hAnsiTheme="majorHAnsi"/>
          <w:i/>
          <w:iCs/>
          <w:sz w:val="20"/>
          <w:szCs w:val="20"/>
          <w:lang w:val="es-ES_tradnl"/>
        </w:rPr>
        <w:t xml:space="preserve">s y </w:t>
      </w:r>
      <w:r w:rsidR="00487379" w:rsidRPr="003643AE">
        <w:rPr>
          <w:rFonts w:asciiTheme="majorHAnsi" w:hAnsiTheme="majorHAnsi"/>
          <w:i/>
          <w:iCs/>
          <w:sz w:val="20"/>
          <w:szCs w:val="20"/>
          <w:lang w:val="es-ES_tradnl"/>
        </w:rPr>
        <w:t>sida</w:t>
      </w:r>
      <w:r w:rsidR="00487379" w:rsidRPr="003643AE">
        <w:rPr>
          <w:rFonts w:asciiTheme="majorHAnsi" w:hAnsiTheme="majorHAnsi"/>
          <w:sz w:val="20"/>
          <w:szCs w:val="20"/>
          <w:lang w:val="es-ES_tradnl"/>
        </w:rPr>
        <w:t>”</w:t>
      </w:r>
      <w:r w:rsidR="00985083" w:rsidRPr="003643AE">
        <w:rPr>
          <w:rFonts w:asciiTheme="majorHAnsi" w:hAnsiTheme="majorHAnsi"/>
          <w:sz w:val="20"/>
          <w:szCs w:val="20"/>
          <w:lang w:val="es-ES_tradnl"/>
        </w:rPr>
        <w:t xml:space="preserve">. A juicio de la parte peticionaria, los altos cargos políticos del gobierno de Bolivia buscaron hacer pública la situación de salud del señor Cusi durante el transcurso del juicio político, a fin de </w:t>
      </w:r>
      <w:r w:rsidR="003C2507" w:rsidRPr="003643AE">
        <w:rPr>
          <w:rFonts w:asciiTheme="majorHAnsi" w:hAnsiTheme="majorHAnsi"/>
          <w:sz w:val="20"/>
          <w:szCs w:val="20"/>
          <w:lang w:val="es-ES_tradnl"/>
        </w:rPr>
        <w:t xml:space="preserve">estigmatizarlo, </w:t>
      </w:r>
      <w:r w:rsidR="00985083" w:rsidRPr="003643AE">
        <w:rPr>
          <w:rFonts w:asciiTheme="majorHAnsi" w:hAnsiTheme="majorHAnsi"/>
          <w:sz w:val="20"/>
          <w:szCs w:val="20"/>
          <w:lang w:val="es-ES_tradnl"/>
        </w:rPr>
        <w:t>desprestigiarl</w:t>
      </w:r>
      <w:r w:rsidR="003C2507" w:rsidRPr="003643AE">
        <w:rPr>
          <w:rFonts w:asciiTheme="majorHAnsi" w:hAnsiTheme="majorHAnsi"/>
          <w:sz w:val="20"/>
          <w:szCs w:val="20"/>
          <w:lang w:val="es-ES_tradnl"/>
        </w:rPr>
        <w:t>o</w:t>
      </w:r>
      <w:r w:rsidR="00985083" w:rsidRPr="003643AE">
        <w:rPr>
          <w:rFonts w:asciiTheme="majorHAnsi" w:hAnsiTheme="majorHAnsi"/>
          <w:sz w:val="20"/>
          <w:szCs w:val="20"/>
          <w:lang w:val="es-ES_tradnl"/>
        </w:rPr>
        <w:t xml:space="preserve"> ante la población y legitimar las acciones en su contra.</w:t>
      </w:r>
    </w:p>
    <w:p w14:paraId="116DD9A0" w14:textId="5129C9CF" w:rsidR="00234458" w:rsidRPr="00234458" w:rsidRDefault="003C2507" w:rsidP="00234458">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 xml:space="preserve">La parte peticionaria sostiene que </w:t>
      </w:r>
      <w:r w:rsidR="00985083" w:rsidRPr="003643AE">
        <w:rPr>
          <w:rFonts w:asciiTheme="majorHAnsi" w:hAnsiTheme="majorHAnsi"/>
          <w:sz w:val="20"/>
          <w:szCs w:val="20"/>
          <w:lang w:val="es-ES_tradnl"/>
        </w:rPr>
        <w:t>debido a varios incidentes relacionados con su estado de salud, la presunta víctima no estuvo en condiciones de participar en ninguna audiencia del juicio político en su contra. Por ello, el 5 de enero de 2015 la Cámara de Senadores lo separó del juicio</w:t>
      </w:r>
      <w:r w:rsidR="00234458">
        <w:rPr>
          <w:rFonts w:asciiTheme="majorHAnsi" w:hAnsiTheme="majorHAnsi"/>
          <w:sz w:val="20"/>
          <w:szCs w:val="20"/>
          <w:lang w:val="es-ES_tradnl"/>
        </w:rPr>
        <w:t>, al considerar que</w:t>
      </w:r>
      <w:r w:rsidR="00985083" w:rsidRPr="003643AE">
        <w:rPr>
          <w:rFonts w:asciiTheme="majorHAnsi" w:hAnsiTheme="majorHAnsi"/>
          <w:sz w:val="20"/>
          <w:szCs w:val="20"/>
          <w:lang w:val="es-ES_tradnl"/>
        </w:rPr>
        <w:t xml:space="preserve"> </w:t>
      </w:r>
      <w:r w:rsidR="00234458">
        <w:rPr>
          <w:rFonts w:asciiTheme="majorHAnsi" w:hAnsiTheme="majorHAnsi"/>
          <w:sz w:val="20"/>
          <w:szCs w:val="20"/>
          <w:lang w:val="es-ES_tradnl"/>
        </w:rPr>
        <w:t xml:space="preserve">debido a </w:t>
      </w:r>
      <w:r w:rsidR="00985083" w:rsidRPr="003643AE">
        <w:rPr>
          <w:rFonts w:asciiTheme="majorHAnsi" w:hAnsiTheme="majorHAnsi"/>
          <w:sz w:val="20"/>
          <w:szCs w:val="20"/>
          <w:lang w:val="es-ES_tradnl"/>
        </w:rPr>
        <w:t>su condición de persona que vive con VIH</w:t>
      </w:r>
      <w:r w:rsidR="00234458">
        <w:rPr>
          <w:rFonts w:asciiTheme="majorHAnsi" w:hAnsiTheme="majorHAnsi"/>
          <w:sz w:val="20"/>
          <w:szCs w:val="20"/>
          <w:lang w:val="es-ES_tradnl"/>
        </w:rPr>
        <w:t xml:space="preserve"> no podía ejercer adecuadamente su defensa durante el juicio</w:t>
      </w:r>
      <w:r w:rsidR="00985083" w:rsidRPr="003643AE">
        <w:rPr>
          <w:rFonts w:asciiTheme="majorHAnsi" w:hAnsiTheme="majorHAnsi"/>
          <w:sz w:val="20"/>
          <w:szCs w:val="20"/>
          <w:lang w:val="es-ES_tradnl"/>
        </w:rPr>
        <w:t xml:space="preserve">. </w:t>
      </w:r>
      <w:r w:rsidRPr="003643AE">
        <w:rPr>
          <w:rFonts w:asciiTheme="majorHAnsi" w:hAnsiTheme="majorHAnsi"/>
          <w:sz w:val="20"/>
          <w:szCs w:val="20"/>
          <w:lang w:val="es-ES_tradnl"/>
        </w:rPr>
        <w:t>Así</w:t>
      </w:r>
      <w:r w:rsidR="00985083" w:rsidRPr="003643AE">
        <w:rPr>
          <w:rFonts w:asciiTheme="majorHAnsi" w:hAnsiTheme="majorHAnsi"/>
          <w:sz w:val="20"/>
          <w:szCs w:val="20"/>
          <w:lang w:val="es-ES_tradnl"/>
        </w:rPr>
        <w:t xml:space="preserve">, hasta la fecha, </w:t>
      </w:r>
      <w:r w:rsidRPr="003643AE">
        <w:rPr>
          <w:rFonts w:asciiTheme="majorHAnsi" w:hAnsiTheme="majorHAnsi"/>
          <w:sz w:val="20"/>
          <w:szCs w:val="20"/>
          <w:lang w:val="es-ES_tradnl"/>
        </w:rPr>
        <w:t xml:space="preserve">el Sr. Cusi </w:t>
      </w:r>
      <w:r w:rsidR="00985083" w:rsidRPr="003643AE">
        <w:rPr>
          <w:rFonts w:asciiTheme="majorHAnsi" w:hAnsiTheme="majorHAnsi"/>
          <w:sz w:val="20"/>
          <w:szCs w:val="20"/>
          <w:lang w:val="es-ES_tradnl"/>
        </w:rPr>
        <w:t>ha quedado suspendid</w:t>
      </w:r>
      <w:r w:rsidRPr="003643AE">
        <w:rPr>
          <w:rFonts w:asciiTheme="majorHAnsi" w:hAnsiTheme="majorHAnsi"/>
          <w:sz w:val="20"/>
          <w:szCs w:val="20"/>
          <w:lang w:val="es-ES_tradnl"/>
        </w:rPr>
        <w:t>o</w:t>
      </w:r>
      <w:r w:rsidR="00985083" w:rsidRPr="003643AE">
        <w:rPr>
          <w:rFonts w:asciiTheme="majorHAnsi" w:hAnsiTheme="majorHAnsi"/>
          <w:sz w:val="20"/>
          <w:szCs w:val="20"/>
          <w:lang w:val="es-ES_tradnl"/>
        </w:rPr>
        <w:t xml:space="preserve"> de ejercer la función judicial</w:t>
      </w:r>
      <w:r w:rsidR="00234458">
        <w:rPr>
          <w:rFonts w:asciiTheme="majorHAnsi" w:hAnsiTheme="majorHAnsi"/>
          <w:sz w:val="20"/>
          <w:szCs w:val="20"/>
          <w:lang w:val="es-ES_tradnl"/>
        </w:rPr>
        <w:t xml:space="preserve">, en tanto el juicio en su contra únicamente ha quedado interrumpido. </w:t>
      </w:r>
    </w:p>
    <w:p w14:paraId="519D247D" w14:textId="29BDC177" w:rsidR="00AC6891" w:rsidRPr="003643AE" w:rsidRDefault="00234458" w:rsidP="002E0904">
      <w:pPr>
        <w:numPr>
          <w:ilvl w:val="0"/>
          <w:numId w:val="59"/>
        </w:numPr>
        <w:suppressAutoHyphens/>
        <w:spacing w:after="240"/>
        <w:jc w:val="both"/>
        <w:rPr>
          <w:rFonts w:asciiTheme="majorHAnsi" w:hAnsiTheme="majorHAnsi"/>
          <w:i/>
          <w:iCs/>
          <w:sz w:val="20"/>
          <w:szCs w:val="20"/>
          <w:lang w:val="es-ES_tradnl"/>
        </w:rPr>
      </w:pPr>
      <w:r>
        <w:rPr>
          <w:rFonts w:asciiTheme="majorHAnsi" w:hAnsiTheme="majorHAnsi"/>
          <w:sz w:val="20"/>
          <w:szCs w:val="20"/>
          <w:lang w:val="es-ES_tradnl"/>
        </w:rPr>
        <w:t>Debido a ello</w:t>
      </w:r>
      <w:r w:rsidR="00F02897" w:rsidRPr="003643AE">
        <w:rPr>
          <w:rFonts w:asciiTheme="majorHAnsi" w:hAnsiTheme="majorHAnsi"/>
          <w:sz w:val="20"/>
          <w:szCs w:val="20"/>
          <w:lang w:val="es-ES_tradnl"/>
        </w:rPr>
        <w:t xml:space="preserve">, </w:t>
      </w:r>
      <w:r w:rsidR="00985083" w:rsidRPr="003643AE">
        <w:rPr>
          <w:rFonts w:asciiTheme="majorHAnsi" w:hAnsiTheme="majorHAnsi"/>
          <w:sz w:val="20"/>
          <w:szCs w:val="20"/>
          <w:lang w:val="es-ES_tradnl"/>
        </w:rPr>
        <w:t xml:space="preserve">el Senado intentó reiniciar el juicio contra el señor Cusi en siete oportunidades, pero en todas estas ocasiones el procedimiento fue suspendido. Ante ello, el 5 de diciembre de 2016 </w:t>
      </w:r>
      <w:r w:rsidR="00E021CE" w:rsidRPr="003643AE">
        <w:rPr>
          <w:rFonts w:asciiTheme="majorHAnsi" w:hAnsiTheme="majorHAnsi"/>
          <w:sz w:val="20"/>
          <w:szCs w:val="20"/>
          <w:lang w:val="es-ES_tradnl"/>
        </w:rPr>
        <w:t>el Sr Cusi</w:t>
      </w:r>
      <w:r w:rsidR="00985083" w:rsidRPr="003643AE">
        <w:rPr>
          <w:rFonts w:asciiTheme="majorHAnsi" w:hAnsiTheme="majorHAnsi"/>
          <w:sz w:val="20"/>
          <w:szCs w:val="20"/>
          <w:lang w:val="es-ES_tradnl"/>
        </w:rPr>
        <w:t xml:space="preserve"> presentó una acción de inconstitucionalidad </w:t>
      </w:r>
      <w:r w:rsidR="00C60582" w:rsidRPr="003643AE">
        <w:rPr>
          <w:rFonts w:asciiTheme="majorHAnsi" w:hAnsiTheme="majorHAnsi"/>
          <w:sz w:val="20"/>
          <w:szCs w:val="20"/>
          <w:lang w:val="es-ES_tradnl"/>
        </w:rPr>
        <w:t xml:space="preserve">concreta </w:t>
      </w:r>
      <w:r w:rsidR="00985083" w:rsidRPr="003643AE">
        <w:rPr>
          <w:rFonts w:asciiTheme="majorHAnsi" w:hAnsiTheme="majorHAnsi"/>
          <w:sz w:val="20"/>
          <w:szCs w:val="20"/>
          <w:lang w:val="es-ES_tradnl"/>
        </w:rPr>
        <w:t xml:space="preserve">contra el proceso al que se encontraba sometido en ese momento. </w:t>
      </w:r>
      <w:r w:rsidR="001B61C9" w:rsidRPr="003643AE">
        <w:rPr>
          <w:rFonts w:asciiTheme="majorHAnsi" w:hAnsiTheme="majorHAnsi"/>
          <w:sz w:val="20"/>
          <w:szCs w:val="20"/>
          <w:lang w:val="es-ES_tradnl"/>
        </w:rPr>
        <w:t>Sin embargo</w:t>
      </w:r>
      <w:r w:rsidR="00985083" w:rsidRPr="003643AE">
        <w:rPr>
          <w:rFonts w:asciiTheme="majorHAnsi" w:hAnsiTheme="majorHAnsi"/>
          <w:sz w:val="20"/>
          <w:szCs w:val="20"/>
          <w:lang w:val="es-ES_tradnl"/>
        </w:rPr>
        <w:t>, el 13 de diciembre de 201</w:t>
      </w:r>
      <w:r w:rsidR="00E825A8" w:rsidRPr="003643AE">
        <w:rPr>
          <w:rFonts w:asciiTheme="majorHAnsi" w:hAnsiTheme="majorHAnsi"/>
          <w:sz w:val="20"/>
          <w:szCs w:val="20"/>
          <w:lang w:val="es-ES_tradnl"/>
        </w:rPr>
        <w:t>6</w:t>
      </w:r>
      <w:r w:rsidR="00985083" w:rsidRPr="003643AE">
        <w:rPr>
          <w:rFonts w:asciiTheme="majorHAnsi" w:hAnsiTheme="majorHAnsi"/>
          <w:sz w:val="20"/>
          <w:szCs w:val="20"/>
          <w:lang w:val="es-ES_tradnl"/>
        </w:rPr>
        <w:t xml:space="preserve"> el TCP rechazó tal acción,</w:t>
      </w:r>
      <w:r w:rsidR="00E825A8" w:rsidRPr="003643AE">
        <w:rPr>
          <w:rFonts w:asciiTheme="majorHAnsi" w:hAnsiTheme="majorHAnsi"/>
          <w:sz w:val="20"/>
          <w:szCs w:val="20"/>
          <w:lang w:val="es-ES_tradnl"/>
        </w:rPr>
        <w:t xml:space="preserve"> argumentando </w:t>
      </w:r>
      <w:r w:rsidR="002E0904" w:rsidRPr="003643AE">
        <w:rPr>
          <w:rFonts w:asciiTheme="majorHAnsi" w:hAnsiTheme="majorHAnsi"/>
          <w:sz w:val="20"/>
          <w:szCs w:val="20"/>
          <w:lang w:val="es-ES_tradnl"/>
        </w:rPr>
        <w:t>que en 2014 la presunta víctima ya había intentado una primera acción de inconstitucionalidad concreta</w:t>
      </w:r>
      <w:r w:rsidR="00A44C40" w:rsidRPr="003643AE">
        <w:rPr>
          <w:rFonts w:asciiTheme="majorHAnsi" w:hAnsiTheme="majorHAnsi"/>
          <w:sz w:val="20"/>
          <w:szCs w:val="20"/>
          <w:lang w:val="es-ES_tradnl"/>
        </w:rPr>
        <w:t>;</w:t>
      </w:r>
      <w:r w:rsidR="002E0904" w:rsidRPr="003643AE">
        <w:rPr>
          <w:rFonts w:asciiTheme="majorHAnsi" w:hAnsiTheme="majorHAnsi"/>
          <w:sz w:val="20"/>
          <w:szCs w:val="20"/>
          <w:lang w:val="es-ES_tradnl"/>
        </w:rPr>
        <w:t xml:space="preserve"> dado que dicho recurso solo podía plantearse una sola vez, no podía admitir esta nueva demanda ni analizar el fondo de la controversia. De este modo, la parte peticionaria manifiesta que e</w:t>
      </w:r>
      <w:r w:rsidR="00985083" w:rsidRPr="003643AE">
        <w:rPr>
          <w:rFonts w:asciiTheme="majorHAnsi" w:hAnsiTheme="majorHAnsi"/>
          <w:sz w:val="20"/>
          <w:szCs w:val="20"/>
          <w:lang w:val="es-ES_tradnl"/>
        </w:rPr>
        <w:t xml:space="preserve">l señor Cusi </w:t>
      </w:r>
      <w:r w:rsidR="002E0904" w:rsidRPr="003643AE">
        <w:rPr>
          <w:rFonts w:asciiTheme="majorHAnsi" w:hAnsiTheme="majorHAnsi"/>
          <w:sz w:val="20"/>
          <w:szCs w:val="20"/>
          <w:lang w:val="es-ES_tradnl"/>
        </w:rPr>
        <w:t xml:space="preserve">se quedó </w:t>
      </w:r>
      <w:r w:rsidR="00985083" w:rsidRPr="003643AE">
        <w:rPr>
          <w:rFonts w:asciiTheme="majorHAnsi" w:hAnsiTheme="majorHAnsi"/>
          <w:sz w:val="20"/>
          <w:szCs w:val="20"/>
          <w:lang w:val="es-ES_tradnl"/>
        </w:rPr>
        <w:t xml:space="preserve">sin ninguna otra vía judicial para lograr la protección contra el caso fabricado contra él para apartarlo de la función judicial. </w:t>
      </w:r>
    </w:p>
    <w:p w14:paraId="099F32B3" w14:textId="3816CBC7" w:rsidR="00B1276A" w:rsidRPr="003643AE" w:rsidRDefault="00B1276A" w:rsidP="00B1276A">
      <w:pPr>
        <w:suppressAutoHyphens/>
        <w:spacing w:after="240"/>
        <w:ind w:left="720"/>
        <w:jc w:val="both"/>
        <w:rPr>
          <w:rFonts w:asciiTheme="majorHAnsi" w:hAnsiTheme="majorHAnsi"/>
          <w:i/>
          <w:iCs/>
          <w:sz w:val="20"/>
          <w:szCs w:val="20"/>
          <w:lang w:val="es-ES_tradnl"/>
        </w:rPr>
      </w:pPr>
      <w:r w:rsidRPr="003643AE">
        <w:rPr>
          <w:rFonts w:asciiTheme="majorHAnsi" w:hAnsiTheme="majorHAnsi"/>
          <w:i/>
          <w:iCs/>
          <w:sz w:val="20"/>
          <w:szCs w:val="20"/>
          <w:lang w:val="es-ES_tradnl"/>
        </w:rPr>
        <w:t>Consideraciones finales</w:t>
      </w:r>
    </w:p>
    <w:p w14:paraId="41A175CB" w14:textId="44BC0332" w:rsidR="00D5020E" w:rsidRPr="003643AE" w:rsidRDefault="009A56FA" w:rsidP="00EE4EE2">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 xml:space="preserve">En base a las citadas consideraciones de hecho, la parte peticionaria denuncia que el Estado violó los derechos de las presuntas víctimas al suspenderlas </w:t>
      </w:r>
      <w:r w:rsidR="00903322" w:rsidRPr="003643AE">
        <w:rPr>
          <w:rFonts w:asciiTheme="majorHAnsi" w:hAnsiTheme="majorHAnsi"/>
          <w:sz w:val="20"/>
          <w:szCs w:val="20"/>
          <w:lang w:val="es-ES_tradnl"/>
        </w:rPr>
        <w:t xml:space="preserve">y destituirlas, tanto de manera directa como indirectamente, de </w:t>
      </w:r>
      <w:r w:rsidRPr="003643AE">
        <w:rPr>
          <w:rFonts w:asciiTheme="majorHAnsi" w:hAnsiTheme="majorHAnsi"/>
          <w:sz w:val="20"/>
          <w:szCs w:val="20"/>
          <w:lang w:val="es-ES_tradnl"/>
        </w:rPr>
        <w:t xml:space="preserve">sus cargos como magistradas del </w:t>
      </w:r>
      <w:r w:rsidR="001241AF" w:rsidRPr="003643AE">
        <w:rPr>
          <w:rFonts w:asciiTheme="majorHAnsi" w:hAnsiTheme="majorHAnsi"/>
          <w:sz w:val="20"/>
          <w:szCs w:val="20"/>
          <w:lang w:val="es-ES_tradnl"/>
        </w:rPr>
        <w:t>TCP</w:t>
      </w:r>
      <w:r w:rsidRPr="003643AE">
        <w:rPr>
          <w:rFonts w:asciiTheme="majorHAnsi" w:hAnsiTheme="majorHAnsi"/>
          <w:sz w:val="20"/>
          <w:szCs w:val="20"/>
          <w:lang w:val="es-ES_tradnl"/>
        </w:rPr>
        <w:t xml:space="preserve">. Indica que </w:t>
      </w:r>
      <w:r w:rsidR="00D5020E" w:rsidRPr="003643AE">
        <w:rPr>
          <w:rFonts w:asciiTheme="majorHAnsi" w:hAnsiTheme="majorHAnsi"/>
          <w:sz w:val="20"/>
          <w:szCs w:val="20"/>
          <w:lang w:val="es-ES_tradnl"/>
        </w:rPr>
        <w:t xml:space="preserve">el único propósito del juicio iniciado hacia estas personas era lograr su alejamiento del </w:t>
      </w:r>
      <w:r w:rsidR="001241AF" w:rsidRPr="003643AE">
        <w:rPr>
          <w:rFonts w:asciiTheme="majorHAnsi" w:hAnsiTheme="majorHAnsi"/>
          <w:sz w:val="20"/>
          <w:szCs w:val="20"/>
          <w:lang w:val="es-ES_tradnl"/>
        </w:rPr>
        <w:t>TCP</w:t>
      </w:r>
      <w:r w:rsidR="00D5020E" w:rsidRPr="003643AE">
        <w:rPr>
          <w:rFonts w:asciiTheme="majorHAnsi" w:hAnsiTheme="majorHAnsi"/>
          <w:sz w:val="20"/>
          <w:szCs w:val="20"/>
          <w:lang w:val="es-ES_tradnl"/>
        </w:rPr>
        <w:t>, en tanto no eran funcionales a los intereses del entonces gobierno. En consecuencia, arguye que todo el accionar realizado por la Asamblea Legislativa Plurinacional de Bolivia resultó una completa arbitrariedad</w:t>
      </w:r>
      <w:r w:rsidR="00903322" w:rsidRPr="003643AE">
        <w:rPr>
          <w:rFonts w:asciiTheme="majorHAnsi" w:hAnsiTheme="majorHAnsi"/>
          <w:sz w:val="20"/>
          <w:szCs w:val="20"/>
          <w:lang w:val="es-ES_tradnl"/>
        </w:rPr>
        <w:t xml:space="preserve"> </w:t>
      </w:r>
      <w:r w:rsidR="00E51F1F" w:rsidRPr="003643AE">
        <w:rPr>
          <w:rFonts w:asciiTheme="majorHAnsi" w:hAnsiTheme="majorHAnsi"/>
          <w:sz w:val="20"/>
          <w:szCs w:val="20"/>
          <w:lang w:val="es-ES_tradnl"/>
        </w:rPr>
        <w:t xml:space="preserve">contra de las presuntas víctimas </w:t>
      </w:r>
      <w:r w:rsidR="00903322" w:rsidRPr="003643AE">
        <w:rPr>
          <w:rFonts w:asciiTheme="majorHAnsi" w:hAnsiTheme="majorHAnsi"/>
          <w:sz w:val="20"/>
          <w:szCs w:val="20"/>
          <w:lang w:val="es-ES_tradnl"/>
        </w:rPr>
        <w:t>basada en intereses políticos</w:t>
      </w:r>
      <w:r w:rsidR="00D5020E" w:rsidRPr="003643AE">
        <w:rPr>
          <w:rFonts w:asciiTheme="majorHAnsi" w:hAnsiTheme="majorHAnsi"/>
          <w:sz w:val="20"/>
          <w:szCs w:val="20"/>
          <w:lang w:val="es-ES_tradnl"/>
        </w:rPr>
        <w:t xml:space="preserve">. </w:t>
      </w:r>
    </w:p>
    <w:p w14:paraId="3F874E74" w14:textId="1C1893C3" w:rsidR="00EE4EE2" w:rsidRPr="003643AE" w:rsidRDefault="00D5020E" w:rsidP="00EE4EE2">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Explica</w:t>
      </w:r>
      <w:r w:rsidR="00EE4EE2" w:rsidRPr="003643AE">
        <w:rPr>
          <w:rFonts w:asciiTheme="majorHAnsi" w:hAnsiTheme="majorHAnsi"/>
          <w:sz w:val="20"/>
          <w:szCs w:val="20"/>
          <w:lang w:val="es-ES_tradnl"/>
        </w:rPr>
        <w:t xml:space="preserve"> que las presuntas víctimas suspendieron la Ley del Notariado Plurinacional </w:t>
      </w:r>
      <w:r w:rsidRPr="003643AE">
        <w:rPr>
          <w:rFonts w:asciiTheme="majorHAnsi" w:hAnsiTheme="majorHAnsi"/>
          <w:sz w:val="20"/>
          <w:szCs w:val="20"/>
          <w:lang w:val="es-ES_tradnl"/>
        </w:rPr>
        <w:t>a partir de las facultades que les otorgaba</w:t>
      </w:r>
      <w:r w:rsidR="00EE4EE2" w:rsidRPr="003643AE">
        <w:rPr>
          <w:rFonts w:asciiTheme="majorHAnsi" w:hAnsiTheme="majorHAnsi"/>
          <w:sz w:val="20"/>
          <w:szCs w:val="20"/>
          <w:lang w:val="es-ES_tradnl"/>
        </w:rPr>
        <w:t xml:space="preserve"> el artículo 9 del Código Procesal Constitucional, pues consideraron en su momento que esa era la medida más adecuada.</w:t>
      </w:r>
      <w:r w:rsidRPr="003643AE">
        <w:rPr>
          <w:rFonts w:asciiTheme="majorHAnsi" w:hAnsiTheme="majorHAnsi"/>
          <w:sz w:val="20"/>
          <w:szCs w:val="20"/>
          <w:lang w:val="es-ES_tradnl"/>
        </w:rPr>
        <w:t xml:space="preserve"> </w:t>
      </w:r>
      <w:r w:rsidR="00E809B9" w:rsidRPr="003643AE">
        <w:rPr>
          <w:rFonts w:asciiTheme="majorHAnsi" w:hAnsiTheme="majorHAnsi"/>
          <w:sz w:val="20"/>
          <w:szCs w:val="20"/>
          <w:lang w:val="es-ES_tradnl"/>
        </w:rPr>
        <w:t>Así, sostiene</w:t>
      </w:r>
      <w:r w:rsidR="00EE4EE2" w:rsidRPr="003643AE">
        <w:rPr>
          <w:rFonts w:asciiTheme="majorHAnsi" w:hAnsiTheme="majorHAnsi"/>
          <w:sz w:val="20"/>
          <w:szCs w:val="20"/>
          <w:lang w:val="es-ES_tradnl"/>
        </w:rPr>
        <w:t xml:space="preserve"> que no existe ninguna ley en Bolivia que prohíba expresamente a los magistrados disponer medidas cautelares, por lo que resulta claro que las presuntas víctimas no cometieron prevaricato ni emitieron una resolución contraria a la Constitución. En sentido similar, </w:t>
      </w:r>
      <w:r w:rsidR="00EE4EE2" w:rsidRPr="003643AE">
        <w:rPr>
          <w:rFonts w:asciiTheme="majorHAnsi" w:hAnsiTheme="majorHAnsi"/>
          <w:sz w:val="20"/>
          <w:szCs w:val="20"/>
          <w:lang w:val="es-ES_tradnl"/>
        </w:rPr>
        <w:lastRenderedPageBreak/>
        <w:t xml:space="preserve">arguye que dichas personas tampoco omitieron o se rehusaron ilegalmente a hacer algún acto propio de la función, sino todo lo contrario, por lo que tampoco incurrieron en un incumplimiento de deberes. </w:t>
      </w:r>
    </w:p>
    <w:p w14:paraId="54985F21" w14:textId="4DB969B7" w:rsidR="00E809B9" w:rsidRPr="003643AE" w:rsidRDefault="00E809B9" w:rsidP="00E809B9">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 xml:space="preserve">Sin perjuicio de ello, afirma que la Ley </w:t>
      </w:r>
      <w:r w:rsidR="00234458" w:rsidRPr="003643AE">
        <w:rPr>
          <w:rFonts w:asciiTheme="majorHAnsi" w:hAnsiTheme="majorHAnsi"/>
          <w:sz w:val="20"/>
          <w:szCs w:val="20"/>
          <w:lang w:val="es-ES_tradnl"/>
        </w:rPr>
        <w:t>N.º</w:t>
      </w:r>
      <w:r w:rsidRPr="003643AE">
        <w:rPr>
          <w:rFonts w:asciiTheme="majorHAnsi" w:hAnsiTheme="majorHAnsi"/>
          <w:sz w:val="20"/>
          <w:szCs w:val="20"/>
          <w:lang w:val="es-ES_tradnl"/>
        </w:rPr>
        <w:t xml:space="preserve"> 044</w:t>
      </w:r>
      <w:r w:rsidR="00810477" w:rsidRPr="003643AE">
        <w:rPr>
          <w:rFonts w:asciiTheme="majorHAnsi" w:hAnsiTheme="majorHAnsi"/>
          <w:sz w:val="20"/>
          <w:szCs w:val="20"/>
          <w:lang w:val="es-ES_tradnl"/>
        </w:rPr>
        <w:t>,</w:t>
      </w:r>
      <w:r w:rsidRPr="003643AE">
        <w:rPr>
          <w:rFonts w:asciiTheme="majorHAnsi" w:hAnsiTheme="majorHAnsi"/>
          <w:sz w:val="20"/>
          <w:szCs w:val="20"/>
          <w:lang w:val="es-ES_tradnl"/>
        </w:rPr>
        <w:t xml:space="preserve"> utilizada por la Asamblea Legislativa Plurinacional para iniciar el juicio contra las presuntas víctimas, resulta incompatible con los estándares internacionales sobre garantías judiciales respecto a operadores de justicia. Así, señala que </w:t>
      </w:r>
      <w:r w:rsidR="0065261E" w:rsidRPr="003643AE">
        <w:rPr>
          <w:rFonts w:asciiTheme="majorHAnsi" w:hAnsiTheme="majorHAnsi"/>
          <w:sz w:val="20"/>
          <w:szCs w:val="20"/>
          <w:lang w:val="es-ES_tradnl"/>
        </w:rPr>
        <w:t>sus</w:t>
      </w:r>
      <w:r w:rsidRPr="003643AE">
        <w:rPr>
          <w:rFonts w:asciiTheme="majorHAnsi" w:hAnsiTheme="majorHAnsi"/>
          <w:sz w:val="20"/>
          <w:szCs w:val="20"/>
          <w:lang w:val="es-ES_tradnl"/>
        </w:rPr>
        <w:t xml:space="preserve"> artículos 26, 27 y 28 permiten que la Cámara de Diputados cumpla el papel del Ministerio Público o Fiscalía, al dejar a su cargo el ejercicio de la acción penal. Asimismo, sostiene que </w:t>
      </w:r>
      <w:r w:rsidR="00DE60CF" w:rsidRPr="003643AE">
        <w:rPr>
          <w:rFonts w:asciiTheme="majorHAnsi" w:hAnsiTheme="majorHAnsi"/>
          <w:sz w:val="20"/>
          <w:szCs w:val="20"/>
          <w:lang w:val="es-ES_tradnl"/>
        </w:rPr>
        <w:t>su</w:t>
      </w:r>
      <w:r w:rsidRPr="003643AE">
        <w:rPr>
          <w:rFonts w:asciiTheme="majorHAnsi" w:hAnsiTheme="majorHAnsi"/>
          <w:sz w:val="20"/>
          <w:szCs w:val="20"/>
          <w:lang w:val="es-ES_tradnl"/>
        </w:rPr>
        <w:t xml:space="preserve"> artículo 38 vulnera el principio de imparcialidad, en tanto permite que los integrantes que dirigieron la investigación puedan actuar luego como miembros de la instancia judicial de apelación. Finalmente, </w:t>
      </w:r>
      <w:r w:rsidR="00DE60CF" w:rsidRPr="003643AE">
        <w:rPr>
          <w:rFonts w:asciiTheme="majorHAnsi" w:hAnsiTheme="majorHAnsi"/>
          <w:sz w:val="20"/>
          <w:szCs w:val="20"/>
          <w:lang w:val="es-ES_tradnl"/>
        </w:rPr>
        <w:t>aduce</w:t>
      </w:r>
      <w:r w:rsidRPr="003643AE">
        <w:rPr>
          <w:rFonts w:asciiTheme="majorHAnsi" w:hAnsiTheme="majorHAnsi"/>
          <w:sz w:val="20"/>
          <w:szCs w:val="20"/>
          <w:lang w:val="es-ES_tradnl"/>
        </w:rPr>
        <w:t xml:space="preserve"> que el artículo 50 de </w:t>
      </w:r>
      <w:r w:rsidR="00DE60CF" w:rsidRPr="003643AE">
        <w:rPr>
          <w:rFonts w:asciiTheme="majorHAnsi" w:hAnsiTheme="majorHAnsi"/>
          <w:sz w:val="20"/>
          <w:szCs w:val="20"/>
          <w:lang w:val="es-ES_tradnl"/>
        </w:rPr>
        <w:t>la</w:t>
      </w:r>
      <w:r w:rsidRPr="003643AE">
        <w:rPr>
          <w:rFonts w:asciiTheme="majorHAnsi" w:hAnsiTheme="majorHAnsi"/>
          <w:sz w:val="20"/>
          <w:szCs w:val="20"/>
          <w:lang w:val="es-ES_tradnl"/>
        </w:rPr>
        <w:t xml:space="preserve"> ley viola el principio de imparcialidad y el derecho a recurrir el fallo ante un tribunal superior, pues señala que la resolución de un eventual recurso de apelación será de conocimiento y resolución de la Asamblea Legislativa Plurinacional, en la que participan los funcionarios que formularon la acusación y quienes emitieron sentencia. Asimismo, </w:t>
      </w:r>
      <w:r w:rsidR="00DE60CF" w:rsidRPr="003643AE">
        <w:rPr>
          <w:rFonts w:asciiTheme="majorHAnsi" w:hAnsiTheme="majorHAnsi"/>
          <w:sz w:val="20"/>
          <w:szCs w:val="20"/>
          <w:lang w:val="es-ES_tradnl"/>
        </w:rPr>
        <w:t>esta disposición</w:t>
      </w:r>
      <w:r w:rsidRPr="003643AE">
        <w:rPr>
          <w:rFonts w:asciiTheme="majorHAnsi" w:hAnsiTheme="majorHAnsi"/>
          <w:sz w:val="20"/>
          <w:szCs w:val="20"/>
          <w:lang w:val="es-ES_tradnl"/>
        </w:rPr>
        <w:t xml:space="preserve"> limita el recurso a cuestiones de puro derecho, sin que se puedan analizar las pruebas o cuestiones de hecho. </w:t>
      </w:r>
    </w:p>
    <w:p w14:paraId="32EB27FC" w14:textId="6FA0DDCA" w:rsidR="00903322" w:rsidRPr="003643AE" w:rsidRDefault="008D748E" w:rsidP="00E809B9">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 xml:space="preserve">Resalta que, dadas estas evidentes inconsistencias con los estándares internacionales, el 3 de noviembre de 2014 la Relatora Especial </w:t>
      </w:r>
      <w:r w:rsidR="00DE60CF" w:rsidRPr="003643AE">
        <w:rPr>
          <w:rFonts w:asciiTheme="majorHAnsi" w:hAnsiTheme="majorHAnsi"/>
          <w:sz w:val="20"/>
          <w:szCs w:val="20"/>
          <w:lang w:val="es-ES_tradnl"/>
        </w:rPr>
        <w:t xml:space="preserve">de las Naciones Unidas </w:t>
      </w:r>
      <w:r w:rsidRPr="003643AE">
        <w:rPr>
          <w:rFonts w:asciiTheme="majorHAnsi" w:hAnsiTheme="majorHAnsi"/>
          <w:sz w:val="20"/>
          <w:szCs w:val="20"/>
          <w:lang w:val="es-ES_tradnl"/>
        </w:rPr>
        <w:t>sobre independencia de magistrados y abogados envío un “</w:t>
      </w:r>
      <w:r w:rsidRPr="003643AE">
        <w:rPr>
          <w:rFonts w:asciiTheme="majorHAnsi" w:hAnsiTheme="majorHAnsi"/>
          <w:i/>
          <w:iCs/>
          <w:sz w:val="20"/>
          <w:szCs w:val="20"/>
          <w:lang w:val="es-ES_tradnl"/>
        </w:rPr>
        <w:t>urgent appeal</w:t>
      </w:r>
      <w:r w:rsidRPr="003643AE">
        <w:rPr>
          <w:rFonts w:asciiTheme="majorHAnsi" w:hAnsiTheme="majorHAnsi"/>
          <w:sz w:val="20"/>
          <w:szCs w:val="20"/>
          <w:lang w:val="es-ES_tradnl"/>
        </w:rPr>
        <w:t>”</w:t>
      </w:r>
      <w:r w:rsidR="005F3D99" w:rsidRPr="003643AE">
        <w:rPr>
          <w:rFonts w:asciiTheme="majorHAnsi" w:hAnsiTheme="majorHAnsi"/>
          <w:sz w:val="20"/>
          <w:szCs w:val="20"/>
          <w:lang w:val="es-ES_tradnl"/>
        </w:rPr>
        <w:t xml:space="preserve"> cuestionado que las presuntas víctimas sean procesadas mediante un órgano político. Asimismo, refiere que el Alto Comisionado de Naciones Unidas para los Derechos Humanos en Bolivia y la Comisión Internacional de Juristas también </w:t>
      </w:r>
      <w:r w:rsidR="00DE60CF" w:rsidRPr="003643AE">
        <w:rPr>
          <w:rFonts w:asciiTheme="majorHAnsi" w:hAnsiTheme="majorHAnsi"/>
          <w:sz w:val="20"/>
          <w:szCs w:val="20"/>
          <w:lang w:val="es-ES_tradnl"/>
        </w:rPr>
        <w:t>se pronunciaron</w:t>
      </w:r>
      <w:r w:rsidR="005F3D99" w:rsidRPr="003643AE">
        <w:rPr>
          <w:rFonts w:asciiTheme="majorHAnsi" w:hAnsiTheme="majorHAnsi"/>
          <w:sz w:val="20"/>
          <w:szCs w:val="20"/>
          <w:lang w:val="es-ES_tradnl"/>
        </w:rPr>
        <w:t xml:space="preserve">, advirtiendo que se estaría vulnerando el derecho a las garantías judiciales. </w:t>
      </w:r>
    </w:p>
    <w:p w14:paraId="06D28080" w14:textId="4CDE183D" w:rsidR="00E809B9" w:rsidRPr="003643AE" w:rsidRDefault="003F0EAC" w:rsidP="00023710">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La parte peticionaria alega que</w:t>
      </w:r>
      <w:r w:rsidR="00702ACA" w:rsidRPr="003643AE">
        <w:rPr>
          <w:rFonts w:asciiTheme="majorHAnsi" w:hAnsiTheme="majorHAnsi"/>
          <w:sz w:val="20"/>
          <w:szCs w:val="20"/>
          <w:lang w:val="es-ES_tradnl"/>
        </w:rPr>
        <w:t xml:space="preserve"> además de vulnerar sus derechos a las garantías judiciales, el citado procedimiento también violó </w:t>
      </w:r>
      <w:r w:rsidRPr="003643AE">
        <w:rPr>
          <w:rFonts w:asciiTheme="majorHAnsi" w:hAnsiTheme="majorHAnsi"/>
          <w:sz w:val="20"/>
          <w:szCs w:val="20"/>
          <w:lang w:val="es-ES_tradnl"/>
        </w:rPr>
        <w:t>los</w:t>
      </w:r>
      <w:r w:rsidR="00702ACA" w:rsidRPr="003643AE">
        <w:rPr>
          <w:rFonts w:asciiTheme="majorHAnsi" w:hAnsiTheme="majorHAnsi"/>
          <w:sz w:val="20"/>
          <w:szCs w:val="20"/>
          <w:lang w:val="es-ES_tradnl"/>
        </w:rPr>
        <w:t xml:space="preserve"> derechos políticos</w:t>
      </w:r>
      <w:r w:rsidRPr="003643AE">
        <w:rPr>
          <w:rFonts w:asciiTheme="majorHAnsi" w:hAnsiTheme="majorHAnsi"/>
          <w:sz w:val="20"/>
          <w:szCs w:val="20"/>
          <w:lang w:val="es-ES_tradnl"/>
        </w:rPr>
        <w:t xml:space="preserve"> de las presuntas víctimas, ya</w:t>
      </w:r>
      <w:r w:rsidR="00E809B9" w:rsidRPr="003643AE">
        <w:rPr>
          <w:rFonts w:asciiTheme="majorHAnsi" w:hAnsiTheme="majorHAnsi"/>
          <w:sz w:val="20"/>
          <w:szCs w:val="20"/>
          <w:lang w:val="es-ES_tradnl"/>
        </w:rPr>
        <w:t xml:space="preserve"> que el artículo 28 de la Constitución Política dispone que la suspensión del ejercicio de los derechos políticos </w:t>
      </w:r>
      <w:r w:rsidRPr="003643AE">
        <w:rPr>
          <w:rFonts w:asciiTheme="majorHAnsi" w:hAnsiTheme="majorHAnsi"/>
          <w:sz w:val="20"/>
          <w:szCs w:val="20"/>
          <w:lang w:val="es-ES_tradnl"/>
        </w:rPr>
        <w:t xml:space="preserve">de </w:t>
      </w:r>
      <w:r w:rsidR="00E809B9" w:rsidRPr="003643AE">
        <w:rPr>
          <w:rFonts w:asciiTheme="majorHAnsi" w:hAnsiTheme="majorHAnsi"/>
          <w:sz w:val="20"/>
          <w:szCs w:val="20"/>
          <w:lang w:val="es-ES_tradnl"/>
        </w:rPr>
        <w:t xml:space="preserve">una sentencia penal ejecutoriada en relación con tres conductas delictivas específicas: i) tomar armas y prestar servicio en fuerzas armadas enemigas en tiempos de guerra; ii) defraudación de recursos públicos; y iii) traición a la patria. A pesar de ello, a las presuntas víctimas se les suspendió de </w:t>
      </w:r>
      <w:r w:rsidR="00702ACA" w:rsidRPr="003643AE">
        <w:rPr>
          <w:rFonts w:asciiTheme="majorHAnsi" w:hAnsiTheme="majorHAnsi"/>
          <w:sz w:val="20"/>
          <w:szCs w:val="20"/>
          <w:lang w:val="es-ES_tradnl"/>
        </w:rPr>
        <w:t>sus cargos, a los cuáles llegaron mediante sufragio universal,</w:t>
      </w:r>
      <w:r w:rsidR="00E809B9" w:rsidRPr="003643AE">
        <w:rPr>
          <w:rFonts w:asciiTheme="majorHAnsi" w:hAnsiTheme="majorHAnsi"/>
          <w:sz w:val="20"/>
          <w:szCs w:val="20"/>
          <w:lang w:val="es-ES_tradnl"/>
        </w:rPr>
        <w:t xml:space="preserve"> sin que se haya corroborado su responsabilidad por alguno de dichos delitos, utilizándose como base para la denuncia únicamente los delitos simples de prevaricato, resoluciones contrarias a la Constitución y a las leyes, e incumplimiento de deberes. </w:t>
      </w:r>
      <w:r w:rsidR="00702ACA" w:rsidRPr="003643AE">
        <w:rPr>
          <w:rFonts w:asciiTheme="majorHAnsi" w:hAnsiTheme="majorHAnsi"/>
          <w:sz w:val="20"/>
          <w:szCs w:val="20"/>
          <w:lang w:val="es-ES_tradnl"/>
        </w:rPr>
        <w:t xml:space="preserve">Al respecto, agrega que la inhabilitación para el ejercicio de una función jurisdiccional en mérito de una imputación formal atenta, también, con el </w:t>
      </w:r>
      <w:r w:rsidR="0025110D" w:rsidRPr="003643AE">
        <w:rPr>
          <w:rFonts w:asciiTheme="majorHAnsi" w:hAnsiTheme="majorHAnsi"/>
          <w:sz w:val="20"/>
          <w:szCs w:val="20"/>
          <w:lang w:val="es-ES_tradnl"/>
        </w:rPr>
        <w:t>principio</w:t>
      </w:r>
      <w:r w:rsidR="00702ACA" w:rsidRPr="003643AE">
        <w:rPr>
          <w:rFonts w:asciiTheme="majorHAnsi" w:hAnsiTheme="majorHAnsi"/>
          <w:sz w:val="20"/>
          <w:szCs w:val="20"/>
          <w:lang w:val="es-ES_tradnl"/>
        </w:rPr>
        <w:t xml:space="preserve"> de la presunción inocencia, ya que se estaría anticipando una sanción sin que exista una decisión con calidad de cosa juzgada emergente de un proceso penal previo. </w:t>
      </w:r>
    </w:p>
    <w:p w14:paraId="7C4A33FC" w14:textId="1B8B602F" w:rsidR="0025110D" w:rsidRPr="003643AE" w:rsidRDefault="0025110D" w:rsidP="0025110D">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Asimismo, refiere que también se afectó el derecho a</w:t>
      </w:r>
      <w:r w:rsidR="003E2BDE">
        <w:rPr>
          <w:rFonts w:asciiTheme="majorHAnsi" w:hAnsiTheme="majorHAnsi"/>
          <w:sz w:val="20"/>
          <w:szCs w:val="20"/>
          <w:lang w:val="es-ES_tradnl"/>
        </w:rPr>
        <w:t xml:space="preserve">l </w:t>
      </w:r>
      <w:r w:rsidR="006E0460">
        <w:rPr>
          <w:rFonts w:asciiTheme="majorHAnsi" w:hAnsiTheme="majorHAnsi"/>
          <w:sz w:val="20"/>
          <w:szCs w:val="20"/>
          <w:lang w:val="es-ES_tradnl"/>
        </w:rPr>
        <w:t>trabajo</w:t>
      </w:r>
      <w:r w:rsidRPr="003643AE">
        <w:rPr>
          <w:rFonts w:asciiTheme="majorHAnsi" w:hAnsiTheme="majorHAnsi"/>
          <w:sz w:val="20"/>
          <w:szCs w:val="20"/>
          <w:lang w:val="es-ES_tradnl"/>
        </w:rPr>
        <w:t xml:space="preserve"> de las presuntas víctimas. Afirma que la normativa interna establece que quiénes hayan formado parte la rama judicial únicamente podrán desempeñarse en dicho poder del Estado. Por ende, la suspensión y salida de las presuntas víctimas de sus cargos implica una limitación a sus posibilidades laborales. </w:t>
      </w:r>
    </w:p>
    <w:p w14:paraId="6D9AAB3B" w14:textId="209EC3B1" w:rsidR="00023710" w:rsidRPr="003643AE" w:rsidRDefault="00023710" w:rsidP="00023710">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Por otro lado, arguye que también se vulneró el derecho a la protección de la honra y de la dignidad</w:t>
      </w:r>
      <w:r w:rsidR="0025110D" w:rsidRPr="003643AE">
        <w:rPr>
          <w:rFonts w:asciiTheme="majorHAnsi" w:hAnsiTheme="majorHAnsi"/>
          <w:sz w:val="20"/>
          <w:szCs w:val="20"/>
          <w:lang w:val="es-ES_tradnl"/>
        </w:rPr>
        <w:t xml:space="preserve"> y a la salud</w:t>
      </w:r>
      <w:r w:rsidRPr="003643AE">
        <w:rPr>
          <w:rFonts w:asciiTheme="majorHAnsi" w:hAnsiTheme="majorHAnsi"/>
          <w:sz w:val="20"/>
          <w:szCs w:val="20"/>
          <w:lang w:val="es-ES_tradnl"/>
        </w:rPr>
        <w:t xml:space="preserve"> de las presuntas víctimas. </w:t>
      </w:r>
      <w:r w:rsidR="0025110D" w:rsidRPr="003643AE">
        <w:rPr>
          <w:rFonts w:asciiTheme="majorHAnsi" w:hAnsiTheme="majorHAnsi"/>
          <w:sz w:val="20"/>
          <w:szCs w:val="20"/>
          <w:lang w:val="es-ES_tradnl"/>
        </w:rPr>
        <w:t xml:space="preserve">Refiere que durante todo el procedimiento distintas autoridades del gobierno realizaron afirmaciones en su contra, a efectos que se les destituya de sus puestos de trabajo. En el caso particular del señor Cusi, tal accionar provocó que se revele su situación de salud. A juicio de las presuntas víctimas, estas declaraciones a la prensa afectaron el derecho al honor de las presuntas víctimas y, junto a las secuelas del juicio político, afectaron su salud. </w:t>
      </w:r>
    </w:p>
    <w:p w14:paraId="05C613DA" w14:textId="5D5C44B5" w:rsidR="003F0EAC" w:rsidRPr="00832251" w:rsidRDefault="003F0EAC" w:rsidP="003F0EAC">
      <w:pPr>
        <w:numPr>
          <w:ilvl w:val="0"/>
          <w:numId w:val="59"/>
        </w:numPr>
        <w:suppressAutoHyphens/>
        <w:spacing w:after="240"/>
        <w:jc w:val="both"/>
        <w:rPr>
          <w:rFonts w:asciiTheme="majorHAnsi" w:hAnsiTheme="majorHAnsi"/>
          <w:i/>
          <w:iCs/>
          <w:sz w:val="20"/>
          <w:szCs w:val="20"/>
          <w:lang w:val="es-ES_tradnl"/>
        </w:rPr>
      </w:pPr>
      <w:r w:rsidRPr="00832251">
        <w:rPr>
          <w:rFonts w:asciiTheme="majorHAnsi" w:hAnsiTheme="majorHAnsi"/>
          <w:sz w:val="20"/>
          <w:szCs w:val="20"/>
          <w:lang w:val="es-ES_tradnl"/>
        </w:rPr>
        <w:t>La parte peticionaria informa que</w:t>
      </w:r>
      <w:r w:rsidR="00AA5F0A" w:rsidRPr="00832251">
        <w:rPr>
          <w:rFonts w:asciiTheme="majorHAnsi" w:hAnsiTheme="majorHAnsi"/>
          <w:sz w:val="20"/>
          <w:szCs w:val="20"/>
          <w:lang w:val="es-ES_tradnl"/>
        </w:rPr>
        <w:t>, respuesta a las críticas emitidas en el plano nacional e internacional contra el juicio iniciado contra las presuntas víctimas,</w:t>
      </w:r>
      <w:r w:rsidRPr="00832251">
        <w:rPr>
          <w:rFonts w:asciiTheme="majorHAnsi" w:hAnsiTheme="majorHAnsi"/>
          <w:sz w:val="20"/>
          <w:szCs w:val="20"/>
          <w:lang w:val="es-ES_tradnl"/>
        </w:rPr>
        <w:t xml:space="preserve"> </w:t>
      </w:r>
      <w:r w:rsidR="00AA5F0A" w:rsidRPr="00832251">
        <w:rPr>
          <w:rFonts w:asciiTheme="majorHAnsi" w:hAnsiTheme="majorHAnsi"/>
          <w:sz w:val="20"/>
          <w:szCs w:val="20"/>
          <w:lang w:val="es-ES_tradnl"/>
        </w:rPr>
        <w:t xml:space="preserve">el 4 de diciembre de 2014 </w:t>
      </w:r>
      <w:r w:rsidRPr="00832251">
        <w:rPr>
          <w:rFonts w:asciiTheme="majorHAnsi" w:hAnsiTheme="majorHAnsi"/>
          <w:sz w:val="20"/>
          <w:szCs w:val="20"/>
          <w:lang w:val="es-ES_tradnl"/>
        </w:rPr>
        <w:t xml:space="preserve">la Asamblea Legislativa Plurinacional adoptó la Ley Nº 612, la cual modificó los artículos que las presuntas víctimas cuestionaron en sus acciones de inconstitucionalidad. Sin embargo, destaca que esta nueva normativa tampoco resultó acorde a los estándares internacionales. Así, detalla que, si bien el procedimiento dejó de ser de naturaleza penal y se convirtió en uno de carácter administrativo-disciplinario, este siguió siendo sustanciando por un órgano político, afectando el principio de independencia judicial. Además, resalta el juicio contra las presuntas víctimas no se reinició, sino que continuó tramitándose con la misma base fáctica y jurídica. </w:t>
      </w:r>
    </w:p>
    <w:p w14:paraId="441BB76C" w14:textId="3D3C99FE" w:rsidR="00EE4EE2" w:rsidRPr="003643AE" w:rsidRDefault="00E809B9" w:rsidP="00E809B9">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lastRenderedPageBreak/>
        <w:t xml:space="preserve">Finalmente, </w:t>
      </w:r>
      <w:r w:rsidR="004138DF" w:rsidRPr="003643AE">
        <w:rPr>
          <w:rFonts w:asciiTheme="majorHAnsi" w:hAnsiTheme="majorHAnsi"/>
          <w:sz w:val="20"/>
          <w:szCs w:val="20"/>
          <w:lang w:val="es-ES_tradnl"/>
        </w:rPr>
        <w:t>en cuanto al agotamiento de los recursos internos, solicita la aplicación de la excepción prevista en el artículo 46.2.a) de la Convención Americana,</w:t>
      </w:r>
      <w:r w:rsidR="007E4868" w:rsidRPr="003643AE">
        <w:rPr>
          <w:rFonts w:asciiTheme="majorHAnsi" w:hAnsiTheme="majorHAnsi"/>
          <w:sz w:val="20"/>
          <w:szCs w:val="20"/>
          <w:lang w:val="es-ES_tradnl"/>
        </w:rPr>
        <w:t xml:space="preserve"> toda vez que, dado el contexto político en el que se desenvolvió el juicio político contra las presuntas víctimas, resultaba imposible obtener justicia ante los tribunales nacionales. </w:t>
      </w:r>
      <w:r w:rsidR="004138DF" w:rsidRPr="003643AE">
        <w:rPr>
          <w:rFonts w:asciiTheme="majorHAnsi" w:hAnsiTheme="majorHAnsi"/>
          <w:sz w:val="20"/>
          <w:szCs w:val="20"/>
          <w:lang w:val="es-ES_tradnl"/>
        </w:rPr>
        <w:t xml:space="preserve"> </w:t>
      </w:r>
    </w:p>
    <w:p w14:paraId="44EC0941" w14:textId="783EED4D" w:rsidR="00F70599" w:rsidRPr="003643AE" w:rsidRDefault="00F70599" w:rsidP="00F70599">
      <w:pPr>
        <w:pStyle w:val="ListParagraph"/>
        <w:suppressAutoHyphens/>
        <w:spacing w:after="240"/>
        <w:jc w:val="both"/>
        <w:rPr>
          <w:rFonts w:asciiTheme="majorHAnsi" w:hAnsiTheme="majorHAnsi"/>
          <w:i/>
          <w:iCs/>
          <w:sz w:val="20"/>
          <w:szCs w:val="20"/>
          <w:lang w:val="es-ES_tradnl"/>
        </w:rPr>
      </w:pPr>
      <w:r w:rsidRPr="003643AE">
        <w:rPr>
          <w:rFonts w:asciiTheme="majorHAnsi" w:hAnsiTheme="majorHAnsi"/>
          <w:i/>
          <w:iCs/>
          <w:sz w:val="20"/>
          <w:szCs w:val="20"/>
          <w:lang w:val="es-ES_tradnl"/>
        </w:rPr>
        <w:t>Alegatos del Estado</w:t>
      </w:r>
    </w:p>
    <w:p w14:paraId="0BF8B608" w14:textId="068491EF" w:rsidR="001D754D" w:rsidRPr="003643AE" w:rsidRDefault="001D754D" w:rsidP="006822D9">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Por su parte, e</w:t>
      </w:r>
      <w:r w:rsidR="005F626D" w:rsidRPr="003643AE">
        <w:rPr>
          <w:rFonts w:asciiTheme="majorHAnsi" w:hAnsiTheme="majorHAnsi"/>
          <w:sz w:val="20"/>
          <w:szCs w:val="20"/>
          <w:lang w:val="es-ES_tradnl"/>
        </w:rPr>
        <w:t xml:space="preserve">l Estado </w:t>
      </w:r>
      <w:r w:rsidR="00D9086C" w:rsidRPr="003643AE">
        <w:rPr>
          <w:rFonts w:asciiTheme="majorHAnsi" w:hAnsiTheme="majorHAnsi"/>
          <w:sz w:val="20"/>
          <w:szCs w:val="20"/>
          <w:lang w:val="es-ES_tradnl"/>
        </w:rPr>
        <w:t>boliviano aduce que</w:t>
      </w:r>
      <w:r w:rsidRPr="003643AE">
        <w:rPr>
          <w:rFonts w:asciiTheme="majorHAnsi" w:hAnsiTheme="majorHAnsi"/>
          <w:sz w:val="20"/>
          <w:szCs w:val="20"/>
          <w:lang w:val="es-ES_tradnl"/>
        </w:rPr>
        <w:t xml:space="preserve"> la Comisión carece de competencia para analizar una supuesta transgresión de</w:t>
      </w:r>
      <w:r w:rsidR="006822D9" w:rsidRPr="003643AE">
        <w:rPr>
          <w:rFonts w:asciiTheme="majorHAnsi" w:hAnsiTheme="majorHAnsi"/>
          <w:sz w:val="20"/>
          <w:szCs w:val="20"/>
          <w:lang w:val="es-ES_tradnl"/>
        </w:rPr>
        <w:t>l derecho a la salud</w:t>
      </w:r>
      <w:r w:rsidR="006822D9" w:rsidRPr="003643AE">
        <w:rPr>
          <w:rFonts w:asciiTheme="majorHAnsi" w:hAnsiTheme="majorHAnsi"/>
          <w:i/>
          <w:iCs/>
          <w:sz w:val="20"/>
          <w:szCs w:val="20"/>
          <w:lang w:val="es-ES_tradnl"/>
        </w:rPr>
        <w:t xml:space="preserve"> </w:t>
      </w:r>
      <w:r w:rsidR="009152C9" w:rsidRPr="003643AE">
        <w:rPr>
          <w:rFonts w:asciiTheme="majorHAnsi" w:hAnsiTheme="majorHAnsi"/>
          <w:sz w:val="20"/>
          <w:szCs w:val="20"/>
          <w:lang w:val="es-ES_tradnl"/>
        </w:rPr>
        <w:t xml:space="preserve">en tanto tal derecho no se encuentra comprendido en el artículo 19.1 del Protocolo Adicional a la Convención Americana sobre Derechos Humanos en materia de Derechos Económicos, Sociales y Culturales. </w:t>
      </w:r>
    </w:p>
    <w:p w14:paraId="2B11498C" w14:textId="1BC966AA" w:rsidR="00F70599" w:rsidRPr="003643AE" w:rsidRDefault="00D9086C" w:rsidP="005B584C">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Alega además</w:t>
      </w:r>
      <w:r w:rsidR="00F70599" w:rsidRPr="003643AE">
        <w:rPr>
          <w:rFonts w:asciiTheme="majorHAnsi" w:hAnsiTheme="majorHAnsi"/>
          <w:sz w:val="20"/>
          <w:szCs w:val="20"/>
          <w:lang w:val="es-ES_tradnl"/>
        </w:rPr>
        <w:t xml:space="preserve"> que las presuntas víctimas no agotaron los recursos de la jurisdicción interna. </w:t>
      </w:r>
      <w:r w:rsidR="00C30BCC" w:rsidRPr="003643AE">
        <w:rPr>
          <w:rFonts w:asciiTheme="majorHAnsi" w:hAnsiTheme="majorHAnsi"/>
          <w:sz w:val="20"/>
          <w:szCs w:val="20"/>
          <w:lang w:val="es-ES_tradnl"/>
        </w:rPr>
        <w:t>Señala que dichas personas cuentan con legitimación para que a través de la iniciativa legislativa pu</w:t>
      </w:r>
      <w:r w:rsidR="007E4868" w:rsidRPr="003643AE">
        <w:rPr>
          <w:rFonts w:asciiTheme="majorHAnsi" w:hAnsiTheme="majorHAnsi"/>
          <w:sz w:val="20"/>
          <w:szCs w:val="20"/>
          <w:lang w:val="es-ES_tradnl"/>
        </w:rPr>
        <w:t>edan</w:t>
      </w:r>
      <w:r w:rsidR="00C30BCC" w:rsidRPr="003643AE">
        <w:rPr>
          <w:rFonts w:asciiTheme="majorHAnsi" w:hAnsiTheme="majorHAnsi"/>
          <w:sz w:val="20"/>
          <w:szCs w:val="20"/>
          <w:lang w:val="es-ES_tradnl"/>
        </w:rPr>
        <w:t xml:space="preserve"> proponer una adecuación</w:t>
      </w:r>
      <w:r w:rsidR="007E4868" w:rsidRPr="003643AE">
        <w:rPr>
          <w:rFonts w:asciiTheme="majorHAnsi" w:hAnsiTheme="majorHAnsi"/>
          <w:sz w:val="20"/>
          <w:szCs w:val="20"/>
          <w:lang w:val="es-ES_tradnl"/>
        </w:rPr>
        <w:t xml:space="preserve"> a</w:t>
      </w:r>
      <w:r w:rsidR="00C30BCC" w:rsidRPr="003643AE">
        <w:rPr>
          <w:rFonts w:asciiTheme="majorHAnsi" w:hAnsiTheme="majorHAnsi"/>
          <w:sz w:val="20"/>
          <w:szCs w:val="20"/>
          <w:lang w:val="es-ES_tradnl"/>
        </w:rPr>
        <w:t xml:space="preserve"> la normativa vigente para el juzgamiento de altas autoridades.</w:t>
      </w:r>
      <w:r w:rsidR="00A67F56" w:rsidRPr="003643AE">
        <w:rPr>
          <w:rFonts w:asciiTheme="majorHAnsi" w:hAnsiTheme="majorHAnsi"/>
          <w:sz w:val="20"/>
          <w:szCs w:val="20"/>
          <w:lang w:val="es-ES_tradnl"/>
        </w:rPr>
        <w:t xml:space="preserve"> Por otro lado, arguye que las presuntas víctimas no presentaron ninguna solicitud de reinici</w:t>
      </w:r>
      <w:r w:rsidR="007E4868" w:rsidRPr="003643AE">
        <w:rPr>
          <w:rFonts w:asciiTheme="majorHAnsi" w:hAnsiTheme="majorHAnsi"/>
          <w:sz w:val="20"/>
          <w:szCs w:val="20"/>
          <w:lang w:val="es-ES_tradnl"/>
        </w:rPr>
        <w:t>o</w:t>
      </w:r>
      <w:r w:rsidR="00A67F56" w:rsidRPr="003643AE">
        <w:rPr>
          <w:rFonts w:asciiTheme="majorHAnsi" w:hAnsiTheme="majorHAnsi"/>
          <w:sz w:val="20"/>
          <w:szCs w:val="20"/>
          <w:lang w:val="es-ES_tradnl"/>
        </w:rPr>
        <w:t xml:space="preserve"> del juicio de responsabilidades ante la modificación de la </w:t>
      </w:r>
      <w:r w:rsidR="00D53EFB" w:rsidRPr="003643AE">
        <w:rPr>
          <w:rFonts w:asciiTheme="majorHAnsi" w:hAnsiTheme="majorHAnsi"/>
          <w:sz w:val="20"/>
          <w:szCs w:val="20"/>
          <w:lang w:val="es-ES_tradnl"/>
        </w:rPr>
        <w:t xml:space="preserve">Ley Nº 044. Refiere que, ante tal escenario, dichas personas podían presentar un derecho de petición o, en su defecto, una acción de amparo, a efectos de tutelar sus derechos. Por las citadas razones, el Estado solicita a la Comisión que desestime y archive el presente asunto por no cumplir el requisito previsto en el artículo 46.1.a) de la Convención Americana. </w:t>
      </w:r>
    </w:p>
    <w:p w14:paraId="3538228A" w14:textId="47DE024A" w:rsidR="00D53EFB" w:rsidRPr="003643AE" w:rsidRDefault="00F70599" w:rsidP="00D53EFB">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Sin perjuicio de ello</w:t>
      </w:r>
      <w:r w:rsidR="009152C9" w:rsidRPr="003643AE">
        <w:rPr>
          <w:rFonts w:asciiTheme="majorHAnsi" w:hAnsiTheme="majorHAnsi"/>
          <w:sz w:val="20"/>
          <w:szCs w:val="20"/>
          <w:lang w:val="es-ES_tradnl"/>
        </w:rPr>
        <w:t xml:space="preserve">, argumenta que los hechos denunciados no caracterizan violaciones de derechos humanos que le sean atribuibles. </w:t>
      </w:r>
      <w:r w:rsidR="00D9086C" w:rsidRPr="003643AE">
        <w:rPr>
          <w:rFonts w:asciiTheme="majorHAnsi" w:hAnsiTheme="majorHAnsi"/>
          <w:sz w:val="20"/>
          <w:szCs w:val="20"/>
          <w:lang w:val="es-ES_tradnl"/>
        </w:rPr>
        <w:t>E</w:t>
      </w:r>
      <w:r w:rsidR="00E97BD9" w:rsidRPr="003643AE">
        <w:rPr>
          <w:rFonts w:asciiTheme="majorHAnsi" w:hAnsiTheme="majorHAnsi"/>
          <w:sz w:val="20"/>
          <w:szCs w:val="20"/>
          <w:lang w:val="es-ES_tradnl"/>
        </w:rPr>
        <w:t>n relación con la supuesta afectación a los derechos políticos, resalta que en la sentencia del caso “</w:t>
      </w:r>
      <w:r w:rsidR="00E97BD9" w:rsidRPr="003643AE">
        <w:rPr>
          <w:rFonts w:asciiTheme="majorHAnsi" w:hAnsiTheme="majorHAnsi"/>
          <w:i/>
          <w:iCs/>
          <w:sz w:val="20"/>
          <w:szCs w:val="20"/>
          <w:lang w:val="es-ES_tradnl"/>
        </w:rPr>
        <w:t>Tribunal Constitucional vs. Perú</w:t>
      </w:r>
      <w:r w:rsidR="00E97BD9" w:rsidRPr="003643AE">
        <w:rPr>
          <w:rFonts w:asciiTheme="majorHAnsi" w:hAnsiTheme="majorHAnsi"/>
          <w:sz w:val="20"/>
          <w:szCs w:val="20"/>
          <w:lang w:val="es-ES_tradnl"/>
        </w:rPr>
        <w:t xml:space="preserve">”, la Corte </w:t>
      </w:r>
      <w:r w:rsidR="00D9086C" w:rsidRPr="003643AE">
        <w:rPr>
          <w:rFonts w:asciiTheme="majorHAnsi" w:hAnsiTheme="majorHAnsi"/>
          <w:sz w:val="20"/>
          <w:szCs w:val="20"/>
          <w:lang w:val="es-ES_tradnl"/>
        </w:rPr>
        <w:t>IDH</w:t>
      </w:r>
      <w:r w:rsidR="00E97BD9" w:rsidRPr="003643AE">
        <w:rPr>
          <w:rFonts w:asciiTheme="majorHAnsi" w:hAnsiTheme="majorHAnsi"/>
          <w:sz w:val="20"/>
          <w:szCs w:val="20"/>
          <w:lang w:val="es-ES_tradnl"/>
        </w:rPr>
        <w:t xml:space="preserve"> estableció, a partir de hechos muy similares a los expuestos en la presente petición, que la destitución de magistrados no representaba un incumplimiento del artículo 23 de la Convención, siempre que estos hayan tenido acceso a la función pública en condiciones de igualdad. En esa línea, resalta que</w:t>
      </w:r>
      <w:r w:rsidR="00D9086C" w:rsidRPr="003643AE">
        <w:rPr>
          <w:rFonts w:asciiTheme="majorHAnsi" w:hAnsiTheme="majorHAnsi"/>
          <w:sz w:val="20"/>
          <w:szCs w:val="20"/>
          <w:lang w:val="es-ES_tradnl"/>
        </w:rPr>
        <w:t xml:space="preserve"> en</w:t>
      </w:r>
      <w:r w:rsidR="00E97BD9" w:rsidRPr="003643AE">
        <w:rPr>
          <w:rFonts w:asciiTheme="majorHAnsi" w:hAnsiTheme="majorHAnsi"/>
          <w:sz w:val="20"/>
          <w:szCs w:val="20"/>
          <w:lang w:val="es-ES_tradnl"/>
        </w:rPr>
        <w:t xml:space="preserve"> la sentencia del caso “</w:t>
      </w:r>
      <w:r w:rsidR="00E97BD9" w:rsidRPr="003643AE">
        <w:rPr>
          <w:rFonts w:asciiTheme="majorHAnsi" w:hAnsiTheme="majorHAnsi"/>
          <w:i/>
          <w:iCs/>
          <w:sz w:val="20"/>
          <w:szCs w:val="20"/>
          <w:lang w:val="es-ES_tradnl"/>
        </w:rPr>
        <w:t>Apitz Barbera y otros vs. Venezuela</w:t>
      </w:r>
      <w:r w:rsidR="00E97BD9" w:rsidRPr="003643AE">
        <w:rPr>
          <w:rFonts w:asciiTheme="majorHAnsi" w:hAnsiTheme="majorHAnsi"/>
          <w:sz w:val="20"/>
          <w:szCs w:val="20"/>
          <w:lang w:val="es-ES_tradnl"/>
        </w:rPr>
        <w:t xml:space="preserve">”, la Corte </w:t>
      </w:r>
      <w:r w:rsidR="00D9086C" w:rsidRPr="003643AE">
        <w:rPr>
          <w:rFonts w:asciiTheme="majorHAnsi" w:hAnsiTheme="majorHAnsi"/>
          <w:sz w:val="20"/>
          <w:szCs w:val="20"/>
          <w:lang w:val="es-ES_tradnl"/>
        </w:rPr>
        <w:t xml:space="preserve">IDH </w:t>
      </w:r>
      <w:r w:rsidR="00E97BD9" w:rsidRPr="003643AE">
        <w:rPr>
          <w:rFonts w:asciiTheme="majorHAnsi" w:hAnsiTheme="majorHAnsi"/>
          <w:sz w:val="20"/>
          <w:szCs w:val="20"/>
          <w:lang w:val="es-ES_tradnl"/>
        </w:rPr>
        <w:t xml:space="preserve">precisó que el respeto y garantía del acceso en condiciones de igualdad se produce cuando </w:t>
      </w:r>
      <w:r w:rsidR="007E4868" w:rsidRPr="003643AE">
        <w:rPr>
          <w:rFonts w:asciiTheme="majorHAnsi" w:hAnsiTheme="majorHAnsi"/>
          <w:sz w:val="20"/>
          <w:szCs w:val="20"/>
          <w:lang w:val="es-ES_tradnl"/>
        </w:rPr>
        <w:t>los</w:t>
      </w:r>
      <w:r w:rsidR="0014018B" w:rsidRPr="003643AE">
        <w:rPr>
          <w:rFonts w:asciiTheme="majorHAnsi" w:hAnsiTheme="majorHAnsi"/>
          <w:sz w:val="20"/>
          <w:szCs w:val="20"/>
          <w:lang w:val="es-ES_tradnl"/>
        </w:rPr>
        <w:t xml:space="preserve"> procedimientos</w:t>
      </w:r>
      <w:r w:rsidR="00E97BD9" w:rsidRPr="003643AE">
        <w:rPr>
          <w:rFonts w:asciiTheme="majorHAnsi" w:hAnsiTheme="majorHAnsi"/>
          <w:sz w:val="20"/>
          <w:szCs w:val="20"/>
          <w:lang w:val="es-ES_tradnl"/>
        </w:rPr>
        <w:t xml:space="preserve"> para </w:t>
      </w:r>
      <w:r w:rsidR="0014018B" w:rsidRPr="003643AE">
        <w:rPr>
          <w:rFonts w:asciiTheme="majorHAnsi" w:hAnsiTheme="majorHAnsi"/>
          <w:sz w:val="20"/>
          <w:szCs w:val="20"/>
          <w:lang w:val="es-ES_tradnl"/>
        </w:rPr>
        <w:t xml:space="preserve">la </w:t>
      </w:r>
      <w:r w:rsidR="00E97BD9" w:rsidRPr="003643AE">
        <w:rPr>
          <w:rFonts w:asciiTheme="majorHAnsi" w:hAnsiTheme="majorHAnsi"/>
          <w:sz w:val="20"/>
          <w:szCs w:val="20"/>
          <w:lang w:val="es-ES_tradnl"/>
        </w:rPr>
        <w:t>suspensión y destitución</w:t>
      </w:r>
      <w:r w:rsidR="0014018B" w:rsidRPr="003643AE">
        <w:rPr>
          <w:rFonts w:asciiTheme="majorHAnsi" w:hAnsiTheme="majorHAnsi"/>
          <w:sz w:val="20"/>
          <w:szCs w:val="20"/>
          <w:lang w:val="es-ES_tradnl"/>
        </w:rPr>
        <w:t xml:space="preserve"> s</w:t>
      </w:r>
      <w:r w:rsidR="007E4868" w:rsidRPr="003643AE">
        <w:rPr>
          <w:rFonts w:asciiTheme="majorHAnsi" w:hAnsiTheme="majorHAnsi"/>
          <w:sz w:val="20"/>
          <w:szCs w:val="20"/>
          <w:lang w:val="es-ES_tradnl"/>
        </w:rPr>
        <w:t xml:space="preserve">on aplicados de forma </w:t>
      </w:r>
      <w:r w:rsidR="0014018B" w:rsidRPr="003643AE">
        <w:rPr>
          <w:rFonts w:asciiTheme="majorHAnsi" w:hAnsiTheme="majorHAnsi"/>
          <w:sz w:val="20"/>
          <w:szCs w:val="20"/>
          <w:lang w:val="es-ES_tradnl"/>
        </w:rPr>
        <w:t>razonable y objetiv</w:t>
      </w:r>
      <w:r w:rsidR="007E4868" w:rsidRPr="003643AE">
        <w:rPr>
          <w:rFonts w:asciiTheme="majorHAnsi" w:hAnsiTheme="majorHAnsi"/>
          <w:sz w:val="20"/>
          <w:szCs w:val="20"/>
          <w:lang w:val="es-ES_tradnl"/>
        </w:rPr>
        <w:t>a</w:t>
      </w:r>
      <w:r w:rsidR="0014018B" w:rsidRPr="003643AE">
        <w:rPr>
          <w:rFonts w:asciiTheme="majorHAnsi" w:hAnsiTheme="majorHAnsi"/>
          <w:sz w:val="20"/>
          <w:szCs w:val="20"/>
          <w:lang w:val="es-ES_tradnl"/>
        </w:rPr>
        <w:t xml:space="preserve">. Con base en estos estándares, el Estado resalta que las presuntas víctimas ya accedieron a los cargos de magistrados del </w:t>
      </w:r>
      <w:r w:rsidR="001241AF" w:rsidRPr="003643AE">
        <w:rPr>
          <w:rFonts w:asciiTheme="majorHAnsi" w:hAnsiTheme="majorHAnsi"/>
          <w:sz w:val="20"/>
          <w:szCs w:val="20"/>
          <w:lang w:val="es-ES_tradnl"/>
        </w:rPr>
        <w:t>TCP</w:t>
      </w:r>
      <w:r w:rsidR="0014018B" w:rsidRPr="003643AE">
        <w:rPr>
          <w:rFonts w:asciiTheme="majorHAnsi" w:hAnsiTheme="majorHAnsi"/>
          <w:sz w:val="20"/>
          <w:szCs w:val="20"/>
          <w:lang w:val="es-ES_tradnl"/>
        </w:rPr>
        <w:t xml:space="preserve"> a través de elecciones públicas, en condiciones de igualdad de criterios; y que el procedimiento aplicado para la determinación de la suspensión y cesación se encuentra claramente regulado por la normativa interna. </w:t>
      </w:r>
    </w:p>
    <w:p w14:paraId="10D78F96" w14:textId="16F7FC59" w:rsidR="00D53EFB" w:rsidRPr="003643AE" w:rsidRDefault="00D53EFB" w:rsidP="000028D7">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 xml:space="preserve">Además, </w:t>
      </w:r>
      <w:r w:rsidR="000028D7" w:rsidRPr="003643AE">
        <w:rPr>
          <w:rFonts w:asciiTheme="majorHAnsi" w:hAnsiTheme="majorHAnsi"/>
          <w:sz w:val="20"/>
          <w:szCs w:val="20"/>
          <w:lang w:val="es-ES_tradnl"/>
        </w:rPr>
        <w:t xml:space="preserve">resalta que en el caso particular de la señora Velásquez, dicha presunta víctima renunció a su cargo antes </w:t>
      </w:r>
      <w:r w:rsidR="003E5022" w:rsidRPr="003643AE">
        <w:rPr>
          <w:rFonts w:asciiTheme="majorHAnsi" w:hAnsiTheme="majorHAnsi"/>
          <w:sz w:val="20"/>
          <w:szCs w:val="20"/>
          <w:lang w:val="es-ES_tradnl"/>
        </w:rPr>
        <w:t xml:space="preserve">de </w:t>
      </w:r>
      <w:r w:rsidR="000028D7" w:rsidRPr="003643AE">
        <w:rPr>
          <w:rFonts w:asciiTheme="majorHAnsi" w:hAnsiTheme="majorHAnsi"/>
          <w:sz w:val="20"/>
          <w:szCs w:val="20"/>
          <w:lang w:val="es-ES_tradnl"/>
        </w:rPr>
        <w:t>que concluy</w:t>
      </w:r>
      <w:r w:rsidR="003E5022" w:rsidRPr="003643AE">
        <w:rPr>
          <w:rFonts w:asciiTheme="majorHAnsi" w:hAnsiTheme="majorHAnsi"/>
          <w:sz w:val="20"/>
          <w:szCs w:val="20"/>
          <w:lang w:val="es-ES_tradnl"/>
        </w:rPr>
        <w:t>era</w:t>
      </w:r>
      <w:r w:rsidR="000028D7" w:rsidRPr="003643AE">
        <w:rPr>
          <w:rFonts w:asciiTheme="majorHAnsi" w:hAnsiTheme="majorHAnsi"/>
          <w:sz w:val="20"/>
          <w:szCs w:val="20"/>
          <w:lang w:val="es-ES_tradnl"/>
        </w:rPr>
        <w:t xml:space="preserve"> el juicio de responsabilidades. En consecuencia, la parte peticionaria no </w:t>
      </w:r>
      <w:r w:rsidR="000F5160" w:rsidRPr="003643AE">
        <w:rPr>
          <w:rFonts w:asciiTheme="majorHAnsi" w:hAnsiTheme="majorHAnsi"/>
          <w:sz w:val="20"/>
          <w:szCs w:val="20"/>
          <w:lang w:val="es-ES_tradnl"/>
        </w:rPr>
        <w:t>podría</w:t>
      </w:r>
      <w:r w:rsidR="000028D7" w:rsidRPr="003643AE">
        <w:rPr>
          <w:rFonts w:asciiTheme="majorHAnsi" w:hAnsiTheme="majorHAnsi"/>
          <w:sz w:val="20"/>
          <w:szCs w:val="20"/>
          <w:lang w:val="es-ES_tradnl"/>
        </w:rPr>
        <w:t xml:space="preserve"> argumentar que las autoridades no respetaron o garantizaron este derecho, pues ella de forma individual y voluntaria renunció a la función pública. En consecuencia, el Estado solicita que desestime los alegatos referidos a la presunta vulneración a los derechos políticos de las presuntas víctimas. </w:t>
      </w:r>
    </w:p>
    <w:p w14:paraId="5381F9CF" w14:textId="146E0815" w:rsidR="0014018B" w:rsidRPr="003643AE" w:rsidRDefault="0014018B" w:rsidP="009152C9">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Respecto a la presunta afectación de la honra y de la dignidad, sostiene que la parte peticionaria persigue que la CIDH actúe como una cuarta instancia pronunciándose sobre aspectos que ya fueron resueltos internamente por las autoridades jurisdiccionales respetando las garantías procesales y en el marco de sus competencias.</w:t>
      </w:r>
      <w:r w:rsidR="005E7A59" w:rsidRPr="003643AE">
        <w:rPr>
          <w:rFonts w:asciiTheme="majorHAnsi" w:hAnsiTheme="majorHAnsi"/>
          <w:sz w:val="20"/>
          <w:szCs w:val="20"/>
          <w:lang w:val="es-ES_tradnl"/>
        </w:rPr>
        <w:t xml:space="preserve"> Así, acepta que, si bien hubo una afectación de la imagen y honra del señor Cusi, las autoridades ya realizaron una reparación moral y económica por este hecho. Informa que ante las declaraciones del entonces Ministro de Salud, la referida presunta víctima acudió a los órganos judiciales para denuncia</w:t>
      </w:r>
      <w:r w:rsidR="007E4868" w:rsidRPr="003643AE">
        <w:rPr>
          <w:rFonts w:asciiTheme="majorHAnsi" w:hAnsiTheme="majorHAnsi"/>
          <w:sz w:val="20"/>
          <w:szCs w:val="20"/>
          <w:lang w:val="es-ES_tradnl"/>
        </w:rPr>
        <w:t>r</w:t>
      </w:r>
      <w:r w:rsidR="005E7A59" w:rsidRPr="003643AE">
        <w:rPr>
          <w:rFonts w:asciiTheme="majorHAnsi" w:hAnsiTheme="majorHAnsi"/>
          <w:sz w:val="20"/>
          <w:szCs w:val="20"/>
          <w:lang w:val="es-ES_tradnl"/>
        </w:rPr>
        <w:t xml:space="preserve"> estos acontecimientos. Producto de ello, el Juez Séptimo de Sentencia de La Paz emitió una resolución disponiendo que dicho </w:t>
      </w:r>
      <w:r w:rsidR="00984EC5" w:rsidRPr="003643AE">
        <w:rPr>
          <w:rFonts w:asciiTheme="majorHAnsi" w:hAnsiTheme="majorHAnsi"/>
          <w:sz w:val="20"/>
          <w:szCs w:val="20"/>
          <w:lang w:val="es-ES_tradnl"/>
        </w:rPr>
        <w:t>ministro</w:t>
      </w:r>
      <w:r w:rsidR="005E7A59" w:rsidRPr="003643AE">
        <w:rPr>
          <w:rFonts w:asciiTheme="majorHAnsi" w:hAnsiTheme="majorHAnsi"/>
          <w:sz w:val="20"/>
          <w:szCs w:val="20"/>
          <w:lang w:val="es-ES_tradnl"/>
        </w:rPr>
        <w:t xml:space="preserve"> pida disculpas, se retracte de sus declaraciones y cancele una multa de 2500 bolivianos (</w:t>
      </w:r>
      <w:r w:rsidR="00DE1746" w:rsidRPr="003643AE">
        <w:rPr>
          <w:rFonts w:asciiTheme="majorHAnsi" w:hAnsiTheme="majorHAnsi"/>
          <w:sz w:val="20"/>
          <w:szCs w:val="20"/>
          <w:lang w:val="es-ES_tradnl"/>
        </w:rPr>
        <w:t xml:space="preserve">aproximadamente </w:t>
      </w:r>
      <w:r w:rsidR="000F5160" w:rsidRPr="003643AE">
        <w:rPr>
          <w:rFonts w:asciiTheme="majorHAnsi" w:hAnsiTheme="majorHAnsi"/>
          <w:sz w:val="20"/>
          <w:szCs w:val="20"/>
          <w:lang w:val="es-ES_tradnl"/>
        </w:rPr>
        <w:t xml:space="preserve">USD$. </w:t>
      </w:r>
      <w:r w:rsidR="00DE1746" w:rsidRPr="003643AE">
        <w:rPr>
          <w:rFonts w:asciiTheme="majorHAnsi" w:hAnsiTheme="majorHAnsi"/>
          <w:sz w:val="20"/>
          <w:szCs w:val="20"/>
          <w:lang w:val="es-ES_tradnl"/>
        </w:rPr>
        <w:t xml:space="preserve">357). Afirma que, cumpliendo con tal resolución, el 2 de febrero de 2015 </w:t>
      </w:r>
      <w:r w:rsidR="00984EC5" w:rsidRPr="003643AE">
        <w:rPr>
          <w:rFonts w:asciiTheme="majorHAnsi" w:hAnsiTheme="majorHAnsi"/>
          <w:sz w:val="20"/>
          <w:szCs w:val="20"/>
          <w:lang w:val="es-ES_tradnl"/>
        </w:rPr>
        <w:t>el ministro</w:t>
      </w:r>
      <w:r w:rsidR="00DE1746" w:rsidRPr="003643AE">
        <w:rPr>
          <w:rFonts w:asciiTheme="majorHAnsi" w:hAnsiTheme="majorHAnsi"/>
          <w:sz w:val="20"/>
          <w:szCs w:val="20"/>
          <w:lang w:val="es-ES_tradnl"/>
        </w:rPr>
        <w:t xml:space="preserve"> ofreció disculpas públicas al señor Cusi, manifestando lo siguiente: “</w:t>
      </w:r>
      <w:r w:rsidR="00DE1746" w:rsidRPr="003643AE">
        <w:rPr>
          <w:rFonts w:asciiTheme="majorHAnsi" w:hAnsiTheme="majorHAnsi"/>
          <w:i/>
          <w:iCs/>
          <w:sz w:val="20"/>
          <w:szCs w:val="20"/>
          <w:lang w:val="es-ES_tradnl"/>
        </w:rPr>
        <w:t>Estoy muy dolido, muy preocupado por mis declaraciones y por eso reitero una vez más mis disculpas al señor Gualberto Cusi, a su familia y a todos los que con mis declaraciones haya podido afectar</w:t>
      </w:r>
      <w:r w:rsidR="00DE1746" w:rsidRPr="003643AE">
        <w:rPr>
          <w:rFonts w:asciiTheme="majorHAnsi" w:hAnsiTheme="majorHAnsi"/>
          <w:sz w:val="20"/>
          <w:szCs w:val="20"/>
          <w:lang w:val="es-ES_tradnl"/>
        </w:rPr>
        <w:t xml:space="preserve">”. Por ende, el Estado considera que estos acontecimientos ya fueron debidamente solventados en sede interna por lo que, en aplicación del principio de complementariedad, no corresponde a la Comisión emitir un pronunciamiento al respecto. </w:t>
      </w:r>
    </w:p>
    <w:p w14:paraId="72EE803E" w14:textId="7378C681" w:rsidR="00963BFB" w:rsidRPr="003643AE" w:rsidRDefault="003F1508" w:rsidP="00344590">
      <w:pPr>
        <w:numPr>
          <w:ilvl w:val="0"/>
          <w:numId w:val="59"/>
        </w:numPr>
        <w:suppressAutoHyphens/>
        <w:spacing w:before="240" w:after="240"/>
        <w:jc w:val="both"/>
        <w:rPr>
          <w:rFonts w:asciiTheme="majorHAnsi" w:hAnsiTheme="majorHAnsi"/>
          <w:sz w:val="20"/>
          <w:szCs w:val="20"/>
          <w:lang w:val="es-ES_tradnl"/>
        </w:rPr>
      </w:pPr>
      <w:r w:rsidRPr="003643AE">
        <w:rPr>
          <w:rFonts w:asciiTheme="majorHAnsi" w:hAnsiTheme="majorHAnsi"/>
          <w:sz w:val="20"/>
          <w:szCs w:val="20"/>
          <w:lang w:val="es-ES_tradnl"/>
        </w:rPr>
        <w:lastRenderedPageBreak/>
        <w:t xml:space="preserve">En cuanto al derecho a las garantías judiciales, indica que las presuntas víctimas fueron debidamente notificadas </w:t>
      </w:r>
      <w:r w:rsidR="007E4868" w:rsidRPr="003643AE">
        <w:rPr>
          <w:rFonts w:asciiTheme="majorHAnsi" w:hAnsiTheme="majorHAnsi"/>
          <w:sz w:val="20"/>
          <w:szCs w:val="20"/>
          <w:lang w:val="es-ES_tradnl"/>
        </w:rPr>
        <w:t>de las resoluciones que</w:t>
      </w:r>
      <w:r w:rsidRPr="003643AE">
        <w:rPr>
          <w:rFonts w:asciiTheme="majorHAnsi" w:hAnsiTheme="majorHAnsi"/>
          <w:sz w:val="20"/>
          <w:szCs w:val="20"/>
          <w:lang w:val="es-ES_tradnl"/>
        </w:rPr>
        <w:t xml:space="preserve"> formaliz</w:t>
      </w:r>
      <w:r w:rsidR="007E4868" w:rsidRPr="003643AE">
        <w:rPr>
          <w:rFonts w:asciiTheme="majorHAnsi" w:hAnsiTheme="majorHAnsi"/>
          <w:sz w:val="20"/>
          <w:szCs w:val="20"/>
          <w:lang w:val="es-ES_tradnl"/>
        </w:rPr>
        <w:t>aron</w:t>
      </w:r>
      <w:r w:rsidRPr="003643AE">
        <w:rPr>
          <w:rFonts w:asciiTheme="majorHAnsi" w:hAnsiTheme="majorHAnsi"/>
          <w:sz w:val="20"/>
          <w:szCs w:val="20"/>
          <w:lang w:val="es-ES_tradnl"/>
        </w:rPr>
        <w:t xml:space="preserve"> la imputación en su contra. </w:t>
      </w:r>
      <w:r w:rsidR="004B18A7" w:rsidRPr="003643AE">
        <w:rPr>
          <w:rFonts w:asciiTheme="majorHAnsi" w:hAnsiTheme="majorHAnsi"/>
          <w:sz w:val="20"/>
          <w:szCs w:val="20"/>
          <w:lang w:val="es-ES_tradnl"/>
        </w:rPr>
        <w:t>Estas</w:t>
      </w:r>
      <w:r w:rsidRPr="003643AE">
        <w:rPr>
          <w:rFonts w:asciiTheme="majorHAnsi" w:hAnsiTheme="majorHAnsi"/>
          <w:sz w:val="20"/>
          <w:szCs w:val="20"/>
          <w:lang w:val="es-ES_tradnl"/>
        </w:rPr>
        <w:t xml:space="preserve"> notificaciones se realizaron</w:t>
      </w:r>
      <w:r w:rsidR="008F7309" w:rsidRPr="003643AE">
        <w:rPr>
          <w:rFonts w:asciiTheme="majorHAnsi" w:hAnsiTheme="majorHAnsi"/>
          <w:sz w:val="20"/>
          <w:szCs w:val="20"/>
          <w:lang w:val="es-ES_tradnl"/>
        </w:rPr>
        <w:t xml:space="preserve"> el 9 de julio de 2014 mediante tablero y el 10 de julio de 2014 mediante cédula a sus domicilios</w:t>
      </w:r>
      <w:r w:rsidR="00B8190F" w:rsidRPr="003643AE">
        <w:rPr>
          <w:rFonts w:asciiTheme="majorHAnsi" w:hAnsiTheme="majorHAnsi"/>
          <w:sz w:val="20"/>
          <w:szCs w:val="20"/>
          <w:lang w:val="es-ES_tradnl"/>
        </w:rPr>
        <w:t xml:space="preserve">. Del mismo modo, indica que también se notificó la resolución de imputación formal conforme a la normativa vigente, mediante </w:t>
      </w:r>
      <w:r w:rsidR="00344590" w:rsidRPr="003643AE">
        <w:rPr>
          <w:rFonts w:asciiTheme="majorHAnsi" w:hAnsiTheme="majorHAnsi"/>
          <w:sz w:val="20"/>
          <w:szCs w:val="20"/>
          <w:lang w:val="es-ES_tradnl"/>
        </w:rPr>
        <w:t xml:space="preserve">notificación por cedula en las dependencias del </w:t>
      </w:r>
      <w:r w:rsidR="001241AF" w:rsidRPr="003643AE">
        <w:rPr>
          <w:rFonts w:asciiTheme="majorHAnsi" w:hAnsiTheme="majorHAnsi"/>
          <w:sz w:val="20"/>
          <w:szCs w:val="20"/>
          <w:lang w:val="es-ES_tradnl"/>
        </w:rPr>
        <w:t>TCP</w:t>
      </w:r>
      <w:r w:rsidR="00344590" w:rsidRPr="003643AE">
        <w:rPr>
          <w:rFonts w:asciiTheme="majorHAnsi" w:hAnsiTheme="majorHAnsi"/>
          <w:sz w:val="20"/>
          <w:szCs w:val="20"/>
          <w:lang w:val="es-ES_tradnl"/>
        </w:rPr>
        <w:t xml:space="preserve"> y en el domicilio de las presuntas víctimas. En tal sentido, afirma que se respetó en todo momento </w:t>
      </w:r>
      <w:r w:rsidR="00963BFB" w:rsidRPr="003643AE">
        <w:rPr>
          <w:rFonts w:asciiTheme="majorHAnsi" w:hAnsiTheme="majorHAnsi"/>
          <w:sz w:val="20"/>
          <w:szCs w:val="20"/>
          <w:lang w:val="es-ES_tradnl"/>
        </w:rPr>
        <w:t xml:space="preserve">el derecho a la defensa de tales personas. </w:t>
      </w:r>
    </w:p>
    <w:p w14:paraId="62C47E26" w14:textId="4CE24567" w:rsidR="00762CA3" w:rsidRPr="003643AE" w:rsidRDefault="00963BFB" w:rsidP="00834F02">
      <w:pPr>
        <w:numPr>
          <w:ilvl w:val="0"/>
          <w:numId w:val="59"/>
        </w:numPr>
        <w:suppressAutoHyphens/>
        <w:spacing w:before="240" w:after="240"/>
        <w:jc w:val="both"/>
        <w:rPr>
          <w:rFonts w:asciiTheme="majorHAnsi" w:hAnsiTheme="majorHAnsi"/>
          <w:sz w:val="20"/>
          <w:szCs w:val="20"/>
          <w:lang w:val="es-ES_tradnl"/>
        </w:rPr>
      </w:pPr>
      <w:r w:rsidRPr="003643AE">
        <w:rPr>
          <w:rFonts w:asciiTheme="majorHAnsi" w:hAnsiTheme="majorHAnsi"/>
          <w:sz w:val="20"/>
          <w:szCs w:val="20"/>
          <w:lang w:val="es-ES_tradnl"/>
        </w:rPr>
        <w:t xml:space="preserve">Adicionalmente, indica que el artículo 159 inciso 11 de la Constitución Política de Bolivia establece con claridad que la Cámara de Diputados de la Asamblea Legislativa Plurinacional tiene la potestad de acusar ante la Cámara de Senadores a los miembros del </w:t>
      </w:r>
      <w:r w:rsidR="001241AF" w:rsidRPr="003643AE">
        <w:rPr>
          <w:rFonts w:asciiTheme="majorHAnsi" w:hAnsiTheme="majorHAnsi"/>
          <w:sz w:val="20"/>
          <w:szCs w:val="20"/>
          <w:lang w:val="es-ES_tradnl"/>
        </w:rPr>
        <w:t>TCP</w:t>
      </w:r>
      <w:r w:rsidRPr="003643AE">
        <w:rPr>
          <w:rFonts w:asciiTheme="majorHAnsi" w:hAnsiTheme="majorHAnsi"/>
          <w:sz w:val="20"/>
          <w:szCs w:val="20"/>
          <w:lang w:val="es-ES_tradnl"/>
        </w:rPr>
        <w:t xml:space="preserve"> por delitos cometidos en ejercicio de sus funciones.</w:t>
      </w:r>
      <w:r w:rsidR="00762CA3" w:rsidRPr="003643AE">
        <w:rPr>
          <w:rFonts w:asciiTheme="majorHAnsi" w:hAnsiTheme="majorHAnsi"/>
          <w:sz w:val="20"/>
          <w:szCs w:val="20"/>
          <w:lang w:val="es-ES_tradnl"/>
        </w:rPr>
        <w:t xml:space="preserve"> En consecuencia, arguye que, contrario a lo afirmado por la parte peticionaria, </w:t>
      </w:r>
      <w:r w:rsidR="00834F02" w:rsidRPr="003643AE">
        <w:rPr>
          <w:rFonts w:asciiTheme="majorHAnsi" w:hAnsiTheme="majorHAnsi"/>
          <w:sz w:val="20"/>
          <w:szCs w:val="20"/>
          <w:lang w:val="es-ES_tradnl"/>
        </w:rPr>
        <w:t>las funciones de investigación y fiscalización desempeñadas por la Cámara de Diputados en el desarrollo del juicio penal no son las mismas que desarrolla el Ministerio Público, debido a que dicha atribución deviene de un mandato constitucional que ha sido regulado por una normativa específica, a la cual se sujetó la cuestionada atribución.</w:t>
      </w:r>
      <w:r w:rsidR="00762CA3" w:rsidRPr="003643AE">
        <w:rPr>
          <w:rFonts w:asciiTheme="majorHAnsi" w:hAnsiTheme="majorHAnsi"/>
          <w:sz w:val="20"/>
          <w:szCs w:val="20"/>
          <w:lang w:val="es-ES_tradnl"/>
        </w:rPr>
        <w:t xml:space="preserve"> Asimismo, agrega que el </w:t>
      </w:r>
      <w:r w:rsidR="00A67A9F" w:rsidRPr="003643AE">
        <w:rPr>
          <w:rFonts w:asciiTheme="majorHAnsi" w:hAnsiTheme="majorHAnsi"/>
          <w:sz w:val="20"/>
          <w:szCs w:val="20"/>
          <w:lang w:val="es-ES_tradnl"/>
        </w:rPr>
        <w:t>instituto</w:t>
      </w:r>
      <w:r w:rsidR="00762CA3" w:rsidRPr="003643AE">
        <w:rPr>
          <w:rFonts w:asciiTheme="majorHAnsi" w:hAnsiTheme="majorHAnsi"/>
          <w:sz w:val="20"/>
          <w:szCs w:val="20"/>
          <w:lang w:val="es-ES_tradnl"/>
        </w:rPr>
        <w:t xml:space="preserve"> del juicio político es una forma de c</w:t>
      </w:r>
      <w:r w:rsidR="00834F02" w:rsidRPr="003643AE">
        <w:rPr>
          <w:rFonts w:asciiTheme="majorHAnsi" w:hAnsiTheme="majorHAnsi"/>
          <w:sz w:val="20"/>
          <w:szCs w:val="20"/>
          <w:lang w:val="es-ES_tradnl"/>
        </w:rPr>
        <w:t>o</w:t>
      </w:r>
      <w:r w:rsidR="00762CA3" w:rsidRPr="003643AE">
        <w:rPr>
          <w:rFonts w:asciiTheme="majorHAnsi" w:hAnsiTheme="majorHAnsi"/>
          <w:sz w:val="20"/>
          <w:szCs w:val="20"/>
          <w:lang w:val="es-ES_tradnl"/>
        </w:rPr>
        <w:t>ntrol que ejerce el Poder Legislativo respecto a los funcionarios superior tanto del Poder Ejecutivo como de los otros órganos estatales, lo cual no significa que exista una relación de subordinación, puesto que la finalidad de esta institución es someter a los altos funcionarios a un examen.</w:t>
      </w:r>
      <w:r w:rsidR="00834F02" w:rsidRPr="003643AE">
        <w:rPr>
          <w:rFonts w:asciiTheme="majorHAnsi" w:hAnsiTheme="majorHAnsi"/>
          <w:sz w:val="20"/>
          <w:szCs w:val="20"/>
          <w:lang w:val="es-ES_tradnl"/>
        </w:rPr>
        <w:t xml:space="preserve"> Por ende, respecto a este extremo de la petición, el Estado argumenta que tampoco existe una violación al debido proceso de las presuntas víctimas. </w:t>
      </w:r>
    </w:p>
    <w:p w14:paraId="07766A5F" w14:textId="263E2F1A" w:rsidR="00C51407" w:rsidRPr="003643AE" w:rsidRDefault="00C51407" w:rsidP="00834F02">
      <w:pPr>
        <w:numPr>
          <w:ilvl w:val="0"/>
          <w:numId w:val="59"/>
        </w:numPr>
        <w:suppressAutoHyphens/>
        <w:spacing w:before="240" w:after="240"/>
        <w:jc w:val="both"/>
        <w:rPr>
          <w:rFonts w:asciiTheme="majorHAnsi" w:hAnsiTheme="majorHAnsi"/>
          <w:sz w:val="20"/>
          <w:szCs w:val="20"/>
          <w:lang w:val="es-ES_tradnl"/>
        </w:rPr>
      </w:pPr>
      <w:r w:rsidRPr="003643AE">
        <w:rPr>
          <w:rFonts w:asciiTheme="majorHAnsi" w:hAnsiTheme="majorHAnsi"/>
          <w:sz w:val="20"/>
          <w:szCs w:val="20"/>
          <w:lang w:val="es-ES_tradnl"/>
        </w:rPr>
        <w:t>Respecto al derecho contemplado en el artículo 8.2.h) de la Convenció</w:t>
      </w:r>
      <w:r w:rsidR="008E6685" w:rsidRPr="003643AE">
        <w:rPr>
          <w:rFonts w:asciiTheme="majorHAnsi" w:hAnsiTheme="majorHAnsi"/>
          <w:sz w:val="20"/>
          <w:szCs w:val="20"/>
          <w:lang w:val="es-ES_tradnl"/>
        </w:rPr>
        <w:t xml:space="preserve">, </w:t>
      </w:r>
      <w:r w:rsidR="00FB24C6" w:rsidRPr="003643AE">
        <w:rPr>
          <w:rFonts w:asciiTheme="majorHAnsi" w:hAnsiTheme="majorHAnsi"/>
          <w:sz w:val="20"/>
          <w:szCs w:val="20"/>
          <w:lang w:val="es-ES_tradnl"/>
        </w:rPr>
        <w:t xml:space="preserve">Bolivia </w:t>
      </w:r>
      <w:r w:rsidR="008E6685" w:rsidRPr="003643AE">
        <w:rPr>
          <w:rFonts w:asciiTheme="majorHAnsi" w:hAnsiTheme="majorHAnsi"/>
          <w:sz w:val="20"/>
          <w:szCs w:val="20"/>
          <w:lang w:val="es-ES_tradnl"/>
        </w:rPr>
        <w:t>señala que el artículo 50 de la Ley Nº 044</w:t>
      </w:r>
      <w:r w:rsidR="00756C7E" w:rsidRPr="003643AE">
        <w:rPr>
          <w:rFonts w:asciiTheme="majorHAnsi" w:hAnsiTheme="majorHAnsi"/>
          <w:sz w:val="20"/>
          <w:szCs w:val="20"/>
          <w:lang w:val="es-ES_tradnl"/>
        </w:rPr>
        <w:t xml:space="preserve">, modificada por la Ley Nº 612, </w:t>
      </w:r>
      <w:r w:rsidR="00FB24C6" w:rsidRPr="003643AE">
        <w:rPr>
          <w:rFonts w:asciiTheme="majorHAnsi" w:hAnsiTheme="majorHAnsi"/>
          <w:sz w:val="20"/>
          <w:szCs w:val="20"/>
          <w:lang w:val="es-ES_tradnl"/>
        </w:rPr>
        <w:t>dispone</w:t>
      </w:r>
      <w:r w:rsidR="008E6685" w:rsidRPr="003643AE">
        <w:rPr>
          <w:rFonts w:asciiTheme="majorHAnsi" w:hAnsiTheme="majorHAnsi"/>
          <w:sz w:val="20"/>
          <w:szCs w:val="20"/>
          <w:lang w:val="es-ES_tradnl"/>
        </w:rPr>
        <w:t xml:space="preserve"> que es posible recurrir la sentencia sancionatoria a través del recurso de apelación restringida</w:t>
      </w:r>
      <w:r w:rsidR="00756C7E" w:rsidRPr="003643AE">
        <w:rPr>
          <w:rFonts w:asciiTheme="majorHAnsi" w:hAnsiTheme="majorHAnsi"/>
          <w:sz w:val="20"/>
          <w:szCs w:val="20"/>
          <w:lang w:val="es-ES_tradnl"/>
        </w:rPr>
        <w:t xml:space="preserve">, el cual es resuelto por el pleno de la Asamblea Legislativa Plurinacional. </w:t>
      </w:r>
      <w:r w:rsidR="00FB24C6" w:rsidRPr="003643AE">
        <w:rPr>
          <w:rFonts w:asciiTheme="majorHAnsi" w:hAnsiTheme="majorHAnsi"/>
          <w:sz w:val="20"/>
          <w:szCs w:val="20"/>
          <w:lang w:val="es-ES_tradnl"/>
        </w:rPr>
        <w:t>Tal</w:t>
      </w:r>
      <w:r w:rsidR="00756C7E" w:rsidRPr="003643AE">
        <w:rPr>
          <w:rFonts w:asciiTheme="majorHAnsi" w:hAnsiTheme="majorHAnsi"/>
          <w:sz w:val="20"/>
          <w:szCs w:val="20"/>
          <w:lang w:val="es-ES_tradnl"/>
        </w:rPr>
        <w:t xml:space="preserve"> regulación también establece que se puede interponer el recurso de revisión extraordinaria ante la Cámara de Senadores y que, tras ellos, es posible plantear la reconsideración de la resolución camaral, el recurso contra resoluciones del órgano legislativo o el amparo constitucional. A juicio del Estado, esto demuestra que no se vulneró el derecho de las presuntas víctimas a recurrir el fallo</w:t>
      </w:r>
      <w:r w:rsidR="00581F06" w:rsidRPr="003643AE">
        <w:rPr>
          <w:rFonts w:asciiTheme="majorHAnsi" w:hAnsiTheme="majorHAnsi"/>
          <w:sz w:val="20"/>
          <w:szCs w:val="20"/>
          <w:lang w:val="es-ES_tradnl"/>
        </w:rPr>
        <w:t>.</w:t>
      </w:r>
    </w:p>
    <w:p w14:paraId="11AD1BFF" w14:textId="0442A4B3" w:rsidR="000028D7" w:rsidRPr="003643AE" w:rsidRDefault="000028D7" w:rsidP="000028D7">
      <w:pPr>
        <w:numPr>
          <w:ilvl w:val="0"/>
          <w:numId w:val="59"/>
        </w:numPr>
        <w:suppressAutoHyphens/>
        <w:spacing w:before="240" w:after="240"/>
        <w:jc w:val="both"/>
        <w:rPr>
          <w:rFonts w:asciiTheme="majorHAnsi" w:hAnsiTheme="majorHAnsi"/>
          <w:sz w:val="20"/>
          <w:szCs w:val="20"/>
          <w:lang w:val="es-ES_tradnl"/>
        </w:rPr>
      </w:pPr>
      <w:r w:rsidRPr="003643AE">
        <w:rPr>
          <w:rFonts w:asciiTheme="majorHAnsi" w:hAnsiTheme="majorHAnsi"/>
          <w:sz w:val="20"/>
          <w:szCs w:val="20"/>
          <w:lang w:val="es-ES_tradnl"/>
        </w:rPr>
        <w:t>En relación con la presunta vulneración del plazo razonable para que las presuntas víctimas pudieran asumir su defensa en la etapa preparatoria, destaca que</w:t>
      </w:r>
      <w:r w:rsidR="00756C7E" w:rsidRPr="003643AE">
        <w:rPr>
          <w:rFonts w:asciiTheme="majorHAnsi" w:hAnsiTheme="majorHAnsi"/>
          <w:sz w:val="20"/>
          <w:szCs w:val="20"/>
          <w:lang w:val="es-ES_tradnl"/>
        </w:rPr>
        <w:t xml:space="preserve"> los diecisiete días que duró tal etapa del procedimiento no resulta contrario al artículo 32 de la Ley 044. Además, indica que los hechos investigados no fueron complejos, por lo que no se requería mayores diligencias de investigación. </w:t>
      </w:r>
    </w:p>
    <w:p w14:paraId="2B98F654" w14:textId="5A1778C0" w:rsidR="00834F02" w:rsidRPr="003643AE" w:rsidRDefault="00685DB3" w:rsidP="00834F02">
      <w:pPr>
        <w:numPr>
          <w:ilvl w:val="0"/>
          <w:numId w:val="59"/>
        </w:numPr>
        <w:suppressAutoHyphens/>
        <w:spacing w:before="240" w:after="240"/>
        <w:jc w:val="both"/>
        <w:rPr>
          <w:rFonts w:asciiTheme="majorHAnsi" w:hAnsiTheme="majorHAnsi"/>
          <w:sz w:val="20"/>
          <w:szCs w:val="20"/>
          <w:lang w:val="es-ES_tradnl"/>
        </w:rPr>
      </w:pPr>
      <w:r w:rsidRPr="003643AE">
        <w:rPr>
          <w:rFonts w:asciiTheme="majorHAnsi" w:hAnsiTheme="majorHAnsi"/>
          <w:sz w:val="20"/>
          <w:szCs w:val="20"/>
          <w:lang w:val="es-ES_tradnl"/>
        </w:rPr>
        <w:t>Finalmente</w:t>
      </w:r>
      <w:r w:rsidR="00344590" w:rsidRPr="003643AE">
        <w:rPr>
          <w:rFonts w:asciiTheme="majorHAnsi" w:hAnsiTheme="majorHAnsi"/>
          <w:sz w:val="20"/>
          <w:szCs w:val="20"/>
          <w:lang w:val="es-ES_tradnl"/>
        </w:rPr>
        <w:t xml:space="preserve">, respecto al artículo 25 de la Convención Americana, el Estado sostiene que el hecho de que las presuntas víctimas no hayan obtenido en la vía judicial un resultado favorable a sus </w:t>
      </w:r>
      <w:r w:rsidR="00FB24C6" w:rsidRPr="003643AE">
        <w:rPr>
          <w:rFonts w:asciiTheme="majorHAnsi" w:hAnsiTheme="majorHAnsi"/>
          <w:sz w:val="20"/>
          <w:szCs w:val="20"/>
          <w:lang w:val="es-ES_tradnl"/>
        </w:rPr>
        <w:t>intereses</w:t>
      </w:r>
      <w:r w:rsidR="00344590" w:rsidRPr="003643AE">
        <w:rPr>
          <w:rFonts w:asciiTheme="majorHAnsi" w:hAnsiTheme="majorHAnsi"/>
          <w:sz w:val="20"/>
          <w:szCs w:val="20"/>
          <w:lang w:val="es-ES_tradnl"/>
        </w:rPr>
        <w:t xml:space="preserve"> no implica </w:t>
      </w:r>
      <w:r w:rsidR="00FB24C6" w:rsidRPr="003643AE">
        <w:rPr>
          <w:rFonts w:asciiTheme="majorHAnsi" w:hAnsiTheme="majorHAnsi"/>
          <w:sz w:val="20"/>
          <w:szCs w:val="20"/>
          <w:lang w:val="es-ES_tradnl"/>
        </w:rPr>
        <w:t>que no</w:t>
      </w:r>
      <w:r w:rsidR="00344590" w:rsidRPr="003643AE">
        <w:rPr>
          <w:rFonts w:asciiTheme="majorHAnsi" w:hAnsiTheme="majorHAnsi"/>
          <w:sz w:val="20"/>
          <w:szCs w:val="20"/>
          <w:lang w:val="es-ES_tradnl"/>
        </w:rPr>
        <w:t xml:space="preserve"> tuvieran acceso a un recurso efectivo para proteger sus derechos. En tal sentido, afirma que </w:t>
      </w:r>
      <w:r w:rsidR="00C51407" w:rsidRPr="003643AE">
        <w:rPr>
          <w:rFonts w:asciiTheme="majorHAnsi" w:hAnsiTheme="majorHAnsi"/>
          <w:sz w:val="20"/>
          <w:szCs w:val="20"/>
          <w:lang w:val="es-ES_tradnl"/>
        </w:rPr>
        <w:t xml:space="preserve">las autoridades tramitaron correctamente, de conformidad con la </w:t>
      </w:r>
      <w:r w:rsidR="00FB24C6" w:rsidRPr="003643AE">
        <w:rPr>
          <w:rFonts w:asciiTheme="majorHAnsi" w:hAnsiTheme="majorHAnsi"/>
          <w:sz w:val="20"/>
          <w:szCs w:val="20"/>
          <w:lang w:val="es-ES_tradnl"/>
        </w:rPr>
        <w:t>legislación</w:t>
      </w:r>
      <w:r w:rsidR="00C51407" w:rsidRPr="003643AE">
        <w:rPr>
          <w:rFonts w:asciiTheme="majorHAnsi" w:hAnsiTheme="majorHAnsi"/>
          <w:sz w:val="20"/>
          <w:szCs w:val="20"/>
          <w:lang w:val="es-ES_tradnl"/>
        </w:rPr>
        <w:t xml:space="preserve"> vigente, tanto la excepción de incompetencia como la acción de inconstitucionalidad concreta interpuesta por las presuntas víctimas. Afirma que las decisiones adoptadas para desestimar tales decisiones estuvieron debidamente motivadas, por lo que no existen indicios que muestren una posible violación del derecho a la protección judicial. </w:t>
      </w:r>
    </w:p>
    <w:p w14:paraId="478F3351" w14:textId="74FEED9C" w:rsidR="007C4E93" w:rsidRPr="003643AE" w:rsidRDefault="007C4E93" w:rsidP="00963BFB">
      <w:pPr>
        <w:suppressAutoHyphens/>
        <w:spacing w:before="240" w:after="240"/>
        <w:ind w:left="720"/>
        <w:jc w:val="both"/>
        <w:rPr>
          <w:rFonts w:asciiTheme="majorHAnsi" w:hAnsiTheme="majorHAnsi"/>
          <w:sz w:val="20"/>
          <w:szCs w:val="20"/>
          <w:lang w:val="es-ES_tradnl"/>
        </w:rPr>
      </w:pPr>
      <w:r w:rsidRPr="003643AE">
        <w:rPr>
          <w:rFonts w:asciiTheme="majorHAnsi" w:eastAsia="Cambria" w:hAnsiTheme="majorHAnsi" w:cs="Cambria"/>
          <w:b/>
          <w:bCs/>
          <w:color w:val="000000"/>
          <w:sz w:val="20"/>
          <w:szCs w:val="20"/>
          <w:u w:color="000000"/>
          <w:lang w:val="es-ES_tradnl" w:eastAsia="es-ES"/>
        </w:rPr>
        <w:t>VI.</w:t>
      </w:r>
      <w:r w:rsidRPr="003643AE">
        <w:rPr>
          <w:rFonts w:asciiTheme="majorHAnsi" w:eastAsia="Cambria" w:hAnsiTheme="majorHAnsi" w:cs="Cambria"/>
          <w:b/>
          <w:bCs/>
          <w:color w:val="000000"/>
          <w:sz w:val="20"/>
          <w:szCs w:val="20"/>
          <w:u w:color="000000"/>
          <w:lang w:val="es-ES_tradnl" w:eastAsia="es-ES"/>
        </w:rPr>
        <w:tab/>
      </w:r>
      <w:r w:rsidRPr="003643AE">
        <w:rPr>
          <w:rFonts w:asciiTheme="majorHAnsi" w:hAnsiTheme="majorHAnsi"/>
          <w:b/>
          <w:bCs/>
          <w:sz w:val="20"/>
          <w:szCs w:val="20"/>
          <w:lang w:val="es-ES_tradnl"/>
        </w:rPr>
        <w:t xml:space="preserve">ANÁLISIS DE </w:t>
      </w:r>
      <w:r w:rsidRPr="003643AE">
        <w:rPr>
          <w:rFonts w:asciiTheme="majorHAnsi" w:hAnsiTheme="majorHAnsi"/>
          <w:b/>
          <w:sz w:val="20"/>
          <w:szCs w:val="20"/>
          <w:lang w:val="es-ES_tradnl"/>
        </w:rPr>
        <w:t>AGOTAMIENTO DE LOS RECURSOS INTERNOS Y PLAZO DE PRESENTACIÓN</w:t>
      </w:r>
      <w:r w:rsidRPr="003643AE">
        <w:rPr>
          <w:rFonts w:asciiTheme="majorHAnsi" w:eastAsia="Cambria" w:hAnsiTheme="majorHAnsi" w:cs="Cambria"/>
          <w:b/>
          <w:bCs/>
          <w:color w:val="000000"/>
          <w:sz w:val="20"/>
          <w:szCs w:val="20"/>
          <w:u w:color="000000"/>
          <w:lang w:val="es-ES_tradnl" w:eastAsia="es-ES"/>
        </w:rPr>
        <w:t xml:space="preserve"> </w:t>
      </w:r>
    </w:p>
    <w:p w14:paraId="79E229E5" w14:textId="2BA5C0D4" w:rsidR="00685DB3" w:rsidRPr="003643AE" w:rsidRDefault="00685DB3" w:rsidP="00685DB3">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La parte peticionaria solicita la aplicación de la excepción prevista en el artículo 46.2.a) de la Convención Americana, argumentando que el contexto político en el que se desenvolvió el juicio político contra las presuntas víctimas no les permitió obtener justicia ante los tribunales nacionales. Por su parte, el Estado replica que existe una falta de agotamiento de los recursos internos, dado que las presuntas víctimas no propusieron una adecuación a la normativa vigente para el juzgamiento de altas autoridades ni tampoco presentaron ninguna solicitud, por medio de un derecho de petición o un recurso de amparo, para reiniciar el juicio de responsabilidades ante la modificación de la Ley Nº 044</w:t>
      </w:r>
      <w:r w:rsidRPr="003643AE">
        <w:rPr>
          <w:rFonts w:asciiTheme="majorHAnsi" w:hAnsiTheme="majorHAnsi"/>
          <w:i/>
          <w:iCs/>
          <w:sz w:val="20"/>
          <w:szCs w:val="20"/>
          <w:lang w:val="es-ES_tradnl"/>
        </w:rPr>
        <w:t>.</w:t>
      </w:r>
    </w:p>
    <w:p w14:paraId="7247A3C0" w14:textId="2AE28E63" w:rsidR="001A3F99" w:rsidRPr="003643AE" w:rsidRDefault="00685DB3" w:rsidP="001A3F99">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 xml:space="preserve">Al respecto, </w:t>
      </w:r>
      <w:r w:rsidR="001A3F99" w:rsidRPr="003643AE">
        <w:rPr>
          <w:rFonts w:asciiTheme="majorHAnsi" w:hAnsiTheme="majorHAnsi"/>
          <w:sz w:val="20"/>
          <w:szCs w:val="20"/>
          <w:lang w:val="es-ES_tradnl"/>
        </w:rPr>
        <w:t>la Comisión recuerda que</w:t>
      </w:r>
      <w:r w:rsidR="001A3F99" w:rsidRPr="003643AE">
        <w:rPr>
          <w:rFonts w:asciiTheme="majorHAnsi" w:hAnsiTheme="majorHAnsi"/>
          <w:i/>
          <w:iCs/>
          <w:sz w:val="20"/>
          <w:szCs w:val="20"/>
          <w:lang w:val="es-ES_tradnl"/>
        </w:rPr>
        <w:t xml:space="preserve"> </w:t>
      </w:r>
      <w:r w:rsidR="001A3F99" w:rsidRPr="003643AE">
        <w:rPr>
          <w:rFonts w:asciiTheme="majorHAnsi" w:hAnsiTheme="majorHAnsi"/>
          <w:sz w:val="20"/>
          <w:szCs w:val="20"/>
          <w:lang w:val="es-ES_tradnl"/>
        </w:rPr>
        <w:t>la regla de agotamiento de recursos prevista en el artículo</w:t>
      </w:r>
      <w:r w:rsidR="001A3F99" w:rsidRPr="003643AE">
        <w:rPr>
          <w:rFonts w:asciiTheme="majorHAnsi" w:hAnsiTheme="majorHAnsi"/>
          <w:i/>
          <w:iCs/>
          <w:sz w:val="20"/>
          <w:szCs w:val="20"/>
          <w:lang w:val="es-ES_tradnl"/>
        </w:rPr>
        <w:t xml:space="preserve"> </w:t>
      </w:r>
      <w:r w:rsidR="001A3F99" w:rsidRPr="003643AE">
        <w:rPr>
          <w:rFonts w:asciiTheme="majorHAnsi" w:hAnsiTheme="majorHAnsi"/>
          <w:sz w:val="20"/>
          <w:szCs w:val="20"/>
          <w:lang w:val="es-ES_tradnl"/>
        </w:rPr>
        <w:t>46.1.a</w:t>
      </w:r>
      <w:r w:rsidR="003275C0" w:rsidRPr="003643AE">
        <w:rPr>
          <w:rFonts w:asciiTheme="majorHAnsi" w:hAnsiTheme="majorHAnsi"/>
          <w:sz w:val="20"/>
          <w:szCs w:val="20"/>
          <w:lang w:val="es-ES_tradnl"/>
        </w:rPr>
        <w:t>)</w:t>
      </w:r>
      <w:r w:rsidR="001A3F99" w:rsidRPr="003643AE">
        <w:rPr>
          <w:rFonts w:asciiTheme="majorHAnsi" w:hAnsiTheme="majorHAnsi"/>
          <w:sz w:val="20"/>
          <w:szCs w:val="20"/>
          <w:lang w:val="es-ES_tradnl"/>
        </w:rPr>
        <w:t xml:space="preserve"> de la Convención Americana, establece que deben activarse primero los recursos normalmente</w:t>
      </w:r>
      <w:r w:rsidR="001A3F99" w:rsidRPr="003643AE">
        <w:rPr>
          <w:rFonts w:asciiTheme="majorHAnsi" w:hAnsiTheme="majorHAnsi"/>
          <w:i/>
          <w:iCs/>
          <w:sz w:val="20"/>
          <w:szCs w:val="20"/>
          <w:lang w:val="es-ES_tradnl"/>
        </w:rPr>
        <w:t xml:space="preserve"> </w:t>
      </w:r>
      <w:r w:rsidR="001A3F99" w:rsidRPr="003643AE">
        <w:rPr>
          <w:rFonts w:asciiTheme="majorHAnsi" w:hAnsiTheme="majorHAnsi"/>
          <w:sz w:val="20"/>
          <w:szCs w:val="20"/>
          <w:lang w:val="es-ES_tradnl"/>
        </w:rPr>
        <w:t>disponibles e idóneos en el ordenamiento jurídico interno. Tales recursos deben ser lo suficientemente</w:t>
      </w:r>
      <w:r w:rsidR="001A3F99" w:rsidRPr="003643AE">
        <w:rPr>
          <w:rFonts w:asciiTheme="majorHAnsi" w:hAnsiTheme="majorHAnsi"/>
          <w:i/>
          <w:iCs/>
          <w:sz w:val="20"/>
          <w:szCs w:val="20"/>
          <w:lang w:val="es-ES_tradnl"/>
        </w:rPr>
        <w:t xml:space="preserve"> </w:t>
      </w:r>
      <w:r w:rsidR="001A3F99" w:rsidRPr="003643AE">
        <w:rPr>
          <w:rFonts w:asciiTheme="majorHAnsi" w:hAnsiTheme="majorHAnsi"/>
          <w:sz w:val="20"/>
          <w:szCs w:val="20"/>
          <w:lang w:val="es-ES_tradnl"/>
        </w:rPr>
        <w:t>seguros, tanto formal como materialmente; es decir, contar con accesibilidad y eficacia para restituir la</w:t>
      </w:r>
      <w:r w:rsidR="001A3F99" w:rsidRPr="003643AE">
        <w:rPr>
          <w:rFonts w:asciiTheme="majorHAnsi" w:hAnsiTheme="majorHAnsi"/>
          <w:i/>
          <w:iCs/>
          <w:sz w:val="20"/>
          <w:szCs w:val="20"/>
          <w:lang w:val="es-ES_tradnl"/>
        </w:rPr>
        <w:t xml:space="preserve"> </w:t>
      </w:r>
      <w:r w:rsidR="001A3F99" w:rsidRPr="003643AE">
        <w:rPr>
          <w:rFonts w:asciiTheme="majorHAnsi" w:hAnsiTheme="majorHAnsi"/>
          <w:sz w:val="20"/>
          <w:szCs w:val="20"/>
          <w:lang w:val="es-ES_tradnl"/>
        </w:rPr>
        <w:t xml:space="preserve">situación </w:t>
      </w:r>
      <w:r w:rsidR="001A3F99" w:rsidRPr="003643AE">
        <w:rPr>
          <w:rFonts w:asciiTheme="majorHAnsi" w:hAnsiTheme="majorHAnsi"/>
          <w:sz w:val="20"/>
          <w:szCs w:val="20"/>
          <w:lang w:val="es-ES_tradnl"/>
        </w:rPr>
        <w:lastRenderedPageBreak/>
        <w:t>denunciada. Además, estos deben ser de naturaleza judicial, por lo que la posibilidad de</w:t>
      </w:r>
      <w:r w:rsidR="003C0B9E" w:rsidRPr="003643AE">
        <w:rPr>
          <w:rFonts w:asciiTheme="majorHAnsi" w:hAnsiTheme="majorHAnsi"/>
          <w:sz w:val="20"/>
          <w:szCs w:val="20"/>
          <w:lang w:val="es-ES_tradnl"/>
        </w:rPr>
        <w:t xml:space="preserve"> presentar una modificación en vía legislativa no resulta relevante para el análisis de este requisito. </w:t>
      </w:r>
    </w:p>
    <w:p w14:paraId="65459B5C" w14:textId="44D95B3E" w:rsidR="00C60582" w:rsidRPr="003643AE" w:rsidRDefault="003C0B9E" w:rsidP="00C60582">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 xml:space="preserve">Conforme a la información presentada por la parte peticionaria, las presuntas víctimas interpusieron las acciones judiciales que se detallan a continuación: </w:t>
      </w:r>
    </w:p>
    <w:tbl>
      <w:tblPr>
        <w:tblStyle w:val="TableGrid"/>
        <w:tblW w:w="0" w:type="auto"/>
        <w:jc w:val="center"/>
        <w:tblLook w:val="04A0" w:firstRow="1" w:lastRow="0" w:firstColumn="1" w:lastColumn="0" w:noHBand="0" w:noVBand="1"/>
      </w:tblPr>
      <w:tblGrid>
        <w:gridCol w:w="2876"/>
        <w:gridCol w:w="2877"/>
        <w:gridCol w:w="3422"/>
      </w:tblGrid>
      <w:tr w:rsidR="00C60582" w:rsidRPr="003643AE" w14:paraId="196ED0E2" w14:textId="77777777" w:rsidTr="003275C0">
        <w:trPr>
          <w:trHeight w:val="179"/>
          <w:jc w:val="center"/>
        </w:trPr>
        <w:tc>
          <w:tcPr>
            <w:tcW w:w="2876" w:type="dxa"/>
            <w:shd w:val="clear" w:color="auto" w:fill="4F81BD" w:themeFill="accent1"/>
          </w:tcPr>
          <w:p w14:paraId="7DF1897E" w14:textId="77777777" w:rsidR="00C60582" w:rsidRPr="003643AE" w:rsidRDefault="00C60582" w:rsidP="00F748B0">
            <w:pPr>
              <w:suppressAutoHyphens/>
              <w:jc w:val="center"/>
              <w:rPr>
                <w:rFonts w:asciiTheme="majorHAnsi" w:hAnsiTheme="majorHAnsi"/>
                <w:color w:val="FFFFFF" w:themeColor="background1"/>
                <w:sz w:val="18"/>
                <w:szCs w:val="18"/>
                <w:lang w:val="es-ES_tradnl"/>
              </w:rPr>
            </w:pPr>
            <w:r w:rsidRPr="003643AE">
              <w:rPr>
                <w:rFonts w:asciiTheme="majorHAnsi" w:hAnsiTheme="majorHAnsi"/>
                <w:color w:val="FFFFFF" w:themeColor="background1"/>
                <w:sz w:val="18"/>
                <w:szCs w:val="18"/>
                <w:lang w:val="es-ES_tradnl"/>
              </w:rPr>
              <w:t>Presunta víctima</w:t>
            </w:r>
          </w:p>
        </w:tc>
        <w:tc>
          <w:tcPr>
            <w:tcW w:w="2877" w:type="dxa"/>
            <w:shd w:val="clear" w:color="auto" w:fill="4F81BD" w:themeFill="accent1"/>
          </w:tcPr>
          <w:p w14:paraId="3634A9D3" w14:textId="77777777" w:rsidR="00C60582" w:rsidRPr="003643AE" w:rsidRDefault="00C60582" w:rsidP="00F748B0">
            <w:pPr>
              <w:suppressAutoHyphens/>
              <w:jc w:val="center"/>
              <w:rPr>
                <w:rFonts w:asciiTheme="majorHAnsi" w:hAnsiTheme="majorHAnsi"/>
                <w:color w:val="FFFFFF" w:themeColor="background1"/>
                <w:sz w:val="18"/>
                <w:szCs w:val="18"/>
                <w:lang w:val="es-ES_tradnl"/>
              </w:rPr>
            </w:pPr>
            <w:r w:rsidRPr="003643AE">
              <w:rPr>
                <w:rFonts w:asciiTheme="majorHAnsi" w:hAnsiTheme="majorHAnsi"/>
                <w:color w:val="FFFFFF" w:themeColor="background1"/>
                <w:sz w:val="18"/>
                <w:szCs w:val="18"/>
                <w:lang w:val="es-ES_tradnl"/>
              </w:rPr>
              <w:t>Recurso presentado</w:t>
            </w:r>
          </w:p>
        </w:tc>
        <w:tc>
          <w:tcPr>
            <w:tcW w:w="3422" w:type="dxa"/>
            <w:shd w:val="clear" w:color="auto" w:fill="4F81BD" w:themeFill="accent1"/>
          </w:tcPr>
          <w:p w14:paraId="1D63D1A8" w14:textId="77777777" w:rsidR="00C60582" w:rsidRPr="003643AE" w:rsidRDefault="00C60582" w:rsidP="00F748B0">
            <w:pPr>
              <w:suppressAutoHyphens/>
              <w:jc w:val="center"/>
              <w:rPr>
                <w:rFonts w:asciiTheme="majorHAnsi" w:hAnsiTheme="majorHAnsi"/>
                <w:color w:val="FFFFFF" w:themeColor="background1"/>
                <w:sz w:val="18"/>
                <w:szCs w:val="18"/>
                <w:lang w:val="es-ES_tradnl"/>
              </w:rPr>
            </w:pPr>
            <w:r w:rsidRPr="003643AE">
              <w:rPr>
                <w:rFonts w:asciiTheme="majorHAnsi" w:hAnsiTheme="majorHAnsi"/>
                <w:color w:val="FFFFFF" w:themeColor="background1"/>
                <w:sz w:val="18"/>
                <w:szCs w:val="18"/>
                <w:lang w:val="es-ES_tradnl"/>
              </w:rPr>
              <w:t>Fecha de decisión</w:t>
            </w:r>
          </w:p>
        </w:tc>
      </w:tr>
      <w:tr w:rsidR="00C60582" w:rsidRPr="003643AE" w14:paraId="2DCE80E5" w14:textId="77777777" w:rsidTr="003275C0">
        <w:trPr>
          <w:jc w:val="center"/>
        </w:trPr>
        <w:tc>
          <w:tcPr>
            <w:tcW w:w="2876" w:type="dxa"/>
            <w:vMerge w:val="restart"/>
          </w:tcPr>
          <w:p w14:paraId="4B502014" w14:textId="77777777" w:rsidR="00C60582" w:rsidRPr="003643AE" w:rsidRDefault="00C60582" w:rsidP="00F748B0">
            <w:pPr>
              <w:suppressAutoHyphens/>
              <w:spacing w:after="240"/>
              <w:jc w:val="center"/>
              <w:rPr>
                <w:rFonts w:asciiTheme="majorHAnsi" w:hAnsiTheme="majorHAnsi"/>
                <w:bCs/>
                <w:sz w:val="18"/>
                <w:szCs w:val="18"/>
                <w:lang w:val="es-ES_tradnl"/>
              </w:rPr>
            </w:pPr>
          </w:p>
          <w:p w14:paraId="5BEB7F06" w14:textId="77777777" w:rsidR="00C60582" w:rsidRPr="003643AE" w:rsidRDefault="00C60582" w:rsidP="00F748B0">
            <w:pPr>
              <w:suppressAutoHyphens/>
              <w:spacing w:after="240"/>
              <w:jc w:val="center"/>
              <w:rPr>
                <w:rFonts w:asciiTheme="majorHAnsi" w:hAnsiTheme="majorHAnsi"/>
                <w:bCs/>
                <w:sz w:val="18"/>
                <w:szCs w:val="18"/>
                <w:lang w:val="es-ES_tradnl"/>
              </w:rPr>
            </w:pPr>
          </w:p>
          <w:p w14:paraId="7474E843" w14:textId="77777777" w:rsidR="00C60582" w:rsidRPr="003643AE" w:rsidRDefault="00C60582" w:rsidP="00F748B0">
            <w:pPr>
              <w:suppressAutoHyphens/>
              <w:spacing w:after="240"/>
              <w:jc w:val="center"/>
              <w:rPr>
                <w:rFonts w:asciiTheme="majorHAnsi" w:hAnsiTheme="majorHAnsi"/>
                <w:sz w:val="18"/>
                <w:szCs w:val="18"/>
                <w:lang w:val="es-ES_tradnl"/>
              </w:rPr>
            </w:pPr>
            <w:r w:rsidRPr="003643AE">
              <w:rPr>
                <w:rFonts w:asciiTheme="majorHAnsi" w:hAnsiTheme="majorHAnsi"/>
                <w:bCs/>
                <w:sz w:val="18"/>
                <w:szCs w:val="18"/>
                <w:lang w:val="es-ES_tradnl"/>
              </w:rPr>
              <w:t>Ligia Mónica Velásquez Castaños</w:t>
            </w:r>
          </w:p>
        </w:tc>
        <w:tc>
          <w:tcPr>
            <w:tcW w:w="2877" w:type="dxa"/>
          </w:tcPr>
          <w:p w14:paraId="43FF3F6F"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Acción de inconstitucionalidad concreta contra varios artículos de la Ley Nº 44</w:t>
            </w:r>
          </w:p>
        </w:tc>
        <w:tc>
          <w:tcPr>
            <w:tcW w:w="3422" w:type="dxa"/>
          </w:tcPr>
          <w:p w14:paraId="32317126"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El 22 de agosto de 2014 el TCP, mediante auto constitucional 0289/2014, confirmó el rechazo del recurso</w:t>
            </w:r>
          </w:p>
        </w:tc>
      </w:tr>
      <w:tr w:rsidR="00C60582" w:rsidRPr="003643AE" w14:paraId="4F5EA06F" w14:textId="77777777" w:rsidTr="003275C0">
        <w:trPr>
          <w:jc w:val="center"/>
        </w:trPr>
        <w:tc>
          <w:tcPr>
            <w:tcW w:w="2876" w:type="dxa"/>
            <w:vMerge/>
          </w:tcPr>
          <w:p w14:paraId="66338C9C" w14:textId="77777777" w:rsidR="00C60582" w:rsidRPr="003643AE" w:rsidRDefault="00C60582" w:rsidP="00F748B0">
            <w:pPr>
              <w:suppressAutoHyphens/>
              <w:spacing w:after="240"/>
              <w:jc w:val="center"/>
              <w:rPr>
                <w:rFonts w:asciiTheme="majorHAnsi" w:hAnsiTheme="majorHAnsi"/>
                <w:bCs/>
                <w:sz w:val="18"/>
                <w:szCs w:val="18"/>
                <w:lang w:val="es-ES_tradnl"/>
              </w:rPr>
            </w:pPr>
          </w:p>
        </w:tc>
        <w:tc>
          <w:tcPr>
            <w:tcW w:w="2877" w:type="dxa"/>
          </w:tcPr>
          <w:p w14:paraId="62A61815"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Recurso de queja</w:t>
            </w:r>
          </w:p>
        </w:tc>
        <w:tc>
          <w:tcPr>
            <w:tcW w:w="3422" w:type="dxa"/>
          </w:tcPr>
          <w:p w14:paraId="18F6CE8C"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El 26 de noviembre de 2014, el TCP, mediante Auto 0010/2014-RQ, resolvió confirmar la decisión impugnada</w:t>
            </w:r>
          </w:p>
        </w:tc>
      </w:tr>
      <w:tr w:rsidR="00C60582" w:rsidRPr="003643AE" w14:paraId="6C80C07E" w14:textId="77777777" w:rsidTr="003275C0">
        <w:trPr>
          <w:jc w:val="center"/>
        </w:trPr>
        <w:tc>
          <w:tcPr>
            <w:tcW w:w="2876" w:type="dxa"/>
            <w:vMerge w:val="restart"/>
          </w:tcPr>
          <w:p w14:paraId="7C3D986A" w14:textId="77777777" w:rsidR="00C60582" w:rsidRPr="003643AE" w:rsidRDefault="00C60582" w:rsidP="00F748B0">
            <w:pPr>
              <w:suppressAutoHyphens/>
              <w:spacing w:after="240"/>
              <w:jc w:val="center"/>
              <w:rPr>
                <w:rFonts w:asciiTheme="majorHAnsi" w:hAnsiTheme="majorHAnsi"/>
                <w:bCs/>
                <w:sz w:val="18"/>
                <w:szCs w:val="18"/>
                <w:lang w:val="es-ES_tradnl"/>
              </w:rPr>
            </w:pPr>
          </w:p>
          <w:p w14:paraId="620D0F65" w14:textId="77777777" w:rsidR="00C60582" w:rsidRPr="003643AE" w:rsidRDefault="00C60582" w:rsidP="00F748B0">
            <w:pPr>
              <w:suppressAutoHyphens/>
              <w:spacing w:after="240"/>
              <w:jc w:val="center"/>
              <w:rPr>
                <w:rFonts w:asciiTheme="majorHAnsi" w:hAnsiTheme="majorHAnsi"/>
                <w:bCs/>
                <w:sz w:val="18"/>
                <w:szCs w:val="18"/>
                <w:lang w:val="es-ES_tradnl"/>
              </w:rPr>
            </w:pPr>
          </w:p>
          <w:p w14:paraId="2A147D52" w14:textId="77777777" w:rsidR="00C60582" w:rsidRPr="003643AE" w:rsidRDefault="00C60582" w:rsidP="00F748B0">
            <w:pPr>
              <w:suppressAutoHyphens/>
              <w:spacing w:after="240"/>
              <w:jc w:val="center"/>
              <w:rPr>
                <w:rFonts w:asciiTheme="majorHAnsi" w:hAnsiTheme="majorHAnsi"/>
                <w:bCs/>
                <w:sz w:val="18"/>
                <w:szCs w:val="18"/>
                <w:lang w:val="es-ES_tradnl"/>
              </w:rPr>
            </w:pPr>
          </w:p>
          <w:p w14:paraId="6F186E48" w14:textId="77777777" w:rsidR="00C60582" w:rsidRPr="003643AE" w:rsidRDefault="00C60582" w:rsidP="00F748B0">
            <w:pPr>
              <w:suppressAutoHyphens/>
              <w:spacing w:after="240"/>
              <w:jc w:val="center"/>
              <w:rPr>
                <w:rFonts w:asciiTheme="majorHAnsi" w:hAnsiTheme="majorHAnsi"/>
                <w:bCs/>
                <w:sz w:val="18"/>
                <w:szCs w:val="18"/>
                <w:lang w:val="es-ES_tradnl"/>
              </w:rPr>
            </w:pPr>
            <w:r w:rsidRPr="003643AE">
              <w:rPr>
                <w:rFonts w:asciiTheme="majorHAnsi" w:hAnsiTheme="majorHAnsi"/>
                <w:bCs/>
                <w:sz w:val="18"/>
                <w:szCs w:val="18"/>
                <w:lang w:val="es-ES_tradnl"/>
              </w:rPr>
              <w:t xml:space="preserve">Rosario Chánez Chire </w:t>
            </w:r>
          </w:p>
        </w:tc>
        <w:tc>
          <w:tcPr>
            <w:tcW w:w="2877" w:type="dxa"/>
          </w:tcPr>
          <w:p w14:paraId="174BA28A"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Acción de inconstitucionalidad concreta contra varios artículos de la Ley Nº 44</w:t>
            </w:r>
          </w:p>
        </w:tc>
        <w:tc>
          <w:tcPr>
            <w:tcW w:w="3422" w:type="dxa"/>
          </w:tcPr>
          <w:p w14:paraId="4BA74EA4"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El 22 de agosto de 2014 el TCP, mediante auto constitucional 0289/2014, confirmó el rechazo del recurso</w:t>
            </w:r>
          </w:p>
        </w:tc>
      </w:tr>
      <w:tr w:rsidR="00C60582" w:rsidRPr="003643AE" w14:paraId="1AB9808E" w14:textId="77777777" w:rsidTr="003275C0">
        <w:trPr>
          <w:jc w:val="center"/>
        </w:trPr>
        <w:tc>
          <w:tcPr>
            <w:tcW w:w="2876" w:type="dxa"/>
            <w:vMerge/>
          </w:tcPr>
          <w:p w14:paraId="22659697" w14:textId="77777777" w:rsidR="00C60582" w:rsidRPr="003643AE" w:rsidRDefault="00C60582" w:rsidP="00F748B0">
            <w:pPr>
              <w:suppressAutoHyphens/>
              <w:spacing w:after="240"/>
              <w:jc w:val="center"/>
              <w:rPr>
                <w:rFonts w:asciiTheme="majorHAnsi" w:hAnsiTheme="majorHAnsi"/>
                <w:bCs/>
                <w:sz w:val="18"/>
                <w:szCs w:val="18"/>
                <w:lang w:val="es-ES_tradnl"/>
              </w:rPr>
            </w:pPr>
          </w:p>
        </w:tc>
        <w:tc>
          <w:tcPr>
            <w:tcW w:w="2877" w:type="dxa"/>
          </w:tcPr>
          <w:p w14:paraId="2E4ED93A" w14:textId="77777777" w:rsidR="00C60582" w:rsidRPr="003643AE" w:rsidRDefault="00C60582" w:rsidP="00F748B0">
            <w:pPr>
              <w:suppressAutoHyphens/>
              <w:ind w:left="720"/>
              <w:rPr>
                <w:rFonts w:asciiTheme="majorHAnsi" w:hAnsiTheme="majorHAnsi"/>
                <w:sz w:val="18"/>
                <w:szCs w:val="18"/>
                <w:lang w:val="es-ES_tradnl"/>
              </w:rPr>
            </w:pPr>
            <w:r w:rsidRPr="003643AE">
              <w:rPr>
                <w:rFonts w:asciiTheme="majorHAnsi" w:hAnsiTheme="majorHAnsi"/>
                <w:sz w:val="18"/>
                <w:szCs w:val="18"/>
                <w:lang w:val="es-ES_tradnl"/>
              </w:rPr>
              <w:t>Recurso de queja</w:t>
            </w:r>
          </w:p>
        </w:tc>
        <w:tc>
          <w:tcPr>
            <w:tcW w:w="3422" w:type="dxa"/>
          </w:tcPr>
          <w:p w14:paraId="21F04CA8"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El 26 de noviembre de 2014, el TCP, mediante Auto 0010/2014-RQ, resolvió confirmar la decisión impugnada</w:t>
            </w:r>
          </w:p>
        </w:tc>
      </w:tr>
      <w:tr w:rsidR="00C60582" w:rsidRPr="003643AE" w14:paraId="7A08B0E7" w14:textId="77777777" w:rsidTr="003275C0">
        <w:trPr>
          <w:jc w:val="center"/>
        </w:trPr>
        <w:tc>
          <w:tcPr>
            <w:tcW w:w="2876" w:type="dxa"/>
            <w:vMerge/>
          </w:tcPr>
          <w:p w14:paraId="598591EA" w14:textId="77777777" w:rsidR="00C60582" w:rsidRPr="003643AE" w:rsidRDefault="00C60582" w:rsidP="00F748B0">
            <w:pPr>
              <w:suppressAutoHyphens/>
              <w:spacing w:after="240"/>
              <w:jc w:val="center"/>
              <w:rPr>
                <w:rFonts w:asciiTheme="majorHAnsi" w:hAnsiTheme="majorHAnsi"/>
                <w:bCs/>
                <w:sz w:val="18"/>
                <w:szCs w:val="18"/>
                <w:lang w:val="es-ES_tradnl"/>
              </w:rPr>
            </w:pPr>
          </w:p>
        </w:tc>
        <w:tc>
          <w:tcPr>
            <w:tcW w:w="2877" w:type="dxa"/>
          </w:tcPr>
          <w:p w14:paraId="743B9F09"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Recurso de apelación restringida contra la sentencia Nº 01/2015</w:t>
            </w:r>
          </w:p>
        </w:tc>
        <w:tc>
          <w:tcPr>
            <w:tcW w:w="3422" w:type="dxa"/>
          </w:tcPr>
          <w:p w14:paraId="2E512517"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La Comisión de Justicia, Ministerio Público y Defensa Legal del Estado de la Cámara de Diputados rechazó esta acción</w:t>
            </w:r>
          </w:p>
        </w:tc>
      </w:tr>
      <w:tr w:rsidR="00C60582" w:rsidRPr="003643AE" w14:paraId="5258BDC9" w14:textId="77777777" w:rsidTr="003275C0">
        <w:trPr>
          <w:jc w:val="center"/>
        </w:trPr>
        <w:tc>
          <w:tcPr>
            <w:tcW w:w="2876" w:type="dxa"/>
            <w:vMerge/>
          </w:tcPr>
          <w:p w14:paraId="3A778E0C" w14:textId="77777777" w:rsidR="00C60582" w:rsidRPr="003643AE" w:rsidRDefault="00C60582" w:rsidP="00F748B0">
            <w:pPr>
              <w:suppressAutoHyphens/>
              <w:spacing w:after="240"/>
              <w:jc w:val="center"/>
              <w:rPr>
                <w:rFonts w:asciiTheme="majorHAnsi" w:hAnsiTheme="majorHAnsi"/>
                <w:bCs/>
                <w:sz w:val="18"/>
                <w:szCs w:val="18"/>
                <w:lang w:val="es-ES_tradnl"/>
              </w:rPr>
            </w:pPr>
          </w:p>
        </w:tc>
        <w:tc>
          <w:tcPr>
            <w:tcW w:w="2877" w:type="dxa"/>
          </w:tcPr>
          <w:p w14:paraId="17912D37"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Recurso de revisión extraordinario de sentencia</w:t>
            </w:r>
          </w:p>
        </w:tc>
        <w:tc>
          <w:tcPr>
            <w:tcW w:w="3422" w:type="dxa"/>
          </w:tcPr>
          <w:p w14:paraId="37805C11"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El 28 de junio de 2016, la Cámara del Senado, mediante resolución camaral Nº 30, rechazó esta acción</w:t>
            </w:r>
          </w:p>
        </w:tc>
      </w:tr>
      <w:tr w:rsidR="00C60582" w:rsidRPr="003643AE" w14:paraId="3AAEC1F8" w14:textId="77777777" w:rsidTr="003275C0">
        <w:trPr>
          <w:jc w:val="center"/>
        </w:trPr>
        <w:tc>
          <w:tcPr>
            <w:tcW w:w="2876" w:type="dxa"/>
            <w:vMerge/>
          </w:tcPr>
          <w:p w14:paraId="3175980B" w14:textId="77777777" w:rsidR="00C60582" w:rsidRPr="003643AE" w:rsidRDefault="00C60582" w:rsidP="00F748B0">
            <w:pPr>
              <w:suppressAutoHyphens/>
              <w:spacing w:after="240"/>
              <w:jc w:val="center"/>
              <w:rPr>
                <w:rFonts w:asciiTheme="majorHAnsi" w:hAnsiTheme="majorHAnsi"/>
                <w:bCs/>
                <w:sz w:val="18"/>
                <w:szCs w:val="18"/>
                <w:lang w:val="es-ES_tradnl"/>
              </w:rPr>
            </w:pPr>
          </w:p>
        </w:tc>
        <w:tc>
          <w:tcPr>
            <w:tcW w:w="2877" w:type="dxa"/>
          </w:tcPr>
          <w:p w14:paraId="0756B78A"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Acción de amparo</w:t>
            </w:r>
          </w:p>
        </w:tc>
        <w:tc>
          <w:tcPr>
            <w:tcW w:w="3422" w:type="dxa"/>
          </w:tcPr>
          <w:p w14:paraId="24CBDEEF" w14:textId="77777777" w:rsidR="00C60582" w:rsidRPr="003643AE" w:rsidRDefault="00C60582" w:rsidP="00F748B0">
            <w:pPr>
              <w:suppressAutoHyphens/>
              <w:jc w:val="center"/>
              <w:rPr>
                <w:rFonts w:asciiTheme="majorHAnsi" w:hAnsiTheme="majorHAnsi"/>
                <w:i/>
                <w:iCs/>
                <w:sz w:val="18"/>
                <w:szCs w:val="18"/>
                <w:lang w:val="es-ES_tradnl"/>
              </w:rPr>
            </w:pPr>
            <w:r w:rsidRPr="003643AE">
              <w:rPr>
                <w:rFonts w:asciiTheme="majorHAnsi" w:hAnsiTheme="majorHAnsi"/>
                <w:sz w:val="18"/>
                <w:szCs w:val="18"/>
                <w:lang w:val="es-ES_tradnl"/>
              </w:rPr>
              <w:t>El 8 de febrero de 2017 el TCP confirmó la improcedencia del recurso de amparo.</w:t>
            </w:r>
          </w:p>
          <w:p w14:paraId="3C343A56" w14:textId="77777777" w:rsidR="00C60582" w:rsidRPr="003643AE" w:rsidRDefault="00C60582" w:rsidP="00F748B0">
            <w:pPr>
              <w:suppressAutoHyphens/>
              <w:jc w:val="center"/>
              <w:rPr>
                <w:rFonts w:asciiTheme="majorHAnsi" w:hAnsiTheme="majorHAnsi"/>
                <w:sz w:val="18"/>
                <w:szCs w:val="18"/>
                <w:lang w:val="es-ES_tradnl"/>
              </w:rPr>
            </w:pPr>
          </w:p>
        </w:tc>
      </w:tr>
      <w:tr w:rsidR="00C60582" w:rsidRPr="003643AE" w14:paraId="3B899858" w14:textId="77777777" w:rsidTr="003275C0">
        <w:trPr>
          <w:jc w:val="center"/>
        </w:trPr>
        <w:tc>
          <w:tcPr>
            <w:tcW w:w="2876" w:type="dxa"/>
            <w:vMerge w:val="restart"/>
          </w:tcPr>
          <w:p w14:paraId="42C18F61" w14:textId="77777777" w:rsidR="000A59B4" w:rsidRPr="003643AE" w:rsidRDefault="000A59B4" w:rsidP="00F748B0">
            <w:pPr>
              <w:suppressAutoHyphens/>
              <w:spacing w:after="240"/>
              <w:jc w:val="center"/>
              <w:rPr>
                <w:rFonts w:asciiTheme="majorHAnsi" w:hAnsiTheme="majorHAnsi"/>
                <w:bCs/>
                <w:sz w:val="18"/>
                <w:szCs w:val="18"/>
                <w:lang w:val="es-ES_tradnl"/>
              </w:rPr>
            </w:pPr>
          </w:p>
          <w:p w14:paraId="5D5420EE" w14:textId="228E28D7" w:rsidR="00C60582" w:rsidRPr="003643AE" w:rsidRDefault="00C60582" w:rsidP="00F748B0">
            <w:pPr>
              <w:suppressAutoHyphens/>
              <w:spacing w:after="240"/>
              <w:jc w:val="center"/>
              <w:rPr>
                <w:rFonts w:asciiTheme="majorHAnsi" w:hAnsiTheme="majorHAnsi"/>
                <w:bCs/>
                <w:sz w:val="18"/>
                <w:szCs w:val="18"/>
                <w:lang w:val="es-ES_tradnl"/>
              </w:rPr>
            </w:pPr>
            <w:r w:rsidRPr="003643AE">
              <w:rPr>
                <w:rFonts w:asciiTheme="majorHAnsi" w:hAnsiTheme="majorHAnsi"/>
                <w:bCs/>
                <w:sz w:val="18"/>
                <w:szCs w:val="18"/>
                <w:lang w:val="es-ES_tradnl"/>
              </w:rPr>
              <w:t>Gualberto Cusi Mamani</w:t>
            </w:r>
          </w:p>
        </w:tc>
        <w:tc>
          <w:tcPr>
            <w:tcW w:w="2877" w:type="dxa"/>
          </w:tcPr>
          <w:p w14:paraId="7F80427E"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Acción de inconstitucionalidad concreta contra varios artículos de la Ley Nº 44</w:t>
            </w:r>
          </w:p>
        </w:tc>
        <w:tc>
          <w:tcPr>
            <w:tcW w:w="3422" w:type="dxa"/>
          </w:tcPr>
          <w:p w14:paraId="7683DB86" w14:textId="77777777" w:rsidR="00C60582" w:rsidRPr="003643AE" w:rsidRDefault="00C60582" w:rsidP="00F748B0">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El 29 de octubre de 2014 el TCP, mediante auto constitucional 0372/2014, confirmó el rechazo de la acción de inconstitucionalidad</w:t>
            </w:r>
          </w:p>
        </w:tc>
      </w:tr>
      <w:tr w:rsidR="00C60582" w:rsidRPr="003643AE" w14:paraId="406DC995" w14:textId="77777777" w:rsidTr="003275C0">
        <w:trPr>
          <w:jc w:val="center"/>
        </w:trPr>
        <w:tc>
          <w:tcPr>
            <w:tcW w:w="2876" w:type="dxa"/>
            <w:vMerge/>
          </w:tcPr>
          <w:p w14:paraId="28A63AC4" w14:textId="77777777" w:rsidR="00C60582" w:rsidRPr="003643AE" w:rsidRDefault="00C60582" w:rsidP="00AD68F2">
            <w:pPr>
              <w:suppressAutoHyphens/>
              <w:jc w:val="center"/>
              <w:rPr>
                <w:rFonts w:asciiTheme="majorHAnsi" w:hAnsiTheme="majorHAnsi"/>
                <w:bCs/>
                <w:sz w:val="18"/>
                <w:szCs w:val="18"/>
                <w:lang w:val="es-ES_tradnl"/>
              </w:rPr>
            </w:pPr>
          </w:p>
        </w:tc>
        <w:tc>
          <w:tcPr>
            <w:tcW w:w="2877" w:type="dxa"/>
          </w:tcPr>
          <w:p w14:paraId="0C294008" w14:textId="77777777" w:rsidR="00C60582" w:rsidRPr="003643AE" w:rsidRDefault="00C60582" w:rsidP="00AD68F2">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Acción de inconstitucionalidad concreta por la reanudación del juicio político</w:t>
            </w:r>
          </w:p>
        </w:tc>
        <w:tc>
          <w:tcPr>
            <w:tcW w:w="3422" w:type="dxa"/>
          </w:tcPr>
          <w:p w14:paraId="258A29AE" w14:textId="77777777" w:rsidR="00C60582" w:rsidRPr="003643AE" w:rsidRDefault="00C60582" w:rsidP="00AD68F2">
            <w:pPr>
              <w:suppressAutoHyphens/>
              <w:jc w:val="center"/>
              <w:rPr>
                <w:rFonts w:asciiTheme="majorHAnsi" w:hAnsiTheme="majorHAnsi"/>
                <w:sz w:val="18"/>
                <w:szCs w:val="18"/>
                <w:lang w:val="es-ES_tradnl"/>
              </w:rPr>
            </w:pPr>
            <w:r w:rsidRPr="003643AE">
              <w:rPr>
                <w:rFonts w:asciiTheme="majorHAnsi" w:hAnsiTheme="majorHAnsi"/>
                <w:sz w:val="18"/>
                <w:szCs w:val="18"/>
                <w:lang w:val="es-ES_tradnl"/>
              </w:rPr>
              <w:t>El 13 de diciembre de 2016 el TCP rechazó tal acción</w:t>
            </w:r>
          </w:p>
        </w:tc>
      </w:tr>
    </w:tbl>
    <w:p w14:paraId="79138C12" w14:textId="77777777" w:rsidR="00C60582" w:rsidRPr="003643AE" w:rsidRDefault="00C60582" w:rsidP="00AD68F2">
      <w:pPr>
        <w:suppressAutoHyphens/>
        <w:jc w:val="both"/>
        <w:rPr>
          <w:rFonts w:asciiTheme="majorHAnsi" w:hAnsiTheme="majorHAnsi"/>
          <w:i/>
          <w:iCs/>
          <w:sz w:val="20"/>
          <w:szCs w:val="20"/>
          <w:lang w:val="es-ES_tradnl"/>
        </w:rPr>
      </w:pPr>
    </w:p>
    <w:p w14:paraId="1BD06616" w14:textId="1E99FAE5" w:rsidR="00C60582" w:rsidRPr="003643AE" w:rsidRDefault="00C60582" w:rsidP="00AD68F2">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Como se puede apreciar, todas las presuntas víctimas</w:t>
      </w:r>
      <w:r w:rsidR="00566DB1" w:rsidRPr="003643AE">
        <w:rPr>
          <w:rFonts w:asciiTheme="majorHAnsi" w:hAnsiTheme="majorHAnsi"/>
          <w:sz w:val="20"/>
          <w:szCs w:val="20"/>
          <w:lang w:val="es-ES_tradnl"/>
        </w:rPr>
        <w:t xml:space="preserve">, sin perjuicio de otras acciones judiciales que interpusieron individualmente, </w:t>
      </w:r>
      <w:r w:rsidRPr="003643AE">
        <w:rPr>
          <w:rFonts w:asciiTheme="majorHAnsi" w:hAnsiTheme="majorHAnsi"/>
          <w:sz w:val="20"/>
          <w:szCs w:val="20"/>
          <w:lang w:val="es-ES_tradnl"/>
        </w:rPr>
        <w:t>cuestionaron la Ley</w:t>
      </w:r>
      <w:r w:rsidRPr="003643AE">
        <w:rPr>
          <w:rFonts w:asciiTheme="majorHAnsi" w:hAnsiTheme="majorHAnsi"/>
          <w:sz w:val="16"/>
          <w:szCs w:val="16"/>
          <w:lang w:val="es-ES_tradnl"/>
        </w:rPr>
        <w:t xml:space="preserve"> </w:t>
      </w:r>
      <w:r w:rsidRPr="003643AE">
        <w:rPr>
          <w:rFonts w:asciiTheme="majorHAnsi" w:hAnsiTheme="majorHAnsi"/>
          <w:sz w:val="20"/>
          <w:szCs w:val="20"/>
          <w:lang w:val="es-ES_tradnl"/>
        </w:rPr>
        <w:t xml:space="preserve">Nº 44, utilizada para sustentar el juicio político en su contra, a través de una acción constitucionalidad concreta. No obstante, el TCP desestimó todas estas acciones, al considerar que no se había sustentado adecuadamente en qué medida las disposiciones de dicha normativa resultaban inconstitucionales. </w:t>
      </w:r>
      <w:r w:rsidR="00566DB1" w:rsidRPr="003643AE">
        <w:rPr>
          <w:rFonts w:asciiTheme="majorHAnsi" w:hAnsiTheme="majorHAnsi"/>
          <w:sz w:val="20"/>
          <w:szCs w:val="20"/>
          <w:lang w:val="es-ES_tradnl"/>
        </w:rPr>
        <w:t xml:space="preserve">Tras ello, la Asamblea Legislativa Plurinacional resolvió mantener la suspensión contra el señor Cusi, hasta que se encuentre en condiciones de enfrentar el juicio político en su contra; destituyó a la señora Chánez y confirmó la renuncia al cargo de la señora Velásquez. </w:t>
      </w:r>
    </w:p>
    <w:p w14:paraId="143AEE0C" w14:textId="22C9ADB6" w:rsidR="00566DB1" w:rsidRPr="003643AE" w:rsidRDefault="00566DB1" w:rsidP="00AD68F2">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 xml:space="preserve">Conforme se aprecia en el expediente, las presuntas víctimas quedaron en estado de indefensión frente a estas decisiones, dado que no contaron con una vía judicial para cuestionar sus salidas definitivas de sus cargos como magistrados del TCP. </w:t>
      </w:r>
      <w:r w:rsidR="00AD68F2" w:rsidRPr="003643AE">
        <w:rPr>
          <w:rFonts w:asciiTheme="majorHAnsi" w:hAnsiTheme="majorHAnsi"/>
          <w:sz w:val="20"/>
          <w:szCs w:val="20"/>
          <w:lang w:val="es-ES_tradnl"/>
        </w:rPr>
        <w:t xml:space="preserve">En efecto, la Comisión observa que la decisión adoptada por el TCP en sus respectivos casos, en su condición de máximo órgano de justicia constitucional del país, </w:t>
      </w:r>
      <w:r w:rsidR="00352F2E" w:rsidRPr="003643AE">
        <w:rPr>
          <w:rFonts w:asciiTheme="majorHAnsi" w:hAnsiTheme="majorHAnsi"/>
          <w:sz w:val="20"/>
          <w:szCs w:val="20"/>
          <w:lang w:val="es-ES_tradnl"/>
        </w:rPr>
        <w:t xml:space="preserve">estableció, en la práctica, un precedente que </w:t>
      </w:r>
      <w:r w:rsidR="00AD68F2" w:rsidRPr="003643AE">
        <w:rPr>
          <w:rFonts w:asciiTheme="majorHAnsi" w:hAnsiTheme="majorHAnsi"/>
          <w:sz w:val="20"/>
          <w:szCs w:val="20"/>
          <w:lang w:val="es-ES_tradnl"/>
        </w:rPr>
        <w:t>provocó</w:t>
      </w:r>
      <w:r w:rsidR="00352F2E" w:rsidRPr="003643AE">
        <w:rPr>
          <w:rFonts w:asciiTheme="majorHAnsi" w:hAnsiTheme="majorHAnsi"/>
          <w:sz w:val="20"/>
          <w:szCs w:val="20"/>
          <w:lang w:val="es-ES_tradnl"/>
        </w:rPr>
        <w:t xml:space="preserve"> que</w:t>
      </w:r>
      <w:r w:rsidR="00AD68F2" w:rsidRPr="003643AE">
        <w:rPr>
          <w:rFonts w:asciiTheme="majorHAnsi" w:hAnsiTheme="majorHAnsi"/>
          <w:sz w:val="20"/>
          <w:szCs w:val="20"/>
          <w:lang w:val="es-ES_tradnl"/>
        </w:rPr>
        <w:t xml:space="preserve"> el resto de vía judiciales deriven en inefectivas. Prueba de ello, es la segunda acción de inconstitucionalidad concreta que intentó el señor Cusi, la cual el TCP desestimó toda vez que ya se había adoptado una primera decisión referida al juicio político iniciado contra las presuntas víctimas. </w:t>
      </w:r>
    </w:p>
    <w:p w14:paraId="1D4780F3" w14:textId="6708B1D0" w:rsidR="007B7172" w:rsidRPr="003643AE" w:rsidRDefault="007B7172" w:rsidP="007B7172">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Al respecto</w:t>
      </w:r>
      <w:r w:rsidR="00352F2E" w:rsidRPr="003643AE">
        <w:rPr>
          <w:rFonts w:asciiTheme="majorHAnsi" w:hAnsiTheme="majorHAnsi"/>
          <w:sz w:val="20"/>
          <w:szCs w:val="20"/>
          <w:lang w:val="es-ES_tradnl"/>
        </w:rPr>
        <w:t xml:space="preserve">, la Comisión ya ha dispuesto en otros informes </w:t>
      </w:r>
      <w:r w:rsidRPr="003643AE">
        <w:rPr>
          <w:rFonts w:asciiTheme="majorHAnsi" w:hAnsiTheme="majorHAnsi"/>
          <w:sz w:val="20"/>
          <w:szCs w:val="20"/>
          <w:lang w:val="es-ES_tradnl"/>
        </w:rPr>
        <w:t xml:space="preserve">de admisibilidad </w:t>
      </w:r>
      <w:r w:rsidR="00352F2E" w:rsidRPr="003643AE">
        <w:rPr>
          <w:rFonts w:asciiTheme="majorHAnsi" w:hAnsiTheme="majorHAnsi"/>
          <w:sz w:val="20"/>
          <w:szCs w:val="20"/>
          <w:lang w:val="es-ES_tradnl"/>
        </w:rPr>
        <w:t>que, en algunos casos, la presencia de una decisión del máximo órgano de justicia de un país</w:t>
      </w:r>
      <w:r w:rsidRPr="003643AE">
        <w:rPr>
          <w:rFonts w:asciiTheme="majorHAnsi" w:hAnsiTheme="majorHAnsi"/>
          <w:sz w:val="20"/>
          <w:szCs w:val="20"/>
          <w:lang w:val="es-ES_tradnl"/>
        </w:rPr>
        <w:t>, la cual no puede ser recurrida,</w:t>
      </w:r>
      <w:r w:rsidR="00352F2E" w:rsidRPr="003643AE">
        <w:rPr>
          <w:rFonts w:asciiTheme="majorHAnsi" w:hAnsiTheme="majorHAnsi"/>
          <w:sz w:val="20"/>
          <w:szCs w:val="20"/>
          <w:lang w:val="es-ES_tradnl"/>
        </w:rPr>
        <w:t xml:space="preserve"> puede provocar que</w:t>
      </w:r>
      <w:r w:rsidRPr="003643AE">
        <w:rPr>
          <w:rFonts w:asciiTheme="majorHAnsi" w:hAnsiTheme="majorHAnsi"/>
          <w:sz w:val="20"/>
          <w:szCs w:val="20"/>
          <w:lang w:val="es-ES_tradnl"/>
        </w:rPr>
        <w:t xml:space="preserve">, en la práctica, </w:t>
      </w:r>
      <w:r w:rsidR="00352F2E" w:rsidRPr="003643AE">
        <w:rPr>
          <w:rFonts w:asciiTheme="majorHAnsi" w:hAnsiTheme="majorHAnsi"/>
          <w:sz w:val="20"/>
          <w:szCs w:val="20"/>
          <w:lang w:val="es-ES_tradnl"/>
        </w:rPr>
        <w:t xml:space="preserve">las presuntas víctimas no cuenten con otra vía efectiva para solicitar la </w:t>
      </w:r>
      <w:r w:rsidR="00352F2E" w:rsidRPr="003643AE">
        <w:rPr>
          <w:rFonts w:asciiTheme="majorHAnsi" w:hAnsiTheme="majorHAnsi"/>
          <w:sz w:val="20"/>
          <w:szCs w:val="20"/>
          <w:lang w:val="es-ES_tradnl"/>
        </w:rPr>
        <w:lastRenderedPageBreak/>
        <w:t>protección de sus derechos</w:t>
      </w:r>
      <w:r w:rsidR="000A59B4" w:rsidRPr="003643AE">
        <w:rPr>
          <w:rStyle w:val="FootnoteReference"/>
          <w:rFonts w:asciiTheme="majorHAnsi" w:hAnsiTheme="majorHAnsi"/>
          <w:sz w:val="20"/>
          <w:szCs w:val="20"/>
          <w:lang w:val="es-ES_tradnl"/>
        </w:rPr>
        <w:footnoteReference w:id="5"/>
      </w:r>
      <w:r w:rsidR="00352F2E" w:rsidRPr="003643AE">
        <w:rPr>
          <w:rFonts w:asciiTheme="majorHAnsi" w:hAnsiTheme="majorHAnsi"/>
          <w:sz w:val="20"/>
          <w:szCs w:val="20"/>
          <w:lang w:val="es-ES_tradnl"/>
        </w:rPr>
        <w:t xml:space="preserve">. </w:t>
      </w:r>
      <w:r w:rsidRPr="003643AE">
        <w:rPr>
          <w:rFonts w:asciiTheme="majorHAnsi" w:hAnsiTheme="majorHAnsi"/>
          <w:sz w:val="20"/>
          <w:szCs w:val="20"/>
          <w:lang w:val="es-ES_tradnl"/>
        </w:rPr>
        <w:t>Además, si bien sobre este punto el Estado plantea que dichas personas aún podían presentar un recurso de petición o una acción de amparo, no ha cumplido con la carga de aportar pruebas o alegatos que demuestren que dichas vías resultaban adecuadas y efectivas para reparar los derechos presuntamente vulnerados.</w:t>
      </w:r>
    </w:p>
    <w:p w14:paraId="5E3B4F8B" w14:textId="440351DC" w:rsidR="007C4E93" w:rsidRPr="001C0538" w:rsidRDefault="00352F2E" w:rsidP="000A59B4">
      <w:pPr>
        <w:numPr>
          <w:ilvl w:val="0"/>
          <w:numId w:val="59"/>
        </w:numPr>
        <w:suppressAutoHyphens/>
        <w:spacing w:after="240"/>
        <w:jc w:val="both"/>
        <w:rPr>
          <w:rFonts w:asciiTheme="majorHAnsi" w:hAnsiTheme="majorHAnsi"/>
          <w:i/>
          <w:iCs/>
          <w:sz w:val="20"/>
          <w:szCs w:val="20"/>
          <w:lang w:val="es-ES_tradnl"/>
        </w:rPr>
      </w:pPr>
      <w:r w:rsidRPr="003643AE">
        <w:rPr>
          <w:rFonts w:asciiTheme="majorHAnsi" w:hAnsiTheme="majorHAnsi"/>
          <w:sz w:val="20"/>
          <w:szCs w:val="20"/>
          <w:lang w:val="es-ES_tradnl"/>
        </w:rPr>
        <w:t xml:space="preserve">En consecuencia, en base a dicho razonamiento, la Comisión considera que en el presente asunto las citadas resoluciones del TCP dejaron a las presuntas víctimas en un horizonte en el cual no se podía considerar razonable que existan recursos que tengan la posibilidad de cambiar el sentido de dichas decisiones y obtener </w:t>
      </w:r>
      <w:r w:rsidRPr="001C0538">
        <w:rPr>
          <w:rFonts w:asciiTheme="majorHAnsi" w:hAnsiTheme="majorHAnsi"/>
          <w:sz w:val="20"/>
          <w:szCs w:val="20"/>
          <w:lang w:val="es-ES_tradnl"/>
        </w:rPr>
        <w:t xml:space="preserve">un resultado distinto en instancias inferiores. Por ello, la Comisión considera que resulta aplicable la excepción prevista en el artículo 46.2.a) de la Convención Americana. </w:t>
      </w:r>
      <w:r w:rsidR="007B7172" w:rsidRPr="001C0538">
        <w:rPr>
          <w:rFonts w:asciiTheme="majorHAnsi" w:hAnsiTheme="majorHAnsi"/>
          <w:sz w:val="20"/>
          <w:szCs w:val="20"/>
          <w:lang w:val="es-ES_tradnl"/>
        </w:rPr>
        <w:t xml:space="preserve">Finalmente, que en 2015 se adoptaron las resoluciones que confirmaron la salida de las presuntas víctimas de sus cargos, la Comisión considera que la presente petición se presentó en un plazo razonable. </w:t>
      </w:r>
    </w:p>
    <w:p w14:paraId="4E682AD4" w14:textId="6956C410" w:rsidR="000A59B4" w:rsidRPr="001C0538" w:rsidRDefault="000A59B4" w:rsidP="000A59B4">
      <w:pPr>
        <w:pStyle w:val="ListParagraph"/>
        <w:spacing w:before="240" w:after="240"/>
        <w:jc w:val="both"/>
        <w:rPr>
          <w:rFonts w:asciiTheme="majorHAnsi" w:hAnsiTheme="majorHAnsi"/>
          <w:b/>
          <w:sz w:val="20"/>
          <w:szCs w:val="20"/>
          <w:lang w:val="es-ES_tradnl"/>
        </w:rPr>
      </w:pPr>
      <w:r w:rsidRPr="001C0538">
        <w:rPr>
          <w:rFonts w:asciiTheme="majorHAnsi" w:hAnsiTheme="majorHAnsi"/>
          <w:b/>
          <w:bCs/>
          <w:sz w:val="20"/>
          <w:szCs w:val="20"/>
          <w:lang w:val="es-ES_tradnl"/>
        </w:rPr>
        <w:t>VII.</w:t>
      </w:r>
      <w:r w:rsidRPr="001C0538">
        <w:rPr>
          <w:rFonts w:asciiTheme="majorHAnsi" w:hAnsiTheme="majorHAnsi"/>
          <w:b/>
          <w:bCs/>
          <w:sz w:val="20"/>
          <w:szCs w:val="20"/>
          <w:lang w:val="es-ES_tradnl"/>
        </w:rPr>
        <w:tab/>
        <w:t>ANÁLISIS DE CARACTERIZACIÓN DE LOS HECHOS ALEGADOS</w:t>
      </w:r>
    </w:p>
    <w:p w14:paraId="65F4F195" w14:textId="55F28E17" w:rsidR="00D43D41" w:rsidRPr="001C0538" w:rsidRDefault="00D43D41" w:rsidP="000A59B4">
      <w:pPr>
        <w:pStyle w:val="ListParagraph"/>
        <w:numPr>
          <w:ilvl w:val="0"/>
          <w:numId w:val="59"/>
        </w:numPr>
        <w:spacing w:after="240"/>
        <w:jc w:val="both"/>
        <w:rPr>
          <w:rFonts w:asciiTheme="majorHAnsi" w:eastAsia="Times New Roman" w:hAnsiTheme="majorHAnsi"/>
          <w:sz w:val="20"/>
          <w:szCs w:val="20"/>
          <w:bdr w:val="none" w:sz="0" w:space="0" w:color="auto"/>
          <w:lang w:val="es-ES_tradnl"/>
        </w:rPr>
      </w:pPr>
      <w:r w:rsidRPr="001C0538">
        <w:rPr>
          <w:rFonts w:asciiTheme="majorHAnsi" w:eastAsia="Times New Roman" w:hAnsiTheme="majorHAnsi"/>
          <w:sz w:val="20"/>
          <w:szCs w:val="20"/>
          <w:bdr w:val="none" w:sz="0" w:space="0" w:color="auto"/>
          <w:lang w:val="es-ES_tradnl"/>
        </w:rPr>
        <w:t xml:space="preserve">La parte peticionaria denuncia, principalmente, que las presuntas víctimas sufrieron acoso político por su condición de magistrado y magistradas del TCP, provocando que salgan de sus cargos. Así, si bien dichas personas perdieron su condición de magistradas de formas diferentes, en esencia esto habría sido el resultado del juicio político iniciado contra ellas. A pesar de ello, no habrían contado con una vía judicial efectiva para cuestionar tal situación. El Estado por su parte replica que el referido juicio político no implico ningún desconocimiento de sus obligaciones internacionales, en tanto se trata de una potestad del Poder Legislativo, con naturaleza netamente disciplinaria y que respetó el derecho a las garantías judiciales. </w:t>
      </w:r>
    </w:p>
    <w:p w14:paraId="337038BF" w14:textId="7DBEE13F" w:rsidR="000A59B4" w:rsidRPr="001C0538" w:rsidRDefault="00D43D41" w:rsidP="000A59B4">
      <w:pPr>
        <w:pStyle w:val="ListParagraph"/>
        <w:numPr>
          <w:ilvl w:val="0"/>
          <w:numId w:val="59"/>
        </w:numPr>
        <w:spacing w:after="240"/>
        <w:jc w:val="both"/>
        <w:rPr>
          <w:rFonts w:asciiTheme="majorHAnsi" w:eastAsia="Times New Roman" w:hAnsiTheme="majorHAnsi"/>
          <w:sz w:val="20"/>
          <w:szCs w:val="20"/>
          <w:bdr w:val="none" w:sz="0" w:space="0" w:color="auto"/>
          <w:lang w:val="es-ES_tradnl"/>
        </w:rPr>
      </w:pPr>
      <w:r w:rsidRPr="001C0538">
        <w:rPr>
          <w:rFonts w:asciiTheme="majorHAnsi" w:eastAsia="Times New Roman" w:hAnsiTheme="majorHAnsi"/>
          <w:sz w:val="20"/>
          <w:szCs w:val="20"/>
          <w:bdr w:val="none" w:sz="0" w:space="0" w:color="auto"/>
          <w:lang w:val="es-ES_tradnl"/>
        </w:rPr>
        <w:t>Al respecto, l</w:t>
      </w:r>
      <w:r w:rsidR="000A59B4" w:rsidRPr="001C0538">
        <w:rPr>
          <w:rFonts w:asciiTheme="majorHAnsi" w:eastAsia="Times New Roman" w:hAnsiTheme="majorHAnsi"/>
          <w:sz w:val="20"/>
          <w:szCs w:val="20"/>
          <w:bdr w:val="none" w:sz="0" w:space="0" w:color="auto"/>
          <w:lang w:val="es-ES_tradnl"/>
        </w:rPr>
        <w:t>a CIDH recuerda que, en la presente etapa procesal, debe realizar una evaluación prima facie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697AAD47" w14:textId="1120BFEF" w:rsidR="003643AE" w:rsidRPr="001C0538" w:rsidRDefault="00D06572" w:rsidP="00D06572">
      <w:pPr>
        <w:pStyle w:val="ListParagraph"/>
        <w:numPr>
          <w:ilvl w:val="0"/>
          <w:numId w:val="59"/>
        </w:numPr>
        <w:spacing w:after="240"/>
        <w:jc w:val="both"/>
        <w:rPr>
          <w:rFonts w:asciiTheme="majorHAnsi" w:hAnsiTheme="majorHAnsi"/>
          <w:sz w:val="20"/>
          <w:szCs w:val="20"/>
          <w:lang w:val="es-ES_tradnl"/>
        </w:rPr>
      </w:pPr>
      <w:r w:rsidRPr="001C0538">
        <w:rPr>
          <w:rFonts w:asciiTheme="majorHAnsi" w:eastAsia="Times New Roman" w:hAnsiTheme="majorHAnsi"/>
          <w:sz w:val="20"/>
          <w:szCs w:val="20"/>
          <w:bdr w:val="none" w:sz="0" w:space="0" w:color="auto"/>
          <w:lang w:val="es-ES_tradnl"/>
        </w:rPr>
        <w:t xml:space="preserve">En el presente caso, la Comisión observa que la Asamblea Legislativa Plurinacional, </w:t>
      </w:r>
      <w:r w:rsidRPr="001C0538">
        <w:rPr>
          <w:rFonts w:asciiTheme="majorHAnsi" w:hAnsiTheme="majorHAnsi"/>
          <w:sz w:val="20"/>
          <w:szCs w:val="20"/>
          <w:lang w:val="es-ES_tradnl"/>
        </w:rPr>
        <w:t>mediante un juicio político,</w:t>
      </w:r>
      <w:r w:rsidRPr="001C0538">
        <w:rPr>
          <w:rFonts w:asciiTheme="majorHAnsi" w:hAnsiTheme="majorHAnsi"/>
          <w:i/>
          <w:iCs/>
          <w:sz w:val="20"/>
          <w:szCs w:val="20"/>
          <w:lang w:val="es-ES_tradnl"/>
        </w:rPr>
        <w:t xml:space="preserve"> </w:t>
      </w:r>
      <w:r w:rsidRPr="001C0538">
        <w:rPr>
          <w:rFonts w:asciiTheme="majorHAnsi" w:hAnsiTheme="majorHAnsi"/>
          <w:sz w:val="20"/>
          <w:szCs w:val="20"/>
          <w:lang w:val="es-ES_tradnl"/>
        </w:rPr>
        <w:t xml:space="preserve">suspendió indefinidamente al señor Gualberto Cusi, destituyó a la señora Rosario Chánez y forzó la renuncia de la señora Ligia Velásquez de sus cargos como magistrado y magistradas del TCP, por una decisión que emitieron en el ejercicio de tales cargos. </w:t>
      </w:r>
      <w:r w:rsidRPr="001C0538">
        <w:rPr>
          <w:rFonts w:asciiTheme="majorHAnsi" w:hAnsiTheme="majorHAnsi"/>
          <w:sz w:val="20"/>
          <w:szCs w:val="20"/>
          <w:bdr w:val="none" w:sz="0" w:space="0" w:color="auto"/>
          <w:lang w:val="es-ES_tradnl"/>
        </w:rPr>
        <w:t>Al respecto</w:t>
      </w:r>
      <w:r w:rsidR="003E1E2C" w:rsidRPr="001C0538">
        <w:rPr>
          <w:rFonts w:asciiTheme="majorHAnsi" w:hAnsiTheme="majorHAnsi"/>
          <w:sz w:val="20"/>
          <w:szCs w:val="20"/>
          <w:bdr w:val="none" w:sz="0" w:space="0" w:color="auto"/>
          <w:lang w:val="es-ES_tradnl"/>
        </w:rPr>
        <w:t xml:space="preserve">, la Comisión considera que el presente asunto, referido a la convencionalidad del uso de juicios políticos contra magistrados y magistradas de altas cortes, representa una temática que cuenta con varios pronunciamientos desde el sistema interamericano. A modo de ejemplo, en el reciente fallo </w:t>
      </w:r>
      <w:r w:rsidR="00004759" w:rsidRPr="001C0538">
        <w:rPr>
          <w:rFonts w:asciiTheme="majorHAnsi" w:hAnsiTheme="majorHAnsi"/>
          <w:sz w:val="20"/>
          <w:szCs w:val="20"/>
          <w:bdr w:val="none" w:sz="0" w:space="0" w:color="auto"/>
          <w:lang w:val="es-ES_tradnl"/>
        </w:rPr>
        <w:t>“</w:t>
      </w:r>
      <w:r w:rsidR="00BF4DEF" w:rsidRPr="001C0538">
        <w:rPr>
          <w:rFonts w:asciiTheme="majorHAnsi" w:hAnsiTheme="majorHAnsi"/>
          <w:i/>
          <w:iCs/>
          <w:sz w:val="20"/>
          <w:szCs w:val="20"/>
          <w:bdr w:val="none" w:sz="0" w:space="0" w:color="auto"/>
          <w:lang w:val="es-ES_tradnl"/>
        </w:rPr>
        <w:t>R</w:t>
      </w:r>
      <w:r w:rsidR="00004759" w:rsidRPr="001C0538">
        <w:rPr>
          <w:rFonts w:asciiTheme="majorHAnsi" w:hAnsiTheme="majorHAnsi"/>
          <w:i/>
          <w:iCs/>
          <w:sz w:val="20"/>
          <w:szCs w:val="20"/>
          <w:bdr w:val="none" w:sz="0" w:space="0" w:color="auto"/>
          <w:lang w:val="es-ES_tradnl"/>
        </w:rPr>
        <w:t>í</w:t>
      </w:r>
      <w:r w:rsidR="00BF4DEF" w:rsidRPr="001C0538">
        <w:rPr>
          <w:rFonts w:asciiTheme="majorHAnsi" w:hAnsiTheme="majorHAnsi"/>
          <w:i/>
          <w:iCs/>
          <w:sz w:val="20"/>
          <w:szCs w:val="20"/>
          <w:bdr w:val="none" w:sz="0" w:space="0" w:color="auto"/>
          <w:lang w:val="es-ES_tradnl"/>
        </w:rPr>
        <w:t xml:space="preserve">os </w:t>
      </w:r>
      <w:r w:rsidR="00004759" w:rsidRPr="001C0538">
        <w:rPr>
          <w:rFonts w:asciiTheme="majorHAnsi" w:hAnsiTheme="majorHAnsi"/>
          <w:i/>
          <w:iCs/>
          <w:sz w:val="20"/>
          <w:szCs w:val="20"/>
          <w:bdr w:val="none" w:sz="0" w:space="0" w:color="auto"/>
          <w:lang w:val="es-ES_tradnl"/>
        </w:rPr>
        <w:t xml:space="preserve">Avalos </w:t>
      </w:r>
      <w:r w:rsidR="00BF4DEF" w:rsidRPr="001C0538">
        <w:rPr>
          <w:rFonts w:asciiTheme="majorHAnsi" w:hAnsiTheme="majorHAnsi"/>
          <w:i/>
          <w:iCs/>
          <w:sz w:val="20"/>
          <w:szCs w:val="20"/>
          <w:bdr w:val="none" w:sz="0" w:space="0" w:color="auto"/>
          <w:lang w:val="es-ES_tradnl"/>
        </w:rPr>
        <w:t>y otros vs. Paraguay</w:t>
      </w:r>
      <w:r w:rsidR="00004759" w:rsidRPr="001C0538">
        <w:rPr>
          <w:rFonts w:asciiTheme="majorHAnsi" w:hAnsiTheme="majorHAnsi"/>
          <w:sz w:val="20"/>
          <w:szCs w:val="20"/>
          <w:bdr w:val="none" w:sz="0" w:space="0" w:color="auto"/>
          <w:lang w:val="es-ES_tradnl"/>
        </w:rPr>
        <w:t>”</w:t>
      </w:r>
      <w:r w:rsidR="00BF4DEF" w:rsidRPr="001C0538">
        <w:rPr>
          <w:rFonts w:asciiTheme="majorHAnsi" w:hAnsiTheme="majorHAnsi"/>
          <w:sz w:val="20"/>
          <w:szCs w:val="20"/>
          <w:bdr w:val="none" w:sz="0" w:space="0" w:color="auto"/>
          <w:lang w:val="es-ES_tradnl"/>
        </w:rPr>
        <w:t>, la Corte Interamericana</w:t>
      </w:r>
      <w:r w:rsidR="00004759" w:rsidRPr="001C0538">
        <w:rPr>
          <w:rFonts w:asciiTheme="majorHAnsi" w:hAnsiTheme="majorHAnsi"/>
          <w:sz w:val="20"/>
          <w:szCs w:val="20"/>
          <w:bdr w:val="none" w:sz="0" w:space="0" w:color="auto"/>
          <w:lang w:val="es-ES_tradnl"/>
        </w:rPr>
        <w:t xml:space="preserve"> precisó que</w:t>
      </w:r>
      <w:r w:rsidR="003643AE" w:rsidRPr="001C0538">
        <w:rPr>
          <w:rFonts w:asciiTheme="majorHAnsi" w:hAnsiTheme="majorHAnsi"/>
          <w:sz w:val="20"/>
          <w:szCs w:val="20"/>
          <w:bdr w:val="none" w:sz="0" w:space="0" w:color="auto"/>
          <w:lang w:val="es-ES_tradnl"/>
        </w:rPr>
        <w:t>:</w:t>
      </w:r>
      <w:r w:rsidR="00004759" w:rsidRPr="001C0538">
        <w:rPr>
          <w:rFonts w:asciiTheme="majorHAnsi" w:hAnsiTheme="majorHAnsi"/>
          <w:sz w:val="20"/>
          <w:szCs w:val="20"/>
          <w:bdr w:val="none" w:sz="0" w:space="0" w:color="auto"/>
          <w:lang w:val="es-ES_tradnl"/>
        </w:rPr>
        <w:t xml:space="preserve"> </w:t>
      </w:r>
    </w:p>
    <w:p w14:paraId="07EA20F9" w14:textId="645D20E8" w:rsidR="00CB710A" w:rsidRPr="001C0538" w:rsidRDefault="00004759" w:rsidP="003643AE">
      <w:pPr>
        <w:pStyle w:val="ListParagraph"/>
        <w:spacing w:after="240"/>
        <w:ind w:right="720"/>
        <w:jc w:val="both"/>
        <w:rPr>
          <w:rFonts w:asciiTheme="majorHAnsi" w:hAnsiTheme="majorHAnsi"/>
          <w:sz w:val="20"/>
          <w:szCs w:val="20"/>
          <w:lang w:val="es-ES_tradnl"/>
        </w:rPr>
      </w:pPr>
      <w:r w:rsidRPr="001C0538">
        <w:rPr>
          <w:rFonts w:asciiTheme="majorHAnsi" w:hAnsiTheme="majorHAnsi"/>
          <w:sz w:val="20"/>
          <w:szCs w:val="20"/>
          <w:lang w:val="es-ES_tradnl"/>
        </w:rPr>
        <w:t xml:space="preserve">la garantía de la independencia de la judicatura impone que, en la instauración de juicios políticos contra funcionarias y funcionarios judiciales, le está vedado al órgano u órganos que intervienen en su trámite, deliberación y resolución, revisar los fundamentos o el contenido de las decisiones emitidas por aquellas autoridades. Asimismo, es inviable que el juicio </w:t>
      </w:r>
      <w:r w:rsidR="006E0460" w:rsidRPr="001C0538">
        <w:rPr>
          <w:rFonts w:asciiTheme="majorHAnsi" w:hAnsiTheme="majorHAnsi"/>
          <w:sz w:val="20"/>
          <w:szCs w:val="20"/>
          <w:lang w:val="es-ES_tradnl"/>
        </w:rPr>
        <w:t>político</w:t>
      </w:r>
      <w:r w:rsidRPr="001C0538">
        <w:rPr>
          <w:rFonts w:asciiTheme="majorHAnsi" w:hAnsiTheme="majorHAnsi"/>
          <w:sz w:val="20"/>
          <w:szCs w:val="20"/>
          <w:lang w:val="es-ES_tradnl"/>
        </w:rPr>
        <w:t xml:space="preserve"> o la eventual </w:t>
      </w:r>
      <w:r w:rsidR="006E0460" w:rsidRPr="001C0538">
        <w:rPr>
          <w:rFonts w:asciiTheme="majorHAnsi" w:hAnsiTheme="majorHAnsi"/>
          <w:sz w:val="20"/>
          <w:szCs w:val="20"/>
          <w:lang w:val="es-ES_tradnl"/>
        </w:rPr>
        <w:t>destitución</w:t>
      </w:r>
      <w:r w:rsidRPr="001C0538">
        <w:rPr>
          <w:rFonts w:asciiTheme="majorHAnsi" w:hAnsiTheme="majorHAnsi"/>
          <w:sz w:val="20"/>
          <w:szCs w:val="20"/>
          <w:lang w:val="es-ES_tradnl"/>
        </w:rPr>
        <w:t xml:space="preserve"> de juezas o jueces, como consecuencia de dicho procedimiento, se fundamente en el contenido de las decisiones que hayan dictado</w:t>
      </w:r>
      <w:r w:rsidR="00D0432F" w:rsidRPr="001C0538">
        <w:rPr>
          <w:rFonts w:asciiTheme="majorHAnsi" w:hAnsiTheme="majorHAnsi"/>
          <w:sz w:val="20"/>
          <w:szCs w:val="20"/>
          <w:lang w:val="es-ES_tradnl"/>
        </w:rPr>
        <w:t xml:space="preserve"> </w:t>
      </w:r>
      <w:r w:rsidR="003643AE" w:rsidRPr="001C0538">
        <w:rPr>
          <w:rFonts w:asciiTheme="majorHAnsi" w:hAnsiTheme="majorHAnsi"/>
          <w:sz w:val="20"/>
          <w:szCs w:val="20"/>
          <w:lang w:val="es-ES_tradnl"/>
        </w:rPr>
        <w:t>[</w:t>
      </w:r>
      <w:r w:rsidR="00D0432F" w:rsidRPr="001C0538">
        <w:rPr>
          <w:rFonts w:asciiTheme="majorHAnsi" w:hAnsiTheme="majorHAnsi"/>
          <w:sz w:val="20"/>
          <w:szCs w:val="20"/>
          <w:lang w:val="es-ES_tradnl"/>
        </w:rPr>
        <w:t>…</w:t>
      </w:r>
      <w:r w:rsidR="003643AE" w:rsidRPr="001C0538">
        <w:rPr>
          <w:rFonts w:asciiTheme="majorHAnsi" w:hAnsiTheme="majorHAnsi"/>
          <w:sz w:val="20"/>
          <w:szCs w:val="20"/>
          <w:lang w:val="es-ES_tradnl"/>
        </w:rPr>
        <w:t>]</w:t>
      </w:r>
      <w:r w:rsidRPr="001C0538">
        <w:rPr>
          <w:rStyle w:val="FootnoteReference"/>
          <w:rFonts w:asciiTheme="majorHAnsi" w:hAnsiTheme="majorHAnsi"/>
          <w:sz w:val="20"/>
          <w:szCs w:val="20"/>
          <w:lang w:val="es-ES_tradnl"/>
        </w:rPr>
        <w:footnoteReference w:id="6"/>
      </w:r>
      <w:r w:rsidR="00CB710A" w:rsidRPr="001C0538">
        <w:rPr>
          <w:rFonts w:asciiTheme="majorHAnsi" w:hAnsiTheme="majorHAnsi"/>
          <w:sz w:val="20"/>
          <w:szCs w:val="20"/>
          <w:lang w:val="es-ES_tradnl"/>
        </w:rPr>
        <w:t>.</w:t>
      </w:r>
      <w:r w:rsidRPr="001C0538">
        <w:rPr>
          <w:rFonts w:asciiTheme="majorHAnsi" w:hAnsiTheme="majorHAnsi"/>
          <w:sz w:val="20"/>
          <w:szCs w:val="20"/>
          <w:lang w:val="es-ES_tradnl"/>
        </w:rPr>
        <w:t xml:space="preserve"> </w:t>
      </w:r>
    </w:p>
    <w:p w14:paraId="7766764F" w14:textId="602F246A" w:rsidR="000A59B4" w:rsidRPr="001C0538" w:rsidRDefault="000A59B4" w:rsidP="000A59B4">
      <w:pPr>
        <w:numPr>
          <w:ilvl w:val="0"/>
          <w:numId w:val="59"/>
        </w:numPr>
        <w:suppressAutoHyphens/>
        <w:spacing w:before="240" w:after="240"/>
        <w:jc w:val="both"/>
        <w:rPr>
          <w:rFonts w:asciiTheme="majorHAnsi" w:hAnsiTheme="majorHAnsi"/>
          <w:b/>
          <w:bCs/>
          <w:sz w:val="20"/>
          <w:szCs w:val="20"/>
          <w:lang w:val="es-ES_tradnl"/>
        </w:rPr>
      </w:pPr>
      <w:r w:rsidRPr="001C0538">
        <w:rPr>
          <w:rFonts w:asciiTheme="majorHAnsi" w:hAnsiTheme="majorHAnsi"/>
          <w:sz w:val="20"/>
          <w:szCs w:val="20"/>
          <w:lang w:val="es-ES_tradnl"/>
        </w:rPr>
        <w:t xml:space="preserve">Con base en las citadas consideraciones, la Comisión considera que los hechos denunciados no resultan manifiestamente infundados y, por el contrario, requieren un estudio en etapa de fondo, a efectos de examinar si el juicio político que inició la Asamblea Legislativa Plurinacional contra las presuntas víctimas </w:t>
      </w:r>
      <w:r w:rsidR="00D0432F" w:rsidRPr="001C0538">
        <w:rPr>
          <w:rFonts w:asciiTheme="majorHAnsi" w:hAnsiTheme="majorHAnsi"/>
          <w:sz w:val="20"/>
          <w:szCs w:val="20"/>
          <w:lang w:val="es-ES_tradnl"/>
        </w:rPr>
        <w:t xml:space="preserve">por la sentencia que emitieron, </w:t>
      </w:r>
      <w:r w:rsidRPr="001C0538">
        <w:rPr>
          <w:rFonts w:asciiTheme="majorHAnsi" w:hAnsiTheme="majorHAnsi"/>
          <w:sz w:val="20"/>
          <w:szCs w:val="20"/>
          <w:lang w:val="es-ES_tradnl"/>
        </w:rPr>
        <w:t>y sus secuelas</w:t>
      </w:r>
      <w:r w:rsidR="00D0432F" w:rsidRPr="001C0538">
        <w:rPr>
          <w:rFonts w:asciiTheme="majorHAnsi" w:hAnsiTheme="majorHAnsi"/>
          <w:sz w:val="20"/>
          <w:szCs w:val="20"/>
          <w:lang w:val="es-ES_tradnl"/>
        </w:rPr>
        <w:t xml:space="preserve">, </w:t>
      </w:r>
      <w:r w:rsidRPr="001C0538">
        <w:rPr>
          <w:rFonts w:asciiTheme="majorHAnsi" w:hAnsiTheme="majorHAnsi"/>
          <w:sz w:val="20"/>
          <w:szCs w:val="20"/>
          <w:lang w:val="es-ES_tradnl"/>
        </w:rPr>
        <w:t xml:space="preserve">vulneró sus derechos. En tal sentido, la CIDH estima que de </w:t>
      </w:r>
      <w:r w:rsidRPr="001C0538">
        <w:rPr>
          <w:rFonts w:asciiTheme="majorHAnsi" w:hAnsiTheme="majorHAnsi"/>
          <w:sz w:val="20"/>
          <w:szCs w:val="20"/>
          <w:lang w:val="es-ES_tradnl"/>
        </w:rPr>
        <w:lastRenderedPageBreak/>
        <w:t xml:space="preserve">corroborarse como cierta la situación descrita por la parte peticionaria, esta podría constituir una violación a los derechos reconocidos en los </w:t>
      </w:r>
      <w:r w:rsidRPr="001C0538">
        <w:rPr>
          <w:rFonts w:asciiTheme="majorHAnsi" w:hAnsiTheme="majorHAnsi"/>
          <w:bCs/>
          <w:sz w:val="20"/>
          <w:szCs w:val="20"/>
          <w:lang w:val="es-ES_tradnl"/>
        </w:rPr>
        <w:t>artículos 8 (garantías judiciales), 11 (dignidad y honra), 23 (derechos políticos), 25 (protección judicial) y 26 (derechos económicos, sociales, culturales y medio ambientales) de la Convención Americana</w:t>
      </w:r>
      <w:r w:rsidRPr="001C0538">
        <w:rPr>
          <w:rFonts w:asciiTheme="majorHAnsi" w:hAnsiTheme="majorHAnsi"/>
          <w:sz w:val="20"/>
          <w:szCs w:val="20"/>
          <w:lang w:val="es-ES_tradnl"/>
        </w:rPr>
        <w:t>, con relación a sus artículos 1.1 (obligación de respetar los derechos) y 2</w:t>
      </w:r>
      <w:r w:rsidR="003E1E2C" w:rsidRPr="001C0538">
        <w:rPr>
          <w:rFonts w:asciiTheme="majorHAnsi" w:hAnsiTheme="majorHAnsi"/>
          <w:sz w:val="20"/>
          <w:szCs w:val="20"/>
          <w:lang w:val="es-ES_tradnl"/>
        </w:rPr>
        <w:t xml:space="preserve"> (deber de adoptar disposiciones de derecho interno), en perjuicio de las presuntas víctimas. </w:t>
      </w:r>
    </w:p>
    <w:p w14:paraId="04296B3A" w14:textId="2293C1D4" w:rsidR="000A59B4" w:rsidRPr="001C0538" w:rsidRDefault="000A59B4" w:rsidP="000A59B4">
      <w:pPr>
        <w:numPr>
          <w:ilvl w:val="0"/>
          <w:numId w:val="59"/>
        </w:numPr>
        <w:suppressAutoHyphens/>
        <w:spacing w:before="240" w:after="240"/>
        <w:jc w:val="both"/>
        <w:rPr>
          <w:rFonts w:asciiTheme="majorHAnsi" w:hAnsiTheme="majorHAnsi"/>
          <w:b/>
          <w:bCs/>
          <w:sz w:val="20"/>
          <w:szCs w:val="20"/>
          <w:lang w:val="es-ES_tradnl"/>
        </w:rPr>
      </w:pPr>
      <w:r w:rsidRPr="001C0538">
        <w:rPr>
          <w:rFonts w:asciiTheme="majorHAnsi" w:hAnsiTheme="majorHAnsi"/>
          <w:sz w:val="20"/>
          <w:szCs w:val="20"/>
          <w:lang w:val="es-ES_tradnl"/>
        </w:rPr>
        <w:t xml:space="preserve">Respecto de las alegadas vulneraciones a los derechos contemplados a los artículos 4 (derecho a la vida) de la Convención Americana, la Comisión considera que no se aportan suficientes elementos y/o argumentos a efectos de declarar su admisibilidad. </w:t>
      </w:r>
    </w:p>
    <w:p w14:paraId="197FAD9F" w14:textId="0F690CA5" w:rsidR="00AA5F0A" w:rsidRPr="001C0538" w:rsidRDefault="00AA5F0A" w:rsidP="000A59B4">
      <w:pPr>
        <w:numPr>
          <w:ilvl w:val="0"/>
          <w:numId w:val="59"/>
        </w:numPr>
        <w:suppressAutoHyphens/>
        <w:spacing w:before="240" w:after="240"/>
        <w:jc w:val="both"/>
        <w:rPr>
          <w:rFonts w:asciiTheme="majorHAnsi" w:hAnsiTheme="majorHAnsi"/>
          <w:b/>
          <w:bCs/>
          <w:sz w:val="20"/>
          <w:szCs w:val="20"/>
          <w:lang w:val="es-ES_tradnl"/>
        </w:rPr>
      </w:pPr>
      <w:r w:rsidRPr="001C0538">
        <w:rPr>
          <w:rFonts w:asciiTheme="majorHAnsi" w:hAnsiTheme="majorHAnsi"/>
          <w:sz w:val="20"/>
          <w:szCs w:val="20"/>
          <w:lang w:val="es-ES_tradnl"/>
        </w:rPr>
        <w:t xml:space="preserve">Finalmente, la Comisión valorará en etapa de fondo las disculpas recibidas por el señor Cusi por parte del entonces Ministerio de Salud, al momento de analizar el </w:t>
      </w:r>
      <w:r w:rsidR="000F38DD" w:rsidRPr="001C0538">
        <w:rPr>
          <w:rFonts w:asciiTheme="majorHAnsi" w:hAnsiTheme="majorHAnsi"/>
          <w:sz w:val="20"/>
          <w:szCs w:val="20"/>
          <w:lang w:val="es-ES_tradnl"/>
        </w:rPr>
        <w:t>explicado c</w:t>
      </w:r>
      <w:r w:rsidRPr="001C0538">
        <w:rPr>
          <w:rFonts w:asciiTheme="majorHAnsi" w:hAnsiTheme="majorHAnsi"/>
          <w:sz w:val="20"/>
          <w:szCs w:val="20"/>
          <w:lang w:val="es-ES_tradnl"/>
        </w:rPr>
        <w:t xml:space="preserve">ontexto de </w:t>
      </w:r>
      <w:r w:rsidR="000F38DD" w:rsidRPr="001C0538">
        <w:rPr>
          <w:rFonts w:asciiTheme="majorHAnsi" w:hAnsiTheme="majorHAnsi"/>
          <w:sz w:val="20"/>
          <w:szCs w:val="20"/>
          <w:lang w:val="es-ES_tradnl"/>
        </w:rPr>
        <w:t>hostigamiento</w:t>
      </w:r>
      <w:r w:rsidRPr="001C0538">
        <w:rPr>
          <w:rFonts w:asciiTheme="majorHAnsi" w:hAnsiTheme="majorHAnsi"/>
          <w:sz w:val="20"/>
          <w:szCs w:val="20"/>
          <w:lang w:val="es-ES_tradnl"/>
        </w:rPr>
        <w:t xml:space="preserve"> en su contra. </w:t>
      </w:r>
    </w:p>
    <w:p w14:paraId="445BF42E" w14:textId="77777777" w:rsidR="003239B8" w:rsidRPr="001C0538" w:rsidRDefault="003239B8" w:rsidP="003239B8">
      <w:pPr>
        <w:pStyle w:val="ListParagraph"/>
        <w:spacing w:before="240" w:after="240"/>
        <w:jc w:val="both"/>
        <w:rPr>
          <w:rFonts w:asciiTheme="majorHAnsi" w:hAnsiTheme="majorHAnsi"/>
          <w:b/>
          <w:bCs/>
          <w:sz w:val="20"/>
          <w:szCs w:val="20"/>
          <w:lang w:val="es-ES_tradnl"/>
        </w:rPr>
      </w:pPr>
      <w:r w:rsidRPr="001C0538">
        <w:rPr>
          <w:rFonts w:asciiTheme="majorHAnsi" w:hAnsiTheme="majorHAnsi"/>
          <w:b/>
          <w:bCs/>
          <w:sz w:val="20"/>
          <w:szCs w:val="20"/>
          <w:lang w:val="es-ES_tradnl"/>
        </w:rPr>
        <w:t xml:space="preserve">VIII. </w:t>
      </w:r>
      <w:r w:rsidRPr="001C0538">
        <w:rPr>
          <w:rFonts w:asciiTheme="majorHAnsi" w:hAnsiTheme="majorHAnsi"/>
          <w:b/>
          <w:bCs/>
          <w:sz w:val="20"/>
          <w:szCs w:val="20"/>
          <w:lang w:val="es-ES_tradnl"/>
        </w:rPr>
        <w:tab/>
        <w:t>DECISIÓN</w:t>
      </w:r>
    </w:p>
    <w:p w14:paraId="547DFF8E" w14:textId="3E76361B" w:rsidR="000419AD" w:rsidRPr="001C0538" w:rsidRDefault="003239B8" w:rsidP="000419AD">
      <w:pPr>
        <w:numPr>
          <w:ilvl w:val="0"/>
          <w:numId w:val="55"/>
        </w:numPr>
        <w:suppressAutoHyphens/>
        <w:spacing w:after="240"/>
        <w:jc w:val="both"/>
        <w:rPr>
          <w:rFonts w:asciiTheme="majorHAnsi" w:hAnsiTheme="majorHAnsi"/>
          <w:sz w:val="20"/>
          <w:szCs w:val="20"/>
          <w:lang w:val="es-ES_tradnl"/>
        </w:rPr>
      </w:pPr>
      <w:r w:rsidRPr="001C0538">
        <w:rPr>
          <w:rFonts w:asciiTheme="majorHAnsi" w:hAnsiTheme="majorHAnsi"/>
          <w:sz w:val="20"/>
          <w:szCs w:val="20"/>
          <w:lang w:val="es-ES_tradnl"/>
        </w:rPr>
        <w:t>Declarar admisible la presente petición en relación con</w:t>
      </w:r>
      <w:r w:rsidR="001D7F96" w:rsidRPr="001C0538">
        <w:rPr>
          <w:rFonts w:asciiTheme="majorHAnsi" w:hAnsiTheme="majorHAnsi"/>
          <w:sz w:val="20"/>
          <w:szCs w:val="20"/>
          <w:lang w:val="es-ES_tradnl"/>
        </w:rPr>
        <w:t xml:space="preserve"> </w:t>
      </w:r>
      <w:r w:rsidR="003E1E2C" w:rsidRPr="001C0538">
        <w:rPr>
          <w:rFonts w:asciiTheme="majorHAnsi" w:hAnsiTheme="majorHAnsi"/>
          <w:sz w:val="20"/>
          <w:szCs w:val="20"/>
          <w:lang w:val="es-ES_tradnl"/>
        </w:rPr>
        <w:t>los artículos 8, 11, 23, 25 y 26 de la Convención Americana</w:t>
      </w:r>
      <w:r w:rsidR="00A758AA" w:rsidRPr="001C0538">
        <w:rPr>
          <w:rFonts w:asciiTheme="majorHAnsi" w:hAnsiTheme="majorHAnsi"/>
          <w:sz w:val="20"/>
          <w:szCs w:val="20"/>
          <w:lang w:val="es-ES_tradnl"/>
        </w:rPr>
        <w:t>;</w:t>
      </w:r>
      <w:r w:rsidR="007B76D3" w:rsidRPr="001C0538">
        <w:rPr>
          <w:rFonts w:asciiTheme="majorHAnsi" w:hAnsiTheme="majorHAnsi"/>
          <w:sz w:val="20"/>
          <w:szCs w:val="20"/>
          <w:lang w:val="es-ES_tradnl"/>
        </w:rPr>
        <w:t xml:space="preserve"> </w:t>
      </w:r>
    </w:p>
    <w:p w14:paraId="14892185" w14:textId="4AF4AF70" w:rsidR="003E1E2C" w:rsidRPr="003643AE" w:rsidRDefault="003E1E2C" w:rsidP="000419AD">
      <w:pPr>
        <w:numPr>
          <w:ilvl w:val="0"/>
          <w:numId w:val="55"/>
        </w:numPr>
        <w:suppressAutoHyphens/>
        <w:spacing w:after="240"/>
        <w:jc w:val="both"/>
        <w:rPr>
          <w:rFonts w:asciiTheme="majorHAnsi" w:hAnsiTheme="majorHAnsi"/>
          <w:sz w:val="20"/>
          <w:szCs w:val="20"/>
          <w:lang w:val="es-ES_tradnl"/>
        </w:rPr>
      </w:pPr>
      <w:r w:rsidRPr="003643AE">
        <w:rPr>
          <w:rFonts w:asciiTheme="majorHAnsi" w:hAnsiTheme="majorHAnsi"/>
          <w:sz w:val="20"/>
          <w:szCs w:val="20"/>
          <w:lang w:val="es-ES_tradnl"/>
        </w:rPr>
        <w:t>Declarar inadmisible la presente petición en relación el artículo 4 de la Convención Americana</w:t>
      </w:r>
      <w:r w:rsidR="003F3920">
        <w:rPr>
          <w:rFonts w:asciiTheme="majorHAnsi" w:hAnsiTheme="majorHAnsi"/>
          <w:sz w:val="20"/>
          <w:szCs w:val="20"/>
          <w:lang w:val="es-ES_tradnl"/>
        </w:rPr>
        <w:t>, y;</w:t>
      </w:r>
    </w:p>
    <w:p w14:paraId="00C1D3B7" w14:textId="41AB15AF" w:rsidR="008D768D" w:rsidRDefault="004A6A54" w:rsidP="00305835">
      <w:pPr>
        <w:numPr>
          <w:ilvl w:val="0"/>
          <w:numId w:val="55"/>
        </w:numPr>
        <w:suppressAutoHyphens/>
        <w:spacing w:after="240"/>
        <w:jc w:val="both"/>
        <w:rPr>
          <w:rFonts w:asciiTheme="majorHAnsi" w:hAnsiTheme="majorHAnsi"/>
          <w:sz w:val="20"/>
          <w:szCs w:val="20"/>
          <w:lang w:val="es-ES_tradnl"/>
        </w:rPr>
      </w:pPr>
      <w:r w:rsidRPr="003643A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BCB4781" w14:textId="511C2FAD" w:rsidR="003F3920" w:rsidRPr="006E0460" w:rsidRDefault="004F4FF3" w:rsidP="006E0460">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26</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w:t>
      </w:r>
      <w:r w:rsidR="006E0460">
        <w:rPr>
          <w:rFonts w:asciiTheme="majorHAnsi" w:hAnsiTheme="majorHAnsi" w:cs="Arial"/>
          <w:noProof/>
          <w:spacing w:val="-2"/>
          <w:sz w:val="20"/>
          <w:szCs w:val="20"/>
          <w:lang w:val="es-CL"/>
        </w:rPr>
        <w:t xml:space="preserve"> </w:t>
      </w:r>
      <w:r w:rsidRPr="00B76FE0">
        <w:rPr>
          <w:rFonts w:asciiTheme="majorHAnsi" w:hAnsiTheme="majorHAnsi" w:cs="Arial"/>
          <w:noProof/>
          <w:spacing w:val="-2"/>
          <w:sz w:val="20"/>
          <w:szCs w:val="20"/>
          <w:lang w:val="es-CL"/>
        </w:rPr>
        <w:t xml:space="preserve">(Firmado):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6E0460">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02C904B2" w14:textId="427E3C01" w:rsidR="009A56CE" w:rsidRPr="009A56CE" w:rsidRDefault="009A56CE" w:rsidP="009A56CE">
      <w:pPr>
        <w:ind w:left="720"/>
        <w:jc w:val="both"/>
        <w:rPr>
          <w:rFonts w:ascii="Cambria" w:hAnsi="Cambria" w:cs="Calibri"/>
          <w:sz w:val="20"/>
          <w:szCs w:val="20"/>
          <w:lang w:val="es-US"/>
        </w:rPr>
      </w:pPr>
    </w:p>
    <w:sectPr w:rsidR="009A56CE" w:rsidRPr="009A56C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D419" w14:textId="77777777" w:rsidR="009C56D3" w:rsidRDefault="009C56D3">
      <w:r>
        <w:separator/>
      </w:r>
    </w:p>
  </w:endnote>
  <w:endnote w:type="continuationSeparator" w:id="0">
    <w:p w14:paraId="30540C17" w14:textId="77777777" w:rsidR="009C56D3" w:rsidRDefault="009C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C3C1" w14:textId="77777777" w:rsidR="009C56D3" w:rsidRPr="000F35ED" w:rsidRDefault="009C56D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D98A95" w14:textId="77777777" w:rsidR="009C56D3" w:rsidRPr="000F35ED" w:rsidRDefault="009C56D3" w:rsidP="000F35ED">
      <w:pPr>
        <w:rPr>
          <w:rFonts w:asciiTheme="majorHAnsi" w:hAnsiTheme="majorHAnsi"/>
          <w:sz w:val="16"/>
          <w:szCs w:val="16"/>
        </w:rPr>
      </w:pPr>
      <w:r w:rsidRPr="000F35ED">
        <w:rPr>
          <w:rFonts w:asciiTheme="majorHAnsi" w:hAnsiTheme="majorHAnsi"/>
          <w:sz w:val="16"/>
          <w:szCs w:val="16"/>
        </w:rPr>
        <w:separator/>
      </w:r>
    </w:p>
    <w:p w14:paraId="5FA62B67" w14:textId="77777777" w:rsidR="009C56D3" w:rsidRPr="000F35ED" w:rsidRDefault="009C56D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44193F4" w14:textId="77777777" w:rsidR="009C56D3" w:rsidRPr="000F35ED" w:rsidRDefault="009C56D3"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F263A73" w14:textId="6B6ED85A" w:rsidR="00DB43F4" w:rsidRPr="00DB43F4" w:rsidRDefault="00DB43F4" w:rsidP="00DB43F4">
      <w:pPr>
        <w:pStyle w:val="FootnoteText"/>
        <w:ind w:firstLine="720"/>
        <w:jc w:val="both"/>
        <w:rPr>
          <w:rFonts w:ascii="Cambria" w:hAnsi="Cambria"/>
          <w:sz w:val="16"/>
          <w:szCs w:val="16"/>
          <w:lang w:val="es-ES"/>
        </w:rPr>
      </w:pPr>
      <w:r w:rsidRPr="00DB43F4">
        <w:rPr>
          <w:rStyle w:val="FootnoteReference"/>
          <w:rFonts w:ascii="Cambria" w:hAnsi="Cambria"/>
          <w:sz w:val="16"/>
          <w:szCs w:val="16"/>
        </w:rPr>
        <w:footnoteRef/>
      </w:r>
      <w:r w:rsidRPr="00DB43F4">
        <w:rPr>
          <w:rFonts w:ascii="Cambria" w:hAnsi="Cambria"/>
          <w:sz w:val="16"/>
          <w:szCs w:val="16"/>
          <w:lang w:val="es-ES"/>
        </w:rPr>
        <w:t xml:space="preserve"> En adelante, la “Convención Americana” o “Convención”</w:t>
      </w:r>
    </w:p>
  </w:footnote>
  <w:footnote w:id="3">
    <w:p w14:paraId="1AFEF3B0" w14:textId="3191B960" w:rsidR="008E3BFE" w:rsidRPr="00306F33" w:rsidRDefault="008E3BFE" w:rsidP="00306F33">
      <w:pPr>
        <w:pStyle w:val="FootnoteText"/>
        <w:ind w:firstLine="720"/>
        <w:jc w:val="both"/>
        <w:rPr>
          <w:rFonts w:asciiTheme="majorHAnsi" w:hAnsiTheme="majorHAnsi"/>
          <w:sz w:val="16"/>
          <w:szCs w:val="16"/>
          <w:lang w:val="es-ES"/>
        </w:rPr>
      </w:pPr>
      <w:r w:rsidRPr="007C4E93">
        <w:rPr>
          <w:rStyle w:val="FootnoteReference"/>
          <w:rFonts w:asciiTheme="majorHAnsi" w:hAnsiTheme="majorHAnsi"/>
          <w:sz w:val="16"/>
          <w:szCs w:val="16"/>
        </w:rPr>
        <w:footnoteRef/>
      </w:r>
      <w:r w:rsidRPr="007C4E93">
        <w:rPr>
          <w:rFonts w:asciiTheme="majorHAnsi" w:hAnsiTheme="majorHAnsi"/>
          <w:sz w:val="16"/>
          <w:szCs w:val="16"/>
          <w:lang w:val="es-ES"/>
        </w:rPr>
        <w:t xml:space="preserve"> Las observaciones de cada parte fueron debidamente trasladadas a la parte contraria.</w:t>
      </w:r>
      <w:r w:rsidR="009A56CE" w:rsidRPr="007C4E93">
        <w:rPr>
          <w:rFonts w:asciiTheme="majorHAnsi" w:hAnsiTheme="majorHAnsi"/>
          <w:sz w:val="16"/>
          <w:szCs w:val="16"/>
          <w:lang w:val="es-ES"/>
        </w:rPr>
        <w:t xml:space="preserve"> </w:t>
      </w:r>
    </w:p>
  </w:footnote>
  <w:footnote w:id="4">
    <w:p w14:paraId="46F8D4D5" w14:textId="7CD3947E" w:rsidR="00DB0989" w:rsidRPr="004F68E0" w:rsidRDefault="00DB0989" w:rsidP="004F68E0">
      <w:pPr>
        <w:pStyle w:val="FootnoteText"/>
        <w:ind w:firstLine="720"/>
        <w:jc w:val="both"/>
        <w:rPr>
          <w:rFonts w:ascii="Cambria" w:hAnsi="Cambria"/>
          <w:sz w:val="16"/>
          <w:szCs w:val="16"/>
          <w:lang w:val="es-ES"/>
        </w:rPr>
      </w:pPr>
      <w:r w:rsidRPr="004F68E0">
        <w:rPr>
          <w:rStyle w:val="FootnoteReference"/>
          <w:rFonts w:ascii="Cambria" w:hAnsi="Cambria"/>
          <w:sz w:val="16"/>
          <w:szCs w:val="16"/>
          <w:lang w:val="es-ES"/>
        </w:rPr>
        <w:footnoteRef/>
      </w:r>
      <w:r w:rsidRPr="004F68E0">
        <w:rPr>
          <w:rFonts w:ascii="Cambria" w:hAnsi="Cambria"/>
          <w:sz w:val="16"/>
          <w:szCs w:val="16"/>
          <w:lang w:val="es-ES"/>
        </w:rPr>
        <w:t xml:space="preserve"> En concreto, indica que suspendieron: i) la designación del Director interio</w:t>
      </w:r>
      <w:r w:rsidR="004F68E0" w:rsidRPr="004F68E0">
        <w:rPr>
          <w:rFonts w:ascii="Cambria" w:hAnsi="Cambria"/>
          <w:sz w:val="16"/>
          <w:szCs w:val="16"/>
          <w:lang w:val="es-ES"/>
        </w:rPr>
        <w:t>r</w:t>
      </w:r>
      <w:r w:rsidRPr="004F68E0">
        <w:rPr>
          <w:rFonts w:ascii="Cambria" w:hAnsi="Cambria"/>
          <w:sz w:val="16"/>
          <w:szCs w:val="16"/>
          <w:lang w:val="es-ES"/>
        </w:rPr>
        <w:t xml:space="preserve"> de la Dirección del Notariado Plurinacional; ii) la transferencia de archivos y documentos; y iii) la elaboración y aprobación del Reglamento de la Ley del Notariado Plurinacional. </w:t>
      </w:r>
    </w:p>
  </w:footnote>
  <w:footnote w:id="5">
    <w:p w14:paraId="539A57F2" w14:textId="0C9727C1" w:rsidR="000A59B4" w:rsidRPr="00004759" w:rsidRDefault="000A59B4" w:rsidP="00004759">
      <w:pPr>
        <w:pStyle w:val="FootnoteText"/>
        <w:ind w:firstLine="720"/>
        <w:jc w:val="both"/>
        <w:rPr>
          <w:rFonts w:ascii="Cambria" w:hAnsi="Cambria"/>
          <w:sz w:val="16"/>
          <w:szCs w:val="16"/>
          <w:lang w:val="es-ES"/>
        </w:rPr>
      </w:pPr>
      <w:r w:rsidRPr="000A59B4">
        <w:rPr>
          <w:rStyle w:val="FootnoteReference"/>
          <w:rFonts w:ascii="Cambria" w:hAnsi="Cambria"/>
          <w:sz w:val="16"/>
          <w:szCs w:val="16"/>
        </w:rPr>
        <w:footnoteRef/>
      </w:r>
      <w:r w:rsidRPr="000A59B4">
        <w:rPr>
          <w:rFonts w:ascii="Cambria" w:hAnsi="Cambria"/>
          <w:sz w:val="16"/>
          <w:szCs w:val="16"/>
          <w:lang w:val="es-ES"/>
        </w:rPr>
        <w:t xml:space="preserve"> CIDH, Informe No. 308/20. Petición 512-15. Informe de admisibilidad. Kurt Heinz Arens Ostendorf y otros. Perú. 13 de octubre </w:t>
      </w:r>
      <w:r w:rsidRPr="00004759">
        <w:rPr>
          <w:rFonts w:ascii="Cambria" w:hAnsi="Cambria"/>
          <w:sz w:val="16"/>
          <w:szCs w:val="16"/>
          <w:lang w:val="es-ES"/>
        </w:rPr>
        <w:t xml:space="preserve">de 2020. </w:t>
      </w:r>
    </w:p>
  </w:footnote>
  <w:footnote w:id="6">
    <w:p w14:paraId="47B909EA" w14:textId="4B51C7F3" w:rsidR="00004759" w:rsidRPr="00D0432F" w:rsidRDefault="00004759" w:rsidP="00004759">
      <w:pPr>
        <w:pStyle w:val="FootnoteText"/>
        <w:ind w:firstLine="720"/>
        <w:jc w:val="both"/>
        <w:rPr>
          <w:lang w:val="es-ES"/>
        </w:rPr>
      </w:pPr>
      <w:r w:rsidRPr="00D0432F">
        <w:rPr>
          <w:rStyle w:val="FootnoteReference"/>
          <w:rFonts w:ascii="Cambria" w:hAnsi="Cambria"/>
          <w:sz w:val="16"/>
          <w:szCs w:val="16"/>
          <w:lang w:val="es-ES"/>
        </w:rPr>
        <w:footnoteRef/>
      </w:r>
      <w:r w:rsidRPr="00D0432F">
        <w:rPr>
          <w:rFonts w:ascii="Cambria" w:hAnsi="Cambria"/>
          <w:sz w:val="16"/>
          <w:szCs w:val="16"/>
          <w:lang w:val="es-ES"/>
        </w:rPr>
        <w:t xml:space="preserve"> Corte IDH. Caso Ríos Avalos y otro Vs. Paraguay. Fondo, Reparaciones y Costas. Sentencia de 19 de agosto de 2021. Serie C No. 429, párr. </w:t>
      </w:r>
      <w:r w:rsidR="00D0432F" w:rsidRPr="00D0432F">
        <w:rPr>
          <w:rFonts w:ascii="Cambria" w:hAnsi="Cambria"/>
          <w:sz w:val="16"/>
          <w:szCs w:val="16"/>
          <w:lang w:val="es-ES"/>
        </w:rPr>
        <w:t>107</w:t>
      </w:r>
      <w:r w:rsidRPr="00D0432F">
        <w:rPr>
          <w:rFonts w:ascii="Cambria" w:hAnsi="Cambria"/>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D260D" w:rsidP="00A50FCF">
    <w:pPr>
      <w:pStyle w:val="Header"/>
      <w:tabs>
        <w:tab w:val="clear" w:pos="4320"/>
        <w:tab w:val="clear" w:pos="8640"/>
      </w:tabs>
      <w:jc w:val="center"/>
      <w:rPr>
        <w:sz w:val="22"/>
        <w:szCs w:val="22"/>
      </w:rPr>
    </w:pPr>
    <w:r>
      <w:rPr>
        <w:noProof/>
        <w:sz w:val="22"/>
        <w:szCs w:val="22"/>
        <w:bdr w:val="nil"/>
      </w:rPr>
      <w:pict w14:anchorId="50F80DF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4A66696"/>
    <w:lvl w:ilvl="0" w:tplc="F6CC9032">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CE64A63"/>
    <w:multiLevelType w:val="hybridMultilevel"/>
    <w:tmpl w:val="2834C0B0"/>
    <w:lvl w:ilvl="0" w:tplc="8A5A2404">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F33EA0"/>
    <w:multiLevelType w:val="hybridMultilevel"/>
    <w:tmpl w:val="E19826C4"/>
    <w:lvl w:ilvl="0" w:tplc="1B7CC040">
      <w:start w:val="6"/>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99E2A54"/>
    <w:multiLevelType w:val="hybridMultilevel"/>
    <w:tmpl w:val="24A66696"/>
    <w:lvl w:ilvl="0" w:tplc="FFFFFFFF">
      <w:start w:val="1"/>
      <w:numFmt w:val="decimal"/>
      <w:lvlText w:val="%1."/>
      <w:lvlJc w:val="left"/>
      <w:pPr>
        <w:tabs>
          <w:tab w:val="num" w:pos="720"/>
        </w:tabs>
        <w:ind w:left="0" w:firstLine="720"/>
      </w:pPr>
      <w:rPr>
        <w:rFonts w:hint="default"/>
        <w:b w:val="0"/>
        <w:bCs w:val="0"/>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BE55CC2"/>
    <w:multiLevelType w:val="hybridMultilevel"/>
    <w:tmpl w:val="6AE07E3C"/>
    <w:lvl w:ilvl="0" w:tplc="444ECDA6">
      <w:start w:val="1"/>
      <w:numFmt w:val="lowerLetter"/>
      <w:lvlText w:val="%1)"/>
      <w:lvlJc w:val="left"/>
      <w:pPr>
        <w:ind w:left="1080" w:hanging="360"/>
      </w:pPr>
      <w:rPr>
        <w:rFonts w:hint="default"/>
        <w:i/>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D906047"/>
    <w:multiLevelType w:val="hybridMultilevel"/>
    <w:tmpl w:val="24A66696"/>
    <w:lvl w:ilvl="0" w:tplc="FFFFFFFF">
      <w:start w:val="1"/>
      <w:numFmt w:val="decimal"/>
      <w:lvlText w:val="%1."/>
      <w:lvlJc w:val="left"/>
      <w:pPr>
        <w:tabs>
          <w:tab w:val="num" w:pos="720"/>
        </w:tabs>
        <w:ind w:left="0" w:firstLine="720"/>
      </w:pPr>
      <w:rPr>
        <w:rFonts w:hint="default"/>
        <w:b w:val="0"/>
        <w:bCs w:val="0"/>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10027634">
    <w:abstractNumId w:val="3"/>
  </w:num>
  <w:num w:numId="2" w16cid:durableId="1088425585">
    <w:abstractNumId w:val="5"/>
  </w:num>
  <w:num w:numId="3" w16cid:durableId="279729127">
    <w:abstractNumId w:val="56"/>
  </w:num>
  <w:num w:numId="4" w16cid:durableId="1497191645">
    <w:abstractNumId w:val="22"/>
  </w:num>
  <w:num w:numId="5" w16cid:durableId="761950080">
    <w:abstractNumId w:val="49"/>
  </w:num>
  <w:num w:numId="6" w16cid:durableId="1126434698">
    <w:abstractNumId w:val="29"/>
  </w:num>
  <w:num w:numId="7" w16cid:durableId="1274747441">
    <w:abstractNumId w:val="6"/>
  </w:num>
  <w:num w:numId="8" w16cid:durableId="1351298747">
    <w:abstractNumId w:val="18"/>
  </w:num>
  <w:num w:numId="9" w16cid:durableId="1833906398">
    <w:abstractNumId w:val="44"/>
  </w:num>
  <w:num w:numId="10" w16cid:durableId="1878001891">
    <w:abstractNumId w:val="0"/>
  </w:num>
  <w:num w:numId="11" w16cid:durableId="502666438">
    <w:abstractNumId w:val="39"/>
  </w:num>
  <w:num w:numId="12" w16cid:durableId="32003401">
    <w:abstractNumId w:val="40"/>
  </w:num>
  <w:num w:numId="13" w16cid:durableId="234626225">
    <w:abstractNumId w:val="46"/>
  </w:num>
  <w:num w:numId="14" w16cid:durableId="849218723">
    <w:abstractNumId w:val="1"/>
  </w:num>
  <w:num w:numId="15" w16cid:durableId="719212578">
    <w:abstractNumId w:val="2"/>
  </w:num>
  <w:num w:numId="16" w16cid:durableId="330447904">
    <w:abstractNumId w:val="7"/>
  </w:num>
  <w:num w:numId="17" w16cid:durableId="1662389577">
    <w:abstractNumId w:val="9"/>
  </w:num>
  <w:num w:numId="18" w16cid:durableId="1001587821">
    <w:abstractNumId w:val="10"/>
  </w:num>
  <w:num w:numId="19" w16cid:durableId="49304638">
    <w:abstractNumId w:val="11"/>
  </w:num>
  <w:num w:numId="20" w16cid:durableId="296105677">
    <w:abstractNumId w:val="12"/>
  </w:num>
  <w:num w:numId="21" w16cid:durableId="1363483331">
    <w:abstractNumId w:val="13"/>
  </w:num>
  <w:num w:numId="22" w16cid:durableId="185560934">
    <w:abstractNumId w:val="14"/>
  </w:num>
  <w:num w:numId="23" w16cid:durableId="955480363">
    <w:abstractNumId w:val="15"/>
  </w:num>
  <w:num w:numId="24" w16cid:durableId="788158528">
    <w:abstractNumId w:val="16"/>
  </w:num>
  <w:num w:numId="25" w16cid:durableId="98110199">
    <w:abstractNumId w:val="19"/>
  </w:num>
  <w:num w:numId="26" w16cid:durableId="1138493145">
    <w:abstractNumId w:val="20"/>
  </w:num>
  <w:num w:numId="27" w16cid:durableId="915289869">
    <w:abstractNumId w:val="23"/>
  </w:num>
  <w:num w:numId="28" w16cid:durableId="884176397">
    <w:abstractNumId w:val="24"/>
  </w:num>
  <w:num w:numId="29" w16cid:durableId="1903447085">
    <w:abstractNumId w:val="25"/>
  </w:num>
  <w:num w:numId="30" w16cid:durableId="1416048523">
    <w:abstractNumId w:val="27"/>
  </w:num>
  <w:num w:numId="31" w16cid:durableId="875237294">
    <w:abstractNumId w:val="30"/>
  </w:num>
  <w:num w:numId="32" w16cid:durableId="1347947511">
    <w:abstractNumId w:val="31"/>
  </w:num>
  <w:num w:numId="33" w16cid:durableId="1492672492">
    <w:abstractNumId w:val="32"/>
  </w:num>
  <w:num w:numId="34" w16cid:durableId="325793171">
    <w:abstractNumId w:val="33"/>
  </w:num>
  <w:num w:numId="35" w16cid:durableId="500975269">
    <w:abstractNumId w:val="34"/>
  </w:num>
  <w:num w:numId="36" w16cid:durableId="1371299485">
    <w:abstractNumId w:val="35"/>
  </w:num>
  <w:num w:numId="37" w16cid:durableId="799685734">
    <w:abstractNumId w:val="36"/>
  </w:num>
  <w:num w:numId="38" w16cid:durableId="1803186576">
    <w:abstractNumId w:val="37"/>
  </w:num>
  <w:num w:numId="39" w16cid:durableId="814180322">
    <w:abstractNumId w:val="41"/>
  </w:num>
  <w:num w:numId="40" w16cid:durableId="2138334476">
    <w:abstractNumId w:val="42"/>
  </w:num>
  <w:num w:numId="41" w16cid:durableId="913322979">
    <w:abstractNumId w:val="48"/>
  </w:num>
  <w:num w:numId="42" w16cid:durableId="633025526">
    <w:abstractNumId w:val="51"/>
  </w:num>
  <w:num w:numId="43" w16cid:durableId="1473253205">
    <w:abstractNumId w:val="52"/>
  </w:num>
  <w:num w:numId="44" w16cid:durableId="246228028">
    <w:abstractNumId w:val="54"/>
  </w:num>
  <w:num w:numId="45" w16cid:durableId="1460416582">
    <w:abstractNumId w:val="55"/>
  </w:num>
  <w:num w:numId="46" w16cid:durableId="250549875">
    <w:abstractNumId w:val="57"/>
  </w:num>
  <w:num w:numId="47" w16cid:durableId="926810350">
    <w:abstractNumId w:val="59"/>
  </w:num>
  <w:num w:numId="48" w16cid:durableId="1701004281">
    <w:abstractNumId w:val="60"/>
  </w:num>
  <w:num w:numId="49" w16cid:durableId="1398279031">
    <w:abstractNumId w:val="62"/>
  </w:num>
  <w:num w:numId="50" w16cid:durableId="97483241">
    <w:abstractNumId w:val="63"/>
  </w:num>
  <w:num w:numId="51" w16cid:durableId="281040638">
    <w:abstractNumId w:val="21"/>
  </w:num>
  <w:num w:numId="52" w16cid:durableId="1501888903">
    <w:abstractNumId w:val="43"/>
  </w:num>
  <w:num w:numId="53" w16cid:durableId="2062899039">
    <w:abstractNumId w:val="53"/>
  </w:num>
  <w:num w:numId="54" w16cid:durableId="1563515750">
    <w:abstractNumId w:val="47"/>
  </w:num>
  <w:num w:numId="55" w16cid:durableId="1892299632">
    <w:abstractNumId w:val="45"/>
  </w:num>
  <w:num w:numId="56" w16cid:durableId="1602224778">
    <w:abstractNumId w:val="28"/>
  </w:num>
  <w:num w:numId="57" w16cid:durableId="2028825639">
    <w:abstractNumId w:val="26"/>
  </w:num>
  <w:num w:numId="58" w16cid:durableId="1222516727">
    <w:abstractNumId w:val="38"/>
  </w:num>
  <w:num w:numId="59" w16cid:durableId="1164586667">
    <w:abstractNumId w:val="4"/>
  </w:num>
  <w:num w:numId="60" w16cid:durableId="1966354248">
    <w:abstractNumId w:val="58"/>
  </w:num>
  <w:num w:numId="61" w16cid:durableId="2095082457">
    <w:abstractNumId w:val="8"/>
  </w:num>
  <w:num w:numId="62" w16cid:durableId="864945571">
    <w:abstractNumId w:val="17"/>
  </w:num>
  <w:num w:numId="63" w16cid:durableId="1577788118">
    <w:abstractNumId w:val="50"/>
  </w:num>
  <w:num w:numId="64" w16cid:durableId="840900446">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9D"/>
    <w:rsid w:val="00000CDA"/>
    <w:rsid w:val="000028D7"/>
    <w:rsid w:val="00004759"/>
    <w:rsid w:val="00006156"/>
    <w:rsid w:val="00006E1F"/>
    <w:rsid w:val="000070D7"/>
    <w:rsid w:val="0001788C"/>
    <w:rsid w:val="00023710"/>
    <w:rsid w:val="000337EF"/>
    <w:rsid w:val="00040C3A"/>
    <w:rsid w:val="000419AD"/>
    <w:rsid w:val="000433C9"/>
    <w:rsid w:val="00052A80"/>
    <w:rsid w:val="00066FEF"/>
    <w:rsid w:val="00071174"/>
    <w:rsid w:val="000716C5"/>
    <w:rsid w:val="00075E23"/>
    <w:rsid w:val="0009344A"/>
    <w:rsid w:val="000A392E"/>
    <w:rsid w:val="000A575F"/>
    <w:rsid w:val="000A59B4"/>
    <w:rsid w:val="000B7642"/>
    <w:rsid w:val="000C1724"/>
    <w:rsid w:val="000C1FD8"/>
    <w:rsid w:val="000C4527"/>
    <w:rsid w:val="000D05CB"/>
    <w:rsid w:val="000D10DB"/>
    <w:rsid w:val="000E5EB5"/>
    <w:rsid w:val="000F0316"/>
    <w:rsid w:val="000F35ED"/>
    <w:rsid w:val="000F38DD"/>
    <w:rsid w:val="000F5160"/>
    <w:rsid w:val="001004FE"/>
    <w:rsid w:val="00107131"/>
    <w:rsid w:val="0010736F"/>
    <w:rsid w:val="00113F73"/>
    <w:rsid w:val="00121CC2"/>
    <w:rsid w:val="001241AF"/>
    <w:rsid w:val="00131425"/>
    <w:rsid w:val="00133EE5"/>
    <w:rsid w:val="0014018B"/>
    <w:rsid w:val="00144721"/>
    <w:rsid w:val="0015597F"/>
    <w:rsid w:val="001676C0"/>
    <w:rsid w:val="00167A34"/>
    <w:rsid w:val="00172D3A"/>
    <w:rsid w:val="00180249"/>
    <w:rsid w:val="00190D58"/>
    <w:rsid w:val="001A0E8C"/>
    <w:rsid w:val="001A3F99"/>
    <w:rsid w:val="001A520D"/>
    <w:rsid w:val="001A7870"/>
    <w:rsid w:val="001B3A00"/>
    <w:rsid w:val="001B478B"/>
    <w:rsid w:val="001B61C9"/>
    <w:rsid w:val="001C0538"/>
    <w:rsid w:val="001C1B41"/>
    <w:rsid w:val="001D65EF"/>
    <w:rsid w:val="001D754D"/>
    <w:rsid w:val="001D7F96"/>
    <w:rsid w:val="001E49E7"/>
    <w:rsid w:val="001E5D85"/>
    <w:rsid w:val="001F7201"/>
    <w:rsid w:val="00223A29"/>
    <w:rsid w:val="002250A3"/>
    <w:rsid w:val="00234458"/>
    <w:rsid w:val="00235217"/>
    <w:rsid w:val="00236108"/>
    <w:rsid w:val="00241276"/>
    <w:rsid w:val="00246A5F"/>
    <w:rsid w:val="00246D1F"/>
    <w:rsid w:val="00247403"/>
    <w:rsid w:val="00247542"/>
    <w:rsid w:val="00247CE6"/>
    <w:rsid w:val="00250059"/>
    <w:rsid w:val="0025110D"/>
    <w:rsid w:val="00254A8E"/>
    <w:rsid w:val="00266B61"/>
    <w:rsid w:val="0026712A"/>
    <w:rsid w:val="002704DB"/>
    <w:rsid w:val="00281C52"/>
    <w:rsid w:val="002A0AAE"/>
    <w:rsid w:val="002A5820"/>
    <w:rsid w:val="002B3B4C"/>
    <w:rsid w:val="002D2B26"/>
    <w:rsid w:val="002D362E"/>
    <w:rsid w:val="002D7EA2"/>
    <w:rsid w:val="002E0904"/>
    <w:rsid w:val="002E187C"/>
    <w:rsid w:val="00302733"/>
    <w:rsid w:val="00305835"/>
    <w:rsid w:val="00306F33"/>
    <w:rsid w:val="00310DE1"/>
    <w:rsid w:val="00314078"/>
    <w:rsid w:val="0031535D"/>
    <w:rsid w:val="003239B8"/>
    <w:rsid w:val="00324495"/>
    <w:rsid w:val="003275C0"/>
    <w:rsid w:val="0033169F"/>
    <w:rsid w:val="00344590"/>
    <w:rsid w:val="00344977"/>
    <w:rsid w:val="00346C95"/>
    <w:rsid w:val="00352F2E"/>
    <w:rsid w:val="00353BFC"/>
    <w:rsid w:val="00356185"/>
    <w:rsid w:val="00360380"/>
    <w:rsid w:val="003643AE"/>
    <w:rsid w:val="0037519E"/>
    <w:rsid w:val="003836FE"/>
    <w:rsid w:val="00386CF0"/>
    <w:rsid w:val="00394073"/>
    <w:rsid w:val="003B70FB"/>
    <w:rsid w:val="003C0B9E"/>
    <w:rsid w:val="003C2507"/>
    <w:rsid w:val="003C676B"/>
    <w:rsid w:val="003D14A9"/>
    <w:rsid w:val="003D260D"/>
    <w:rsid w:val="003D3BC2"/>
    <w:rsid w:val="003E1E2C"/>
    <w:rsid w:val="003E2BDE"/>
    <w:rsid w:val="003E5022"/>
    <w:rsid w:val="003E6CA1"/>
    <w:rsid w:val="003F0EAC"/>
    <w:rsid w:val="003F1508"/>
    <w:rsid w:val="003F3920"/>
    <w:rsid w:val="003F5154"/>
    <w:rsid w:val="00405F9C"/>
    <w:rsid w:val="004065A8"/>
    <w:rsid w:val="004138DF"/>
    <w:rsid w:val="004165C2"/>
    <w:rsid w:val="00420B64"/>
    <w:rsid w:val="004241A0"/>
    <w:rsid w:val="0042492F"/>
    <w:rsid w:val="004274DA"/>
    <w:rsid w:val="00433323"/>
    <w:rsid w:val="00441ECB"/>
    <w:rsid w:val="00445193"/>
    <w:rsid w:val="00446170"/>
    <w:rsid w:val="00462C1B"/>
    <w:rsid w:val="00467B7E"/>
    <w:rsid w:val="00473BB4"/>
    <w:rsid w:val="00477592"/>
    <w:rsid w:val="00480063"/>
    <w:rsid w:val="00486F1C"/>
    <w:rsid w:val="00487379"/>
    <w:rsid w:val="0049419D"/>
    <w:rsid w:val="004A057B"/>
    <w:rsid w:val="004A6A54"/>
    <w:rsid w:val="004B18A7"/>
    <w:rsid w:val="004B421C"/>
    <w:rsid w:val="004C20D2"/>
    <w:rsid w:val="004C2312"/>
    <w:rsid w:val="004C4B62"/>
    <w:rsid w:val="004C54C9"/>
    <w:rsid w:val="004D4ABA"/>
    <w:rsid w:val="004D6025"/>
    <w:rsid w:val="004E2649"/>
    <w:rsid w:val="004F4FF3"/>
    <w:rsid w:val="004F626F"/>
    <w:rsid w:val="004F68E0"/>
    <w:rsid w:val="005000D1"/>
    <w:rsid w:val="00501399"/>
    <w:rsid w:val="005047ED"/>
    <w:rsid w:val="0050633D"/>
    <w:rsid w:val="00507BC4"/>
    <w:rsid w:val="005128E4"/>
    <w:rsid w:val="005133DB"/>
    <w:rsid w:val="00514504"/>
    <w:rsid w:val="00521E1F"/>
    <w:rsid w:val="00525560"/>
    <w:rsid w:val="00544C49"/>
    <w:rsid w:val="00544EED"/>
    <w:rsid w:val="005516A1"/>
    <w:rsid w:val="005559EF"/>
    <w:rsid w:val="00563557"/>
    <w:rsid w:val="00566DB1"/>
    <w:rsid w:val="0057402A"/>
    <w:rsid w:val="005771D0"/>
    <w:rsid w:val="00581F06"/>
    <w:rsid w:val="0059191A"/>
    <w:rsid w:val="005921FF"/>
    <w:rsid w:val="00597C64"/>
    <w:rsid w:val="005A24ED"/>
    <w:rsid w:val="005A6D0E"/>
    <w:rsid w:val="005B52B0"/>
    <w:rsid w:val="005B6806"/>
    <w:rsid w:val="005C4225"/>
    <w:rsid w:val="005E4BF9"/>
    <w:rsid w:val="005E7A59"/>
    <w:rsid w:val="005F0DAD"/>
    <w:rsid w:val="005F0F33"/>
    <w:rsid w:val="005F2281"/>
    <w:rsid w:val="005F3D99"/>
    <w:rsid w:val="005F626D"/>
    <w:rsid w:val="00600DEB"/>
    <w:rsid w:val="00614AA4"/>
    <w:rsid w:val="00627C9F"/>
    <w:rsid w:val="006311E9"/>
    <w:rsid w:val="00632354"/>
    <w:rsid w:val="00635278"/>
    <w:rsid w:val="00635421"/>
    <w:rsid w:val="00636899"/>
    <w:rsid w:val="00642810"/>
    <w:rsid w:val="00651368"/>
    <w:rsid w:val="00651725"/>
    <w:rsid w:val="00652333"/>
    <w:rsid w:val="0065261E"/>
    <w:rsid w:val="0068009E"/>
    <w:rsid w:val="006822D9"/>
    <w:rsid w:val="00685DB3"/>
    <w:rsid w:val="00692219"/>
    <w:rsid w:val="0069515A"/>
    <w:rsid w:val="006A17D2"/>
    <w:rsid w:val="006A73E6"/>
    <w:rsid w:val="006B2D5C"/>
    <w:rsid w:val="006C0ECF"/>
    <w:rsid w:val="006C2B28"/>
    <w:rsid w:val="006C4EB1"/>
    <w:rsid w:val="006D339D"/>
    <w:rsid w:val="006D7B8D"/>
    <w:rsid w:val="006E0166"/>
    <w:rsid w:val="006E0328"/>
    <w:rsid w:val="006E0460"/>
    <w:rsid w:val="006E2FFB"/>
    <w:rsid w:val="006E7B34"/>
    <w:rsid w:val="00702ACA"/>
    <w:rsid w:val="0070697F"/>
    <w:rsid w:val="007103C4"/>
    <w:rsid w:val="0072199C"/>
    <w:rsid w:val="00722C9F"/>
    <w:rsid w:val="007253B8"/>
    <w:rsid w:val="0073741F"/>
    <w:rsid w:val="00755B2A"/>
    <w:rsid w:val="00756C7E"/>
    <w:rsid w:val="0076134F"/>
    <w:rsid w:val="00762CA3"/>
    <w:rsid w:val="0076643F"/>
    <w:rsid w:val="0076716A"/>
    <w:rsid w:val="00774EC1"/>
    <w:rsid w:val="00777F63"/>
    <w:rsid w:val="00791EC6"/>
    <w:rsid w:val="00795171"/>
    <w:rsid w:val="007A5817"/>
    <w:rsid w:val="007B05C4"/>
    <w:rsid w:val="007B41AC"/>
    <w:rsid w:val="007B60E9"/>
    <w:rsid w:val="007B6CC3"/>
    <w:rsid w:val="007B7172"/>
    <w:rsid w:val="007B76D3"/>
    <w:rsid w:val="007C3334"/>
    <w:rsid w:val="007C4E93"/>
    <w:rsid w:val="007D2B98"/>
    <w:rsid w:val="007D2CA4"/>
    <w:rsid w:val="007E21BC"/>
    <w:rsid w:val="007E4868"/>
    <w:rsid w:val="007E7C82"/>
    <w:rsid w:val="007F0906"/>
    <w:rsid w:val="007F2AA1"/>
    <w:rsid w:val="007F588D"/>
    <w:rsid w:val="007F5F54"/>
    <w:rsid w:val="00803F1C"/>
    <w:rsid w:val="00804DBC"/>
    <w:rsid w:val="0080600E"/>
    <w:rsid w:val="00810477"/>
    <w:rsid w:val="00814688"/>
    <w:rsid w:val="008170DA"/>
    <w:rsid w:val="00817612"/>
    <w:rsid w:val="00832251"/>
    <w:rsid w:val="008338A4"/>
    <w:rsid w:val="00834D49"/>
    <w:rsid w:val="00834F02"/>
    <w:rsid w:val="0083530F"/>
    <w:rsid w:val="00837C45"/>
    <w:rsid w:val="00844730"/>
    <w:rsid w:val="008457C2"/>
    <w:rsid w:val="00845BCA"/>
    <w:rsid w:val="00857A82"/>
    <w:rsid w:val="00863F1A"/>
    <w:rsid w:val="00873836"/>
    <w:rsid w:val="00885737"/>
    <w:rsid w:val="00887CC0"/>
    <w:rsid w:val="00890650"/>
    <w:rsid w:val="008944DC"/>
    <w:rsid w:val="00895B87"/>
    <w:rsid w:val="00897E12"/>
    <w:rsid w:val="008A7E0F"/>
    <w:rsid w:val="008B12F5"/>
    <w:rsid w:val="008B4196"/>
    <w:rsid w:val="008C5E2D"/>
    <w:rsid w:val="008D748E"/>
    <w:rsid w:val="008D768D"/>
    <w:rsid w:val="008E3759"/>
    <w:rsid w:val="008E3BFE"/>
    <w:rsid w:val="008E6685"/>
    <w:rsid w:val="008F1912"/>
    <w:rsid w:val="008F7309"/>
    <w:rsid w:val="008F76A5"/>
    <w:rsid w:val="0090270B"/>
    <w:rsid w:val="00903322"/>
    <w:rsid w:val="009041DC"/>
    <w:rsid w:val="0091471C"/>
    <w:rsid w:val="009152C9"/>
    <w:rsid w:val="00917B5A"/>
    <w:rsid w:val="00920A58"/>
    <w:rsid w:val="00920A8C"/>
    <w:rsid w:val="00934A2C"/>
    <w:rsid w:val="00935303"/>
    <w:rsid w:val="00963BFB"/>
    <w:rsid w:val="0096706E"/>
    <w:rsid w:val="00974491"/>
    <w:rsid w:val="00975C4E"/>
    <w:rsid w:val="00981FBA"/>
    <w:rsid w:val="00984EC5"/>
    <w:rsid w:val="00985083"/>
    <w:rsid w:val="00986EDB"/>
    <w:rsid w:val="00992417"/>
    <w:rsid w:val="00997BC5"/>
    <w:rsid w:val="009A4F41"/>
    <w:rsid w:val="009A56CE"/>
    <w:rsid w:val="009A56FA"/>
    <w:rsid w:val="009B381B"/>
    <w:rsid w:val="009C56D3"/>
    <w:rsid w:val="009D1753"/>
    <w:rsid w:val="009D464A"/>
    <w:rsid w:val="009D6636"/>
    <w:rsid w:val="009D7611"/>
    <w:rsid w:val="009E0B61"/>
    <w:rsid w:val="009E37FC"/>
    <w:rsid w:val="009E53DE"/>
    <w:rsid w:val="00A11212"/>
    <w:rsid w:val="00A11E44"/>
    <w:rsid w:val="00A15562"/>
    <w:rsid w:val="00A17B54"/>
    <w:rsid w:val="00A30100"/>
    <w:rsid w:val="00A328B3"/>
    <w:rsid w:val="00A44C40"/>
    <w:rsid w:val="00A4511C"/>
    <w:rsid w:val="00A500B5"/>
    <w:rsid w:val="00A50FCF"/>
    <w:rsid w:val="00A528D1"/>
    <w:rsid w:val="00A610CD"/>
    <w:rsid w:val="00A67A9F"/>
    <w:rsid w:val="00A67F56"/>
    <w:rsid w:val="00A67FFA"/>
    <w:rsid w:val="00A758AA"/>
    <w:rsid w:val="00A76364"/>
    <w:rsid w:val="00AA09A2"/>
    <w:rsid w:val="00AA5E7C"/>
    <w:rsid w:val="00AA5F0A"/>
    <w:rsid w:val="00AA7996"/>
    <w:rsid w:val="00AC0A9F"/>
    <w:rsid w:val="00AC19CB"/>
    <w:rsid w:val="00AC6891"/>
    <w:rsid w:val="00AD33E5"/>
    <w:rsid w:val="00AD68F2"/>
    <w:rsid w:val="00AE5488"/>
    <w:rsid w:val="00AE6F91"/>
    <w:rsid w:val="00AF5571"/>
    <w:rsid w:val="00B04818"/>
    <w:rsid w:val="00B050C4"/>
    <w:rsid w:val="00B07341"/>
    <w:rsid w:val="00B1276A"/>
    <w:rsid w:val="00B229A9"/>
    <w:rsid w:val="00B30539"/>
    <w:rsid w:val="00B314DB"/>
    <w:rsid w:val="00B361F2"/>
    <w:rsid w:val="00B3718B"/>
    <w:rsid w:val="00B3745F"/>
    <w:rsid w:val="00B4632A"/>
    <w:rsid w:val="00B530F1"/>
    <w:rsid w:val="00B65245"/>
    <w:rsid w:val="00B8067D"/>
    <w:rsid w:val="00B8190F"/>
    <w:rsid w:val="00B91DA1"/>
    <w:rsid w:val="00B93D7F"/>
    <w:rsid w:val="00B96543"/>
    <w:rsid w:val="00BA276C"/>
    <w:rsid w:val="00BB019D"/>
    <w:rsid w:val="00BB306F"/>
    <w:rsid w:val="00BC63A9"/>
    <w:rsid w:val="00BD0FF5"/>
    <w:rsid w:val="00BD4B89"/>
    <w:rsid w:val="00BD5922"/>
    <w:rsid w:val="00BF02CB"/>
    <w:rsid w:val="00BF44A0"/>
    <w:rsid w:val="00BF4DEF"/>
    <w:rsid w:val="00BF6FD8"/>
    <w:rsid w:val="00C03680"/>
    <w:rsid w:val="00C054DF"/>
    <w:rsid w:val="00C21762"/>
    <w:rsid w:val="00C21FEF"/>
    <w:rsid w:val="00C23BA4"/>
    <w:rsid w:val="00C24543"/>
    <w:rsid w:val="00C256A2"/>
    <w:rsid w:val="00C25ADB"/>
    <w:rsid w:val="00C26011"/>
    <w:rsid w:val="00C30BCC"/>
    <w:rsid w:val="00C41DDF"/>
    <w:rsid w:val="00C51407"/>
    <w:rsid w:val="00C51515"/>
    <w:rsid w:val="00C5660B"/>
    <w:rsid w:val="00C60582"/>
    <w:rsid w:val="00C66B72"/>
    <w:rsid w:val="00C87AC4"/>
    <w:rsid w:val="00C9567A"/>
    <w:rsid w:val="00CB212D"/>
    <w:rsid w:val="00CB218A"/>
    <w:rsid w:val="00CB2660"/>
    <w:rsid w:val="00CB710A"/>
    <w:rsid w:val="00CC202B"/>
    <w:rsid w:val="00CC5E90"/>
    <w:rsid w:val="00CD046C"/>
    <w:rsid w:val="00CD6E11"/>
    <w:rsid w:val="00CE076C"/>
    <w:rsid w:val="00CE5199"/>
    <w:rsid w:val="00CE66D5"/>
    <w:rsid w:val="00CF19DE"/>
    <w:rsid w:val="00CF5519"/>
    <w:rsid w:val="00CF637A"/>
    <w:rsid w:val="00D036F1"/>
    <w:rsid w:val="00D0432F"/>
    <w:rsid w:val="00D059DE"/>
    <w:rsid w:val="00D05ABD"/>
    <w:rsid w:val="00D06572"/>
    <w:rsid w:val="00D13FCE"/>
    <w:rsid w:val="00D24A00"/>
    <w:rsid w:val="00D30269"/>
    <w:rsid w:val="00D306D1"/>
    <w:rsid w:val="00D30800"/>
    <w:rsid w:val="00D34786"/>
    <w:rsid w:val="00D356BB"/>
    <w:rsid w:val="00D35F2D"/>
    <w:rsid w:val="00D37BFC"/>
    <w:rsid w:val="00D43D41"/>
    <w:rsid w:val="00D47A8E"/>
    <w:rsid w:val="00D5020E"/>
    <w:rsid w:val="00D51B91"/>
    <w:rsid w:val="00D52D14"/>
    <w:rsid w:val="00D53EFB"/>
    <w:rsid w:val="00D712D3"/>
    <w:rsid w:val="00D71422"/>
    <w:rsid w:val="00D72DC6"/>
    <w:rsid w:val="00D7558D"/>
    <w:rsid w:val="00D81D92"/>
    <w:rsid w:val="00D876F9"/>
    <w:rsid w:val="00D9086C"/>
    <w:rsid w:val="00DA2D66"/>
    <w:rsid w:val="00DA7B5F"/>
    <w:rsid w:val="00DB0989"/>
    <w:rsid w:val="00DB43F4"/>
    <w:rsid w:val="00DC11E7"/>
    <w:rsid w:val="00DC24E3"/>
    <w:rsid w:val="00DC7023"/>
    <w:rsid w:val="00DC769A"/>
    <w:rsid w:val="00DD3D86"/>
    <w:rsid w:val="00DD4AD2"/>
    <w:rsid w:val="00DE1746"/>
    <w:rsid w:val="00DE2862"/>
    <w:rsid w:val="00DE57D1"/>
    <w:rsid w:val="00DE5E07"/>
    <w:rsid w:val="00DE60CF"/>
    <w:rsid w:val="00DF0AF4"/>
    <w:rsid w:val="00DF1EC4"/>
    <w:rsid w:val="00E021CE"/>
    <w:rsid w:val="00E0274C"/>
    <w:rsid w:val="00E0340B"/>
    <w:rsid w:val="00E04A90"/>
    <w:rsid w:val="00E0551F"/>
    <w:rsid w:val="00E219C7"/>
    <w:rsid w:val="00E36D27"/>
    <w:rsid w:val="00E4118C"/>
    <w:rsid w:val="00E43157"/>
    <w:rsid w:val="00E461CE"/>
    <w:rsid w:val="00E51F1F"/>
    <w:rsid w:val="00E573E4"/>
    <w:rsid w:val="00E60DCF"/>
    <w:rsid w:val="00E64C3D"/>
    <w:rsid w:val="00E720CA"/>
    <w:rsid w:val="00E73CF7"/>
    <w:rsid w:val="00E809B9"/>
    <w:rsid w:val="00E81A85"/>
    <w:rsid w:val="00E825A8"/>
    <w:rsid w:val="00E84EB5"/>
    <w:rsid w:val="00E85662"/>
    <w:rsid w:val="00E8789F"/>
    <w:rsid w:val="00E97B71"/>
    <w:rsid w:val="00E97BD9"/>
    <w:rsid w:val="00EA3D34"/>
    <w:rsid w:val="00EB454D"/>
    <w:rsid w:val="00EB79CB"/>
    <w:rsid w:val="00ED549D"/>
    <w:rsid w:val="00ED5E10"/>
    <w:rsid w:val="00ED76BE"/>
    <w:rsid w:val="00EE00E9"/>
    <w:rsid w:val="00EE4EE2"/>
    <w:rsid w:val="00EF1AAA"/>
    <w:rsid w:val="00EF619B"/>
    <w:rsid w:val="00F00AA9"/>
    <w:rsid w:val="00F00B55"/>
    <w:rsid w:val="00F02897"/>
    <w:rsid w:val="00F02AD1"/>
    <w:rsid w:val="00F1309E"/>
    <w:rsid w:val="00F253CC"/>
    <w:rsid w:val="00F37106"/>
    <w:rsid w:val="00F44E25"/>
    <w:rsid w:val="00F519CF"/>
    <w:rsid w:val="00F53CC5"/>
    <w:rsid w:val="00F56BA5"/>
    <w:rsid w:val="00F56ECB"/>
    <w:rsid w:val="00F60E22"/>
    <w:rsid w:val="00F70599"/>
    <w:rsid w:val="00F76EF5"/>
    <w:rsid w:val="00F81395"/>
    <w:rsid w:val="00F81BB8"/>
    <w:rsid w:val="00F90C64"/>
    <w:rsid w:val="00F917D1"/>
    <w:rsid w:val="00F93FF8"/>
    <w:rsid w:val="00F9653B"/>
    <w:rsid w:val="00FB24C6"/>
    <w:rsid w:val="00FB62CF"/>
    <w:rsid w:val="00FB67E4"/>
    <w:rsid w:val="00FC5D00"/>
    <w:rsid w:val="00FD3C3B"/>
    <w:rsid w:val="00FE07DD"/>
    <w:rsid w:val="00FE255F"/>
    <w:rsid w:val="00FE3BC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2C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25A8"/>
    <w:pPr>
      <w:spacing w:before="100" w:beforeAutospacing="1" w:after="100" w:afterAutospacing="1"/>
    </w:pPr>
  </w:style>
  <w:style w:type="character" w:styleId="CommentReference">
    <w:name w:val="annotation reference"/>
    <w:basedOn w:val="DefaultParagraphFont"/>
    <w:uiPriority w:val="99"/>
    <w:semiHidden/>
    <w:unhideWhenUsed/>
    <w:rsid w:val="00D24A00"/>
    <w:rPr>
      <w:sz w:val="16"/>
      <w:szCs w:val="16"/>
    </w:rPr>
  </w:style>
  <w:style w:type="paragraph" w:styleId="CommentText">
    <w:name w:val="annotation text"/>
    <w:basedOn w:val="Normal"/>
    <w:link w:val="CommentTextChar"/>
    <w:uiPriority w:val="99"/>
    <w:unhideWhenUsed/>
    <w:rsid w:val="00D24A00"/>
    <w:rPr>
      <w:sz w:val="20"/>
      <w:szCs w:val="20"/>
    </w:rPr>
  </w:style>
  <w:style w:type="character" w:customStyle="1" w:styleId="CommentTextChar">
    <w:name w:val="Comment Text Char"/>
    <w:basedOn w:val="DefaultParagraphFont"/>
    <w:link w:val="CommentText"/>
    <w:uiPriority w:val="99"/>
    <w:rsid w:val="00D24A00"/>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D24A00"/>
    <w:rPr>
      <w:b/>
      <w:bCs/>
    </w:rPr>
  </w:style>
  <w:style w:type="character" w:customStyle="1" w:styleId="CommentSubjectChar">
    <w:name w:val="Comment Subject Char"/>
    <w:basedOn w:val="CommentTextChar"/>
    <w:link w:val="CommentSubject"/>
    <w:uiPriority w:val="99"/>
    <w:semiHidden/>
    <w:rsid w:val="00D24A00"/>
    <w:rPr>
      <w:rFonts w:eastAsia="Times New Roman"/>
      <w:b/>
      <w:bCs/>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8980">
      <w:bodyDiv w:val="1"/>
      <w:marLeft w:val="0"/>
      <w:marRight w:val="0"/>
      <w:marTop w:val="0"/>
      <w:marBottom w:val="0"/>
      <w:divBdr>
        <w:top w:val="none" w:sz="0" w:space="0" w:color="auto"/>
        <w:left w:val="none" w:sz="0" w:space="0" w:color="auto"/>
        <w:bottom w:val="none" w:sz="0" w:space="0" w:color="auto"/>
        <w:right w:val="none" w:sz="0" w:space="0" w:color="auto"/>
      </w:divBdr>
      <w:divsChild>
        <w:div w:id="647174302">
          <w:marLeft w:val="0"/>
          <w:marRight w:val="0"/>
          <w:marTop w:val="0"/>
          <w:marBottom w:val="0"/>
          <w:divBdr>
            <w:top w:val="none" w:sz="0" w:space="0" w:color="auto"/>
            <w:left w:val="none" w:sz="0" w:space="0" w:color="auto"/>
            <w:bottom w:val="none" w:sz="0" w:space="0" w:color="auto"/>
            <w:right w:val="none" w:sz="0" w:space="0" w:color="auto"/>
          </w:divBdr>
          <w:divsChild>
            <w:div w:id="184028412">
              <w:marLeft w:val="0"/>
              <w:marRight w:val="0"/>
              <w:marTop w:val="0"/>
              <w:marBottom w:val="0"/>
              <w:divBdr>
                <w:top w:val="none" w:sz="0" w:space="0" w:color="auto"/>
                <w:left w:val="none" w:sz="0" w:space="0" w:color="auto"/>
                <w:bottom w:val="none" w:sz="0" w:space="0" w:color="auto"/>
                <w:right w:val="none" w:sz="0" w:space="0" w:color="auto"/>
              </w:divBdr>
              <w:divsChild>
                <w:div w:id="1903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4805">
      <w:bodyDiv w:val="1"/>
      <w:marLeft w:val="0"/>
      <w:marRight w:val="0"/>
      <w:marTop w:val="0"/>
      <w:marBottom w:val="0"/>
      <w:divBdr>
        <w:top w:val="none" w:sz="0" w:space="0" w:color="auto"/>
        <w:left w:val="none" w:sz="0" w:space="0" w:color="auto"/>
        <w:bottom w:val="none" w:sz="0" w:space="0" w:color="auto"/>
        <w:right w:val="none" w:sz="0" w:space="0" w:color="auto"/>
      </w:divBdr>
    </w:div>
    <w:div w:id="176308538">
      <w:bodyDiv w:val="1"/>
      <w:marLeft w:val="0"/>
      <w:marRight w:val="0"/>
      <w:marTop w:val="0"/>
      <w:marBottom w:val="0"/>
      <w:divBdr>
        <w:top w:val="none" w:sz="0" w:space="0" w:color="auto"/>
        <w:left w:val="none" w:sz="0" w:space="0" w:color="auto"/>
        <w:bottom w:val="none" w:sz="0" w:space="0" w:color="auto"/>
        <w:right w:val="none" w:sz="0" w:space="0" w:color="auto"/>
      </w:divBdr>
    </w:div>
    <w:div w:id="474295060">
      <w:bodyDiv w:val="1"/>
      <w:marLeft w:val="0"/>
      <w:marRight w:val="0"/>
      <w:marTop w:val="0"/>
      <w:marBottom w:val="0"/>
      <w:divBdr>
        <w:top w:val="none" w:sz="0" w:space="0" w:color="auto"/>
        <w:left w:val="none" w:sz="0" w:space="0" w:color="auto"/>
        <w:bottom w:val="none" w:sz="0" w:space="0" w:color="auto"/>
        <w:right w:val="none" w:sz="0" w:space="0" w:color="auto"/>
      </w:divBdr>
    </w:div>
    <w:div w:id="776872270">
      <w:bodyDiv w:val="1"/>
      <w:marLeft w:val="0"/>
      <w:marRight w:val="0"/>
      <w:marTop w:val="0"/>
      <w:marBottom w:val="0"/>
      <w:divBdr>
        <w:top w:val="none" w:sz="0" w:space="0" w:color="auto"/>
        <w:left w:val="none" w:sz="0" w:space="0" w:color="auto"/>
        <w:bottom w:val="none" w:sz="0" w:space="0" w:color="auto"/>
        <w:right w:val="none" w:sz="0" w:space="0" w:color="auto"/>
      </w:divBdr>
      <w:divsChild>
        <w:div w:id="159318110">
          <w:marLeft w:val="0"/>
          <w:marRight w:val="0"/>
          <w:marTop w:val="0"/>
          <w:marBottom w:val="0"/>
          <w:divBdr>
            <w:top w:val="none" w:sz="0" w:space="0" w:color="auto"/>
            <w:left w:val="none" w:sz="0" w:space="0" w:color="auto"/>
            <w:bottom w:val="none" w:sz="0" w:space="0" w:color="auto"/>
            <w:right w:val="none" w:sz="0" w:space="0" w:color="auto"/>
          </w:divBdr>
          <w:divsChild>
            <w:div w:id="1410350368">
              <w:marLeft w:val="0"/>
              <w:marRight w:val="0"/>
              <w:marTop w:val="0"/>
              <w:marBottom w:val="0"/>
              <w:divBdr>
                <w:top w:val="none" w:sz="0" w:space="0" w:color="auto"/>
                <w:left w:val="none" w:sz="0" w:space="0" w:color="auto"/>
                <w:bottom w:val="none" w:sz="0" w:space="0" w:color="auto"/>
                <w:right w:val="none" w:sz="0" w:space="0" w:color="auto"/>
              </w:divBdr>
              <w:divsChild>
                <w:div w:id="11899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83016100">
      <w:bodyDiv w:val="1"/>
      <w:marLeft w:val="0"/>
      <w:marRight w:val="0"/>
      <w:marTop w:val="0"/>
      <w:marBottom w:val="0"/>
      <w:divBdr>
        <w:top w:val="none" w:sz="0" w:space="0" w:color="auto"/>
        <w:left w:val="none" w:sz="0" w:space="0" w:color="auto"/>
        <w:bottom w:val="none" w:sz="0" w:space="0" w:color="auto"/>
        <w:right w:val="none" w:sz="0" w:space="0" w:color="auto"/>
      </w:divBdr>
    </w:div>
    <w:div w:id="17017841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4366084">
      <w:bodyDiv w:val="1"/>
      <w:marLeft w:val="0"/>
      <w:marRight w:val="0"/>
      <w:marTop w:val="0"/>
      <w:marBottom w:val="0"/>
      <w:divBdr>
        <w:top w:val="none" w:sz="0" w:space="0" w:color="auto"/>
        <w:left w:val="none" w:sz="0" w:space="0" w:color="auto"/>
        <w:bottom w:val="none" w:sz="0" w:space="0" w:color="auto"/>
        <w:right w:val="none" w:sz="0" w:space="0" w:color="auto"/>
      </w:divBdr>
    </w:div>
    <w:div w:id="2046521185">
      <w:bodyDiv w:val="1"/>
      <w:marLeft w:val="0"/>
      <w:marRight w:val="0"/>
      <w:marTop w:val="0"/>
      <w:marBottom w:val="0"/>
      <w:divBdr>
        <w:top w:val="none" w:sz="0" w:space="0" w:color="auto"/>
        <w:left w:val="none" w:sz="0" w:space="0" w:color="auto"/>
        <w:bottom w:val="none" w:sz="0" w:space="0" w:color="auto"/>
        <w:right w:val="none" w:sz="0" w:space="0" w:color="auto"/>
      </w:divBdr>
      <w:divsChild>
        <w:div w:id="509413903">
          <w:marLeft w:val="0"/>
          <w:marRight w:val="0"/>
          <w:marTop w:val="0"/>
          <w:marBottom w:val="0"/>
          <w:divBdr>
            <w:top w:val="none" w:sz="0" w:space="0" w:color="auto"/>
            <w:left w:val="none" w:sz="0" w:space="0" w:color="auto"/>
            <w:bottom w:val="none" w:sz="0" w:space="0" w:color="auto"/>
            <w:right w:val="none" w:sz="0" w:space="0" w:color="auto"/>
          </w:divBdr>
          <w:divsChild>
            <w:div w:id="277220480">
              <w:marLeft w:val="0"/>
              <w:marRight w:val="0"/>
              <w:marTop w:val="0"/>
              <w:marBottom w:val="0"/>
              <w:divBdr>
                <w:top w:val="none" w:sz="0" w:space="0" w:color="auto"/>
                <w:left w:val="none" w:sz="0" w:space="0" w:color="auto"/>
                <w:bottom w:val="none" w:sz="0" w:space="0" w:color="auto"/>
                <w:right w:val="none" w:sz="0" w:space="0" w:color="auto"/>
              </w:divBdr>
              <w:divsChild>
                <w:div w:id="2227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6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6880"/>
    <w:rsid w:val="00200821"/>
    <w:rsid w:val="0025245B"/>
    <w:rsid w:val="002A3923"/>
    <w:rsid w:val="002C5916"/>
    <w:rsid w:val="002F405A"/>
    <w:rsid w:val="00381541"/>
    <w:rsid w:val="00394049"/>
    <w:rsid w:val="003B0C71"/>
    <w:rsid w:val="004B5BBB"/>
    <w:rsid w:val="004D4E71"/>
    <w:rsid w:val="004F2DF8"/>
    <w:rsid w:val="00517E2A"/>
    <w:rsid w:val="00643806"/>
    <w:rsid w:val="006D13D6"/>
    <w:rsid w:val="006D3128"/>
    <w:rsid w:val="006F24A1"/>
    <w:rsid w:val="007205C2"/>
    <w:rsid w:val="00787F1F"/>
    <w:rsid w:val="007C172C"/>
    <w:rsid w:val="00837043"/>
    <w:rsid w:val="00875B8A"/>
    <w:rsid w:val="008953BC"/>
    <w:rsid w:val="009A261B"/>
    <w:rsid w:val="009C3D3B"/>
    <w:rsid w:val="009D3B53"/>
    <w:rsid w:val="00A11582"/>
    <w:rsid w:val="00AA2E17"/>
    <w:rsid w:val="00AC15A4"/>
    <w:rsid w:val="00B0336C"/>
    <w:rsid w:val="00C45A47"/>
    <w:rsid w:val="00D241E9"/>
    <w:rsid w:val="00D7750D"/>
    <w:rsid w:val="00E9315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5927</Words>
  <Characters>33786</Characters>
  <Application>Microsoft Office Word</Application>
  <DocSecurity>0</DocSecurity>
  <Lines>281</Lines>
  <Paragraphs>79</Paragraphs>
  <ScaleCrop>false</ScaleCrop>
  <Company/>
  <LinksUpToDate>false</LinksUpToDate>
  <CharactersWithSpaces>39634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2022-11-19T13:40:00Z</dcterms:created>
  <dcterms:modified xsi:type="dcterms:W3CDTF">2022-11-19T13:40:00Z</dcterms:modified>
</cp:coreProperties>
</file>