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DEE6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F5DBD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7CAB">
                              <w:rPr>
                                <w:rFonts w:asciiTheme="majorHAnsi" w:hAnsiTheme="majorHAnsi" w:cs="Arial"/>
                                <w:b/>
                                <w:bCs/>
                                <w:color w:val="0D0D0D" w:themeColor="text1" w:themeTint="F2"/>
                                <w:sz w:val="36"/>
                                <w:szCs w:val="22"/>
                                <w:lang w:val="es-ES_tradnl"/>
                              </w:rPr>
                              <w:t>325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74D8FB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7289E">
                              <w:rPr>
                                <w:rFonts w:asciiTheme="majorHAnsi" w:hAnsiTheme="majorHAnsi" w:cs="Arial"/>
                                <w:b/>
                                <w:color w:val="0D0D0D" w:themeColor="text1" w:themeTint="F2"/>
                                <w:sz w:val="36"/>
                                <w:szCs w:val="22"/>
                                <w:lang w:val="es-ES_tradnl"/>
                              </w:rPr>
                              <w:t>570-14</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6D656398" w:rsidR="005B52B0" w:rsidRDefault="00F7289E" w:rsidP="006B3E2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ROSA BEZERRA DA SILVA</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F5DBDC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7CAB">
                        <w:rPr>
                          <w:rFonts w:asciiTheme="majorHAnsi" w:hAnsiTheme="majorHAnsi" w:cs="Arial"/>
                          <w:b/>
                          <w:bCs/>
                          <w:color w:val="0D0D0D" w:themeColor="text1" w:themeTint="F2"/>
                          <w:sz w:val="36"/>
                          <w:szCs w:val="22"/>
                          <w:lang w:val="es-ES_tradnl"/>
                        </w:rPr>
                        <w:t>325</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22</w:t>
                      </w:r>
                    </w:p>
                    <w:p w14:paraId="45F30ECA" w14:textId="74D8FBB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7289E">
                        <w:rPr>
                          <w:rFonts w:asciiTheme="majorHAnsi" w:hAnsiTheme="majorHAnsi" w:cs="Arial"/>
                          <w:b/>
                          <w:color w:val="0D0D0D" w:themeColor="text1" w:themeTint="F2"/>
                          <w:sz w:val="36"/>
                          <w:szCs w:val="22"/>
                          <w:lang w:val="es-ES_tradnl"/>
                        </w:rPr>
                        <w:t>570-14</w:t>
                      </w:r>
                    </w:p>
                    <w:p w14:paraId="188B4303" w14:textId="496DA616"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6D656398" w:rsidR="005B52B0" w:rsidRDefault="00F7289E" w:rsidP="006B3E22">
                      <w:pPr>
                        <w:spacing w:line="276" w:lineRule="auto"/>
                        <w:rPr>
                          <w:rFonts w:asciiTheme="majorHAnsi" w:hAnsiTheme="majorHAnsi" w:cs="Arial"/>
                          <w:color w:val="0D0D0D" w:themeColor="text1" w:themeTint="F2"/>
                          <w:szCs w:val="22"/>
                          <w:lang w:val="es-MX"/>
                        </w:rPr>
                      </w:pPr>
                      <w:r>
                        <w:rPr>
                          <w:rFonts w:asciiTheme="majorHAnsi" w:hAnsiTheme="majorHAnsi" w:cs="Arial"/>
                          <w:color w:val="0D0D0D" w:themeColor="text1" w:themeTint="F2"/>
                          <w:szCs w:val="22"/>
                          <w:lang w:val="es-MX"/>
                        </w:rPr>
                        <w:t>ROSA BEZERRA DA SILVA</w:t>
                      </w:r>
                    </w:p>
                    <w:p w14:paraId="1724503F" w14:textId="453E79D6" w:rsidR="006B3E22" w:rsidRPr="00DF6B57" w:rsidRDefault="006B3E22" w:rsidP="006B3E22">
                      <w:pPr>
                        <w:spacing w:line="276" w:lineRule="auto"/>
                        <w:rPr>
                          <w:color w:val="0D0D0D" w:themeColor="text1" w:themeTint="F2"/>
                          <w:lang w:val="es-MX"/>
                        </w:rPr>
                      </w:pPr>
                      <w:r>
                        <w:rPr>
                          <w:rFonts w:asciiTheme="majorHAnsi" w:hAnsiTheme="majorHAnsi" w:cs="Arial"/>
                          <w:color w:val="0D0D0D" w:themeColor="text1" w:themeTint="F2"/>
                          <w:szCs w:val="22"/>
                          <w:lang w:val="es-MX"/>
                        </w:rPr>
                        <w:t>BRASIL</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11212">
                              <w:rPr>
                                <w:rFonts w:asciiTheme="minorHAnsi" w:hAnsiTheme="minorHAnsi"/>
                                <w:color w:val="FFFFFF" w:themeColor="background1"/>
                                <w:sz w:val="22"/>
                                <w:lang w:val="pt-BR"/>
                              </w:rPr>
                              <w:t>X</w:t>
                            </w:r>
                            <w:r>
                              <w:rPr>
                                <w:rFonts w:asciiTheme="minorHAnsi" w:hAnsiTheme="minorHAnsi"/>
                                <w:color w:val="FFFFFF" w:themeColor="background1"/>
                                <w:sz w:val="22"/>
                                <w:lang w:val="pt-BR"/>
                              </w:rPr>
                              <w:t>X</w:t>
                            </w:r>
                          </w:p>
                          <w:p w14:paraId="71D2D5D2" w14:textId="714F622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A7CAB">
                              <w:rPr>
                                <w:rFonts w:asciiTheme="minorHAnsi" w:hAnsiTheme="minorHAnsi"/>
                                <w:color w:val="FFFFFF" w:themeColor="background1"/>
                                <w:sz w:val="22"/>
                                <w:lang w:val="pt-BR"/>
                              </w:rPr>
                              <w:t>332</w:t>
                            </w:r>
                          </w:p>
                          <w:p w14:paraId="4061DBBD" w14:textId="176E3C8D" w:rsidR="00627C9F" w:rsidRPr="00C25ADB" w:rsidRDefault="00CA7C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7777777"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w:t>
                      </w:r>
                      <w:r w:rsidR="00A11212">
                        <w:rPr>
                          <w:rFonts w:asciiTheme="minorHAnsi" w:hAnsiTheme="minorHAnsi"/>
                          <w:color w:val="FFFFFF" w:themeColor="background1"/>
                          <w:sz w:val="22"/>
                          <w:lang w:val="pt-BR"/>
                        </w:rPr>
                        <w:t>X</w:t>
                      </w:r>
                      <w:r>
                        <w:rPr>
                          <w:rFonts w:asciiTheme="minorHAnsi" w:hAnsiTheme="minorHAnsi"/>
                          <w:color w:val="FFFFFF" w:themeColor="background1"/>
                          <w:sz w:val="22"/>
                          <w:lang w:val="pt-BR"/>
                        </w:rPr>
                        <w:t>X</w:t>
                      </w:r>
                    </w:p>
                    <w:p w14:paraId="71D2D5D2" w14:textId="714F622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A7CAB">
                        <w:rPr>
                          <w:rFonts w:asciiTheme="minorHAnsi" w:hAnsiTheme="minorHAnsi"/>
                          <w:color w:val="FFFFFF" w:themeColor="background1"/>
                          <w:sz w:val="22"/>
                          <w:lang w:val="pt-BR"/>
                        </w:rPr>
                        <w:t>332</w:t>
                      </w:r>
                    </w:p>
                    <w:p w14:paraId="4061DBBD" w14:textId="176E3C8D" w:rsidR="00627C9F" w:rsidRPr="00C25ADB" w:rsidRDefault="00CA7C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F1AF9">
                        <w:rPr>
                          <w:rFonts w:asciiTheme="minorHAnsi" w:hAnsiTheme="minorHAnsi"/>
                          <w:color w:val="FFFFFF" w:themeColor="background1"/>
                          <w:sz w:val="22"/>
                          <w:lang w:val="es-PA"/>
                        </w:rPr>
                        <w:t>2</w:t>
                      </w:r>
                    </w:p>
                    <w:p w14:paraId="0537C4A5" w14:textId="2B8A7845"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w:t>
                      </w:r>
                      <w:r w:rsidR="00DF6B57">
                        <w:rPr>
                          <w:rFonts w:asciiTheme="minorHAnsi" w:hAnsiTheme="minorHAnsi"/>
                          <w:color w:val="FFFFFF" w:themeColor="background1"/>
                          <w:sz w:val="22"/>
                          <w:lang w:val="es-PA"/>
                        </w:rPr>
                        <w:t xml:space="preserve"> portugués</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859999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A7CAB">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CA7CAB">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F1AF9">
                              <w:rPr>
                                <w:rFonts w:asciiTheme="majorHAnsi" w:hAnsiTheme="majorHAnsi"/>
                                <w:color w:val="0D0D0D" w:themeColor="text1" w:themeTint="F2"/>
                                <w:sz w:val="18"/>
                                <w:szCs w:val="22"/>
                                <w:lang w:val="es-ES"/>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8599993"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A7CAB">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CA7CAB">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F1AF9">
                        <w:rPr>
                          <w:rFonts w:asciiTheme="majorHAnsi" w:hAnsiTheme="majorHAnsi"/>
                          <w:color w:val="0D0D0D" w:themeColor="text1" w:themeTint="F2"/>
                          <w:sz w:val="18"/>
                          <w:szCs w:val="22"/>
                          <w:lang w:val="es-ES"/>
                        </w:rPr>
                        <w:t>2</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E5A748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7CAB" w:rsidRPr="00CA7CAB">
                              <w:rPr>
                                <w:rFonts w:asciiTheme="majorHAnsi" w:hAnsiTheme="majorHAnsi"/>
                                <w:color w:val="595959" w:themeColor="text1" w:themeTint="A6"/>
                                <w:sz w:val="18"/>
                                <w:szCs w:val="18"/>
                                <w:lang w:val="pt-BR"/>
                              </w:rPr>
                              <w:t>325</w:t>
                            </w:r>
                            <w:r w:rsidR="007B05C4" w:rsidRPr="00CA7CAB">
                              <w:rPr>
                                <w:rFonts w:asciiTheme="majorHAnsi" w:hAnsiTheme="majorHAnsi"/>
                                <w:color w:val="595959" w:themeColor="text1" w:themeTint="A6"/>
                                <w:sz w:val="18"/>
                                <w:szCs w:val="18"/>
                                <w:lang w:val="pt-BR"/>
                              </w:rPr>
                              <w:t>/</w:t>
                            </w:r>
                            <w:r w:rsidR="00CA7CAB" w:rsidRPr="00CA7CAB">
                              <w:rPr>
                                <w:rFonts w:asciiTheme="majorHAnsi" w:hAnsiTheme="majorHAnsi"/>
                                <w:color w:val="595959" w:themeColor="text1" w:themeTint="A6"/>
                                <w:sz w:val="18"/>
                                <w:szCs w:val="18"/>
                                <w:lang w:val="pt-BR"/>
                              </w:rPr>
                              <w:t>22</w:t>
                            </w:r>
                            <w:r w:rsidRPr="00CA7CA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7289E">
                              <w:rPr>
                                <w:rFonts w:asciiTheme="majorHAnsi" w:hAnsiTheme="majorHAnsi"/>
                                <w:color w:val="595959" w:themeColor="text1" w:themeTint="A6"/>
                                <w:sz w:val="18"/>
                                <w:szCs w:val="18"/>
                                <w:lang w:val="es-ES"/>
                              </w:rPr>
                              <w:t>570-14</w:t>
                            </w:r>
                            <w:r w:rsidR="00DF6B57" w:rsidRPr="00DF6B57">
                              <w:rPr>
                                <w:rFonts w:asciiTheme="majorHAnsi" w:hAnsiTheme="majorHAnsi"/>
                                <w:color w:val="595959" w:themeColor="text1" w:themeTint="A6"/>
                                <w:sz w:val="18"/>
                                <w:szCs w:val="18"/>
                                <w:lang w:val="es-ES"/>
                              </w:rPr>
                              <w:t xml:space="preserve">. Admisibilidad. </w:t>
                            </w:r>
                            <w:r w:rsidR="00F7289E">
                              <w:rPr>
                                <w:rFonts w:asciiTheme="majorHAnsi" w:hAnsiTheme="majorHAnsi"/>
                                <w:color w:val="595959" w:themeColor="text1" w:themeTint="A6"/>
                                <w:sz w:val="18"/>
                                <w:szCs w:val="18"/>
                                <w:lang w:val="es-ES"/>
                              </w:rPr>
                              <w:t>Rosa Bezerra da Silva</w:t>
                            </w:r>
                            <w:r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CA7CAB">
                              <w:rPr>
                                <w:rFonts w:asciiTheme="majorHAnsi" w:hAnsiTheme="majorHAnsi"/>
                                <w:color w:val="595959" w:themeColor="text1" w:themeTint="A6"/>
                                <w:sz w:val="18"/>
                                <w:szCs w:val="18"/>
                                <w:lang w:val="es-ES"/>
                              </w:rPr>
                              <w:t>. 29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E5A748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7CAB" w:rsidRPr="00CA7CAB">
                        <w:rPr>
                          <w:rFonts w:asciiTheme="majorHAnsi" w:hAnsiTheme="majorHAnsi"/>
                          <w:color w:val="595959" w:themeColor="text1" w:themeTint="A6"/>
                          <w:sz w:val="18"/>
                          <w:szCs w:val="18"/>
                          <w:lang w:val="pt-BR"/>
                        </w:rPr>
                        <w:t>325</w:t>
                      </w:r>
                      <w:r w:rsidR="007B05C4" w:rsidRPr="00CA7CAB">
                        <w:rPr>
                          <w:rFonts w:asciiTheme="majorHAnsi" w:hAnsiTheme="majorHAnsi"/>
                          <w:color w:val="595959" w:themeColor="text1" w:themeTint="A6"/>
                          <w:sz w:val="18"/>
                          <w:szCs w:val="18"/>
                          <w:lang w:val="pt-BR"/>
                        </w:rPr>
                        <w:t>/</w:t>
                      </w:r>
                      <w:r w:rsidR="00CA7CAB" w:rsidRPr="00CA7CAB">
                        <w:rPr>
                          <w:rFonts w:asciiTheme="majorHAnsi" w:hAnsiTheme="majorHAnsi"/>
                          <w:color w:val="595959" w:themeColor="text1" w:themeTint="A6"/>
                          <w:sz w:val="18"/>
                          <w:szCs w:val="18"/>
                          <w:lang w:val="pt-BR"/>
                        </w:rPr>
                        <w:t>22</w:t>
                      </w:r>
                      <w:r w:rsidRPr="00CA7CAB">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F7289E">
                        <w:rPr>
                          <w:rFonts w:asciiTheme="majorHAnsi" w:hAnsiTheme="majorHAnsi"/>
                          <w:color w:val="595959" w:themeColor="text1" w:themeTint="A6"/>
                          <w:sz w:val="18"/>
                          <w:szCs w:val="18"/>
                          <w:lang w:val="es-ES"/>
                        </w:rPr>
                        <w:t>570-14</w:t>
                      </w:r>
                      <w:r w:rsidR="00DF6B57" w:rsidRPr="00DF6B57">
                        <w:rPr>
                          <w:rFonts w:asciiTheme="majorHAnsi" w:hAnsiTheme="majorHAnsi"/>
                          <w:color w:val="595959" w:themeColor="text1" w:themeTint="A6"/>
                          <w:sz w:val="18"/>
                          <w:szCs w:val="18"/>
                          <w:lang w:val="es-ES"/>
                        </w:rPr>
                        <w:t xml:space="preserve">. Admisibilidad. </w:t>
                      </w:r>
                      <w:r w:rsidR="00F7289E">
                        <w:rPr>
                          <w:rFonts w:asciiTheme="majorHAnsi" w:hAnsiTheme="majorHAnsi"/>
                          <w:color w:val="595959" w:themeColor="text1" w:themeTint="A6"/>
                          <w:sz w:val="18"/>
                          <w:szCs w:val="18"/>
                          <w:lang w:val="es-ES"/>
                        </w:rPr>
                        <w:t>Rosa Bezerra da Silva</w:t>
                      </w:r>
                      <w:r w:rsidRPr="00890650">
                        <w:rPr>
                          <w:rFonts w:asciiTheme="majorHAnsi" w:hAnsiTheme="majorHAnsi"/>
                          <w:color w:val="595959" w:themeColor="text1" w:themeTint="A6"/>
                          <w:sz w:val="18"/>
                          <w:szCs w:val="18"/>
                          <w:lang w:val="es-ES_tradnl"/>
                        </w:rPr>
                        <w:t xml:space="preserve">. </w:t>
                      </w:r>
                      <w:r w:rsidR="00771587">
                        <w:rPr>
                          <w:rFonts w:asciiTheme="majorHAnsi" w:hAnsiTheme="majorHAnsi"/>
                          <w:color w:val="595959" w:themeColor="text1" w:themeTint="A6"/>
                          <w:sz w:val="18"/>
                          <w:szCs w:val="18"/>
                          <w:lang w:val="es-ES_tradnl"/>
                        </w:rPr>
                        <w:t>Brasil</w:t>
                      </w:r>
                      <w:r w:rsidR="00CA7CAB">
                        <w:rPr>
                          <w:rFonts w:asciiTheme="majorHAnsi" w:hAnsiTheme="majorHAnsi"/>
                          <w:color w:val="595959" w:themeColor="text1" w:themeTint="A6"/>
                          <w:sz w:val="18"/>
                          <w:szCs w:val="18"/>
                          <w:lang w:val="es-ES"/>
                        </w:rPr>
                        <w:t>. 29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557935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6F0181E" wp14:editId="33D9FCF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5C07FD" w:rsidRDefault="003239B8" w:rsidP="004A6A54">
      <w:pPr>
        <w:spacing w:after="240"/>
        <w:ind w:firstLine="720"/>
        <w:jc w:val="both"/>
        <w:rPr>
          <w:rFonts w:ascii="Cambria" w:hAnsi="Cambria"/>
          <w:b/>
          <w:bCs/>
          <w:sz w:val="20"/>
          <w:szCs w:val="20"/>
          <w:lang w:val="es-ES_tradnl"/>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r>
      <w:r w:rsidRPr="005C07FD">
        <w:rPr>
          <w:rFonts w:ascii="Cambria" w:hAnsi="Cambria"/>
          <w:b/>
          <w:bCs/>
          <w:sz w:val="20"/>
          <w:szCs w:val="20"/>
          <w:lang w:val="es-ES_tradnl"/>
        </w:rPr>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A7CAB"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5C07FD" w:rsidRDefault="003239B8" w:rsidP="008D2290">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Parte peticionaria:</w:t>
            </w:r>
          </w:p>
        </w:tc>
        <w:tc>
          <w:tcPr>
            <w:tcW w:w="5760" w:type="dxa"/>
            <w:vAlign w:val="center"/>
          </w:tcPr>
          <w:p w14:paraId="07DAAE2E" w14:textId="1F305FA2" w:rsidR="003239B8" w:rsidRPr="005B1358" w:rsidRDefault="00F7289E" w:rsidP="008D2290">
            <w:pPr>
              <w:jc w:val="both"/>
              <w:rPr>
                <w:rFonts w:ascii="Cambria" w:hAnsi="Cambria"/>
                <w:bCs/>
                <w:sz w:val="20"/>
                <w:szCs w:val="20"/>
                <w:lang w:val="pt-BR"/>
              </w:rPr>
            </w:pPr>
            <w:r w:rsidRPr="005B1358">
              <w:rPr>
                <w:rFonts w:ascii="Cambria" w:hAnsi="Cambria"/>
                <w:bCs/>
                <w:sz w:val="20"/>
                <w:szCs w:val="20"/>
                <w:lang w:val="pt-BR"/>
              </w:rPr>
              <w:t>Rodrigo Diegues Cruz, José Carlos Cruz</w:t>
            </w:r>
            <w:r w:rsidR="005C07FD" w:rsidRPr="005B1358">
              <w:rPr>
                <w:rFonts w:ascii="Cambria" w:hAnsi="Cambria"/>
                <w:bCs/>
                <w:sz w:val="20"/>
                <w:szCs w:val="20"/>
                <w:lang w:val="pt-BR"/>
              </w:rPr>
              <w:t xml:space="preserve"> y</w:t>
            </w:r>
            <w:r w:rsidRPr="005B1358">
              <w:rPr>
                <w:rFonts w:ascii="Cambria" w:hAnsi="Cambria"/>
                <w:bCs/>
                <w:sz w:val="20"/>
                <w:szCs w:val="20"/>
                <w:lang w:val="pt-BR"/>
              </w:rPr>
              <w:t xml:space="preserve"> Valéria Diegues Cruz</w:t>
            </w:r>
          </w:p>
        </w:tc>
      </w:tr>
      <w:tr w:rsidR="003239B8" w:rsidRPr="005C07FD"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5C07FD" w:rsidRDefault="00A97723"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5C07FD">
                  <w:rPr>
                    <w:rFonts w:ascii="Cambria" w:hAnsi="Cambria"/>
                    <w:b/>
                    <w:bCs/>
                    <w:color w:val="FFFFFF" w:themeColor="background1"/>
                    <w:sz w:val="20"/>
                    <w:szCs w:val="20"/>
                    <w:lang w:val="es-ES_tradnl"/>
                  </w:rPr>
                  <w:t>Presuntas víctimas</w:t>
                </w:r>
              </w:sdtContent>
            </w:sdt>
            <w:r w:rsidR="003239B8" w:rsidRPr="005C07FD">
              <w:rPr>
                <w:rFonts w:ascii="Cambria" w:hAnsi="Cambria"/>
                <w:b/>
                <w:bCs/>
                <w:color w:val="FFFFFF" w:themeColor="background1"/>
                <w:sz w:val="20"/>
                <w:szCs w:val="20"/>
                <w:lang w:val="es-ES_tradnl"/>
              </w:rPr>
              <w:t>:</w:t>
            </w:r>
          </w:p>
        </w:tc>
        <w:tc>
          <w:tcPr>
            <w:tcW w:w="5760" w:type="dxa"/>
            <w:vAlign w:val="center"/>
          </w:tcPr>
          <w:p w14:paraId="143D44A8" w14:textId="176E8703" w:rsidR="001D21C7" w:rsidRPr="005C07FD" w:rsidRDefault="00F7289E" w:rsidP="00FC6219">
            <w:pPr>
              <w:jc w:val="both"/>
              <w:rPr>
                <w:rFonts w:ascii="Cambria" w:hAnsi="Cambria"/>
                <w:bCs/>
                <w:sz w:val="20"/>
                <w:szCs w:val="20"/>
                <w:lang w:val="es-ES_tradnl"/>
              </w:rPr>
            </w:pPr>
            <w:r w:rsidRPr="005C07FD">
              <w:rPr>
                <w:rFonts w:ascii="Cambria" w:hAnsi="Cambria"/>
                <w:bCs/>
                <w:sz w:val="20"/>
                <w:szCs w:val="20"/>
                <w:lang w:val="es-ES_tradnl"/>
              </w:rPr>
              <w:t>Rosa Bezerra da Silva</w:t>
            </w:r>
          </w:p>
        </w:tc>
      </w:tr>
      <w:tr w:rsidR="003239B8" w:rsidRPr="005C07FD"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5C07FD" w:rsidRDefault="003239B8" w:rsidP="008D2290">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Estado denunciado:</w:t>
            </w:r>
          </w:p>
        </w:tc>
        <w:tc>
          <w:tcPr>
            <w:tcW w:w="5760" w:type="dxa"/>
            <w:vAlign w:val="center"/>
          </w:tcPr>
          <w:p w14:paraId="5D0EC05D" w14:textId="2EAEE1E0" w:rsidR="003239B8" w:rsidRPr="005C07FD" w:rsidRDefault="00771587" w:rsidP="008D2290">
            <w:pPr>
              <w:jc w:val="both"/>
              <w:rPr>
                <w:rFonts w:ascii="Cambria" w:hAnsi="Cambria"/>
                <w:bCs/>
                <w:sz w:val="20"/>
                <w:szCs w:val="20"/>
                <w:lang w:val="es-ES_tradnl"/>
              </w:rPr>
            </w:pPr>
            <w:r w:rsidRPr="005C07FD">
              <w:rPr>
                <w:rFonts w:ascii="Cambria" w:hAnsi="Cambria"/>
                <w:bCs/>
                <w:sz w:val="20"/>
                <w:szCs w:val="20"/>
                <w:lang w:val="es-ES_tradnl"/>
              </w:rPr>
              <w:t>Brasil</w:t>
            </w:r>
          </w:p>
        </w:tc>
      </w:tr>
      <w:tr w:rsidR="00223A29" w:rsidRPr="00CA7CAB"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5C07FD" w:rsidRDefault="001B3A00" w:rsidP="00E4118C">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 xml:space="preserve">Derechos </w:t>
            </w:r>
            <w:r w:rsidR="00E4118C" w:rsidRPr="005C07FD">
              <w:rPr>
                <w:rFonts w:ascii="Cambria" w:hAnsi="Cambria"/>
                <w:b/>
                <w:bCs/>
                <w:color w:val="FFFFFF" w:themeColor="background1"/>
                <w:sz w:val="20"/>
                <w:szCs w:val="20"/>
                <w:lang w:val="es-ES_tradnl"/>
              </w:rPr>
              <w:t>invocados</w:t>
            </w:r>
            <w:r w:rsidRPr="005C07FD">
              <w:rPr>
                <w:rFonts w:ascii="Cambria" w:hAnsi="Cambria"/>
                <w:b/>
                <w:bCs/>
                <w:color w:val="FFFFFF" w:themeColor="background1"/>
                <w:sz w:val="20"/>
                <w:szCs w:val="20"/>
                <w:lang w:val="es-ES_tradnl"/>
              </w:rPr>
              <w:t>:</w:t>
            </w:r>
          </w:p>
        </w:tc>
        <w:tc>
          <w:tcPr>
            <w:tcW w:w="5760" w:type="dxa"/>
            <w:vAlign w:val="center"/>
          </w:tcPr>
          <w:p w14:paraId="52B28392" w14:textId="783EBA1B" w:rsidR="00F7289E" w:rsidRPr="005C07FD" w:rsidRDefault="00F7289E" w:rsidP="008D2290">
            <w:pPr>
              <w:jc w:val="both"/>
              <w:rPr>
                <w:rFonts w:ascii="Cambria" w:hAnsi="Cambria"/>
                <w:bCs/>
                <w:sz w:val="20"/>
                <w:szCs w:val="20"/>
                <w:lang w:val="es-ES_tradnl"/>
              </w:rPr>
            </w:pPr>
            <w:r w:rsidRPr="005C07FD">
              <w:rPr>
                <w:rFonts w:ascii="Cambria" w:hAnsi="Cambria"/>
                <w:bCs/>
                <w:sz w:val="20"/>
                <w:szCs w:val="20"/>
                <w:lang w:val="es-ES_tradnl"/>
              </w:rPr>
              <w:t xml:space="preserve">Artículos 8 (garantías judiciales), 24 (igualdad ante la ley) </w:t>
            </w:r>
            <w:r w:rsidR="00780BF9">
              <w:rPr>
                <w:rFonts w:ascii="Cambria" w:hAnsi="Cambria"/>
                <w:bCs/>
                <w:sz w:val="20"/>
                <w:szCs w:val="20"/>
                <w:lang w:val="es-ES_tradnl"/>
              </w:rPr>
              <w:t>y</w:t>
            </w:r>
            <w:r w:rsidRPr="005C07FD">
              <w:rPr>
                <w:rFonts w:ascii="Cambria" w:hAnsi="Cambria"/>
                <w:bCs/>
                <w:sz w:val="20"/>
                <w:szCs w:val="20"/>
                <w:lang w:val="es-ES_tradnl"/>
              </w:rPr>
              <w:t xml:space="preserve"> 25 (protección judicial) de la Convención Americana, e</w:t>
            </w:r>
            <w:r w:rsidR="008A47BB">
              <w:rPr>
                <w:rFonts w:ascii="Cambria" w:hAnsi="Cambria"/>
                <w:bCs/>
                <w:sz w:val="20"/>
                <w:szCs w:val="20"/>
                <w:lang w:val="es-ES_tradnl"/>
              </w:rPr>
              <w:t>n</w:t>
            </w:r>
            <w:r w:rsidRPr="005C07FD">
              <w:rPr>
                <w:rFonts w:ascii="Cambria" w:hAnsi="Cambria"/>
                <w:bCs/>
                <w:sz w:val="20"/>
                <w:szCs w:val="20"/>
                <w:lang w:val="es-ES_tradnl"/>
              </w:rPr>
              <w:t xml:space="preserve"> </w:t>
            </w:r>
            <w:r w:rsidR="008A47BB" w:rsidRPr="005C07FD">
              <w:rPr>
                <w:rFonts w:ascii="Cambria" w:hAnsi="Cambria"/>
                <w:bCs/>
                <w:sz w:val="20"/>
                <w:szCs w:val="20"/>
                <w:lang w:val="es-ES_tradnl"/>
              </w:rPr>
              <w:t>cone</w:t>
            </w:r>
            <w:r w:rsidR="008A47BB">
              <w:rPr>
                <w:rFonts w:ascii="Cambria" w:hAnsi="Cambria"/>
                <w:bCs/>
                <w:sz w:val="20"/>
                <w:szCs w:val="20"/>
                <w:lang w:val="es-ES_tradnl"/>
              </w:rPr>
              <w:t>xi</w:t>
            </w:r>
            <w:r w:rsidR="008A47BB" w:rsidRPr="005C07FD">
              <w:rPr>
                <w:rFonts w:ascii="Cambria" w:hAnsi="Cambria"/>
                <w:bCs/>
                <w:sz w:val="20"/>
                <w:szCs w:val="20"/>
                <w:lang w:val="es-ES_tradnl"/>
              </w:rPr>
              <w:t>ón</w:t>
            </w:r>
            <w:r w:rsidRPr="005C07FD">
              <w:rPr>
                <w:rFonts w:ascii="Cambria" w:hAnsi="Cambria"/>
                <w:bCs/>
                <w:sz w:val="20"/>
                <w:szCs w:val="20"/>
                <w:lang w:val="es-ES_tradnl"/>
              </w:rPr>
              <w:t xml:space="preserve"> con </w:t>
            </w:r>
            <w:r w:rsidR="008A47BB">
              <w:rPr>
                <w:rFonts w:ascii="Cambria" w:hAnsi="Cambria"/>
                <w:bCs/>
                <w:sz w:val="20"/>
                <w:szCs w:val="20"/>
                <w:lang w:val="es-ES_tradnl"/>
              </w:rPr>
              <w:t>sus</w:t>
            </w:r>
            <w:r w:rsidRPr="005C07FD">
              <w:rPr>
                <w:rFonts w:ascii="Cambria" w:hAnsi="Cambria"/>
                <w:bCs/>
                <w:sz w:val="20"/>
                <w:szCs w:val="20"/>
                <w:lang w:val="es-ES_tradnl"/>
              </w:rPr>
              <w:t xml:space="preserve"> artículos 1.1 (</w:t>
            </w:r>
            <w:r w:rsidR="00DC1B4C" w:rsidRPr="005C07FD">
              <w:rPr>
                <w:rFonts w:ascii="Cambria" w:hAnsi="Cambria"/>
                <w:bCs/>
                <w:sz w:val="20"/>
                <w:szCs w:val="20"/>
                <w:lang w:val="es-ES_tradnl"/>
              </w:rPr>
              <w:t>obligación de respetar los derechos</w:t>
            </w:r>
            <w:r w:rsidRPr="005C07FD">
              <w:rPr>
                <w:rFonts w:ascii="Cambria" w:hAnsi="Cambria"/>
                <w:bCs/>
                <w:sz w:val="20"/>
                <w:szCs w:val="20"/>
                <w:lang w:val="es-ES_tradnl"/>
              </w:rPr>
              <w:t xml:space="preserve">) y 2 (deber de adoptar disposiciones de derecho interno) de la Convención </w:t>
            </w:r>
            <w:r w:rsidR="00780BF9">
              <w:rPr>
                <w:rFonts w:ascii="Cambria" w:hAnsi="Cambria"/>
                <w:bCs/>
                <w:sz w:val="20"/>
                <w:szCs w:val="20"/>
                <w:lang w:val="es-ES_tradnl"/>
              </w:rPr>
              <w:t>Americana sobre Derechos Humanos</w:t>
            </w:r>
            <w:r w:rsidR="00780BF9">
              <w:rPr>
                <w:rStyle w:val="FootnoteReference"/>
                <w:rFonts w:ascii="Cambria" w:hAnsi="Cambria"/>
                <w:bCs/>
                <w:sz w:val="20"/>
                <w:szCs w:val="20"/>
                <w:lang w:val="es-ES_tradnl"/>
              </w:rPr>
              <w:footnoteReference w:id="2"/>
            </w:r>
          </w:p>
        </w:tc>
      </w:tr>
    </w:tbl>
    <w:p w14:paraId="176FB213" w14:textId="77777777" w:rsidR="003239B8" w:rsidRPr="005C07FD" w:rsidRDefault="003239B8" w:rsidP="003239B8">
      <w:pPr>
        <w:spacing w:before="240" w:after="240"/>
        <w:ind w:firstLine="720"/>
        <w:jc w:val="both"/>
        <w:rPr>
          <w:rFonts w:ascii="Cambria" w:hAnsi="Cambria"/>
          <w:b/>
          <w:bCs/>
          <w:sz w:val="20"/>
          <w:szCs w:val="20"/>
          <w:lang w:val="es-ES_tradnl"/>
        </w:rPr>
      </w:pPr>
      <w:r w:rsidRPr="005C07FD">
        <w:rPr>
          <w:rFonts w:ascii="Cambria" w:hAnsi="Cambria"/>
          <w:b/>
          <w:bCs/>
          <w:sz w:val="20"/>
          <w:szCs w:val="20"/>
          <w:lang w:val="es-ES_tradnl"/>
        </w:rPr>
        <w:t>II.</w:t>
      </w:r>
      <w:r w:rsidRPr="005C07FD">
        <w:rPr>
          <w:rFonts w:ascii="Cambria" w:hAnsi="Cambria"/>
          <w:b/>
          <w:bCs/>
          <w:sz w:val="20"/>
          <w:szCs w:val="20"/>
          <w:lang w:val="es-ES_tradnl"/>
        </w:rPr>
        <w:tab/>
        <w:t>TRÁMITE ANTE LA CIDH</w:t>
      </w:r>
      <w:r w:rsidR="008E3BFE" w:rsidRPr="005C07FD">
        <w:rPr>
          <w:rStyle w:val="FootnoteReference"/>
          <w:rFonts w:ascii="Cambria" w:hAnsi="Cambria"/>
          <w:b/>
          <w:sz w:val="20"/>
          <w:szCs w:val="20"/>
          <w:lang w:val="es-ES_tradnl"/>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5C07FD"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5C07FD" w:rsidRDefault="004A6A54" w:rsidP="004A6A54">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P</w:t>
            </w:r>
            <w:r w:rsidR="004C2312" w:rsidRPr="005C07FD">
              <w:rPr>
                <w:rFonts w:ascii="Cambria" w:hAnsi="Cambria"/>
                <w:b/>
                <w:bCs/>
                <w:color w:val="FFFFFF" w:themeColor="background1"/>
                <w:sz w:val="20"/>
                <w:szCs w:val="20"/>
                <w:lang w:val="es-ES_tradnl"/>
              </w:rPr>
              <w:t>resentación de la petición:</w:t>
            </w:r>
          </w:p>
        </w:tc>
        <w:tc>
          <w:tcPr>
            <w:tcW w:w="5760" w:type="dxa"/>
            <w:vAlign w:val="center"/>
          </w:tcPr>
          <w:p w14:paraId="6883A5F8" w14:textId="6BCA36E8" w:rsidR="004C2312" w:rsidRPr="005C07FD" w:rsidRDefault="00F7289E" w:rsidP="002625EA">
            <w:pPr>
              <w:jc w:val="both"/>
              <w:rPr>
                <w:rFonts w:ascii="Cambria" w:hAnsi="Cambria"/>
                <w:bCs/>
                <w:sz w:val="20"/>
                <w:szCs w:val="20"/>
                <w:lang w:val="es-ES_tradnl"/>
              </w:rPr>
            </w:pPr>
            <w:r w:rsidRPr="005C07FD">
              <w:rPr>
                <w:rFonts w:ascii="Cambria" w:hAnsi="Cambria"/>
                <w:bCs/>
                <w:sz w:val="20"/>
                <w:szCs w:val="20"/>
                <w:lang w:val="es-ES_tradnl"/>
              </w:rPr>
              <w:t>9 de abril de 2014</w:t>
            </w:r>
          </w:p>
        </w:tc>
      </w:tr>
      <w:tr w:rsidR="001D21C7" w:rsidRPr="005C07FD" w14:paraId="54F62341" w14:textId="77777777" w:rsidTr="004A6A54">
        <w:tc>
          <w:tcPr>
            <w:tcW w:w="3600" w:type="dxa"/>
            <w:tcBorders>
              <w:top w:val="single" w:sz="6" w:space="0" w:color="auto"/>
              <w:bottom w:val="single" w:sz="6" w:space="0" w:color="auto"/>
            </w:tcBorders>
            <w:shd w:val="clear" w:color="auto" w:fill="386294"/>
            <w:vAlign w:val="center"/>
          </w:tcPr>
          <w:p w14:paraId="48CC6F04" w14:textId="1DAB0FD4" w:rsidR="001D21C7" w:rsidRPr="005C07FD" w:rsidRDefault="006B3E22" w:rsidP="001D21C7">
            <w:pPr>
              <w:jc w:val="center"/>
              <w:rPr>
                <w:rFonts w:ascii="Cambria" w:hAnsi="Cambria"/>
                <w:b/>
                <w:bCs/>
                <w:color w:val="FFFFFF" w:themeColor="background1"/>
                <w:sz w:val="20"/>
                <w:szCs w:val="20"/>
                <w:lang w:val="es-ES_tradnl"/>
              </w:rPr>
            </w:pPr>
            <w:r w:rsidRPr="005C07FD">
              <w:rPr>
                <w:rFonts w:ascii="Cambria" w:hAnsi="Cambria"/>
                <w:b/>
                <w:color w:val="FFFFFF" w:themeColor="background1"/>
                <w:sz w:val="20"/>
                <w:szCs w:val="20"/>
                <w:lang w:val="es-ES_tradnl"/>
              </w:rPr>
              <w:t>Notificación de la petición al Estado:</w:t>
            </w:r>
          </w:p>
        </w:tc>
        <w:tc>
          <w:tcPr>
            <w:tcW w:w="5760" w:type="dxa"/>
            <w:vAlign w:val="center"/>
          </w:tcPr>
          <w:p w14:paraId="65CBC29E" w14:textId="474803C2" w:rsidR="001D21C7" w:rsidRPr="005C07FD" w:rsidRDefault="00F7289E" w:rsidP="001D21C7">
            <w:pPr>
              <w:jc w:val="both"/>
              <w:rPr>
                <w:rFonts w:ascii="Cambria" w:hAnsi="Cambria"/>
                <w:bCs/>
                <w:sz w:val="20"/>
                <w:szCs w:val="20"/>
                <w:lang w:val="es-ES_tradnl"/>
              </w:rPr>
            </w:pPr>
            <w:r w:rsidRPr="005C07FD">
              <w:rPr>
                <w:rFonts w:ascii="Cambria" w:hAnsi="Cambria"/>
                <w:bCs/>
                <w:sz w:val="20"/>
                <w:szCs w:val="20"/>
                <w:lang w:val="es-ES_tradnl"/>
              </w:rPr>
              <w:t>21 de marzo de 2019</w:t>
            </w:r>
          </w:p>
        </w:tc>
      </w:tr>
      <w:tr w:rsidR="001D21C7" w:rsidRPr="005C07FD"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1D21C7" w:rsidRPr="005C07FD" w:rsidRDefault="001D21C7" w:rsidP="001D21C7">
            <w:pPr>
              <w:jc w:val="center"/>
              <w:rPr>
                <w:rFonts w:ascii="Cambria" w:hAnsi="Cambria"/>
                <w:b/>
                <w:bCs/>
                <w:color w:val="FFFFFF" w:themeColor="background1"/>
                <w:sz w:val="20"/>
                <w:szCs w:val="20"/>
                <w:lang w:val="es-ES_tradnl"/>
              </w:rPr>
            </w:pPr>
            <w:r w:rsidRPr="005C07FD">
              <w:rPr>
                <w:rFonts w:ascii="Cambria" w:hAnsi="Cambria"/>
                <w:b/>
                <w:color w:val="FFFFFF" w:themeColor="background1"/>
                <w:sz w:val="20"/>
                <w:szCs w:val="20"/>
                <w:lang w:val="es-ES_tradnl"/>
              </w:rPr>
              <w:t>Primera respuesta del Estado</w:t>
            </w:r>
            <w:r w:rsidR="00974312" w:rsidRPr="005C07FD">
              <w:rPr>
                <w:rFonts w:ascii="Cambria" w:hAnsi="Cambria"/>
                <w:b/>
                <w:color w:val="FFFFFF" w:themeColor="background1"/>
                <w:sz w:val="20"/>
                <w:szCs w:val="20"/>
                <w:lang w:val="es-ES_tradnl"/>
              </w:rPr>
              <w:t>:</w:t>
            </w:r>
          </w:p>
        </w:tc>
        <w:tc>
          <w:tcPr>
            <w:tcW w:w="5760" w:type="dxa"/>
            <w:vAlign w:val="center"/>
          </w:tcPr>
          <w:p w14:paraId="6B47064C" w14:textId="12817C10" w:rsidR="001D21C7" w:rsidRPr="005C07FD" w:rsidRDefault="00F7289E" w:rsidP="001D21C7">
            <w:pPr>
              <w:jc w:val="both"/>
              <w:rPr>
                <w:rFonts w:ascii="Cambria" w:hAnsi="Cambria"/>
                <w:bCs/>
                <w:sz w:val="20"/>
                <w:szCs w:val="20"/>
                <w:lang w:val="es-ES_tradnl"/>
              </w:rPr>
            </w:pPr>
            <w:r w:rsidRPr="005C07FD">
              <w:rPr>
                <w:rFonts w:ascii="Cambria" w:hAnsi="Cambria"/>
                <w:bCs/>
                <w:sz w:val="20"/>
                <w:szCs w:val="20"/>
                <w:lang w:val="es-ES_tradnl"/>
              </w:rPr>
              <w:t>28 de junio de 2019</w:t>
            </w:r>
          </w:p>
        </w:tc>
      </w:tr>
      <w:tr w:rsidR="00DF6B57" w:rsidRPr="005C07FD" w14:paraId="4B2A5E73" w14:textId="77777777" w:rsidTr="004A6A54">
        <w:tc>
          <w:tcPr>
            <w:tcW w:w="3600" w:type="dxa"/>
            <w:tcBorders>
              <w:top w:val="single" w:sz="6" w:space="0" w:color="auto"/>
              <w:bottom w:val="single" w:sz="6" w:space="0" w:color="auto"/>
            </w:tcBorders>
            <w:shd w:val="clear" w:color="auto" w:fill="386294"/>
            <w:vAlign w:val="center"/>
          </w:tcPr>
          <w:p w14:paraId="365AF93C" w14:textId="796D86F1" w:rsidR="00DF6B57" w:rsidRPr="005C07FD" w:rsidRDefault="00DF6B57" w:rsidP="001D21C7">
            <w:pPr>
              <w:jc w:val="center"/>
              <w:rPr>
                <w:rFonts w:ascii="Cambria" w:hAnsi="Cambria"/>
                <w:b/>
                <w:color w:val="FFFFFF" w:themeColor="background1"/>
                <w:sz w:val="20"/>
                <w:szCs w:val="20"/>
                <w:lang w:val="es-ES_tradnl"/>
              </w:rPr>
            </w:pPr>
            <w:r w:rsidRPr="005C07FD">
              <w:rPr>
                <w:rFonts w:ascii="Cambria" w:hAnsi="Cambria"/>
                <w:b/>
                <w:color w:val="FFFFFF" w:themeColor="background1"/>
                <w:sz w:val="20"/>
                <w:szCs w:val="20"/>
                <w:lang w:val="es-ES_tradnl"/>
              </w:rPr>
              <w:t>Observaciones adicionales de la parte peticionaria</w:t>
            </w:r>
            <w:r w:rsidR="001F1BFE" w:rsidRPr="005C07FD">
              <w:rPr>
                <w:rFonts w:ascii="Cambria" w:hAnsi="Cambria"/>
                <w:b/>
                <w:color w:val="FFFFFF" w:themeColor="background1"/>
                <w:sz w:val="20"/>
                <w:szCs w:val="20"/>
                <w:lang w:val="es-ES_tradnl"/>
              </w:rPr>
              <w:t>:</w:t>
            </w:r>
          </w:p>
        </w:tc>
        <w:tc>
          <w:tcPr>
            <w:tcW w:w="5760" w:type="dxa"/>
            <w:vAlign w:val="center"/>
          </w:tcPr>
          <w:p w14:paraId="5B183807" w14:textId="15C5EB65" w:rsidR="00DF6B57" w:rsidRPr="005C07FD" w:rsidRDefault="00F7289E" w:rsidP="001D21C7">
            <w:pPr>
              <w:jc w:val="both"/>
              <w:rPr>
                <w:rFonts w:ascii="Cambria" w:hAnsi="Cambria"/>
                <w:bCs/>
                <w:sz w:val="20"/>
                <w:szCs w:val="20"/>
                <w:lang w:val="es-ES_tradnl"/>
              </w:rPr>
            </w:pPr>
            <w:r w:rsidRPr="005C07FD">
              <w:rPr>
                <w:rFonts w:ascii="Cambria" w:hAnsi="Cambria"/>
                <w:bCs/>
                <w:color w:val="000000" w:themeColor="text1"/>
                <w:sz w:val="20"/>
                <w:szCs w:val="20"/>
                <w:lang w:val="es-ES_tradnl"/>
              </w:rPr>
              <w:t>20 de octubre de 2015</w:t>
            </w:r>
          </w:p>
        </w:tc>
      </w:tr>
      <w:tr w:rsidR="00F7289E" w:rsidRPr="005C07FD" w14:paraId="3B8EA6D2" w14:textId="77777777" w:rsidTr="004A6A54">
        <w:tc>
          <w:tcPr>
            <w:tcW w:w="3600" w:type="dxa"/>
            <w:tcBorders>
              <w:top w:val="single" w:sz="6" w:space="0" w:color="auto"/>
              <w:bottom w:val="single" w:sz="6" w:space="0" w:color="auto"/>
            </w:tcBorders>
            <w:shd w:val="clear" w:color="auto" w:fill="386294"/>
            <w:vAlign w:val="center"/>
          </w:tcPr>
          <w:p w14:paraId="17E6814D" w14:textId="0DDE0593" w:rsidR="00F7289E" w:rsidRPr="005C07FD" w:rsidRDefault="00F7289E" w:rsidP="001D21C7">
            <w:pPr>
              <w:jc w:val="center"/>
              <w:rPr>
                <w:rFonts w:ascii="Cambria" w:hAnsi="Cambria"/>
                <w:b/>
                <w:color w:val="FFFFFF" w:themeColor="background1"/>
                <w:sz w:val="20"/>
                <w:szCs w:val="20"/>
                <w:lang w:val="es-ES_tradnl"/>
              </w:rPr>
            </w:pPr>
            <w:r w:rsidRPr="005C07FD">
              <w:rPr>
                <w:rFonts w:ascii="Cambria" w:hAnsi="Cambria"/>
                <w:b/>
                <w:color w:val="FFFFFF" w:themeColor="background1"/>
                <w:sz w:val="20"/>
                <w:szCs w:val="20"/>
                <w:lang w:val="es-ES_tradnl"/>
              </w:rPr>
              <w:t>Obsercaciones adicionales del Estado:</w:t>
            </w:r>
          </w:p>
        </w:tc>
        <w:tc>
          <w:tcPr>
            <w:tcW w:w="5760" w:type="dxa"/>
            <w:vAlign w:val="center"/>
          </w:tcPr>
          <w:p w14:paraId="00FB162F" w14:textId="7EFACBC4" w:rsidR="00F7289E" w:rsidRPr="005C07FD" w:rsidRDefault="00F7289E" w:rsidP="001D21C7">
            <w:pPr>
              <w:jc w:val="both"/>
              <w:rPr>
                <w:rFonts w:ascii="Cambria" w:hAnsi="Cambria"/>
                <w:bCs/>
                <w:color w:val="000000" w:themeColor="text1"/>
                <w:sz w:val="20"/>
                <w:szCs w:val="20"/>
                <w:lang w:val="es-ES_tradnl"/>
              </w:rPr>
            </w:pPr>
            <w:r w:rsidRPr="005C07FD">
              <w:rPr>
                <w:rFonts w:ascii="Cambria" w:hAnsi="Cambria"/>
                <w:bCs/>
                <w:color w:val="000000" w:themeColor="text1"/>
                <w:sz w:val="20"/>
                <w:szCs w:val="20"/>
                <w:lang w:val="es-ES_tradnl"/>
              </w:rPr>
              <w:t>26 de mayo de 2020</w:t>
            </w:r>
          </w:p>
        </w:tc>
      </w:tr>
    </w:tbl>
    <w:p w14:paraId="0FC6E9E8" w14:textId="77777777" w:rsidR="003239B8" w:rsidRPr="005C07FD" w:rsidRDefault="003239B8" w:rsidP="003239B8">
      <w:pPr>
        <w:spacing w:before="240" w:after="240"/>
        <w:ind w:firstLine="720"/>
        <w:jc w:val="both"/>
        <w:rPr>
          <w:rFonts w:ascii="Cambria" w:hAnsi="Cambria"/>
          <w:b/>
          <w:bCs/>
          <w:sz w:val="20"/>
          <w:szCs w:val="20"/>
          <w:lang w:val="es-ES_tradnl"/>
        </w:rPr>
      </w:pPr>
      <w:r w:rsidRPr="005C07FD">
        <w:rPr>
          <w:rFonts w:ascii="Cambria" w:hAnsi="Cambria"/>
          <w:b/>
          <w:bCs/>
          <w:sz w:val="20"/>
          <w:szCs w:val="20"/>
          <w:lang w:val="es-ES_tradnl"/>
        </w:rPr>
        <w:t xml:space="preserve">III. </w:t>
      </w:r>
      <w:r w:rsidRPr="005C07FD">
        <w:rPr>
          <w:rFonts w:ascii="Cambria" w:hAnsi="Cambria"/>
          <w:b/>
          <w:bCs/>
          <w:sz w:val="20"/>
          <w:szCs w:val="20"/>
          <w:lang w:val="es-ES_tradnl"/>
        </w:rPr>
        <w:tab/>
        <w:t>COMPETENCIA</w:t>
      </w:r>
      <w:r w:rsidR="00EE00E9" w:rsidRPr="005C07FD">
        <w:rPr>
          <w:rFonts w:ascii="Cambria" w:hAnsi="Cambria"/>
          <w:b/>
          <w:bCs/>
          <w:sz w:val="20"/>
          <w:szCs w:val="20"/>
          <w:lang w:val="es-ES_tradnl"/>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5C07FD" w14:paraId="7D299FC7" w14:textId="77777777" w:rsidTr="006F7C1E">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5C07FD" w:rsidRDefault="003239B8" w:rsidP="008D2290">
            <w:pPr>
              <w:jc w:val="center"/>
              <w:rPr>
                <w:rFonts w:ascii="Cambria" w:hAnsi="Cambria"/>
                <w:b/>
                <w:bCs/>
                <w:i/>
                <w:color w:val="FFFFFF" w:themeColor="background1"/>
                <w:sz w:val="20"/>
                <w:szCs w:val="20"/>
                <w:lang w:val="es-ES_tradnl"/>
              </w:rPr>
            </w:pPr>
            <w:r w:rsidRPr="005C07FD">
              <w:rPr>
                <w:rFonts w:ascii="Cambria" w:hAnsi="Cambria"/>
                <w:b/>
                <w:bCs/>
                <w:color w:val="FFFFFF" w:themeColor="background1"/>
                <w:sz w:val="20"/>
                <w:szCs w:val="20"/>
                <w:lang w:val="es-ES_tradnl"/>
              </w:rPr>
              <w:t>Competencia</w:t>
            </w:r>
            <w:r w:rsidRPr="005C07FD">
              <w:rPr>
                <w:rFonts w:ascii="Cambria" w:hAnsi="Cambria"/>
                <w:b/>
                <w:bCs/>
                <w:i/>
                <w:color w:val="FFFFFF" w:themeColor="background1"/>
                <w:sz w:val="20"/>
                <w:szCs w:val="20"/>
                <w:lang w:val="es-ES_tradnl"/>
              </w:rPr>
              <w:t xml:space="preserve"> Ratione personae:</w:t>
            </w:r>
          </w:p>
        </w:tc>
        <w:tc>
          <w:tcPr>
            <w:tcW w:w="5776" w:type="dxa"/>
            <w:vAlign w:val="center"/>
          </w:tcPr>
          <w:p w14:paraId="1E494D5D" w14:textId="47C0DB82" w:rsidR="003239B8" w:rsidRPr="005C07FD" w:rsidRDefault="00A004BB" w:rsidP="008D2290">
            <w:pPr>
              <w:rPr>
                <w:rFonts w:ascii="Cambria" w:hAnsi="Cambria"/>
                <w:bCs/>
                <w:sz w:val="20"/>
                <w:szCs w:val="20"/>
                <w:lang w:val="es-ES_tradnl"/>
              </w:rPr>
            </w:pPr>
            <w:r w:rsidRPr="005C07FD">
              <w:rPr>
                <w:rFonts w:ascii="Cambria" w:hAnsi="Cambria"/>
                <w:bCs/>
                <w:sz w:val="20"/>
                <w:szCs w:val="20"/>
                <w:lang w:val="es-ES_tradnl"/>
              </w:rPr>
              <w:t>Sí</w:t>
            </w:r>
          </w:p>
        </w:tc>
      </w:tr>
      <w:tr w:rsidR="003239B8" w:rsidRPr="005C07FD" w14:paraId="54503A4F" w14:textId="77777777" w:rsidTr="006F7C1E">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5C07FD" w:rsidRDefault="003239B8" w:rsidP="008D2290">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Competencia</w:t>
            </w:r>
            <w:r w:rsidRPr="005C07FD">
              <w:rPr>
                <w:rFonts w:ascii="Cambria" w:hAnsi="Cambria"/>
                <w:b/>
                <w:bCs/>
                <w:i/>
                <w:color w:val="FFFFFF" w:themeColor="background1"/>
                <w:sz w:val="20"/>
                <w:szCs w:val="20"/>
                <w:lang w:val="es-ES_tradnl"/>
              </w:rPr>
              <w:t xml:space="preserve"> Ratione loci</w:t>
            </w:r>
            <w:r w:rsidRPr="005C07FD">
              <w:rPr>
                <w:rFonts w:ascii="Cambria" w:hAnsi="Cambria"/>
                <w:b/>
                <w:bCs/>
                <w:color w:val="FFFFFF" w:themeColor="background1"/>
                <w:sz w:val="20"/>
                <w:szCs w:val="20"/>
                <w:lang w:val="es-ES_tradnl"/>
              </w:rPr>
              <w:t>:</w:t>
            </w:r>
          </w:p>
        </w:tc>
        <w:tc>
          <w:tcPr>
            <w:tcW w:w="5776" w:type="dxa"/>
            <w:vAlign w:val="center"/>
          </w:tcPr>
          <w:p w14:paraId="77C8256A" w14:textId="5E819D9D" w:rsidR="003239B8" w:rsidRPr="005C07FD" w:rsidRDefault="00A004BB" w:rsidP="008D2290">
            <w:pPr>
              <w:rPr>
                <w:rFonts w:ascii="Cambria" w:hAnsi="Cambria"/>
                <w:bCs/>
                <w:sz w:val="20"/>
                <w:szCs w:val="20"/>
                <w:lang w:val="es-ES_tradnl"/>
              </w:rPr>
            </w:pPr>
            <w:r w:rsidRPr="005C07FD">
              <w:rPr>
                <w:rFonts w:ascii="Cambria" w:hAnsi="Cambria"/>
                <w:bCs/>
                <w:sz w:val="20"/>
                <w:szCs w:val="20"/>
                <w:lang w:val="es-ES_tradnl"/>
              </w:rPr>
              <w:t>Sí</w:t>
            </w:r>
          </w:p>
        </w:tc>
      </w:tr>
      <w:tr w:rsidR="003239B8" w:rsidRPr="005C07FD" w14:paraId="6618D96A" w14:textId="77777777" w:rsidTr="006F7C1E">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5C07FD" w:rsidRDefault="003239B8" w:rsidP="008D2290">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Competencia</w:t>
            </w:r>
            <w:r w:rsidRPr="005C07FD">
              <w:rPr>
                <w:rFonts w:ascii="Cambria" w:hAnsi="Cambria"/>
                <w:b/>
                <w:bCs/>
                <w:i/>
                <w:color w:val="FFFFFF" w:themeColor="background1"/>
                <w:sz w:val="20"/>
                <w:szCs w:val="20"/>
                <w:lang w:val="es-ES_tradnl"/>
              </w:rPr>
              <w:t xml:space="preserve"> Ratione temporis</w:t>
            </w:r>
            <w:r w:rsidRPr="005C07FD">
              <w:rPr>
                <w:rFonts w:ascii="Cambria" w:hAnsi="Cambria"/>
                <w:b/>
                <w:bCs/>
                <w:color w:val="FFFFFF" w:themeColor="background1"/>
                <w:sz w:val="20"/>
                <w:szCs w:val="20"/>
                <w:lang w:val="es-ES_tradnl"/>
              </w:rPr>
              <w:t>:</w:t>
            </w:r>
          </w:p>
        </w:tc>
        <w:tc>
          <w:tcPr>
            <w:tcW w:w="5776" w:type="dxa"/>
            <w:vAlign w:val="center"/>
          </w:tcPr>
          <w:p w14:paraId="523F6BD6" w14:textId="69B6757A" w:rsidR="003239B8" w:rsidRPr="005C07FD" w:rsidRDefault="00A004BB" w:rsidP="008D2290">
            <w:pPr>
              <w:rPr>
                <w:rFonts w:ascii="Cambria" w:hAnsi="Cambria"/>
                <w:bCs/>
                <w:sz w:val="20"/>
                <w:szCs w:val="20"/>
                <w:lang w:val="es-ES_tradnl"/>
              </w:rPr>
            </w:pPr>
            <w:r w:rsidRPr="005C07FD">
              <w:rPr>
                <w:rFonts w:ascii="Cambria" w:hAnsi="Cambria"/>
                <w:bCs/>
                <w:sz w:val="20"/>
                <w:szCs w:val="20"/>
                <w:lang w:val="es-ES_tradnl"/>
              </w:rPr>
              <w:t>Sí</w:t>
            </w:r>
          </w:p>
        </w:tc>
      </w:tr>
      <w:tr w:rsidR="003239B8" w:rsidRPr="00CA7CAB" w14:paraId="34C2A0A9" w14:textId="77777777" w:rsidTr="006F7C1E">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5C07FD" w:rsidRDefault="003239B8" w:rsidP="008D2290">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Competencia</w:t>
            </w:r>
            <w:r w:rsidRPr="005C07FD">
              <w:rPr>
                <w:rFonts w:ascii="Cambria" w:hAnsi="Cambria"/>
                <w:b/>
                <w:bCs/>
                <w:i/>
                <w:color w:val="FFFFFF" w:themeColor="background1"/>
                <w:sz w:val="20"/>
                <w:szCs w:val="20"/>
                <w:lang w:val="es-ES_tradnl"/>
              </w:rPr>
              <w:t xml:space="preserve"> Ratione materia</w:t>
            </w:r>
            <w:r w:rsidR="00EE00E9" w:rsidRPr="005C07FD">
              <w:rPr>
                <w:rFonts w:ascii="Cambria" w:hAnsi="Cambria"/>
                <w:b/>
                <w:bCs/>
                <w:i/>
                <w:color w:val="FFFFFF" w:themeColor="background1"/>
                <w:sz w:val="20"/>
                <w:szCs w:val="20"/>
                <w:lang w:val="es-ES_tradnl"/>
              </w:rPr>
              <w:t>e</w:t>
            </w:r>
            <w:r w:rsidRPr="005C07FD">
              <w:rPr>
                <w:rFonts w:ascii="Cambria" w:hAnsi="Cambria"/>
                <w:b/>
                <w:bCs/>
                <w:color w:val="FFFFFF" w:themeColor="background1"/>
                <w:sz w:val="20"/>
                <w:szCs w:val="20"/>
                <w:lang w:val="es-ES_tradnl"/>
              </w:rPr>
              <w:t>:</w:t>
            </w:r>
          </w:p>
        </w:tc>
        <w:tc>
          <w:tcPr>
            <w:tcW w:w="5776" w:type="dxa"/>
            <w:vAlign w:val="center"/>
          </w:tcPr>
          <w:p w14:paraId="257C8337" w14:textId="650DE489" w:rsidR="003239B8" w:rsidRPr="005C07FD" w:rsidRDefault="00A004BB" w:rsidP="008D2290">
            <w:pPr>
              <w:jc w:val="both"/>
              <w:rPr>
                <w:rFonts w:ascii="Cambria" w:hAnsi="Cambria"/>
                <w:bCs/>
                <w:sz w:val="20"/>
                <w:szCs w:val="20"/>
                <w:lang w:val="es-ES_tradnl"/>
              </w:rPr>
            </w:pPr>
            <w:r w:rsidRPr="005C07FD">
              <w:rPr>
                <w:rFonts w:ascii="Cambria" w:hAnsi="Cambria"/>
                <w:bCs/>
                <w:sz w:val="20"/>
                <w:szCs w:val="20"/>
                <w:lang w:val="es-ES_tradnl" w:bidi="es-ES"/>
              </w:rPr>
              <w:t xml:space="preserve">Sí, Convención Americana (depósito de instrumento realizado el </w:t>
            </w:r>
            <w:r w:rsidR="008205F3" w:rsidRPr="005C07FD">
              <w:rPr>
                <w:rFonts w:ascii="Cambria" w:hAnsi="Cambria"/>
                <w:bCs/>
                <w:sz w:val="20"/>
                <w:szCs w:val="20"/>
                <w:lang w:val="es-ES_tradnl" w:bidi="es-ES"/>
              </w:rPr>
              <w:t>25</w:t>
            </w:r>
            <w:r w:rsidRPr="005C07FD">
              <w:rPr>
                <w:rFonts w:ascii="Cambria" w:hAnsi="Cambria"/>
                <w:bCs/>
                <w:sz w:val="20"/>
                <w:szCs w:val="20"/>
                <w:lang w:val="es-ES_tradnl" w:bidi="es-ES"/>
              </w:rPr>
              <w:t xml:space="preserve"> de </w:t>
            </w:r>
            <w:r w:rsidR="008205F3" w:rsidRPr="005C07FD">
              <w:rPr>
                <w:rFonts w:ascii="Cambria" w:hAnsi="Cambria"/>
                <w:bCs/>
                <w:sz w:val="20"/>
                <w:szCs w:val="20"/>
                <w:lang w:val="es-ES_tradnl" w:bidi="es-ES"/>
              </w:rPr>
              <w:t>septiembre</w:t>
            </w:r>
            <w:r w:rsidRPr="005C07FD">
              <w:rPr>
                <w:rFonts w:ascii="Cambria" w:hAnsi="Cambria"/>
                <w:bCs/>
                <w:sz w:val="20"/>
                <w:szCs w:val="20"/>
                <w:lang w:val="es-ES_tradnl" w:bidi="es-ES"/>
              </w:rPr>
              <w:t xml:space="preserve"> de 19</w:t>
            </w:r>
            <w:r w:rsidR="008205F3" w:rsidRPr="005C07FD">
              <w:rPr>
                <w:rFonts w:ascii="Cambria" w:hAnsi="Cambria"/>
                <w:bCs/>
                <w:sz w:val="20"/>
                <w:szCs w:val="20"/>
                <w:lang w:val="es-ES_tradnl" w:bidi="es-ES"/>
              </w:rPr>
              <w:t>92)</w:t>
            </w:r>
            <w:r w:rsidR="00700F50" w:rsidRPr="005C07FD">
              <w:rPr>
                <w:rFonts w:ascii="Cambria" w:hAnsi="Cambria"/>
                <w:bCs/>
                <w:sz w:val="20"/>
                <w:szCs w:val="20"/>
                <w:lang w:val="es-ES_tradnl" w:bidi="es-ES"/>
              </w:rPr>
              <w:t xml:space="preserve"> </w:t>
            </w:r>
          </w:p>
        </w:tc>
      </w:tr>
    </w:tbl>
    <w:p w14:paraId="299A3868" w14:textId="763E2446" w:rsidR="003239B8" w:rsidRPr="005C07FD" w:rsidRDefault="003239B8" w:rsidP="003239B8">
      <w:pPr>
        <w:spacing w:before="240" w:after="240"/>
        <w:ind w:firstLine="720"/>
        <w:jc w:val="both"/>
        <w:rPr>
          <w:rFonts w:ascii="Cambria" w:hAnsi="Cambria"/>
          <w:b/>
          <w:bCs/>
          <w:sz w:val="20"/>
          <w:szCs w:val="20"/>
          <w:lang w:val="es-ES_tradnl"/>
        </w:rPr>
      </w:pPr>
      <w:r w:rsidRPr="005C07FD">
        <w:rPr>
          <w:rFonts w:ascii="Cambria" w:hAnsi="Cambria"/>
          <w:b/>
          <w:bCs/>
          <w:sz w:val="20"/>
          <w:szCs w:val="20"/>
          <w:lang w:val="es-ES_tradnl"/>
        </w:rPr>
        <w:t xml:space="preserve">IV. </w:t>
      </w:r>
      <w:r w:rsidRPr="005C07FD">
        <w:rPr>
          <w:rFonts w:ascii="Cambria" w:hAnsi="Cambria"/>
          <w:b/>
          <w:bCs/>
          <w:sz w:val="20"/>
          <w:szCs w:val="20"/>
          <w:lang w:val="es-ES_tradnl"/>
        </w:rPr>
        <w:tab/>
      </w:r>
      <w:r w:rsidR="00EE00E9" w:rsidRPr="005C07FD">
        <w:rPr>
          <w:rFonts w:ascii="Cambria" w:hAnsi="Cambria"/>
          <w:b/>
          <w:bCs/>
          <w:sz w:val="20"/>
          <w:szCs w:val="20"/>
          <w:lang w:val="es-ES_tradnl"/>
        </w:rPr>
        <w:t>DUPLICACIÓN</w:t>
      </w:r>
      <w:r w:rsidR="00EE00E9" w:rsidRPr="005C07FD">
        <w:rPr>
          <w:rFonts w:ascii="Cambria" w:hAnsi="Cambria"/>
          <w:b/>
          <w:bCs/>
          <w:color w:val="FFFFFF" w:themeColor="background1"/>
          <w:sz w:val="20"/>
          <w:szCs w:val="20"/>
          <w:lang w:val="es-ES_tradnl"/>
        </w:rPr>
        <w:t xml:space="preserve"> </w:t>
      </w:r>
      <w:r w:rsidR="00EE00E9" w:rsidRPr="005C07FD">
        <w:rPr>
          <w:rFonts w:ascii="Cambria" w:hAnsi="Cambria"/>
          <w:b/>
          <w:bCs/>
          <w:sz w:val="20"/>
          <w:szCs w:val="20"/>
          <w:lang w:val="es-ES_tradnl"/>
        </w:rPr>
        <w:t>DE PROCEDIMIENTOS Y COSA JUZGADA</w:t>
      </w:r>
      <w:r w:rsidR="00EE00E9" w:rsidRPr="005C07FD">
        <w:rPr>
          <w:rFonts w:ascii="Cambria" w:hAnsi="Cambria"/>
          <w:b/>
          <w:bCs/>
          <w:i/>
          <w:sz w:val="20"/>
          <w:szCs w:val="20"/>
          <w:lang w:val="es-ES_tradnl"/>
        </w:rPr>
        <w:t xml:space="preserve"> </w:t>
      </w:r>
      <w:r w:rsidR="00EE00E9" w:rsidRPr="005C07FD">
        <w:rPr>
          <w:rFonts w:ascii="Cambria" w:hAnsi="Cambria"/>
          <w:b/>
          <w:bCs/>
          <w:sz w:val="20"/>
          <w:szCs w:val="20"/>
          <w:lang w:val="es-ES_tradnl"/>
        </w:rPr>
        <w:t xml:space="preserve">INTERNACIONAL, </w:t>
      </w:r>
      <w:r w:rsidRPr="005C07FD">
        <w:rPr>
          <w:rFonts w:ascii="Cambria" w:hAnsi="Cambria"/>
          <w:b/>
          <w:bCs/>
          <w:sz w:val="20"/>
          <w:szCs w:val="20"/>
          <w:lang w:val="es-ES_tradnl"/>
        </w:rPr>
        <w:t xml:space="preserve">CARACTERIZACIÓN, </w:t>
      </w:r>
      <w:r w:rsidRPr="005C07FD">
        <w:rPr>
          <w:rFonts w:ascii="Cambria" w:hAnsi="Cambria"/>
          <w:b/>
          <w:sz w:val="20"/>
          <w:szCs w:val="20"/>
          <w:lang w:val="es-ES_tradnl"/>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3"/>
        <w:gridCol w:w="5774"/>
      </w:tblGrid>
      <w:tr w:rsidR="00EE00E9" w:rsidRPr="005C07FD" w14:paraId="161C8568" w14:textId="77777777" w:rsidTr="006F7C1E">
        <w:trPr>
          <w:cantSplit/>
        </w:trPr>
        <w:tc>
          <w:tcPr>
            <w:tcW w:w="3563" w:type="dxa"/>
            <w:tcBorders>
              <w:top w:val="single" w:sz="4" w:space="0" w:color="auto"/>
              <w:bottom w:val="single" w:sz="6" w:space="0" w:color="auto"/>
            </w:tcBorders>
            <w:shd w:val="clear" w:color="auto" w:fill="386294"/>
            <w:vAlign w:val="center"/>
          </w:tcPr>
          <w:p w14:paraId="1C72AC6C" w14:textId="77777777" w:rsidR="00EE00E9" w:rsidRPr="005C07FD" w:rsidRDefault="00EE00E9" w:rsidP="008D2290">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Duplicación de procedimientos y cosa juzgada internacional:</w:t>
            </w:r>
          </w:p>
        </w:tc>
        <w:tc>
          <w:tcPr>
            <w:tcW w:w="5774" w:type="dxa"/>
            <w:vAlign w:val="center"/>
          </w:tcPr>
          <w:p w14:paraId="764D7F60" w14:textId="003B40D1" w:rsidR="00EE00E9" w:rsidRPr="005C07FD" w:rsidRDefault="00A004BB" w:rsidP="008D2290">
            <w:pPr>
              <w:jc w:val="both"/>
              <w:rPr>
                <w:rFonts w:ascii="Cambria" w:hAnsi="Cambria"/>
                <w:bCs/>
                <w:sz w:val="20"/>
                <w:szCs w:val="20"/>
                <w:lang w:val="es-ES_tradnl"/>
              </w:rPr>
            </w:pPr>
            <w:r w:rsidRPr="005C07FD">
              <w:rPr>
                <w:rFonts w:ascii="Cambria" w:hAnsi="Cambria"/>
                <w:bCs/>
                <w:sz w:val="20"/>
                <w:szCs w:val="20"/>
                <w:lang w:val="es-ES_tradnl"/>
              </w:rPr>
              <w:t>No</w:t>
            </w:r>
          </w:p>
        </w:tc>
      </w:tr>
      <w:tr w:rsidR="003239B8" w:rsidRPr="00CA7CAB" w14:paraId="3ED57BF3" w14:textId="77777777" w:rsidTr="006F7C1E">
        <w:trPr>
          <w:cantSplit/>
        </w:trPr>
        <w:tc>
          <w:tcPr>
            <w:tcW w:w="3563" w:type="dxa"/>
            <w:tcBorders>
              <w:top w:val="single" w:sz="4" w:space="0" w:color="auto"/>
              <w:bottom w:val="single" w:sz="6" w:space="0" w:color="auto"/>
            </w:tcBorders>
            <w:shd w:val="clear" w:color="auto" w:fill="386294"/>
            <w:vAlign w:val="center"/>
          </w:tcPr>
          <w:p w14:paraId="5F36A040" w14:textId="77777777" w:rsidR="003239B8" w:rsidRPr="005C07FD" w:rsidRDefault="003239B8" w:rsidP="008D2290">
            <w:pPr>
              <w:jc w:val="center"/>
              <w:rPr>
                <w:rFonts w:ascii="Cambria" w:hAnsi="Cambria"/>
                <w:b/>
                <w:bCs/>
                <w:i/>
                <w:color w:val="FFFFFF" w:themeColor="background1"/>
                <w:sz w:val="20"/>
                <w:szCs w:val="20"/>
                <w:lang w:val="es-ES_tradnl"/>
              </w:rPr>
            </w:pPr>
            <w:r w:rsidRPr="005C07FD">
              <w:rPr>
                <w:rFonts w:ascii="Cambria" w:hAnsi="Cambria"/>
                <w:b/>
                <w:bCs/>
                <w:color w:val="FFFFFF" w:themeColor="background1"/>
                <w:sz w:val="20"/>
                <w:szCs w:val="20"/>
                <w:lang w:val="es-ES_tradnl"/>
              </w:rPr>
              <w:t>Derechos declarados admisibles</w:t>
            </w:r>
            <w:r w:rsidRPr="005C07FD">
              <w:rPr>
                <w:rFonts w:ascii="Cambria" w:hAnsi="Cambria"/>
                <w:b/>
                <w:bCs/>
                <w:i/>
                <w:color w:val="FFFFFF" w:themeColor="background1"/>
                <w:sz w:val="20"/>
                <w:szCs w:val="20"/>
                <w:lang w:val="es-ES_tradnl"/>
              </w:rPr>
              <w:t>:</w:t>
            </w:r>
          </w:p>
        </w:tc>
        <w:tc>
          <w:tcPr>
            <w:tcW w:w="5774" w:type="dxa"/>
            <w:vAlign w:val="center"/>
          </w:tcPr>
          <w:p w14:paraId="4DAE9D4D" w14:textId="16A57033" w:rsidR="003239B8" w:rsidRPr="005C07FD" w:rsidRDefault="002D05F6" w:rsidP="008D2290">
            <w:pPr>
              <w:jc w:val="both"/>
              <w:rPr>
                <w:rFonts w:ascii="Cambria" w:hAnsi="Cambria"/>
                <w:bCs/>
                <w:sz w:val="20"/>
                <w:szCs w:val="20"/>
                <w:lang w:val="es-ES_tradnl"/>
              </w:rPr>
            </w:pPr>
            <w:r w:rsidRPr="005C07FD">
              <w:rPr>
                <w:rFonts w:ascii="Cambria" w:hAnsi="Cambria"/>
                <w:bCs/>
                <w:sz w:val="20"/>
                <w:szCs w:val="20"/>
                <w:lang w:val="es-ES_tradnl" w:bidi="es-ES"/>
              </w:rPr>
              <w:t>Artículos 8 (garantías judiciales)</w:t>
            </w:r>
            <w:r w:rsidR="00780BF9">
              <w:rPr>
                <w:rFonts w:ascii="Cambria" w:hAnsi="Cambria"/>
                <w:bCs/>
                <w:sz w:val="20"/>
                <w:szCs w:val="20"/>
                <w:lang w:val="es-ES_tradnl" w:bidi="es-ES"/>
              </w:rPr>
              <w:t>, 24 (igualdad ante la ley)</w:t>
            </w:r>
            <w:r w:rsidR="00DC1B4C" w:rsidRPr="005C07FD">
              <w:rPr>
                <w:rFonts w:ascii="Cambria" w:hAnsi="Cambria"/>
                <w:bCs/>
                <w:sz w:val="20"/>
                <w:szCs w:val="20"/>
                <w:lang w:val="es-ES_tradnl" w:bidi="es-ES"/>
              </w:rPr>
              <w:t xml:space="preserve"> </w:t>
            </w:r>
            <w:r w:rsidRPr="005C07FD">
              <w:rPr>
                <w:rFonts w:ascii="Cambria" w:hAnsi="Cambria"/>
                <w:bCs/>
                <w:sz w:val="20"/>
                <w:szCs w:val="20"/>
                <w:lang w:val="es-ES_tradnl" w:bidi="es-ES"/>
              </w:rPr>
              <w:t xml:space="preserve">y 25 (protección judicial) </w:t>
            </w:r>
            <w:r w:rsidR="00780BF9">
              <w:rPr>
                <w:rFonts w:ascii="Cambria" w:hAnsi="Cambria"/>
                <w:bCs/>
                <w:sz w:val="20"/>
                <w:szCs w:val="20"/>
                <w:lang w:val="es-ES_tradnl" w:bidi="es-ES"/>
              </w:rPr>
              <w:t xml:space="preserve">de la Convención Americana, en conexión con su </w:t>
            </w:r>
            <w:r w:rsidRPr="005C07FD">
              <w:rPr>
                <w:rFonts w:ascii="Cambria" w:hAnsi="Cambria"/>
                <w:bCs/>
                <w:sz w:val="20"/>
                <w:szCs w:val="20"/>
                <w:lang w:val="es-ES_tradnl" w:bidi="es-ES"/>
              </w:rPr>
              <w:t>artículo 1.1 (obligación de respetar los derechos) de la Convención Americana</w:t>
            </w:r>
          </w:p>
        </w:tc>
      </w:tr>
      <w:tr w:rsidR="003239B8" w:rsidRPr="00CA7CAB" w14:paraId="5702249F" w14:textId="77777777" w:rsidTr="006F7C1E">
        <w:trPr>
          <w:cantSplit/>
        </w:trPr>
        <w:tc>
          <w:tcPr>
            <w:tcW w:w="3563" w:type="dxa"/>
            <w:tcBorders>
              <w:top w:val="single" w:sz="6" w:space="0" w:color="auto"/>
              <w:bottom w:val="single" w:sz="6" w:space="0" w:color="auto"/>
            </w:tcBorders>
            <w:shd w:val="clear" w:color="auto" w:fill="386294"/>
            <w:vAlign w:val="center"/>
          </w:tcPr>
          <w:p w14:paraId="1F00DF1D" w14:textId="77777777" w:rsidR="003239B8" w:rsidRPr="005C07FD" w:rsidRDefault="003239B8" w:rsidP="008D2290">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Agotamiento de recursos internos</w:t>
            </w:r>
            <w:r w:rsidR="00EE00E9" w:rsidRPr="005C07FD">
              <w:rPr>
                <w:rFonts w:ascii="Cambria" w:hAnsi="Cambria"/>
                <w:b/>
                <w:bCs/>
                <w:color w:val="FFFFFF" w:themeColor="background1"/>
                <w:sz w:val="20"/>
                <w:szCs w:val="20"/>
                <w:lang w:val="es-ES_tradnl"/>
              </w:rPr>
              <w:t xml:space="preserve"> o procedencia de una excepción</w:t>
            </w:r>
            <w:r w:rsidRPr="005C07FD">
              <w:rPr>
                <w:rFonts w:ascii="Cambria" w:hAnsi="Cambria"/>
                <w:b/>
                <w:bCs/>
                <w:color w:val="FFFFFF" w:themeColor="background1"/>
                <w:sz w:val="20"/>
                <w:szCs w:val="20"/>
                <w:lang w:val="es-ES_tradnl"/>
              </w:rPr>
              <w:t>:</w:t>
            </w:r>
          </w:p>
        </w:tc>
        <w:tc>
          <w:tcPr>
            <w:tcW w:w="5774" w:type="dxa"/>
            <w:vAlign w:val="center"/>
          </w:tcPr>
          <w:p w14:paraId="7F7C1A19" w14:textId="52821FE1" w:rsidR="003239B8" w:rsidRPr="005C07FD" w:rsidRDefault="00A004BB" w:rsidP="008D2290">
            <w:pPr>
              <w:rPr>
                <w:rFonts w:ascii="Cambria" w:hAnsi="Cambria"/>
                <w:bCs/>
                <w:sz w:val="20"/>
                <w:szCs w:val="20"/>
                <w:lang w:val="es-ES_tradnl"/>
              </w:rPr>
            </w:pPr>
            <w:r w:rsidRPr="005C07FD">
              <w:rPr>
                <w:rFonts w:ascii="Cambria" w:hAnsi="Cambria"/>
                <w:bCs/>
                <w:sz w:val="20"/>
                <w:szCs w:val="20"/>
                <w:lang w:val="es-ES_tradnl" w:bidi="es-ES"/>
              </w:rPr>
              <w:t>Sí</w:t>
            </w:r>
            <w:r w:rsidR="009C1811">
              <w:rPr>
                <w:rFonts w:ascii="Cambria" w:hAnsi="Cambria"/>
                <w:bCs/>
                <w:sz w:val="20"/>
                <w:szCs w:val="20"/>
                <w:lang w:val="es-ES_tradnl" w:bidi="es-ES"/>
              </w:rPr>
              <w:t>, el 18 de febrero de 2020</w:t>
            </w:r>
          </w:p>
        </w:tc>
      </w:tr>
      <w:tr w:rsidR="000342AB" w:rsidRPr="00023471" w14:paraId="7A101B89" w14:textId="77777777" w:rsidTr="006F7C1E">
        <w:trPr>
          <w:cantSplit/>
        </w:trPr>
        <w:tc>
          <w:tcPr>
            <w:tcW w:w="3563" w:type="dxa"/>
            <w:tcBorders>
              <w:top w:val="single" w:sz="6" w:space="0" w:color="auto"/>
              <w:bottom w:val="single" w:sz="6" w:space="0" w:color="auto"/>
            </w:tcBorders>
            <w:shd w:val="clear" w:color="auto" w:fill="386294"/>
            <w:vAlign w:val="center"/>
          </w:tcPr>
          <w:p w14:paraId="0843C533" w14:textId="77777777" w:rsidR="000342AB" w:rsidRPr="005C07FD" w:rsidRDefault="000342AB" w:rsidP="000342AB">
            <w:pPr>
              <w:jc w:val="center"/>
              <w:rPr>
                <w:rFonts w:ascii="Cambria" w:hAnsi="Cambria"/>
                <w:b/>
                <w:bCs/>
                <w:color w:val="FFFFFF" w:themeColor="background1"/>
                <w:sz w:val="20"/>
                <w:szCs w:val="20"/>
                <w:lang w:val="es-ES_tradnl"/>
              </w:rPr>
            </w:pPr>
            <w:r w:rsidRPr="005C07FD">
              <w:rPr>
                <w:rFonts w:ascii="Cambria" w:hAnsi="Cambria"/>
                <w:b/>
                <w:bCs/>
                <w:color w:val="FFFFFF" w:themeColor="background1"/>
                <w:sz w:val="20"/>
                <w:szCs w:val="20"/>
                <w:lang w:val="es-ES_tradnl"/>
              </w:rPr>
              <w:t>Presentación dentro de plazo:</w:t>
            </w:r>
          </w:p>
        </w:tc>
        <w:tc>
          <w:tcPr>
            <w:tcW w:w="5774" w:type="dxa"/>
            <w:vAlign w:val="center"/>
          </w:tcPr>
          <w:p w14:paraId="2AF0FC69" w14:textId="583DB629" w:rsidR="000342AB" w:rsidRPr="005C07FD" w:rsidRDefault="000342AB" w:rsidP="000342AB">
            <w:pPr>
              <w:rPr>
                <w:rFonts w:ascii="Cambria" w:hAnsi="Cambria"/>
                <w:bCs/>
                <w:sz w:val="20"/>
                <w:szCs w:val="20"/>
                <w:lang w:val="es-ES_tradnl"/>
              </w:rPr>
            </w:pPr>
            <w:r w:rsidRPr="005C07FD">
              <w:rPr>
                <w:rFonts w:ascii="Cambria" w:hAnsi="Cambria"/>
                <w:bCs/>
                <w:sz w:val="20"/>
                <w:szCs w:val="20"/>
                <w:lang w:val="es-ES_tradnl" w:bidi="es-ES"/>
              </w:rPr>
              <w:t>Sí</w:t>
            </w:r>
          </w:p>
        </w:tc>
      </w:tr>
    </w:tbl>
    <w:p w14:paraId="71E2386F" w14:textId="77777777" w:rsidR="00302D8F" w:rsidRDefault="00302D8F" w:rsidP="00302D8F">
      <w:pPr>
        <w:ind w:firstLine="720"/>
        <w:jc w:val="both"/>
        <w:rPr>
          <w:rFonts w:ascii="Cambria" w:hAnsi="Cambria"/>
          <w:b/>
          <w:sz w:val="20"/>
          <w:szCs w:val="20"/>
          <w:lang w:val="es-ES_tradnl"/>
        </w:rPr>
      </w:pPr>
    </w:p>
    <w:p w14:paraId="56FD5D57" w14:textId="31E19117" w:rsidR="003239B8" w:rsidRPr="00302D8F" w:rsidRDefault="00223A29" w:rsidP="00302D8F">
      <w:pPr>
        <w:ind w:firstLine="720"/>
        <w:jc w:val="both"/>
        <w:rPr>
          <w:rFonts w:ascii="Cambria" w:hAnsi="Cambria"/>
          <w:b/>
          <w:sz w:val="20"/>
          <w:szCs w:val="20"/>
          <w:lang w:val="es-ES_tradnl"/>
        </w:rPr>
      </w:pPr>
      <w:r w:rsidRPr="00302D8F">
        <w:rPr>
          <w:rFonts w:ascii="Cambria" w:hAnsi="Cambria"/>
          <w:b/>
          <w:sz w:val="20"/>
          <w:szCs w:val="20"/>
          <w:lang w:val="es-ES_tradnl"/>
        </w:rPr>
        <w:t xml:space="preserve">V. </w:t>
      </w:r>
      <w:r w:rsidRPr="00302D8F">
        <w:rPr>
          <w:rFonts w:ascii="Cambria" w:hAnsi="Cambria"/>
          <w:b/>
          <w:sz w:val="20"/>
          <w:szCs w:val="20"/>
          <w:lang w:val="es-ES_tradnl"/>
        </w:rPr>
        <w:tab/>
      </w:r>
      <w:r w:rsidR="004241A0" w:rsidRPr="00302D8F">
        <w:rPr>
          <w:rFonts w:ascii="Cambria" w:hAnsi="Cambria"/>
          <w:b/>
          <w:sz w:val="20"/>
          <w:szCs w:val="20"/>
          <w:lang w:val="es-ES_tradnl"/>
        </w:rPr>
        <w:t>POSICIÓN DE LAS PARTES</w:t>
      </w:r>
      <w:r w:rsidR="003239B8" w:rsidRPr="00302D8F">
        <w:rPr>
          <w:rFonts w:ascii="Cambria" w:hAnsi="Cambria"/>
          <w:b/>
          <w:sz w:val="20"/>
          <w:szCs w:val="20"/>
          <w:lang w:val="es-ES_tradnl"/>
        </w:rPr>
        <w:t xml:space="preserve"> </w:t>
      </w:r>
    </w:p>
    <w:p w14:paraId="3587E4AA" w14:textId="77777777" w:rsidR="00302D8F" w:rsidRPr="00302D8F" w:rsidRDefault="00302D8F" w:rsidP="00302D8F">
      <w:pPr>
        <w:ind w:firstLine="720"/>
        <w:jc w:val="both"/>
        <w:rPr>
          <w:rFonts w:ascii="Cambria" w:hAnsi="Cambria"/>
          <w:b/>
          <w:sz w:val="20"/>
          <w:szCs w:val="20"/>
          <w:lang w:val="es-ES_tradnl"/>
        </w:rPr>
      </w:pPr>
    </w:p>
    <w:p w14:paraId="482818D3" w14:textId="0E9BF7E8" w:rsidR="00DC1B4C" w:rsidRPr="00302D8F" w:rsidRDefault="00DC1B4C"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 xml:space="preserve">La parte peticionaria alega que </w:t>
      </w:r>
      <w:r w:rsidR="00023471" w:rsidRPr="00302D8F">
        <w:rPr>
          <w:sz w:val="20"/>
          <w:szCs w:val="20"/>
          <w:lang w:val="es-ES_tradnl"/>
        </w:rPr>
        <w:t xml:space="preserve">el Estado es responsable por el retraso </w:t>
      </w:r>
      <w:r w:rsidR="00600735" w:rsidRPr="00302D8F">
        <w:rPr>
          <w:sz w:val="20"/>
          <w:szCs w:val="20"/>
          <w:lang w:val="es-ES_tradnl"/>
        </w:rPr>
        <w:t>en la</w:t>
      </w:r>
      <w:r w:rsidR="00023471" w:rsidRPr="00302D8F">
        <w:rPr>
          <w:sz w:val="20"/>
          <w:szCs w:val="20"/>
          <w:lang w:val="es-ES_tradnl"/>
        </w:rPr>
        <w:t xml:space="preserve"> tramitación y cumplimiento de sentencia referentes a un litigio civil</w:t>
      </w:r>
      <w:r w:rsidR="00F05125" w:rsidRPr="00302D8F">
        <w:rPr>
          <w:sz w:val="20"/>
          <w:szCs w:val="20"/>
          <w:lang w:val="es-ES_tradnl"/>
        </w:rPr>
        <w:t xml:space="preserve">, en perjuicio de </w:t>
      </w:r>
      <w:r w:rsidR="003A2161" w:rsidRPr="00302D8F">
        <w:rPr>
          <w:sz w:val="20"/>
          <w:szCs w:val="20"/>
          <w:lang w:val="es-ES_tradnl"/>
        </w:rPr>
        <w:t xml:space="preserve">la presunta víctima, </w:t>
      </w:r>
      <w:r w:rsidR="00F05125" w:rsidRPr="00302D8F">
        <w:rPr>
          <w:sz w:val="20"/>
          <w:szCs w:val="20"/>
          <w:lang w:val="es-ES_tradnl"/>
        </w:rPr>
        <w:t>una persona mayor</w:t>
      </w:r>
      <w:r w:rsidRPr="00302D8F">
        <w:rPr>
          <w:sz w:val="20"/>
          <w:szCs w:val="20"/>
          <w:lang w:val="es-ES_tradnl"/>
        </w:rPr>
        <w:t>.</w:t>
      </w:r>
      <w:r w:rsidR="005B1358" w:rsidRPr="00302D8F">
        <w:rPr>
          <w:sz w:val="20"/>
          <w:szCs w:val="20"/>
          <w:lang w:val="es-ES_tradnl"/>
        </w:rPr>
        <w:t xml:space="preserve"> </w:t>
      </w:r>
    </w:p>
    <w:p w14:paraId="1082433F" w14:textId="77777777" w:rsidR="00302D8F" w:rsidRPr="00302D8F" w:rsidRDefault="00302D8F" w:rsidP="00302D8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17828385" w14:textId="705A71B2" w:rsidR="003E4493" w:rsidRPr="00302D8F" w:rsidRDefault="00DC1B4C"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Según la parte peticionaria la Sra. Rosa Bezerra da Silva</w:t>
      </w:r>
      <w:r w:rsidR="00023471" w:rsidRPr="00302D8F">
        <w:rPr>
          <w:sz w:val="20"/>
          <w:szCs w:val="20"/>
          <w:lang w:val="es-ES_tradnl"/>
        </w:rPr>
        <w:t xml:space="preserve"> </w:t>
      </w:r>
      <w:r w:rsidRPr="00302D8F">
        <w:rPr>
          <w:sz w:val="20"/>
          <w:szCs w:val="20"/>
          <w:lang w:val="es-ES_tradnl"/>
        </w:rPr>
        <w:t xml:space="preserve">interpuso </w:t>
      </w:r>
      <w:r w:rsidR="00FC0ED9" w:rsidRPr="00302D8F">
        <w:rPr>
          <w:sz w:val="20"/>
          <w:szCs w:val="20"/>
          <w:lang w:val="es-ES_tradnl"/>
        </w:rPr>
        <w:t xml:space="preserve">una </w:t>
      </w:r>
      <w:r w:rsidRPr="00302D8F">
        <w:rPr>
          <w:sz w:val="20"/>
          <w:szCs w:val="20"/>
          <w:lang w:val="es-ES_tradnl"/>
        </w:rPr>
        <w:t>demanda el 31 de mayo de 2007 contra el Banco Bradesco S/A</w:t>
      </w:r>
      <w:r w:rsidR="00FC0ED9" w:rsidRPr="00302D8F">
        <w:rPr>
          <w:sz w:val="20"/>
          <w:szCs w:val="20"/>
          <w:lang w:val="es-ES_tradnl"/>
        </w:rPr>
        <w:t>,</w:t>
      </w:r>
      <w:r w:rsidRPr="00302D8F">
        <w:rPr>
          <w:sz w:val="20"/>
          <w:szCs w:val="20"/>
          <w:lang w:val="es-ES_tradnl"/>
        </w:rPr>
        <w:t xml:space="preserve"> Proceso n.º 0002240-85.2007.8.26.0108</w:t>
      </w:r>
      <w:r w:rsidR="00FC0ED9" w:rsidRPr="00302D8F">
        <w:rPr>
          <w:sz w:val="20"/>
          <w:szCs w:val="20"/>
          <w:lang w:val="es-ES_tradnl"/>
        </w:rPr>
        <w:t>,</w:t>
      </w:r>
      <w:r w:rsidRPr="00302D8F">
        <w:rPr>
          <w:sz w:val="20"/>
          <w:szCs w:val="20"/>
          <w:lang w:val="es-ES_tradnl"/>
        </w:rPr>
        <w:t xml:space="preserve"> referente a</w:t>
      </w:r>
      <w:r w:rsidR="003E4493" w:rsidRPr="00302D8F">
        <w:rPr>
          <w:sz w:val="20"/>
          <w:szCs w:val="20"/>
          <w:lang w:val="es-ES_tradnl"/>
        </w:rPr>
        <w:t xml:space="preserve"> una controversia </w:t>
      </w:r>
      <w:r w:rsidR="003E4493" w:rsidRPr="00302D8F">
        <w:rPr>
          <w:sz w:val="20"/>
          <w:szCs w:val="20"/>
          <w:lang w:val="es-ES_tradnl"/>
        </w:rPr>
        <w:lastRenderedPageBreak/>
        <w:t>sobre el índice para calcular las ganancias derivadas de l</w:t>
      </w:r>
      <w:r w:rsidRPr="00302D8F">
        <w:rPr>
          <w:sz w:val="20"/>
          <w:szCs w:val="20"/>
          <w:lang w:val="es-ES_tradnl"/>
        </w:rPr>
        <w:t xml:space="preserve">a cuenta de ahorros que mantuvo en dicho </w:t>
      </w:r>
      <w:r w:rsidR="003176B3" w:rsidRPr="00302D8F">
        <w:rPr>
          <w:sz w:val="20"/>
          <w:szCs w:val="20"/>
          <w:lang w:val="es-ES_tradnl"/>
        </w:rPr>
        <w:t>b</w:t>
      </w:r>
      <w:r w:rsidRPr="00302D8F">
        <w:rPr>
          <w:sz w:val="20"/>
          <w:szCs w:val="20"/>
          <w:lang w:val="es-ES_tradnl"/>
        </w:rPr>
        <w:t xml:space="preserve">anco en los meses de junio de 1987, enero y febrero de 1989 y abril de 1990. </w:t>
      </w:r>
    </w:p>
    <w:p w14:paraId="58C8A124" w14:textId="77777777" w:rsidR="00302D8F" w:rsidRPr="00302D8F" w:rsidRDefault="00302D8F" w:rsidP="00302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783D5216" w14:textId="3E2F76A5" w:rsidR="00E6535D" w:rsidRPr="00302D8F" w:rsidRDefault="00DC1B4C"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 xml:space="preserve">En diciembre de 2007 se dictó sentencia parcialmente favorable a la Sra. Rosa </w:t>
      </w:r>
      <w:r w:rsidR="00333DFE" w:rsidRPr="00302D8F">
        <w:rPr>
          <w:sz w:val="20"/>
          <w:szCs w:val="20"/>
          <w:lang w:val="es-ES_tradnl"/>
        </w:rPr>
        <w:t>Bezerra que</w:t>
      </w:r>
      <w:r w:rsidRPr="00302D8F">
        <w:rPr>
          <w:sz w:val="20"/>
          <w:szCs w:val="20"/>
          <w:lang w:val="es-ES_tradnl"/>
        </w:rPr>
        <w:t xml:space="preserve"> condenó al </w:t>
      </w:r>
      <w:r w:rsidR="003176B3" w:rsidRPr="00302D8F">
        <w:rPr>
          <w:sz w:val="20"/>
          <w:szCs w:val="20"/>
          <w:lang w:val="es-ES_tradnl"/>
        </w:rPr>
        <w:t>banco</w:t>
      </w:r>
      <w:r w:rsidRPr="00302D8F">
        <w:rPr>
          <w:sz w:val="20"/>
          <w:szCs w:val="20"/>
          <w:lang w:val="es-ES_tradnl"/>
        </w:rPr>
        <w:t xml:space="preserve"> a pagar la diferencia resultante de la aplicación del índice de 42,72% para enero de 1989 y 10,14% para febrero</w:t>
      </w:r>
      <w:r w:rsidR="00333DFE" w:rsidRPr="00302D8F">
        <w:rPr>
          <w:sz w:val="20"/>
          <w:szCs w:val="20"/>
          <w:lang w:val="es-ES_tradnl"/>
        </w:rPr>
        <w:t xml:space="preserve"> de </w:t>
      </w:r>
      <w:r w:rsidRPr="00302D8F">
        <w:rPr>
          <w:sz w:val="20"/>
          <w:szCs w:val="20"/>
          <w:lang w:val="es-ES_tradnl"/>
        </w:rPr>
        <w:t>1989</w:t>
      </w:r>
      <w:r w:rsidR="006A217E" w:rsidRPr="00302D8F">
        <w:rPr>
          <w:sz w:val="20"/>
          <w:szCs w:val="20"/>
          <w:lang w:val="es-ES_tradnl"/>
        </w:rPr>
        <w:t>;</w:t>
      </w:r>
      <w:r w:rsidRPr="00302D8F">
        <w:rPr>
          <w:sz w:val="20"/>
          <w:szCs w:val="20"/>
          <w:lang w:val="es-ES_tradnl"/>
        </w:rPr>
        <w:t xml:space="preserve"> y del efectivamente acreditado por el </w:t>
      </w:r>
      <w:r w:rsidR="003176B3" w:rsidRPr="00302D8F">
        <w:rPr>
          <w:sz w:val="20"/>
          <w:szCs w:val="20"/>
          <w:lang w:val="es-ES_tradnl"/>
        </w:rPr>
        <w:t>b</w:t>
      </w:r>
      <w:r w:rsidRPr="00302D8F">
        <w:rPr>
          <w:sz w:val="20"/>
          <w:szCs w:val="20"/>
          <w:lang w:val="es-ES_tradnl"/>
        </w:rPr>
        <w:t xml:space="preserve">anco, sobre los saldos existentes en aplicación, actualizados más intereses compensatorios y moratorios. </w:t>
      </w:r>
      <w:r w:rsidR="006A217E" w:rsidRPr="00302D8F">
        <w:rPr>
          <w:sz w:val="20"/>
          <w:szCs w:val="20"/>
          <w:lang w:val="es-ES_tradnl"/>
        </w:rPr>
        <w:t>E</w:t>
      </w:r>
      <w:r w:rsidR="003176B3" w:rsidRPr="00302D8F">
        <w:rPr>
          <w:sz w:val="20"/>
          <w:szCs w:val="20"/>
          <w:lang w:val="es-ES_tradnl"/>
        </w:rPr>
        <w:t xml:space="preserve">l banco apeló esta decisión </w:t>
      </w:r>
      <w:r w:rsidRPr="00302D8F">
        <w:rPr>
          <w:sz w:val="20"/>
          <w:szCs w:val="20"/>
          <w:lang w:val="es-ES_tradnl"/>
        </w:rPr>
        <w:t>ante el Tribunal de Justicia de São Paulo</w:t>
      </w:r>
      <w:r w:rsidR="006A217E" w:rsidRPr="00302D8F">
        <w:rPr>
          <w:sz w:val="20"/>
          <w:szCs w:val="20"/>
          <w:lang w:val="es-ES_tradnl"/>
        </w:rPr>
        <w:t>,</w:t>
      </w:r>
      <w:r w:rsidRPr="00302D8F">
        <w:rPr>
          <w:sz w:val="20"/>
          <w:szCs w:val="20"/>
          <w:lang w:val="es-ES_tradnl"/>
        </w:rPr>
        <w:t xml:space="preserve"> y la tramitación del proceso se prorrogó</w:t>
      </w:r>
      <w:r w:rsidR="00C760AB" w:rsidRPr="00302D8F">
        <w:rPr>
          <w:sz w:val="20"/>
          <w:szCs w:val="20"/>
          <w:lang w:val="es-ES_tradnl"/>
        </w:rPr>
        <w:t xml:space="preserve"> como consecuencia de un nuevo recurso interpuesto por el banco </w:t>
      </w:r>
      <w:r w:rsidRPr="00302D8F">
        <w:rPr>
          <w:sz w:val="20"/>
          <w:szCs w:val="20"/>
          <w:lang w:val="es-ES_tradnl"/>
        </w:rPr>
        <w:t xml:space="preserve">ante el Superior Tribunal de Justicia (STJ). A juicio </w:t>
      </w:r>
      <w:r w:rsidR="00E323B2" w:rsidRPr="00302D8F">
        <w:rPr>
          <w:sz w:val="20"/>
          <w:szCs w:val="20"/>
          <w:lang w:val="es-ES_tradnl"/>
        </w:rPr>
        <w:t>de la parte peticionaria</w:t>
      </w:r>
      <w:r w:rsidRPr="00302D8F">
        <w:rPr>
          <w:sz w:val="20"/>
          <w:szCs w:val="20"/>
          <w:lang w:val="es-ES_tradnl"/>
        </w:rPr>
        <w:t>, dicho recurso</w:t>
      </w:r>
      <w:r w:rsidR="00C760AB" w:rsidRPr="00302D8F">
        <w:rPr>
          <w:sz w:val="20"/>
          <w:szCs w:val="20"/>
          <w:lang w:val="es-ES_tradnl"/>
        </w:rPr>
        <w:t xml:space="preserve"> tenía el único propósito de retrasar el resultado del proceso.</w:t>
      </w:r>
      <w:r w:rsidRPr="00302D8F">
        <w:rPr>
          <w:sz w:val="20"/>
          <w:szCs w:val="20"/>
          <w:lang w:val="es-ES_tradnl"/>
        </w:rPr>
        <w:t xml:space="preserve"> </w:t>
      </w:r>
      <w:r w:rsidR="00D90C96" w:rsidRPr="00302D8F">
        <w:rPr>
          <w:sz w:val="20"/>
          <w:szCs w:val="20"/>
          <w:lang w:val="es-ES_tradnl"/>
        </w:rPr>
        <w:t>Sin embargo, e</w:t>
      </w:r>
      <w:r w:rsidRPr="00302D8F">
        <w:rPr>
          <w:sz w:val="20"/>
          <w:szCs w:val="20"/>
          <w:lang w:val="es-ES_tradnl"/>
        </w:rPr>
        <w:t>n septiembre de 2013</w:t>
      </w:r>
      <w:r w:rsidR="00D90C96" w:rsidRPr="00302D8F">
        <w:rPr>
          <w:sz w:val="20"/>
          <w:szCs w:val="20"/>
          <w:lang w:val="es-ES_tradnl"/>
        </w:rPr>
        <w:t xml:space="preserve"> </w:t>
      </w:r>
      <w:r w:rsidRPr="00302D8F">
        <w:rPr>
          <w:sz w:val="20"/>
          <w:szCs w:val="20"/>
          <w:lang w:val="es-ES_tradnl"/>
        </w:rPr>
        <w:t xml:space="preserve">el propio </w:t>
      </w:r>
      <w:r w:rsidR="003176B3" w:rsidRPr="00302D8F">
        <w:rPr>
          <w:sz w:val="20"/>
          <w:szCs w:val="20"/>
          <w:lang w:val="es-ES_tradnl"/>
        </w:rPr>
        <w:t>b</w:t>
      </w:r>
      <w:r w:rsidRPr="00302D8F">
        <w:rPr>
          <w:sz w:val="20"/>
          <w:szCs w:val="20"/>
          <w:lang w:val="es-ES_tradnl"/>
        </w:rPr>
        <w:t>anco reconoció que no valía la pena continuar con los recursos en esta y otras acciones similares, pues sería</w:t>
      </w:r>
      <w:r w:rsidR="006A217E" w:rsidRPr="00302D8F">
        <w:rPr>
          <w:sz w:val="20"/>
          <w:szCs w:val="20"/>
          <w:lang w:val="es-ES_tradnl"/>
        </w:rPr>
        <w:t xml:space="preserve"> un</w:t>
      </w:r>
      <w:r w:rsidRPr="00302D8F">
        <w:rPr>
          <w:sz w:val="20"/>
          <w:szCs w:val="20"/>
          <w:lang w:val="es-ES_tradnl"/>
        </w:rPr>
        <w:t xml:space="preserve"> “</w:t>
      </w:r>
      <w:r w:rsidR="00C760AB" w:rsidRPr="00302D8F">
        <w:rPr>
          <w:i/>
          <w:iCs/>
          <w:sz w:val="20"/>
          <w:szCs w:val="20"/>
          <w:lang w:val="es-ES_tradnl"/>
        </w:rPr>
        <w:t>mero retraso</w:t>
      </w:r>
      <w:r w:rsidRPr="00302D8F">
        <w:rPr>
          <w:sz w:val="20"/>
          <w:szCs w:val="20"/>
          <w:lang w:val="es-ES_tradnl"/>
        </w:rPr>
        <w:t xml:space="preserve">”. </w:t>
      </w:r>
      <w:r w:rsidR="00D90C96" w:rsidRPr="00302D8F">
        <w:rPr>
          <w:sz w:val="20"/>
          <w:szCs w:val="20"/>
          <w:lang w:val="es-ES_tradnl"/>
        </w:rPr>
        <w:t>Ese</w:t>
      </w:r>
      <w:r w:rsidRPr="00302D8F">
        <w:rPr>
          <w:sz w:val="20"/>
          <w:szCs w:val="20"/>
          <w:lang w:val="es-ES_tradnl"/>
        </w:rPr>
        <w:t xml:space="preserve"> mismo mes, el STJ habría aprobado el desistimiento, por parte del </w:t>
      </w:r>
      <w:r w:rsidR="003176B3" w:rsidRPr="00302D8F">
        <w:rPr>
          <w:sz w:val="20"/>
          <w:szCs w:val="20"/>
          <w:lang w:val="es-ES_tradnl"/>
        </w:rPr>
        <w:t>b</w:t>
      </w:r>
      <w:r w:rsidRPr="00302D8F">
        <w:rPr>
          <w:sz w:val="20"/>
          <w:szCs w:val="20"/>
          <w:lang w:val="es-ES_tradnl"/>
        </w:rPr>
        <w:t xml:space="preserve">anco, </w:t>
      </w:r>
      <w:r w:rsidR="003176B3" w:rsidRPr="00302D8F">
        <w:rPr>
          <w:sz w:val="20"/>
          <w:szCs w:val="20"/>
          <w:lang w:val="es-ES_tradnl"/>
        </w:rPr>
        <w:t>con relación al</w:t>
      </w:r>
      <w:r w:rsidRPr="00302D8F">
        <w:rPr>
          <w:sz w:val="20"/>
          <w:szCs w:val="20"/>
          <w:lang w:val="es-ES_tradnl"/>
        </w:rPr>
        <w:t xml:space="preserve"> recurso en cuestión. Para </w:t>
      </w:r>
      <w:r w:rsidR="00E323B2" w:rsidRPr="00302D8F">
        <w:rPr>
          <w:sz w:val="20"/>
          <w:szCs w:val="20"/>
          <w:lang w:val="es-ES_tradnl"/>
        </w:rPr>
        <w:t>la parte peticionaria</w:t>
      </w:r>
      <w:r w:rsidRPr="00302D8F">
        <w:rPr>
          <w:sz w:val="20"/>
          <w:szCs w:val="20"/>
          <w:lang w:val="es-ES_tradnl"/>
        </w:rPr>
        <w:t>, el STJ debería haberle impuesto</w:t>
      </w:r>
      <w:r w:rsidR="003176B3" w:rsidRPr="00302D8F">
        <w:rPr>
          <w:sz w:val="20"/>
          <w:szCs w:val="20"/>
          <w:lang w:val="es-ES_tradnl"/>
        </w:rPr>
        <w:t xml:space="preserve"> al banco</w:t>
      </w:r>
      <w:r w:rsidRPr="00302D8F">
        <w:rPr>
          <w:sz w:val="20"/>
          <w:szCs w:val="20"/>
          <w:lang w:val="es-ES_tradnl"/>
        </w:rPr>
        <w:t xml:space="preserve"> una multa prevista en la legislación interna para cuando la parte interponga recursos </w:t>
      </w:r>
      <w:r w:rsidR="003176B3" w:rsidRPr="00302D8F">
        <w:rPr>
          <w:sz w:val="20"/>
          <w:szCs w:val="20"/>
          <w:lang w:val="es-ES_tradnl"/>
        </w:rPr>
        <w:t>dilatorios;</w:t>
      </w:r>
      <w:r w:rsidR="00C760AB" w:rsidRPr="00302D8F">
        <w:rPr>
          <w:sz w:val="20"/>
          <w:szCs w:val="20"/>
          <w:lang w:val="es-ES_tradnl"/>
        </w:rPr>
        <w:t xml:space="preserve"> </w:t>
      </w:r>
      <w:r w:rsidR="00A877CB" w:rsidRPr="00302D8F">
        <w:rPr>
          <w:sz w:val="20"/>
          <w:szCs w:val="20"/>
          <w:lang w:val="es-ES_tradnl"/>
        </w:rPr>
        <w:t>y</w:t>
      </w:r>
      <w:r w:rsidR="00C760AB" w:rsidRPr="00302D8F">
        <w:rPr>
          <w:sz w:val="20"/>
          <w:szCs w:val="20"/>
          <w:lang w:val="es-ES_tradnl"/>
        </w:rPr>
        <w:t xml:space="preserve"> argumenta que en otros países el instituto de daños punitivos se aplica a situaciones similares de </w:t>
      </w:r>
      <w:r w:rsidR="00A877CB" w:rsidRPr="00302D8F">
        <w:rPr>
          <w:sz w:val="20"/>
          <w:szCs w:val="20"/>
          <w:lang w:val="es-ES_tradnl"/>
        </w:rPr>
        <w:t>litigio</w:t>
      </w:r>
      <w:r w:rsidR="00C760AB" w:rsidRPr="00302D8F">
        <w:rPr>
          <w:sz w:val="20"/>
          <w:szCs w:val="20"/>
          <w:lang w:val="es-ES_tradnl"/>
        </w:rPr>
        <w:t xml:space="preserve"> de mala fe.</w:t>
      </w:r>
      <w:r w:rsidR="00C760AB" w:rsidRPr="00302D8F" w:rsidDel="00C760AB">
        <w:rPr>
          <w:sz w:val="20"/>
          <w:szCs w:val="20"/>
          <w:lang w:val="es-ES_tradnl"/>
        </w:rPr>
        <w:t xml:space="preserve"> </w:t>
      </w:r>
    </w:p>
    <w:p w14:paraId="3DE767D1" w14:textId="77777777" w:rsidR="00302D8F" w:rsidRPr="00302D8F" w:rsidRDefault="00302D8F" w:rsidP="00302D8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02FB837E" w14:textId="71868887" w:rsidR="00703E9E" w:rsidRPr="00302D8F" w:rsidRDefault="00E323B2"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A partir de la aprobación de la renuncia</w:t>
      </w:r>
      <w:r w:rsidR="00C760AB" w:rsidRPr="00302D8F">
        <w:rPr>
          <w:sz w:val="20"/>
          <w:szCs w:val="20"/>
          <w:lang w:val="es-ES_tradnl"/>
        </w:rPr>
        <w:t xml:space="preserve"> procesal del banco</w:t>
      </w:r>
      <w:r w:rsidRPr="00302D8F">
        <w:rPr>
          <w:sz w:val="20"/>
          <w:szCs w:val="20"/>
          <w:lang w:val="es-ES_tradnl"/>
        </w:rPr>
        <w:t xml:space="preserve">, los autos fueron remitidos al juzgado de origen, el Juzgado 1º de Cajamar para las diligencias oportunas. La parte peticionaria informa que, desde la fecha de envío </w:t>
      </w:r>
      <w:r w:rsidR="00711924" w:rsidRPr="00302D8F">
        <w:rPr>
          <w:sz w:val="20"/>
          <w:szCs w:val="20"/>
          <w:lang w:val="es-ES_tradnl"/>
        </w:rPr>
        <w:t xml:space="preserve">de la petición </w:t>
      </w:r>
      <w:r w:rsidRPr="00302D8F">
        <w:rPr>
          <w:sz w:val="20"/>
          <w:szCs w:val="20"/>
          <w:lang w:val="es-ES_tradnl"/>
        </w:rPr>
        <w:t>hasta el 31 de mayo de 2014,</w:t>
      </w:r>
      <w:r w:rsidR="00D11483" w:rsidRPr="00302D8F">
        <w:rPr>
          <w:sz w:val="20"/>
          <w:szCs w:val="20"/>
          <w:lang w:val="es-ES_tradnl"/>
        </w:rPr>
        <w:t xml:space="preserve"> aún no se había producido el cierre correcto del proceso, con el pago total de la deuda, </w:t>
      </w:r>
      <w:r w:rsidRPr="00302D8F">
        <w:rPr>
          <w:sz w:val="20"/>
          <w:szCs w:val="20"/>
          <w:lang w:val="es-ES_tradnl"/>
        </w:rPr>
        <w:t>lo que evidenciaría la lentitud del proceso, incompatible con la avanzada edad de la Sra. Bezerra da Silva</w:t>
      </w:r>
      <w:r w:rsidR="00D11483" w:rsidRPr="00302D8F">
        <w:rPr>
          <w:sz w:val="20"/>
          <w:szCs w:val="20"/>
          <w:lang w:val="es-ES_tradnl"/>
        </w:rPr>
        <w:t xml:space="preserve"> (una señora que tenía 78 años en abril de 2014)</w:t>
      </w:r>
      <w:r w:rsidRPr="00302D8F">
        <w:rPr>
          <w:sz w:val="20"/>
          <w:szCs w:val="20"/>
          <w:lang w:val="es-ES_tradnl"/>
        </w:rPr>
        <w:t xml:space="preserve">. </w:t>
      </w:r>
    </w:p>
    <w:p w14:paraId="51308772" w14:textId="77777777" w:rsidR="00302D8F" w:rsidRPr="00302D8F" w:rsidRDefault="00302D8F" w:rsidP="00302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2E61C897" w14:textId="00378E8C" w:rsidR="00023471" w:rsidRPr="00302D8F" w:rsidRDefault="00703E9E"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Dich</w:t>
      </w:r>
      <w:r w:rsidR="00E323B2" w:rsidRPr="00302D8F">
        <w:rPr>
          <w:sz w:val="20"/>
          <w:szCs w:val="20"/>
          <w:lang w:val="es-ES_tradnl"/>
        </w:rPr>
        <w:t>a demora, según la parte peticionaria, se debió a la falta de diligencia por parte de la autoridad judicial a cargo del Juzgado 1° de Cajamar</w:t>
      </w:r>
      <w:r w:rsidR="006A217E" w:rsidRPr="00302D8F">
        <w:rPr>
          <w:sz w:val="20"/>
          <w:szCs w:val="20"/>
          <w:lang w:val="es-ES_tradnl"/>
        </w:rPr>
        <w:t>; pues según</w:t>
      </w:r>
      <w:r w:rsidR="00E323B2" w:rsidRPr="00302D8F">
        <w:rPr>
          <w:sz w:val="20"/>
          <w:szCs w:val="20"/>
          <w:lang w:val="es-ES_tradnl"/>
        </w:rPr>
        <w:t xml:space="preserve"> alega que no existe </w:t>
      </w:r>
      <w:r w:rsidR="006A217E" w:rsidRPr="00302D8F">
        <w:rPr>
          <w:sz w:val="20"/>
          <w:szCs w:val="20"/>
          <w:lang w:val="es-ES_tradnl"/>
        </w:rPr>
        <w:t>el</w:t>
      </w:r>
      <w:r w:rsidR="00E323B2" w:rsidRPr="00302D8F">
        <w:rPr>
          <w:sz w:val="20"/>
          <w:szCs w:val="20"/>
          <w:lang w:val="es-ES_tradnl"/>
        </w:rPr>
        <w:t xml:space="preserve"> debido proceso de ley para la protección de la presunta víctima, al no existir recurso</w:t>
      </w:r>
      <w:r w:rsidR="00A877CB" w:rsidRPr="00302D8F">
        <w:rPr>
          <w:sz w:val="20"/>
          <w:szCs w:val="20"/>
          <w:lang w:val="es-ES_tradnl"/>
        </w:rPr>
        <w:t>s</w:t>
      </w:r>
      <w:r w:rsidR="00E323B2" w:rsidRPr="00302D8F">
        <w:rPr>
          <w:sz w:val="20"/>
          <w:szCs w:val="20"/>
          <w:lang w:val="es-ES_tradnl"/>
        </w:rPr>
        <w:t xml:space="preserve"> para </w:t>
      </w:r>
      <w:r w:rsidR="006A217E" w:rsidRPr="00302D8F">
        <w:rPr>
          <w:sz w:val="20"/>
          <w:szCs w:val="20"/>
          <w:lang w:val="es-ES_tradnl"/>
        </w:rPr>
        <w:t>reclamar sobre</w:t>
      </w:r>
      <w:r w:rsidR="00D11483" w:rsidRPr="00302D8F">
        <w:rPr>
          <w:sz w:val="20"/>
          <w:szCs w:val="20"/>
          <w:lang w:val="es-ES_tradnl"/>
        </w:rPr>
        <w:t xml:space="preserve"> la lentitud del proceso</w:t>
      </w:r>
      <w:r w:rsidR="00023471" w:rsidRPr="00302D8F">
        <w:rPr>
          <w:sz w:val="20"/>
          <w:szCs w:val="20"/>
          <w:lang w:val="es-ES_tradnl"/>
        </w:rPr>
        <w:t>.</w:t>
      </w:r>
      <w:r w:rsidR="00A877CB" w:rsidRPr="00302D8F">
        <w:rPr>
          <w:sz w:val="20"/>
          <w:szCs w:val="20"/>
          <w:lang w:val="es-ES_tradnl"/>
        </w:rPr>
        <w:t xml:space="preserve"> </w:t>
      </w:r>
      <w:r w:rsidR="00023471" w:rsidRPr="00302D8F">
        <w:rPr>
          <w:sz w:val="20"/>
          <w:szCs w:val="20"/>
          <w:lang w:val="es-ES_tradnl"/>
        </w:rPr>
        <w:t>La parte peticionaria sostiene que el Estado debe mejorar su estructura normativa, a fin de posibilitar el rápido análisis de los recursos</w:t>
      </w:r>
      <w:r w:rsidR="00F05125" w:rsidRPr="00302D8F">
        <w:rPr>
          <w:sz w:val="20"/>
          <w:szCs w:val="20"/>
          <w:lang w:val="es-ES_tradnl"/>
        </w:rPr>
        <w:t>, así como adoptar medidas para hacer valer los derechos de la Sra. Bezerra da Silva.</w:t>
      </w:r>
    </w:p>
    <w:p w14:paraId="6E644382" w14:textId="77777777" w:rsidR="00302D8F" w:rsidRPr="00302D8F" w:rsidRDefault="00302D8F" w:rsidP="00302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41D36635" w14:textId="7345F28C" w:rsidR="00E323B2" w:rsidRPr="00302D8F" w:rsidRDefault="00E323B2"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 xml:space="preserve">El Estado brasileño, </w:t>
      </w:r>
      <w:r w:rsidR="00070C87" w:rsidRPr="00302D8F">
        <w:rPr>
          <w:sz w:val="20"/>
          <w:szCs w:val="20"/>
          <w:lang w:val="es-ES_tradnl"/>
        </w:rPr>
        <w:t>por</w:t>
      </w:r>
      <w:r w:rsidRPr="00302D8F">
        <w:rPr>
          <w:sz w:val="20"/>
          <w:szCs w:val="20"/>
          <w:lang w:val="es-ES_tradnl"/>
        </w:rPr>
        <w:t xml:space="preserve"> su parte, proporciona información adicional sobre el proceso interno mencionado por la parte peticionaria. </w:t>
      </w:r>
      <w:r w:rsidR="00D11483" w:rsidRPr="00302D8F">
        <w:rPr>
          <w:sz w:val="20"/>
          <w:szCs w:val="20"/>
          <w:lang w:val="es-ES_tradnl"/>
        </w:rPr>
        <w:t>En resumen,</w:t>
      </w:r>
      <w:r w:rsidRPr="00302D8F">
        <w:rPr>
          <w:sz w:val="20"/>
          <w:szCs w:val="20"/>
          <w:lang w:val="es-ES_tradnl"/>
        </w:rPr>
        <w:t xml:space="preserve"> i) la decisión de primera instancia</w:t>
      </w:r>
      <w:r w:rsidR="00D11483" w:rsidRPr="00302D8F">
        <w:rPr>
          <w:sz w:val="20"/>
          <w:szCs w:val="20"/>
          <w:lang w:val="es-ES_tradnl"/>
        </w:rPr>
        <w:t xml:space="preserve"> fue </w:t>
      </w:r>
      <w:r w:rsidRPr="00302D8F">
        <w:rPr>
          <w:sz w:val="20"/>
          <w:szCs w:val="20"/>
          <w:lang w:val="es-ES_tradnl"/>
        </w:rPr>
        <w:t>parcialmente favorable a la Sra. Bezerra da Silva,</w:t>
      </w:r>
      <w:r w:rsidR="00D11483" w:rsidRPr="00302D8F">
        <w:rPr>
          <w:sz w:val="20"/>
          <w:szCs w:val="20"/>
          <w:lang w:val="es-ES_tradnl"/>
        </w:rPr>
        <w:t xml:space="preserve"> y mantenida por la segunda instancia (</w:t>
      </w:r>
      <w:r w:rsidR="00A071D5" w:rsidRPr="00302D8F">
        <w:rPr>
          <w:sz w:val="20"/>
          <w:szCs w:val="20"/>
          <w:lang w:val="es-ES_tradnl"/>
        </w:rPr>
        <w:t>Tribunal</w:t>
      </w:r>
      <w:r w:rsidR="00D11483" w:rsidRPr="00302D8F">
        <w:rPr>
          <w:sz w:val="20"/>
          <w:szCs w:val="20"/>
          <w:lang w:val="es-ES_tradnl"/>
        </w:rPr>
        <w:t xml:space="preserve"> de Justicia del estado de São Paulo</w:t>
      </w:r>
      <w:r w:rsidR="00A071D5" w:rsidRPr="00302D8F">
        <w:rPr>
          <w:sz w:val="20"/>
          <w:szCs w:val="20"/>
          <w:lang w:val="es-ES_tradnl"/>
        </w:rPr>
        <w:t>, “TJSP”</w:t>
      </w:r>
      <w:r w:rsidR="00D11483" w:rsidRPr="00302D8F">
        <w:rPr>
          <w:sz w:val="20"/>
          <w:szCs w:val="20"/>
          <w:lang w:val="es-ES_tradnl"/>
        </w:rPr>
        <w:t>)</w:t>
      </w:r>
      <w:r w:rsidRPr="00302D8F">
        <w:rPr>
          <w:sz w:val="20"/>
          <w:szCs w:val="20"/>
          <w:lang w:val="es-ES_tradnl"/>
        </w:rPr>
        <w:t xml:space="preserve">; ii) el 31 de agosto de 2011, el STJ desestimó un recurso interpuesto por el Banco y decidió mantener la decisión en revisión; iii) adicionalmente, hubo recurso de apelación ante el Supremo Tribunal Federal (STF), decidido el 6 de junio de 2013 contra el Banco; iv) el 31 de enero de 2014, el Banco interpuso recurso de impugnación de cumplimiento de sentencia por exceso de ejecución; v) luego de un peritaje que confirmó el monto impugnado, el 2 de diciembre de 2014 se rechazó la impugnación; v) el 9 de marzo de 2016 se resolvió la causa, determinando que las cantidades depositadas en autos eran suficientes para liquidar la deuda; así, se sobreseyó el proceso, y se dictó auto de retiro de la cantidad indiscutida a favor de la Sra. Bezerra da Silva, </w:t>
      </w:r>
      <w:r w:rsidR="00227BFE" w:rsidRPr="00302D8F">
        <w:rPr>
          <w:sz w:val="20"/>
          <w:szCs w:val="20"/>
          <w:lang w:val="es-ES_tradnl"/>
        </w:rPr>
        <w:t xml:space="preserve">juntamente con </w:t>
      </w:r>
      <w:r w:rsidRPr="00302D8F">
        <w:rPr>
          <w:sz w:val="20"/>
          <w:szCs w:val="20"/>
          <w:lang w:val="es-ES_tradnl"/>
        </w:rPr>
        <w:t xml:space="preserve">el posterior archivo del expediente si no </w:t>
      </w:r>
      <w:r w:rsidR="00227BFE" w:rsidRPr="00302D8F">
        <w:rPr>
          <w:sz w:val="20"/>
          <w:szCs w:val="20"/>
          <w:lang w:val="es-ES_tradnl"/>
        </w:rPr>
        <w:t>hubiera otras exigencias</w:t>
      </w:r>
      <w:r w:rsidR="00A071D5" w:rsidRPr="00302D8F">
        <w:rPr>
          <w:sz w:val="20"/>
          <w:szCs w:val="20"/>
          <w:lang w:val="es-ES_tradnl"/>
        </w:rPr>
        <w:t>, y una vez pagadas las costas</w:t>
      </w:r>
      <w:r w:rsidRPr="00302D8F">
        <w:rPr>
          <w:sz w:val="20"/>
          <w:szCs w:val="20"/>
          <w:lang w:val="es-ES_tradnl"/>
        </w:rPr>
        <w:t xml:space="preserve">; vi) el 26 de abril de 2016 </w:t>
      </w:r>
      <w:r w:rsidR="00227BFE" w:rsidRPr="00302D8F">
        <w:rPr>
          <w:sz w:val="20"/>
          <w:szCs w:val="20"/>
          <w:lang w:val="es-ES_tradnl"/>
        </w:rPr>
        <w:t xml:space="preserve">se dictó un auto de levantamiento (orden de pago) a favor de la Sra. Bezerra da Silva; </w:t>
      </w:r>
      <w:r w:rsidRPr="00302D8F">
        <w:rPr>
          <w:sz w:val="20"/>
          <w:szCs w:val="20"/>
          <w:lang w:val="es-ES_tradnl"/>
        </w:rPr>
        <w:t xml:space="preserve">vii) un día después, sin embargo, </w:t>
      </w:r>
      <w:r w:rsidR="00A071D5" w:rsidRPr="00302D8F">
        <w:rPr>
          <w:sz w:val="20"/>
          <w:szCs w:val="20"/>
          <w:lang w:val="es-ES_tradnl"/>
        </w:rPr>
        <w:t>el banco interpuso</w:t>
      </w:r>
      <w:r w:rsidRPr="00302D8F">
        <w:rPr>
          <w:sz w:val="20"/>
          <w:szCs w:val="20"/>
          <w:lang w:val="es-ES_tradnl"/>
        </w:rPr>
        <w:t xml:space="preserve"> </w:t>
      </w:r>
      <w:r w:rsidR="00A004F4" w:rsidRPr="00302D8F">
        <w:rPr>
          <w:sz w:val="20"/>
          <w:szCs w:val="20"/>
          <w:lang w:val="es-ES_tradnl"/>
        </w:rPr>
        <w:t>un r</w:t>
      </w:r>
      <w:r w:rsidRPr="00302D8F">
        <w:rPr>
          <w:sz w:val="20"/>
          <w:szCs w:val="20"/>
          <w:lang w:val="es-ES_tradnl"/>
        </w:rPr>
        <w:t xml:space="preserve">ecurso de </w:t>
      </w:r>
      <w:r w:rsidR="00A004F4" w:rsidRPr="00302D8F">
        <w:rPr>
          <w:sz w:val="20"/>
          <w:szCs w:val="20"/>
          <w:lang w:val="es-ES_tradnl"/>
        </w:rPr>
        <w:t>a</w:t>
      </w:r>
      <w:r w:rsidRPr="00302D8F">
        <w:rPr>
          <w:sz w:val="20"/>
          <w:szCs w:val="20"/>
          <w:lang w:val="es-ES_tradnl"/>
        </w:rPr>
        <w:t>pelación</w:t>
      </w:r>
      <w:r w:rsidR="00A004F4" w:rsidRPr="00302D8F">
        <w:rPr>
          <w:sz w:val="20"/>
          <w:szCs w:val="20"/>
          <w:lang w:val="es-ES_tradnl"/>
        </w:rPr>
        <w:t>;</w:t>
      </w:r>
      <w:r w:rsidR="00227BFE" w:rsidRPr="00302D8F">
        <w:rPr>
          <w:sz w:val="20"/>
          <w:szCs w:val="20"/>
          <w:lang w:val="es-ES_tradnl"/>
        </w:rPr>
        <w:t xml:space="preserve"> y</w:t>
      </w:r>
      <w:r w:rsidR="00A004F4" w:rsidRPr="00302D8F">
        <w:rPr>
          <w:sz w:val="20"/>
          <w:szCs w:val="20"/>
          <w:lang w:val="es-ES_tradnl"/>
        </w:rPr>
        <w:t xml:space="preserve"> </w:t>
      </w:r>
      <w:r w:rsidR="00227BFE" w:rsidRPr="00302D8F">
        <w:rPr>
          <w:sz w:val="20"/>
          <w:szCs w:val="20"/>
          <w:lang w:val="es-ES_tradnl"/>
        </w:rPr>
        <w:t>el 1 de julio de 2016 la causa fue enviada al Superior Tribunal de Justicia</w:t>
      </w:r>
      <w:r w:rsidRPr="00302D8F">
        <w:rPr>
          <w:sz w:val="20"/>
          <w:szCs w:val="20"/>
          <w:lang w:val="es-ES_tradnl"/>
        </w:rPr>
        <w:t>; viii)</w:t>
      </w:r>
      <w:r w:rsidR="00A071D5" w:rsidRPr="00302D8F">
        <w:rPr>
          <w:sz w:val="20"/>
          <w:szCs w:val="20"/>
          <w:lang w:val="es-ES_tradnl"/>
        </w:rPr>
        <w:t xml:space="preserve"> el 18 de febrero de 2020 </w:t>
      </w:r>
      <w:r w:rsidR="00A004F4" w:rsidRPr="00302D8F">
        <w:rPr>
          <w:sz w:val="20"/>
          <w:szCs w:val="20"/>
          <w:lang w:val="es-ES_tradnl"/>
        </w:rPr>
        <w:t xml:space="preserve">esta instancia </w:t>
      </w:r>
      <w:r w:rsidR="00A071D5" w:rsidRPr="00302D8F">
        <w:rPr>
          <w:sz w:val="20"/>
          <w:szCs w:val="20"/>
          <w:lang w:val="es-ES_tradnl"/>
        </w:rPr>
        <w:t xml:space="preserve">mantuvo </w:t>
      </w:r>
      <w:r w:rsidR="00A004F4" w:rsidRPr="00302D8F">
        <w:rPr>
          <w:sz w:val="20"/>
          <w:szCs w:val="20"/>
          <w:lang w:val="es-ES_tradnl"/>
        </w:rPr>
        <w:t>la</w:t>
      </w:r>
      <w:r w:rsidR="00A071D5" w:rsidRPr="00302D8F">
        <w:rPr>
          <w:sz w:val="20"/>
          <w:szCs w:val="20"/>
          <w:lang w:val="es-ES_tradnl"/>
        </w:rPr>
        <w:t xml:space="preserve"> orden de pago a favor de la Sra. Bezerra da Silva.</w:t>
      </w:r>
    </w:p>
    <w:p w14:paraId="5D76D192" w14:textId="77777777" w:rsidR="00302D8F" w:rsidRPr="00302D8F" w:rsidRDefault="00302D8F" w:rsidP="00302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4C36A97F" w14:textId="24A69073" w:rsidR="00227BFE" w:rsidRPr="00302D8F" w:rsidRDefault="00227BFE"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bookmarkStart w:id="2" w:name="_Hlk117171310"/>
      <w:r w:rsidRPr="00302D8F">
        <w:rPr>
          <w:sz w:val="20"/>
          <w:szCs w:val="20"/>
          <w:lang w:val="es-ES_tradnl"/>
        </w:rPr>
        <w:t xml:space="preserve">El Estado alega que la petición debe ser inadmisible por falta de </w:t>
      </w:r>
      <w:r w:rsidR="00AC1ECD" w:rsidRPr="00302D8F">
        <w:rPr>
          <w:sz w:val="20"/>
          <w:szCs w:val="20"/>
          <w:lang w:val="es-ES_tradnl"/>
        </w:rPr>
        <w:t xml:space="preserve">comprobación del </w:t>
      </w:r>
      <w:r w:rsidRPr="00302D8F">
        <w:rPr>
          <w:sz w:val="20"/>
          <w:szCs w:val="20"/>
          <w:lang w:val="es-ES_tradnl"/>
        </w:rPr>
        <w:t>previo agotamiento de los recursos internos. Según el Estado, al momento de la presentación de la denuncia ante la CIDH</w:t>
      </w:r>
      <w:r w:rsidR="00AC1ECD" w:rsidRPr="00302D8F">
        <w:rPr>
          <w:sz w:val="20"/>
          <w:szCs w:val="20"/>
          <w:lang w:val="es-ES_tradnl"/>
        </w:rPr>
        <w:t>,</w:t>
      </w:r>
      <w:r w:rsidRPr="00302D8F">
        <w:rPr>
          <w:sz w:val="20"/>
          <w:szCs w:val="20"/>
          <w:lang w:val="es-ES_tradnl"/>
        </w:rPr>
        <w:t xml:space="preserve"> el 9 de abril de 2014, </w:t>
      </w:r>
      <w:r w:rsidR="00AC1ECD" w:rsidRPr="00302D8F">
        <w:rPr>
          <w:sz w:val="20"/>
          <w:szCs w:val="20"/>
          <w:lang w:val="es-ES_tradnl"/>
        </w:rPr>
        <w:t xml:space="preserve">el proceso interno </w:t>
      </w:r>
      <w:r w:rsidRPr="00302D8F">
        <w:rPr>
          <w:sz w:val="20"/>
          <w:szCs w:val="20"/>
          <w:lang w:val="es-ES_tradnl"/>
        </w:rPr>
        <w:t xml:space="preserve">se encontraba en </w:t>
      </w:r>
      <w:r w:rsidR="00AC1ECD" w:rsidRPr="00302D8F">
        <w:rPr>
          <w:sz w:val="20"/>
          <w:szCs w:val="20"/>
          <w:lang w:val="es-ES_tradnl"/>
        </w:rPr>
        <w:t>etapa</w:t>
      </w:r>
      <w:r w:rsidRPr="00302D8F">
        <w:rPr>
          <w:sz w:val="20"/>
          <w:szCs w:val="20"/>
          <w:lang w:val="es-ES_tradnl"/>
        </w:rPr>
        <w:t xml:space="preserve"> de cumplimiento de la sentencia, luego de la regular confirmación de la sentencia de primera instancia favorable a la Sra. Rosa Bezerra da Silva por la Corte de Justicia de São Paulo y los Tribunales Superiores. Luego de la activación de la instancia internacional,</w:t>
      </w:r>
      <w:r w:rsidR="00AC1ECD" w:rsidRPr="00302D8F">
        <w:rPr>
          <w:sz w:val="20"/>
          <w:szCs w:val="20"/>
          <w:lang w:val="es-ES_tradnl"/>
        </w:rPr>
        <w:t xml:space="preserve"> aduce el Estado,</w:t>
      </w:r>
      <w:r w:rsidRPr="00302D8F">
        <w:rPr>
          <w:sz w:val="20"/>
          <w:szCs w:val="20"/>
          <w:lang w:val="es-ES_tradnl"/>
        </w:rPr>
        <w:t xml:space="preserve"> se tomaron importantes decisiones, siendo aprobado el peritaje</w:t>
      </w:r>
      <w:r w:rsidR="00AC1ECD" w:rsidRPr="00302D8F">
        <w:rPr>
          <w:sz w:val="20"/>
          <w:szCs w:val="20"/>
          <w:lang w:val="es-ES_tradnl"/>
        </w:rPr>
        <w:t xml:space="preserve"> de montos</w:t>
      </w:r>
      <w:r w:rsidRPr="00302D8F">
        <w:rPr>
          <w:sz w:val="20"/>
          <w:szCs w:val="20"/>
          <w:lang w:val="es-ES_tradnl"/>
        </w:rPr>
        <w:t xml:space="preserve"> por </w:t>
      </w:r>
      <w:r w:rsidR="00AC1ECD" w:rsidRPr="00302D8F">
        <w:rPr>
          <w:sz w:val="20"/>
          <w:szCs w:val="20"/>
          <w:lang w:val="es-ES_tradnl"/>
        </w:rPr>
        <w:t>la autoridad judicial</w:t>
      </w:r>
      <w:r w:rsidRPr="00302D8F">
        <w:rPr>
          <w:sz w:val="20"/>
          <w:szCs w:val="20"/>
          <w:lang w:val="es-ES_tradnl"/>
        </w:rPr>
        <w:t xml:space="preserve">, con definición de la cantidad adeudada y emisión de orden a favor de la Sra. </w:t>
      </w:r>
      <w:r w:rsidR="00AC1ECD" w:rsidRPr="00302D8F">
        <w:rPr>
          <w:sz w:val="20"/>
          <w:szCs w:val="20"/>
          <w:lang w:val="es-ES_tradnl"/>
        </w:rPr>
        <w:t>Bezerra da Silva</w:t>
      </w:r>
      <w:r w:rsidRPr="00302D8F">
        <w:rPr>
          <w:sz w:val="20"/>
          <w:szCs w:val="20"/>
          <w:lang w:val="es-ES_tradnl"/>
        </w:rPr>
        <w:t>. Así, la CIDH habría sido activada antes de que se agotaran los recursos internos.</w:t>
      </w:r>
    </w:p>
    <w:p w14:paraId="25004A32" w14:textId="77777777" w:rsidR="00302D8F" w:rsidRPr="00302D8F" w:rsidRDefault="00302D8F" w:rsidP="00302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4C50FE2B" w14:textId="443D7F65" w:rsidR="00227BFE" w:rsidRPr="00302D8F" w:rsidRDefault="00227BFE"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 xml:space="preserve">Asimismo, el Estado sostiene que no resulta aplicable ninguna de las excepciones a </w:t>
      </w:r>
      <w:r w:rsidR="00AC1ECD" w:rsidRPr="00302D8F">
        <w:rPr>
          <w:sz w:val="20"/>
          <w:szCs w:val="20"/>
          <w:lang w:val="es-ES_tradnl"/>
        </w:rPr>
        <w:t>la regla del previo</w:t>
      </w:r>
      <w:r w:rsidRPr="00302D8F">
        <w:rPr>
          <w:sz w:val="20"/>
          <w:szCs w:val="20"/>
          <w:lang w:val="es-ES_tradnl"/>
        </w:rPr>
        <w:t xml:space="preserve"> agotamiento de los recursos internos. En este sentido, destaca que en la legislación interna existe un </w:t>
      </w:r>
      <w:r w:rsidRPr="00302D8F">
        <w:rPr>
          <w:sz w:val="20"/>
          <w:szCs w:val="20"/>
          <w:lang w:val="es-ES_tradnl"/>
        </w:rPr>
        <w:lastRenderedPageBreak/>
        <w:t xml:space="preserve">robusto sistema de derechos y garantías constitucionales </w:t>
      </w:r>
      <w:r w:rsidR="00A004F4" w:rsidRPr="00302D8F">
        <w:rPr>
          <w:sz w:val="20"/>
          <w:szCs w:val="20"/>
          <w:lang w:val="es-ES_tradnl"/>
        </w:rPr>
        <w:t>y legales</w:t>
      </w:r>
      <w:r w:rsidRPr="00302D8F">
        <w:rPr>
          <w:sz w:val="20"/>
          <w:szCs w:val="20"/>
          <w:lang w:val="es-ES_tradnl"/>
        </w:rPr>
        <w:t xml:space="preserve"> para salvaguardar el debido proceso. Indica que </w:t>
      </w:r>
      <w:r w:rsidR="005F5811" w:rsidRPr="00302D8F">
        <w:rPr>
          <w:sz w:val="20"/>
          <w:szCs w:val="20"/>
          <w:lang w:val="es-ES_tradnl"/>
        </w:rPr>
        <w:t xml:space="preserve">a </w:t>
      </w:r>
      <w:r w:rsidRPr="00302D8F">
        <w:rPr>
          <w:sz w:val="20"/>
          <w:szCs w:val="20"/>
          <w:lang w:val="es-ES_tradnl"/>
        </w:rPr>
        <w:t xml:space="preserve">la Sra. </w:t>
      </w:r>
      <w:r w:rsidR="00AC1ECD" w:rsidRPr="00302D8F">
        <w:rPr>
          <w:sz w:val="20"/>
          <w:szCs w:val="20"/>
          <w:lang w:val="es-ES_tradnl"/>
        </w:rPr>
        <w:t>Bezerra da Silva</w:t>
      </w:r>
      <w:r w:rsidRPr="00302D8F">
        <w:rPr>
          <w:sz w:val="20"/>
          <w:szCs w:val="20"/>
          <w:lang w:val="es-ES_tradnl"/>
        </w:rPr>
        <w:t xml:space="preserve"> no se le</w:t>
      </w:r>
      <w:r w:rsidR="005F5811" w:rsidRPr="00302D8F">
        <w:rPr>
          <w:sz w:val="20"/>
          <w:szCs w:val="20"/>
          <w:lang w:val="es-ES_tradnl"/>
        </w:rPr>
        <w:t xml:space="preserve"> </w:t>
      </w:r>
      <w:r w:rsidRPr="00302D8F">
        <w:rPr>
          <w:sz w:val="20"/>
          <w:szCs w:val="20"/>
          <w:lang w:val="es-ES_tradnl"/>
        </w:rPr>
        <w:t xml:space="preserve">negó el acceso a los recursos internos, ni se le impidió agotarlos. Los recursos civiles disponibles en la legislación interna fueron activados, </w:t>
      </w:r>
      <w:r w:rsidR="00AC1ECD" w:rsidRPr="00302D8F">
        <w:rPr>
          <w:sz w:val="20"/>
          <w:szCs w:val="20"/>
          <w:lang w:val="es-ES_tradnl"/>
        </w:rPr>
        <w:t xml:space="preserve">argumenta el Estado, </w:t>
      </w:r>
      <w:r w:rsidRPr="00302D8F">
        <w:rPr>
          <w:sz w:val="20"/>
          <w:szCs w:val="20"/>
          <w:lang w:val="es-ES_tradnl"/>
        </w:rPr>
        <w:t xml:space="preserve">y siguen su curso regular, conforme al debido proceso legal, habiéndose incluso pagado cantidades adeudadas por el Banco a favor de la </w:t>
      </w:r>
      <w:r w:rsidR="00AC1ECD" w:rsidRPr="00302D8F">
        <w:rPr>
          <w:sz w:val="20"/>
          <w:szCs w:val="20"/>
          <w:lang w:val="es-ES_tradnl"/>
        </w:rPr>
        <w:t>presunta víctima.</w:t>
      </w:r>
    </w:p>
    <w:p w14:paraId="064D26BA" w14:textId="77777777" w:rsidR="00302D8F" w:rsidRPr="00302D8F" w:rsidRDefault="00302D8F" w:rsidP="00302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p w14:paraId="1F980EE1" w14:textId="1271887B" w:rsidR="00227BFE" w:rsidRPr="00302D8F" w:rsidRDefault="00227BFE" w:rsidP="00302D8F">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sz w:val="20"/>
          <w:szCs w:val="20"/>
          <w:lang w:val="es-ES_tradnl"/>
        </w:rPr>
      </w:pPr>
      <w:r w:rsidRPr="00302D8F">
        <w:rPr>
          <w:sz w:val="20"/>
          <w:szCs w:val="20"/>
          <w:lang w:val="es-ES_tradnl"/>
        </w:rPr>
        <w:t xml:space="preserve">El Estado también señala que la Sra. </w:t>
      </w:r>
      <w:r w:rsidR="00AC1ECD" w:rsidRPr="00302D8F">
        <w:rPr>
          <w:sz w:val="20"/>
          <w:szCs w:val="20"/>
          <w:lang w:val="es-ES_tradnl"/>
        </w:rPr>
        <w:t>Bezerra da Silva</w:t>
      </w:r>
      <w:r w:rsidRPr="00302D8F">
        <w:rPr>
          <w:sz w:val="20"/>
          <w:szCs w:val="20"/>
          <w:lang w:val="es-ES_tradnl"/>
        </w:rPr>
        <w:t xml:space="preserve"> tiene un banco privado como demandado</w:t>
      </w:r>
      <w:r w:rsidR="00A071D5" w:rsidRPr="00302D8F">
        <w:rPr>
          <w:sz w:val="20"/>
          <w:szCs w:val="20"/>
          <w:lang w:val="es-ES_tradnl"/>
        </w:rPr>
        <w:t>, lo que excluiría la posibilidad de responsabilidad internacional del Estado</w:t>
      </w:r>
      <w:r w:rsidRPr="00302D8F">
        <w:rPr>
          <w:sz w:val="20"/>
          <w:szCs w:val="20"/>
          <w:lang w:val="es-ES_tradnl"/>
        </w:rPr>
        <w:t xml:space="preserve">. Asimismo, indica que no hubo dilaciones indebidas en la tramitación de los recursos internos, y que la regular activación y el sucesivo agotamiento de los recursos internos demuestran que </w:t>
      </w:r>
      <w:r w:rsidR="00AC1ECD" w:rsidRPr="00302D8F">
        <w:rPr>
          <w:sz w:val="20"/>
          <w:szCs w:val="20"/>
          <w:lang w:val="es-ES_tradnl"/>
        </w:rPr>
        <w:t>sus derechos fueron observados por el Estado</w:t>
      </w:r>
      <w:r w:rsidRPr="00302D8F">
        <w:rPr>
          <w:sz w:val="20"/>
          <w:szCs w:val="20"/>
          <w:lang w:val="es-ES_tradnl"/>
        </w:rPr>
        <w:t xml:space="preserve">. En conclusión, el Estado considera que la petición debe ser inadmisible por incompetencia </w:t>
      </w:r>
      <w:r w:rsidRPr="00302D8F">
        <w:rPr>
          <w:i/>
          <w:iCs/>
          <w:sz w:val="20"/>
          <w:szCs w:val="20"/>
          <w:lang w:val="es-ES_tradnl"/>
        </w:rPr>
        <w:t>ratione materiae</w:t>
      </w:r>
      <w:r w:rsidRPr="00302D8F">
        <w:rPr>
          <w:sz w:val="20"/>
          <w:szCs w:val="20"/>
          <w:lang w:val="es-ES_tradnl"/>
        </w:rPr>
        <w:t xml:space="preserve"> de la CIDH</w:t>
      </w:r>
      <w:r w:rsidR="003048D0" w:rsidRPr="00302D8F">
        <w:rPr>
          <w:sz w:val="20"/>
          <w:szCs w:val="20"/>
          <w:lang w:val="es-ES_tradnl"/>
        </w:rPr>
        <w:t>, una vez que el sistema interamericano es subsidiario a la solución interna de controversias y no debe funcionar como “cuarta instancia”</w:t>
      </w:r>
      <w:r w:rsidRPr="00302D8F">
        <w:rPr>
          <w:sz w:val="20"/>
          <w:szCs w:val="20"/>
          <w:lang w:val="es-ES_tradnl"/>
        </w:rPr>
        <w:t xml:space="preserve">. </w:t>
      </w:r>
    </w:p>
    <w:p w14:paraId="288D91F4" w14:textId="77777777" w:rsidR="00302D8F" w:rsidRPr="00302D8F" w:rsidRDefault="00302D8F" w:rsidP="00302D8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p>
    <w:bookmarkEnd w:id="2"/>
    <w:p w14:paraId="71E3C32E" w14:textId="77777777" w:rsidR="00302D8F" w:rsidRPr="00302D8F" w:rsidRDefault="00B83158" w:rsidP="00302D8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b/>
          <w:sz w:val="20"/>
          <w:szCs w:val="20"/>
          <w:lang w:val="es-ES_tradnl"/>
        </w:rPr>
      </w:pPr>
      <w:r w:rsidRPr="00302D8F">
        <w:rPr>
          <w:b/>
          <w:sz w:val="20"/>
          <w:szCs w:val="20"/>
          <w:lang w:val="es-ES_tradnl"/>
        </w:rPr>
        <w:t xml:space="preserve">VI. </w:t>
      </w:r>
      <w:r w:rsidRPr="00302D8F">
        <w:rPr>
          <w:b/>
          <w:sz w:val="20"/>
          <w:szCs w:val="20"/>
          <w:lang w:val="es-ES_tradnl"/>
        </w:rPr>
        <w:tab/>
      </w:r>
      <w:r w:rsidRPr="00302D8F">
        <w:rPr>
          <w:b/>
          <w:bCs/>
          <w:sz w:val="20"/>
          <w:szCs w:val="20"/>
          <w:lang w:val="es-ES_tradnl"/>
        </w:rPr>
        <w:t xml:space="preserve">ANÁLISIS DE </w:t>
      </w:r>
      <w:r w:rsidRPr="00302D8F">
        <w:rPr>
          <w:b/>
          <w:sz w:val="20"/>
          <w:szCs w:val="20"/>
          <w:lang w:val="es-ES_tradnl"/>
        </w:rPr>
        <w:t>AGOTAMIENTO DE LOS RECURSOS INTERNOS Y PLAZO DE PRESENTACIÓN</w:t>
      </w:r>
    </w:p>
    <w:p w14:paraId="6B466593" w14:textId="5A971A96" w:rsidR="00B83158" w:rsidRPr="00302D8F" w:rsidRDefault="00B83158" w:rsidP="00302D8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_tradnl"/>
        </w:rPr>
      </w:pPr>
      <w:r w:rsidRPr="00302D8F">
        <w:rPr>
          <w:b/>
          <w:bCs/>
          <w:sz w:val="20"/>
          <w:szCs w:val="20"/>
          <w:lang w:val="es-ES_tradnl"/>
        </w:rPr>
        <w:t xml:space="preserve"> </w:t>
      </w:r>
    </w:p>
    <w:p w14:paraId="19887082" w14:textId="49C3C1FB" w:rsidR="0073109C" w:rsidRPr="00302D8F" w:rsidRDefault="00E707EC" w:rsidP="00302D8F">
      <w:pPr>
        <w:pStyle w:val="ListParagraph"/>
        <w:widowControl w:val="0"/>
        <w:numPr>
          <w:ilvl w:val="0"/>
          <w:numId w:val="59"/>
        </w:numPr>
        <w:ind w:left="0" w:firstLine="720"/>
        <w:jc w:val="both"/>
        <w:rPr>
          <w:sz w:val="20"/>
          <w:szCs w:val="20"/>
          <w:lang w:val="es-ES_tradnl"/>
        </w:rPr>
      </w:pPr>
      <w:r w:rsidRPr="00302D8F">
        <w:rPr>
          <w:sz w:val="20"/>
          <w:szCs w:val="20"/>
          <w:lang w:val="es-ES_tradnl"/>
        </w:rPr>
        <w:t xml:space="preserve">La Comisión Interamericana considera que el objeto principal de la petición consiste en el alegado retraso </w:t>
      </w:r>
      <w:r w:rsidR="00703E9E" w:rsidRPr="00302D8F">
        <w:rPr>
          <w:sz w:val="20"/>
          <w:szCs w:val="20"/>
          <w:lang w:val="es-ES_tradnl"/>
        </w:rPr>
        <w:t>procesal referente a un litigio mercantil,</w:t>
      </w:r>
      <w:r w:rsidRPr="00302D8F">
        <w:rPr>
          <w:sz w:val="20"/>
          <w:szCs w:val="20"/>
          <w:lang w:val="es-ES_tradnl"/>
        </w:rPr>
        <w:t xml:space="preserve"> en perjuicio de una persona mayor</w:t>
      </w:r>
      <w:r w:rsidR="0073392A" w:rsidRPr="00302D8F">
        <w:rPr>
          <w:sz w:val="20"/>
          <w:szCs w:val="20"/>
          <w:lang w:val="es-ES_tradnl"/>
        </w:rPr>
        <w:t>.</w:t>
      </w:r>
    </w:p>
    <w:p w14:paraId="75F5A734" w14:textId="77777777" w:rsidR="00302D8F" w:rsidRPr="00302D8F" w:rsidRDefault="00302D8F" w:rsidP="00302D8F">
      <w:pPr>
        <w:pStyle w:val="ListParagraph"/>
        <w:widowControl w:val="0"/>
        <w:jc w:val="both"/>
        <w:rPr>
          <w:sz w:val="20"/>
          <w:szCs w:val="20"/>
          <w:lang w:val="es-ES_tradnl"/>
        </w:rPr>
      </w:pPr>
    </w:p>
    <w:p w14:paraId="53CA56C8" w14:textId="6C1C5ABE" w:rsidR="008A6BC8" w:rsidRPr="00302D8F" w:rsidRDefault="0073109C" w:rsidP="00302D8F">
      <w:pPr>
        <w:pStyle w:val="ListParagraph"/>
        <w:widowControl w:val="0"/>
        <w:numPr>
          <w:ilvl w:val="0"/>
          <w:numId w:val="59"/>
        </w:numPr>
        <w:ind w:left="0" w:firstLine="720"/>
        <w:jc w:val="both"/>
        <w:rPr>
          <w:sz w:val="20"/>
          <w:szCs w:val="20"/>
          <w:lang w:val="es-ES_tradnl"/>
        </w:rPr>
      </w:pPr>
      <w:r w:rsidRPr="00302D8F">
        <w:rPr>
          <w:sz w:val="20"/>
          <w:szCs w:val="20"/>
          <w:lang w:val="es-ES_tradnl"/>
        </w:rPr>
        <w:t xml:space="preserve">Para el Estado, la petición debe ser inadmisible porque el peticionario no demostró haber agotado los recursos internos al momento de presentar la petición ante la Comisión Interamericana. </w:t>
      </w:r>
      <w:r w:rsidR="00350587" w:rsidRPr="00302D8F">
        <w:rPr>
          <w:sz w:val="20"/>
          <w:szCs w:val="20"/>
          <w:lang w:val="es-ES_tradnl"/>
        </w:rPr>
        <w:t>Sin embargo</w:t>
      </w:r>
      <w:r w:rsidRPr="00302D8F">
        <w:rPr>
          <w:sz w:val="20"/>
          <w:szCs w:val="20"/>
          <w:lang w:val="es-ES_tradnl"/>
        </w:rPr>
        <w:t>, la CIDH aclara que el análisis de los requisitos de admisibilidad debe realizarse a la luz de la situación vigente al momento en que la CIDH se pronuncie sobre la admisibilidad o inadmisibilidad de la denuncia</w:t>
      </w:r>
      <w:r w:rsidRPr="00302D8F">
        <w:rPr>
          <w:sz w:val="20"/>
          <w:szCs w:val="20"/>
          <w:vertAlign w:val="superscript"/>
          <w:lang w:val="es-ES_tradnl"/>
        </w:rPr>
        <w:footnoteReference w:id="4"/>
      </w:r>
      <w:r w:rsidRPr="00302D8F">
        <w:rPr>
          <w:sz w:val="20"/>
          <w:szCs w:val="20"/>
          <w:lang w:val="es-ES_tradnl"/>
        </w:rPr>
        <w:t>.</w:t>
      </w:r>
    </w:p>
    <w:p w14:paraId="16D217BF" w14:textId="77777777" w:rsidR="00302D8F" w:rsidRPr="00302D8F" w:rsidRDefault="00302D8F" w:rsidP="00302D8F">
      <w:pPr>
        <w:widowControl w:val="0"/>
        <w:jc w:val="both"/>
        <w:rPr>
          <w:sz w:val="20"/>
          <w:szCs w:val="20"/>
          <w:lang w:val="es-ES_tradnl"/>
        </w:rPr>
      </w:pPr>
    </w:p>
    <w:p w14:paraId="3905518E" w14:textId="31708C7B" w:rsidR="008A6BC8" w:rsidRPr="00302D8F" w:rsidRDefault="00350587" w:rsidP="00302D8F">
      <w:pPr>
        <w:pStyle w:val="ListParagraph"/>
        <w:widowControl w:val="0"/>
        <w:numPr>
          <w:ilvl w:val="0"/>
          <w:numId w:val="59"/>
        </w:numPr>
        <w:ind w:left="0" w:firstLine="720"/>
        <w:jc w:val="both"/>
        <w:rPr>
          <w:sz w:val="20"/>
          <w:szCs w:val="20"/>
          <w:lang w:val="es-ES_tradnl"/>
        </w:rPr>
      </w:pPr>
      <w:r w:rsidRPr="00302D8F">
        <w:rPr>
          <w:sz w:val="20"/>
          <w:szCs w:val="20"/>
          <w:lang w:val="es-ES_tradnl"/>
        </w:rPr>
        <w:t xml:space="preserve">La Comisión considera que </w:t>
      </w:r>
      <w:r w:rsidR="008A6BC8" w:rsidRPr="00302D8F">
        <w:rPr>
          <w:sz w:val="20"/>
          <w:szCs w:val="20"/>
          <w:lang w:val="es-ES_tradnl"/>
        </w:rPr>
        <w:t>la tramitación del proceso interno permitió a las autoridades nacionales conocer sobre las supuestas violaciones alegadas por la parte peticionaria, por lo que el objetivo de la regla del previo agotamiento ha sido alcanzado. Además, estima que, con la decisión del 18 de febrero de 2020, que mantuvo la orden de pago a favor de la Sra. Bezerra da Silva, se agotaron los recursos internos disponibles.</w:t>
      </w:r>
      <w:r w:rsidR="00EB1B24" w:rsidRPr="00302D8F">
        <w:rPr>
          <w:sz w:val="20"/>
          <w:szCs w:val="20"/>
          <w:lang w:val="es-ES_tradnl"/>
        </w:rPr>
        <w:t xml:space="preserve"> Además, c</w:t>
      </w:r>
      <w:r w:rsidR="008A6BC8" w:rsidRPr="00302D8F">
        <w:rPr>
          <w:sz w:val="20"/>
          <w:szCs w:val="20"/>
          <w:lang w:val="es-ES_tradnl"/>
        </w:rPr>
        <w:t>onsiderando que la denuncia ante la CIDH ha sido presentada el 9 de abril de 2014, la petición observa el plazo de presentación previsto en el artículo 46.1</w:t>
      </w:r>
      <w:r w:rsidR="00EB1B24" w:rsidRPr="00302D8F">
        <w:rPr>
          <w:sz w:val="20"/>
          <w:szCs w:val="20"/>
          <w:lang w:val="es-ES_tradnl"/>
        </w:rPr>
        <w:t>.</w:t>
      </w:r>
      <w:r w:rsidR="008A6BC8" w:rsidRPr="00302D8F">
        <w:rPr>
          <w:sz w:val="20"/>
          <w:szCs w:val="20"/>
          <w:lang w:val="es-ES_tradnl"/>
        </w:rPr>
        <w:t>b) de la Convención.</w:t>
      </w:r>
    </w:p>
    <w:p w14:paraId="45CA0ECB" w14:textId="77777777" w:rsidR="00302D8F" w:rsidRPr="00302D8F" w:rsidRDefault="00302D8F" w:rsidP="00302D8F">
      <w:pPr>
        <w:widowControl w:val="0"/>
        <w:jc w:val="both"/>
        <w:rPr>
          <w:sz w:val="20"/>
          <w:szCs w:val="20"/>
          <w:lang w:val="es-ES_tradnl"/>
        </w:rPr>
      </w:pPr>
    </w:p>
    <w:p w14:paraId="2C613E54" w14:textId="5B5F435A" w:rsidR="00C9124E" w:rsidRPr="00302D8F" w:rsidRDefault="00C9124E" w:rsidP="00302D8F">
      <w:pPr>
        <w:pStyle w:val="ListParagraph"/>
        <w:ind w:left="758"/>
        <w:jc w:val="both"/>
        <w:rPr>
          <w:b/>
          <w:bCs/>
          <w:sz w:val="20"/>
          <w:szCs w:val="20"/>
          <w:lang w:val="es-ES_tradnl"/>
        </w:rPr>
      </w:pPr>
      <w:r w:rsidRPr="00302D8F">
        <w:rPr>
          <w:b/>
          <w:sz w:val="20"/>
          <w:szCs w:val="20"/>
          <w:lang w:val="es-ES_tradnl"/>
        </w:rPr>
        <w:t xml:space="preserve">VII. </w:t>
      </w:r>
      <w:r w:rsidRPr="00302D8F">
        <w:rPr>
          <w:b/>
          <w:sz w:val="20"/>
          <w:szCs w:val="20"/>
          <w:lang w:val="es-ES_tradnl"/>
        </w:rPr>
        <w:tab/>
      </w:r>
      <w:r w:rsidRPr="00302D8F">
        <w:rPr>
          <w:b/>
          <w:bCs/>
          <w:sz w:val="20"/>
          <w:szCs w:val="20"/>
          <w:lang w:val="es-ES_tradnl"/>
        </w:rPr>
        <w:t>ANÁLISIS DE CARACTERIZACIÓN DE LOS HECHOS ALEGADOS</w:t>
      </w:r>
    </w:p>
    <w:p w14:paraId="70A7AC08" w14:textId="77777777" w:rsidR="00302D8F" w:rsidRPr="00302D8F" w:rsidRDefault="00302D8F" w:rsidP="00302D8F">
      <w:pPr>
        <w:pStyle w:val="ListParagraph"/>
        <w:ind w:left="758"/>
        <w:jc w:val="both"/>
        <w:rPr>
          <w:b/>
          <w:sz w:val="20"/>
          <w:szCs w:val="20"/>
          <w:lang w:val="es-ES_tradnl"/>
        </w:rPr>
      </w:pPr>
    </w:p>
    <w:p w14:paraId="7343203E" w14:textId="6B7FB507" w:rsidR="008A6BC8" w:rsidRPr="00302D8F" w:rsidRDefault="000E11A9" w:rsidP="00302D8F">
      <w:pPr>
        <w:pStyle w:val="ListParagraph"/>
        <w:widowControl w:val="0"/>
        <w:numPr>
          <w:ilvl w:val="0"/>
          <w:numId w:val="59"/>
        </w:numPr>
        <w:ind w:left="0" w:firstLine="709"/>
        <w:jc w:val="both"/>
        <w:rPr>
          <w:sz w:val="20"/>
          <w:szCs w:val="20"/>
          <w:lang w:val="es-ES_tradnl"/>
        </w:rPr>
      </w:pPr>
      <w:r w:rsidRPr="00302D8F">
        <w:rPr>
          <w:sz w:val="20"/>
          <w:szCs w:val="20"/>
          <w:lang w:val="es-ES_tradnl"/>
        </w:rPr>
        <w:t>L</w:t>
      </w:r>
      <w:r w:rsidR="008A6BC8" w:rsidRPr="00302D8F">
        <w:rPr>
          <w:sz w:val="20"/>
          <w:szCs w:val="20"/>
          <w:lang w:val="es-ES_tradnl"/>
        </w:rPr>
        <w:t xml:space="preserve">os hechos alegados se centran en posibles deficiencias del sistema de justicia que concretamente resultaron en una tramitación lenta de la acción movida por la Sra. Bezerra da Silva. Dicha lentitud se manifestó, especialmente, en la etapa de cumplimiento de sentencia. De acuerdo con las informaciones proporcionadas por las partes, </w:t>
      </w:r>
      <w:r w:rsidR="009F5794" w:rsidRPr="00302D8F">
        <w:rPr>
          <w:sz w:val="20"/>
          <w:szCs w:val="20"/>
          <w:lang w:val="es-ES_tradnl"/>
        </w:rPr>
        <w:t>aunque la demanda se inició en 2007 y se ordenó a un banco privado que indemnizara a la Sra. Bezerra da Silva en 2013, la discusión sobre el monto a pagar se extendió durante la etapa de cumplimiento de sentencia, por medio de sucesivos recursos, hasta 2020. Además, no ha habido, hasta el momento, información de que se haya cumplido la orden de pago o, en caso de incumplimiento, que las instituciones estatales han actuado para defender su efectividad.</w:t>
      </w:r>
    </w:p>
    <w:p w14:paraId="1D50ACC7" w14:textId="77777777" w:rsidR="00302D8F" w:rsidRPr="00302D8F" w:rsidRDefault="00302D8F" w:rsidP="00302D8F">
      <w:pPr>
        <w:pStyle w:val="ListParagraph"/>
        <w:widowControl w:val="0"/>
        <w:ind w:left="709"/>
        <w:jc w:val="both"/>
        <w:rPr>
          <w:sz w:val="20"/>
          <w:szCs w:val="20"/>
          <w:lang w:val="es-ES_tradnl"/>
        </w:rPr>
      </w:pPr>
    </w:p>
    <w:p w14:paraId="198E998A" w14:textId="3B01230A" w:rsidR="00B10BDC" w:rsidRPr="00302D8F" w:rsidRDefault="002C7C97" w:rsidP="00302D8F">
      <w:pPr>
        <w:pStyle w:val="ListParagraph"/>
        <w:widowControl w:val="0"/>
        <w:numPr>
          <w:ilvl w:val="0"/>
          <w:numId w:val="59"/>
        </w:numPr>
        <w:ind w:left="0" w:firstLine="709"/>
        <w:jc w:val="both"/>
        <w:rPr>
          <w:sz w:val="20"/>
          <w:szCs w:val="20"/>
          <w:lang w:val="es-ES_tradnl"/>
        </w:rPr>
      </w:pPr>
      <w:r w:rsidRPr="00302D8F">
        <w:rPr>
          <w:sz w:val="20"/>
          <w:szCs w:val="20"/>
          <w:lang w:val="es-ES_tradnl"/>
        </w:rPr>
        <w:t xml:space="preserve">La ejecución de una sentencia dictada por cualquier tribunal debe entenderse como parte integrante de la misma. </w:t>
      </w:r>
      <w:r w:rsidR="00B10BDC" w:rsidRPr="00302D8F">
        <w:rPr>
          <w:sz w:val="20"/>
          <w:szCs w:val="20"/>
          <w:lang w:val="es-ES_tradnl"/>
        </w:rPr>
        <w:t>La presunta demora en el proceso de ejecución pudiera caracterizar una violación del derecho al plazo razonable del proceso</w:t>
      </w:r>
      <w:r w:rsidRPr="00302D8F">
        <w:rPr>
          <w:sz w:val="20"/>
          <w:szCs w:val="20"/>
          <w:lang w:val="es-ES_tradnl"/>
        </w:rPr>
        <w:t>, y la situación es más grave cuando se trata de personas mayores</w:t>
      </w:r>
      <w:r w:rsidR="00F062D2" w:rsidRPr="00302D8F">
        <w:rPr>
          <w:sz w:val="20"/>
          <w:szCs w:val="20"/>
          <w:lang w:val="es-ES_tradnl"/>
        </w:rPr>
        <w:t>. Asimismo, la falta de materialización de un derecho reconocido en el pronunciamiento judicial puede comprometer el deber estatal, derivado del artículo 25.2 (c) de la Convención, de asegurar el cumplimiento de las decisiones judiciales. En conclusión, la falta de determinación judicial del monto adeudado en etapa de cumplimiento o ejecución de sentencia no es considerada como justificación razonable para la falta de ejecución de las sentencias</w:t>
      </w:r>
      <w:r w:rsidRPr="00302D8F">
        <w:rPr>
          <w:sz w:val="20"/>
          <w:szCs w:val="20"/>
          <w:vertAlign w:val="superscript"/>
          <w:lang w:val="es-ES_tradnl"/>
        </w:rPr>
        <w:footnoteReference w:id="5"/>
      </w:r>
      <w:r w:rsidRPr="00302D8F">
        <w:rPr>
          <w:sz w:val="20"/>
          <w:szCs w:val="20"/>
          <w:lang w:val="es-ES_tradnl"/>
        </w:rPr>
        <w:t>.</w:t>
      </w:r>
    </w:p>
    <w:p w14:paraId="35A9FAD2" w14:textId="77777777" w:rsidR="00302D8F" w:rsidRPr="00302D8F" w:rsidRDefault="00302D8F" w:rsidP="00302D8F">
      <w:pPr>
        <w:widowControl w:val="0"/>
        <w:jc w:val="both"/>
        <w:rPr>
          <w:sz w:val="20"/>
          <w:szCs w:val="20"/>
          <w:lang w:val="es-ES_tradnl"/>
        </w:rPr>
      </w:pPr>
    </w:p>
    <w:p w14:paraId="1A141AF4" w14:textId="6CEF9FC6" w:rsidR="000E11A9" w:rsidRPr="00302D8F" w:rsidRDefault="00F062D2" w:rsidP="00302D8F">
      <w:pPr>
        <w:pStyle w:val="ListParagraph"/>
        <w:widowControl w:val="0"/>
        <w:numPr>
          <w:ilvl w:val="0"/>
          <w:numId w:val="59"/>
        </w:numPr>
        <w:ind w:left="0" w:firstLine="709"/>
        <w:jc w:val="both"/>
        <w:rPr>
          <w:sz w:val="20"/>
          <w:szCs w:val="20"/>
          <w:lang w:val="es-ES_tradnl"/>
        </w:rPr>
      </w:pPr>
      <w:r w:rsidRPr="00302D8F">
        <w:rPr>
          <w:sz w:val="20"/>
          <w:szCs w:val="20"/>
          <w:lang w:val="es-ES_tradnl"/>
        </w:rPr>
        <w:t>Lo anterior indica que l</w:t>
      </w:r>
      <w:r w:rsidR="00FC625F" w:rsidRPr="00302D8F">
        <w:rPr>
          <w:sz w:val="20"/>
          <w:szCs w:val="20"/>
          <w:lang w:val="es-ES_tradnl"/>
        </w:rPr>
        <w:t>a alegada demora procesal por falta de cumplimiento oportuno de la sentencia, que cubre sucesivos recursos para discusión sobre el monto adeudado, no es manifiestamente infundada</w:t>
      </w:r>
      <w:r w:rsidR="00E43355" w:rsidRPr="00302D8F">
        <w:rPr>
          <w:sz w:val="20"/>
          <w:szCs w:val="20"/>
          <w:lang w:val="es-ES_tradnl"/>
        </w:rPr>
        <w:t xml:space="preserve">, y </w:t>
      </w:r>
      <w:r w:rsidR="00FC625F" w:rsidRPr="00302D8F">
        <w:rPr>
          <w:sz w:val="20"/>
          <w:szCs w:val="20"/>
          <w:lang w:val="es-ES_tradnl"/>
        </w:rPr>
        <w:t xml:space="preserve">requiere un estudio de fondo. </w:t>
      </w:r>
      <w:r w:rsidR="00E43355" w:rsidRPr="00302D8F">
        <w:rPr>
          <w:sz w:val="20"/>
          <w:szCs w:val="20"/>
          <w:lang w:val="es-ES_tradnl"/>
        </w:rPr>
        <w:t xml:space="preserve">Los </w:t>
      </w:r>
      <w:r w:rsidR="00FC625F" w:rsidRPr="00302D8F">
        <w:rPr>
          <w:sz w:val="20"/>
          <w:szCs w:val="20"/>
          <w:lang w:val="es-ES_tradnl"/>
        </w:rPr>
        <w:t>alegatos</w:t>
      </w:r>
      <w:r w:rsidR="00E43355" w:rsidRPr="00302D8F">
        <w:rPr>
          <w:sz w:val="20"/>
          <w:szCs w:val="20"/>
          <w:lang w:val="es-ES_tradnl"/>
        </w:rPr>
        <w:t xml:space="preserve"> de la parte peticionaria</w:t>
      </w:r>
      <w:r w:rsidR="00FC625F" w:rsidRPr="00302D8F">
        <w:rPr>
          <w:sz w:val="20"/>
          <w:szCs w:val="20"/>
          <w:lang w:val="es-ES_tradnl"/>
        </w:rPr>
        <w:t xml:space="preserve"> </w:t>
      </w:r>
      <w:r w:rsidR="00E43355" w:rsidRPr="00302D8F">
        <w:rPr>
          <w:sz w:val="20"/>
          <w:szCs w:val="20"/>
          <w:lang w:val="es-ES_tradnl"/>
        </w:rPr>
        <w:t>podrían</w:t>
      </w:r>
      <w:r w:rsidR="000E11A9" w:rsidRPr="00302D8F">
        <w:rPr>
          <w:sz w:val="20"/>
          <w:szCs w:val="20"/>
          <w:lang w:val="es-ES_tradnl"/>
        </w:rPr>
        <w:t xml:space="preserve"> caracterizar violaciones a los derechos protegidos por los artículos 8 (garantías judiciales) y 25 (protección judicial)</w:t>
      </w:r>
      <w:r w:rsidR="00E43355" w:rsidRPr="00302D8F">
        <w:rPr>
          <w:sz w:val="20"/>
          <w:szCs w:val="20"/>
          <w:lang w:val="es-ES_tradnl"/>
        </w:rPr>
        <w:t xml:space="preserve"> de la Convención Americana</w:t>
      </w:r>
      <w:r w:rsidR="000E11A9" w:rsidRPr="00302D8F">
        <w:rPr>
          <w:sz w:val="20"/>
          <w:szCs w:val="20"/>
          <w:lang w:val="es-ES_tradnl"/>
        </w:rPr>
        <w:t xml:space="preserve">, relacionados con </w:t>
      </w:r>
      <w:r w:rsidR="00E43355" w:rsidRPr="00302D8F">
        <w:rPr>
          <w:sz w:val="20"/>
          <w:szCs w:val="20"/>
          <w:lang w:val="es-ES_tradnl"/>
        </w:rPr>
        <w:t>su</w:t>
      </w:r>
      <w:r w:rsidR="000E11A9" w:rsidRPr="00302D8F">
        <w:rPr>
          <w:sz w:val="20"/>
          <w:szCs w:val="20"/>
          <w:lang w:val="es-ES_tradnl"/>
        </w:rPr>
        <w:t xml:space="preserve"> artículo 1.1 (obligación de respetar los derechos</w:t>
      </w:r>
      <w:r w:rsidR="00E43355" w:rsidRPr="00302D8F">
        <w:rPr>
          <w:sz w:val="20"/>
          <w:szCs w:val="20"/>
          <w:lang w:val="es-ES_tradnl"/>
        </w:rPr>
        <w:t xml:space="preserve">). Asimismo, y como lo ha hecho en otras ocasiones, la CIDH considerará la caracterización </w:t>
      </w:r>
      <w:r w:rsidR="00E43355" w:rsidRPr="00302D8F">
        <w:rPr>
          <w:i/>
          <w:iCs/>
          <w:sz w:val="20"/>
          <w:szCs w:val="20"/>
          <w:lang w:val="es-ES_tradnl"/>
        </w:rPr>
        <w:t>prima facie</w:t>
      </w:r>
      <w:r w:rsidR="00E43355" w:rsidRPr="00302D8F">
        <w:rPr>
          <w:sz w:val="20"/>
          <w:szCs w:val="20"/>
          <w:lang w:val="es-ES_tradnl"/>
        </w:rPr>
        <w:t xml:space="preserve"> del artículo 24 (igualdad ante la ley) de la Convención Americana, por el alegato retardo injustificado en la resolución final del proceso que habría padecido la presunta víctima como adulta mayor</w:t>
      </w:r>
      <w:r w:rsidR="00E72089">
        <w:rPr>
          <w:rStyle w:val="FootnoteReference"/>
          <w:sz w:val="20"/>
          <w:szCs w:val="20"/>
          <w:lang w:val="es-ES_tradnl"/>
        </w:rPr>
        <w:footnoteReference w:id="6"/>
      </w:r>
      <w:r w:rsidR="00E43355" w:rsidRPr="00302D8F">
        <w:rPr>
          <w:sz w:val="20"/>
          <w:szCs w:val="20"/>
          <w:lang w:val="es-ES_tradnl"/>
        </w:rPr>
        <w:t>.</w:t>
      </w:r>
    </w:p>
    <w:p w14:paraId="66791642" w14:textId="77777777" w:rsidR="00302D8F" w:rsidRPr="00302D8F" w:rsidRDefault="00302D8F" w:rsidP="00302D8F">
      <w:pPr>
        <w:widowControl w:val="0"/>
        <w:jc w:val="both"/>
        <w:rPr>
          <w:sz w:val="20"/>
          <w:szCs w:val="20"/>
          <w:lang w:val="es-ES_tradnl"/>
        </w:rPr>
      </w:pPr>
    </w:p>
    <w:p w14:paraId="01A33529" w14:textId="4B82FDC6" w:rsidR="000F3E4D" w:rsidRPr="00302D8F" w:rsidRDefault="00FC625F" w:rsidP="00302D8F">
      <w:pPr>
        <w:pStyle w:val="ListParagraph"/>
        <w:widowControl w:val="0"/>
        <w:numPr>
          <w:ilvl w:val="0"/>
          <w:numId w:val="59"/>
        </w:numPr>
        <w:ind w:left="0" w:firstLine="709"/>
        <w:jc w:val="both"/>
        <w:rPr>
          <w:sz w:val="20"/>
          <w:szCs w:val="20"/>
          <w:lang w:val="es-ES_tradnl"/>
        </w:rPr>
      </w:pPr>
      <w:r w:rsidRPr="00302D8F">
        <w:rPr>
          <w:sz w:val="20"/>
          <w:szCs w:val="20"/>
          <w:lang w:val="es-ES_tradnl"/>
        </w:rPr>
        <w:t>E</w:t>
      </w:r>
      <w:r w:rsidR="000E11A9" w:rsidRPr="00302D8F">
        <w:rPr>
          <w:sz w:val="20"/>
          <w:szCs w:val="20"/>
          <w:lang w:val="es-ES_tradnl"/>
        </w:rPr>
        <w:t xml:space="preserve">n cuanto al alegato del Estado de que la admisión de la presente petición constituiría una violación a la </w:t>
      </w:r>
      <w:r w:rsidR="00E43355" w:rsidRPr="00302D8F">
        <w:rPr>
          <w:sz w:val="20"/>
          <w:szCs w:val="20"/>
          <w:lang w:val="es-ES_tradnl"/>
        </w:rPr>
        <w:t xml:space="preserve">llamada </w:t>
      </w:r>
      <w:r w:rsidR="000E11A9" w:rsidRPr="00302D8F">
        <w:rPr>
          <w:sz w:val="20"/>
          <w:szCs w:val="20"/>
          <w:lang w:val="es-ES_tradnl"/>
        </w:rPr>
        <w:t>fórmula de la cuarta instancia, la Comisión reitera que, en el marco de su mandato, es competente para declarar admisible una petición y decidir sobre el fondo cuando se refiere a procesos internos que podrían violar los derechos garantizados por la Convención Americana.</w:t>
      </w:r>
      <w:r w:rsidR="00E43355" w:rsidRPr="00302D8F">
        <w:rPr>
          <w:sz w:val="20"/>
          <w:szCs w:val="20"/>
          <w:lang w:val="es-ES_tradnl"/>
        </w:rPr>
        <w:t xml:space="preserve"> No es el papel de la Comisión entrar a valorar</w:t>
      </w:r>
      <w:r w:rsidR="00302D8F" w:rsidRPr="00302D8F">
        <w:rPr>
          <w:sz w:val="20"/>
          <w:szCs w:val="20"/>
          <w:lang w:val="es-ES_tradnl"/>
        </w:rPr>
        <w:t>, por ejemplo</w:t>
      </w:r>
      <w:r w:rsidR="00E43355" w:rsidRPr="00302D8F">
        <w:rPr>
          <w:sz w:val="20"/>
          <w:szCs w:val="20"/>
          <w:lang w:val="es-ES_tradnl"/>
        </w:rPr>
        <w:t xml:space="preserve"> la interpretación que hayan </w:t>
      </w:r>
      <w:r w:rsidR="00302D8F" w:rsidRPr="00302D8F">
        <w:rPr>
          <w:sz w:val="20"/>
          <w:szCs w:val="20"/>
          <w:lang w:val="es-ES_tradnl"/>
        </w:rPr>
        <w:t xml:space="preserve">hecho los tribunales internos de las leyes domésticas, ni la valoración de las pruebas, sino analizar si los tribunales internos garantizaron el acceso a la justicia de la presunta víctima en un plazo razonable. </w:t>
      </w:r>
    </w:p>
    <w:p w14:paraId="7B4E701D" w14:textId="77777777" w:rsidR="00302D8F" w:rsidRPr="00302D8F" w:rsidRDefault="00302D8F" w:rsidP="00302D8F">
      <w:pPr>
        <w:widowControl w:val="0"/>
        <w:jc w:val="both"/>
        <w:rPr>
          <w:sz w:val="20"/>
          <w:szCs w:val="20"/>
          <w:lang w:val="es-ES_tradnl"/>
        </w:rPr>
      </w:pPr>
    </w:p>
    <w:p w14:paraId="40DABB4D" w14:textId="1409C3DF" w:rsidR="006E3BAD" w:rsidRPr="00302D8F" w:rsidRDefault="006E3BAD" w:rsidP="00302D8F">
      <w:pPr>
        <w:pStyle w:val="ListParagraph"/>
        <w:widowControl w:val="0"/>
        <w:ind w:left="709"/>
        <w:jc w:val="both"/>
        <w:rPr>
          <w:b/>
          <w:bCs/>
          <w:sz w:val="20"/>
          <w:szCs w:val="20"/>
          <w:lang w:val="es-ES_tradnl"/>
        </w:rPr>
      </w:pPr>
      <w:r w:rsidRPr="00302D8F">
        <w:rPr>
          <w:b/>
          <w:sz w:val="20"/>
          <w:szCs w:val="20"/>
          <w:lang w:val="es-ES_tradnl"/>
        </w:rPr>
        <w:t xml:space="preserve">VIII. </w:t>
      </w:r>
      <w:r w:rsidRPr="00302D8F">
        <w:rPr>
          <w:b/>
          <w:sz w:val="20"/>
          <w:szCs w:val="20"/>
          <w:lang w:val="es-ES_tradnl"/>
        </w:rPr>
        <w:tab/>
      </w:r>
      <w:r w:rsidRPr="00302D8F">
        <w:rPr>
          <w:b/>
          <w:bCs/>
          <w:sz w:val="20"/>
          <w:szCs w:val="20"/>
          <w:lang w:val="es-ES_tradnl"/>
        </w:rPr>
        <w:t>DECISIÓN</w:t>
      </w:r>
    </w:p>
    <w:p w14:paraId="55ABFC28" w14:textId="77777777" w:rsidR="00302D8F" w:rsidRPr="00302D8F" w:rsidRDefault="00302D8F" w:rsidP="00302D8F">
      <w:pPr>
        <w:pStyle w:val="ListParagraph"/>
        <w:widowControl w:val="0"/>
        <w:ind w:left="709"/>
        <w:jc w:val="both"/>
        <w:rPr>
          <w:b/>
          <w:sz w:val="20"/>
          <w:szCs w:val="20"/>
          <w:lang w:val="es-ES_tradnl"/>
        </w:rPr>
      </w:pPr>
    </w:p>
    <w:p w14:paraId="2CD54096" w14:textId="41F56292" w:rsidR="000F3E4D" w:rsidRPr="00302D8F" w:rsidRDefault="000F3E4D" w:rsidP="00302D8F">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09"/>
        <w:jc w:val="both"/>
        <w:rPr>
          <w:sz w:val="20"/>
          <w:szCs w:val="20"/>
          <w:lang w:val="es-ES_tradnl"/>
        </w:rPr>
      </w:pPr>
      <w:r w:rsidRPr="00302D8F">
        <w:rPr>
          <w:sz w:val="20"/>
          <w:szCs w:val="20"/>
          <w:lang w:val="es-ES_tradnl"/>
        </w:rPr>
        <w:t>Declarar admisible la presente petición en relación con los artículos 8 y 25 de la Convención Americana, en relación con el artículo 1(1); y</w:t>
      </w:r>
    </w:p>
    <w:p w14:paraId="7DD36549" w14:textId="77777777" w:rsidR="00302D8F" w:rsidRPr="00302D8F" w:rsidRDefault="00302D8F" w:rsidP="00302D8F">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09"/>
        <w:jc w:val="both"/>
        <w:rPr>
          <w:sz w:val="20"/>
          <w:szCs w:val="20"/>
          <w:lang w:val="es-ES_tradnl"/>
        </w:rPr>
      </w:pPr>
    </w:p>
    <w:p w14:paraId="245C05A6" w14:textId="32C4385D" w:rsidR="006E3BAD" w:rsidRDefault="006E3BAD" w:rsidP="00302D8F">
      <w:pPr>
        <w:pStyle w:val="ListParagraph"/>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09"/>
        <w:jc w:val="both"/>
        <w:rPr>
          <w:sz w:val="20"/>
          <w:szCs w:val="20"/>
          <w:lang w:val="es-ES_tradnl"/>
        </w:rPr>
      </w:pPr>
      <w:r w:rsidRPr="00302D8F">
        <w:rPr>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C382A29" w14:textId="77777777" w:rsidR="00CA7CAB" w:rsidRPr="00CA7CAB" w:rsidRDefault="00CA7CAB" w:rsidP="00CA7CAB">
      <w:pPr>
        <w:pStyle w:val="ListParagraph"/>
        <w:rPr>
          <w:sz w:val="20"/>
          <w:szCs w:val="20"/>
          <w:lang w:val="es-ES_tradnl"/>
        </w:rPr>
      </w:pPr>
    </w:p>
    <w:p w14:paraId="3CA6CFD7" w14:textId="4D079CEC" w:rsidR="00CA7CAB" w:rsidRPr="00407104" w:rsidRDefault="00CA7CAB" w:rsidP="00CA7CA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29 días del mes de noviembre de 2022. (Firmado): Julissa Mantilla Falcón, Presidenta; Stuardo Ralón Orellana (voto disidente), Primer Vicepresidente; Esmeralda E. Arosemena Bernal de Troitiño y Joel Hernández, miembros de la Comisión. </w:t>
      </w:r>
      <w:r w:rsidRPr="00407104">
        <w:rPr>
          <w:rStyle w:val="eop"/>
          <w:rFonts w:ascii="Cambria" w:hAnsi="Cambria" w:cs="Segoe UI"/>
          <w:sz w:val="20"/>
          <w:szCs w:val="20"/>
          <w:lang w:val="es-ES"/>
        </w:rPr>
        <w:t> </w:t>
      </w:r>
    </w:p>
    <w:p w14:paraId="2CB30E4B" w14:textId="77777777" w:rsidR="00CA7CAB" w:rsidRPr="00CA7CAB" w:rsidRDefault="00CA7CAB" w:rsidP="00CA7CA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sz w:val="20"/>
          <w:szCs w:val="20"/>
          <w:lang w:val="es-ES"/>
        </w:rPr>
      </w:pPr>
    </w:p>
    <w:sectPr w:rsidR="00CA7CAB" w:rsidRPr="00CA7CA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C994" w14:textId="77777777" w:rsidR="00636BC9" w:rsidRDefault="00636BC9">
      <w:r>
        <w:separator/>
      </w:r>
    </w:p>
  </w:endnote>
  <w:endnote w:type="continuationSeparator" w:id="0">
    <w:p w14:paraId="5E6026E0" w14:textId="77777777" w:rsidR="00636BC9" w:rsidRDefault="0063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1FAF" w14:textId="77777777" w:rsidR="00636BC9" w:rsidRPr="000F35ED" w:rsidRDefault="00636BC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384847" w14:textId="77777777" w:rsidR="00636BC9" w:rsidRPr="000F35ED" w:rsidRDefault="00636BC9" w:rsidP="000F35ED">
      <w:pPr>
        <w:rPr>
          <w:rFonts w:asciiTheme="majorHAnsi" w:hAnsiTheme="majorHAnsi"/>
          <w:sz w:val="16"/>
          <w:szCs w:val="16"/>
        </w:rPr>
      </w:pPr>
      <w:r w:rsidRPr="000F35ED">
        <w:rPr>
          <w:rFonts w:asciiTheme="majorHAnsi" w:hAnsiTheme="majorHAnsi"/>
          <w:sz w:val="16"/>
          <w:szCs w:val="16"/>
        </w:rPr>
        <w:separator/>
      </w:r>
    </w:p>
    <w:p w14:paraId="6939ACD3" w14:textId="77777777" w:rsidR="00636BC9" w:rsidRPr="000F35ED" w:rsidRDefault="00636BC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BA8C872" w14:textId="77777777" w:rsidR="00636BC9" w:rsidRPr="000F35ED" w:rsidRDefault="00636BC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4FDDC4E" w14:textId="7D001AB2" w:rsidR="00780BF9" w:rsidRPr="00E72089" w:rsidRDefault="00780BF9" w:rsidP="006A217E">
      <w:pPr>
        <w:pStyle w:val="FootnoteText"/>
        <w:ind w:firstLine="706"/>
        <w:jc w:val="both"/>
        <w:rPr>
          <w:rFonts w:asciiTheme="majorHAnsi" w:hAnsiTheme="majorHAnsi"/>
          <w:sz w:val="16"/>
          <w:szCs w:val="16"/>
          <w:lang w:val="es-US"/>
        </w:rPr>
      </w:pPr>
      <w:r w:rsidRPr="00E72089">
        <w:rPr>
          <w:rStyle w:val="FootnoteReference"/>
          <w:rFonts w:asciiTheme="majorHAnsi" w:hAnsiTheme="majorHAnsi"/>
          <w:sz w:val="16"/>
          <w:szCs w:val="16"/>
        </w:rPr>
        <w:footnoteRef/>
      </w:r>
      <w:r w:rsidRPr="00E72089">
        <w:rPr>
          <w:rFonts w:asciiTheme="majorHAnsi" w:hAnsiTheme="majorHAnsi"/>
          <w:sz w:val="16"/>
          <w:szCs w:val="16"/>
          <w:lang w:val="es-US"/>
        </w:rPr>
        <w:t xml:space="preserve"> En adelante “la Convención Americana” o “la Convención”.</w:t>
      </w:r>
    </w:p>
  </w:footnote>
  <w:footnote w:id="3">
    <w:p w14:paraId="1AFEF3B0" w14:textId="62A31FF2" w:rsidR="008E3BFE" w:rsidRPr="00E72089" w:rsidRDefault="008E3BFE" w:rsidP="006A217E">
      <w:pPr>
        <w:pStyle w:val="FootnoteText"/>
        <w:ind w:firstLine="706"/>
        <w:jc w:val="both"/>
        <w:rPr>
          <w:rFonts w:asciiTheme="majorHAnsi" w:hAnsiTheme="majorHAnsi"/>
          <w:sz w:val="16"/>
          <w:szCs w:val="16"/>
          <w:lang w:val="es-ES"/>
        </w:rPr>
      </w:pPr>
      <w:r w:rsidRPr="00E72089">
        <w:rPr>
          <w:rStyle w:val="FootnoteReference"/>
          <w:rFonts w:asciiTheme="majorHAnsi" w:hAnsiTheme="majorHAnsi"/>
          <w:sz w:val="16"/>
          <w:szCs w:val="16"/>
        </w:rPr>
        <w:footnoteRef/>
      </w:r>
      <w:r w:rsidRPr="00E72089">
        <w:rPr>
          <w:rFonts w:asciiTheme="majorHAnsi" w:hAnsiTheme="majorHAnsi"/>
          <w:sz w:val="16"/>
          <w:szCs w:val="16"/>
          <w:lang w:val="es-ES"/>
        </w:rPr>
        <w:t xml:space="preserve"> </w:t>
      </w:r>
      <w:r w:rsidR="009838C1" w:rsidRPr="00E72089">
        <w:rPr>
          <w:rFonts w:asciiTheme="majorHAnsi" w:hAnsiTheme="majorHAnsi"/>
          <w:sz w:val="16"/>
          <w:szCs w:val="16"/>
          <w:lang w:val="es-ES"/>
        </w:rPr>
        <w:t xml:space="preserve">Las observaciones de cada parte fueron debidamente trasladadas a la </w:t>
      </w:r>
      <w:r w:rsidR="001F1BFE" w:rsidRPr="00E72089">
        <w:rPr>
          <w:rFonts w:asciiTheme="majorHAnsi" w:hAnsiTheme="majorHAnsi"/>
          <w:sz w:val="16"/>
          <w:szCs w:val="16"/>
          <w:lang w:val="es-ES"/>
        </w:rPr>
        <w:t>parte contraria.</w:t>
      </w:r>
      <w:r w:rsidR="00F7289E" w:rsidRPr="00E72089">
        <w:rPr>
          <w:rFonts w:asciiTheme="majorHAnsi" w:hAnsiTheme="majorHAnsi"/>
          <w:sz w:val="16"/>
          <w:szCs w:val="16"/>
          <w:lang w:val="es-ES"/>
        </w:rPr>
        <w:t xml:space="preserve"> La parte peticionaria ha manifestado su interés procesal </w:t>
      </w:r>
      <w:r w:rsidR="00DC1B4C" w:rsidRPr="00E72089">
        <w:rPr>
          <w:rFonts w:asciiTheme="majorHAnsi" w:hAnsiTheme="majorHAnsi"/>
          <w:sz w:val="16"/>
          <w:szCs w:val="16"/>
          <w:lang w:val="es-ES"/>
        </w:rPr>
        <w:t xml:space="preserve">reciente </w:t>
      </w:r>
      <w:r w:rsidR="00F7289E" w:rsidRPr="00E72089">
        <w:rPr>
          <w:rFonts w:asciiTheme="majorHAnsi" w:hAnsiTheme="majorHAnsi"/>
          <w:sz w:val="16"/>
          <w:szCs w:val="16"/>
          <w:lang w:val="es-ES"/>
        </w:rPr>
        <w:t>en la petición</w:t>
      </w:r>
      <w:r w:rsidR="00DC1B4C" w:rsidRPr="00E72089">
        <w:rPr>
          <w:rFonts w:asciiTheme="majorHAnsi" w:hAnsiTheme="majorHAnsi"/>
          <w:sz w:val="16"/>
          <w:szCs w:val="16"/>
          <w:lang w:val="es-ES"/>
        </w:rPr>
        <w:t xml:space="preserve"> por medio de un escrito, en 10 de marzo de 2022, con información actualizada sobre la representación y contacto de las personas representantes de la presunta víctima.</w:t>
      </w:r>
    </w:p>
  </w:footnote>
  <w:footnote w:id="4">
    <w:p w14:paraId="473855F4" w14:textId="32125E12" w:rsidR="0073109C" w:rsidRPr="00E72089" w:rsidRDefault="0073109C" w:rsidP="006A217E">
      <w:pPr>
        <w:tabs>
          <w:tab w:val="left" w:pos="0"/>
        </w:tabs>
        <w:ind w:firstLine="706"/>
        <w:jc w:val="both"/>
        <w:rPr>
          <w:rFonts w:asciiTheme="majorHAnsi" w:hAnsiTheme="majorHAnsi"/>
          <w:sz w:val="16"/>
          <w:szCs w:val="16"/>
          <w:lang w:val="es-ES"/>
        </w:rPr>
      </w:pPr>
      <w:r w:rsidRPr="00E72089">
        <w:rPr>
          <w:rStyle w:val="FootnoteReference"/>
          <w:rFonts w:asciiTheme="majorHAnsi" w:hAnsiTheme="majorHAnsi"/>
          <w:sz w:val="16"/>
          <w:szCs w:val="16"/>
          <w:lang w:val="pt-BR"/>
        </w:rPr>
        <w:footnoteRef/>
      </w:r>
      <w:r w:rsidRPr="00E72089">
        <w:rPr>
          <w:rFonts w:asciiTheme="majorHAnsi" w:hAnsiTheme="majorHAnsi"/>
          <w:sz w:val="16"/>
          <w:szCs w:val="16"/>
          <w:lang w:val="es-ES"/>
        </w:rPr>
        <w:t xml:space="preserve"> CIDH, </w:t>
      </w:r>
      <w:hyperlink r:id="rId1" w:history="1">
        <w:r w:rsidRPr="00E72089">
          <w:rPr>
            <w:rStyle w:val="Hyperlink"/>
            <w:rFonts w:asciiTheme="majorHAnsi" w:hAnsiTheme="majorHAnsi"/>
            <w:sz w:val="16"/>
            <w:szCs w:val="16"/>
            <w:u w:val="none"/>
            <w:lang w:val="es-ES"/>
          </w:rPr>
          <w:t>Informe No. 341/21. Petición 441-10. Admisibilidad. Personas privadas de libertad en cárceles públicas de Minas Gerais</w:t>
        </w:r>
      </w:hyperlink>
      <w:r w:rsidRPr="00E72089">
        <w:rPr>
          <w:rFonts w:asciiTheme="majorHAnsi" w:hAnsiTheme="majorHAnsi"/>
          <w:sz w:val="16"/>
          <w:szCs w:val="16"/>
          <w:lang w:val="es-ES"/>
        </w:rPr>
        <w:t>. Brasil. 22 de noviembre de 2021, párrafo 11.</w:t>
      </w:r>
    </w:p>
  </w:footnote>
  <w:footnote w:id="5">
    <w:p w14:paraId="018A168E" w14:textId="5EACCE13" w:rsidR="002C7C97" w:rsidRPr="00E72089" w:rsidRDefault="002C7C97" w:rsidP="006A217E">
      <w:pPr>
        <w:pStyle w:val="FootnoteText"/>
        <w:tabs>
          <w:tab w:val="left" w:pos="0"/>
          <w:tab w:val="left" w:pos="9356"/>
        </w:tabs>
        <w:ind w:firstLine="706"/>
        <w:jc w:val="both"/>
        <w:rPr>
          <w:rFonts w:asciiTheme="majorHAnsi" w:hAnsiTheme="majorHAnsi"/>
          <w:sz w:val="16"/>
          <w:szCs w:val="16"/>
          <w:lang w:val="es-ES"/>
        </w:rPr>
      </w:pPr>
      <w:r w:rsidRPr="00E72089">
        <w:rPr>
          <w:rStyle w:val="FootnoteReference"/>
          <w:rFonts w:asciiTheme="majorHAnsi" w:hAnsiTheme="majorHAnsi"/>
          <w:sz w:val="16"/>
          <w:szCs w:val="16"/>
          <w:lang w:val="pt-BR"/>
        </w:rPr>
        <w:footnoteRef/>
      </w:r>
      <w:r w:rsidRPr="00E72089">
        <w:rPr>
          <w:rFonts w:asciiTheme="majorHAnsi" w:hAnsiTheme="majorHAnsi"/>
          <w:sz w:val="16"/>
          <w:szCs w:val="16"/>
          <w:lang w:val="es-ES"/>
        </w:rPr>
        <w:t xml:space="preserve"> </w:t>
      </w:r>
      <w:r w:rsidRPr="00E72089">
        <w:rPr>
          <w:rFonts w:asciiTheme="majorHAnsi" w:eastAsia="Arial Unicode MS" w:hAnsiTheme="majorHAnsi" w:cs="Times New Roman"/>
          <w:color w:val="auto"/>
          <w:sz w:val="16"/>
          <w:szCs w:val="16"/>
          <w:lang w:val="es-ES" w:eastAsia="en-US"/>
        </w:rPr>
        <w:t xml:space="preserve">CIDH, </w:t>
      </w:r>
      <w:r w:rsidRPr="00E72089">
        <w:rPr>
          <w:rFonts w:asciiTheme="majorHAnsi" w:hAnsiTheme="majorHAnsi"/>
          <w:color w:val="auto"/>
          <w:sz w:val="16"/>
          <w:szCs w:val="16"/>
          <w:lang w:val="es-ES" w:eastAsia="en-US"/>
        </w:rPr>
        <w:t xml:space="preserve">Informe No. 106/10. Petición 147-98. Admisibilidad. Oscar Muelle Flores. Perú. 16 de julio de 2010, </w:t>
      </w:r>
      <w:r w:rsidRPr="00E72089">
        <w:rPr>
          <w:rFonts w:asciiTheme="majorHAnsi" w:hAnsiTheme="majorHAnsi"/>
          <w:sz w:val="16"/>
          <w:szCs w:val="16"/>
          <w:lang w:val="es-ES"/>
        </w:rPr>
        <w:t xml:space="preserve">párrafo 36; CIDH, Informe No. 47/02, Petición 12.357. Admisibilidad. Asociación Nacional de Cesantes y Jubilados de la Contraloría General de la República. Perú. 9 de octubre de 2002, párrafo 26; </w:t>
      </w:r>
      <w:r w:rsidRPr="00E72089">
        <w:rPr>
          <w:rFonts w:asciiTheme="majorHAnsi" w:hAnsiTheme="majorHAnsi"/>
          <w:sz w:val="16"/>
          <w:szCs w:val="16"/>
          <w:lang w:val="es-US"/>
        </w:rPr>
        <w:t xml:space="preserve">Corte IDH. </w:t>
      </w:r>
      <w:r w:rsidRPr="00E72089">
        <w:rPr>
          <w:rFonts w:asciiTheme="majorHAnsi" w:hAnsiTheme="majorHAnsi"/>
          <w:sz w:val="16"/>
          <w:szCs w:val="16"/>
          <w:lang w:val="es-ES"/>
        </w:rPr>
        <w:t>Caso Muelle Flores Vs. Perú. Sentencia de 06 de marzo de 2019 (Excepciones Preliminares, Fondo, Reparaciones y Costas), párrafos 69-70, 73, 154-155, 157; Corte IDH. Acevedo Buendía v. Perú. Sentencia de 1 de julio de 2009 (Excepción Preliminar, Fondo, Reparaciones y Costas), párr. 76.</w:t>
      </w:r>
    </w:p>
  </w:footnote>
  <w:footnote w:id="6">
    <w:p w14:paraId="3FD15488" w14:textId="2F03C632" w:rsidR="00E72089" w:rsidRPr="00E72089" w:rsidRDefault="00E72089" w:rsidP="00E72089">
      <w:pPr>
        <w:pStyle w:val="FootnoteText"/>
        <w:ind w:firstLine="706"/>
        <w:jc w:val="both"/>
        <w:rPr>
          <w:rFonts w:asciiTheme="majorHAnsi" w:hAnsiTheme="majorHAnsi"/>
          <w:sz w:val="16"/>
          <w:szCs w:val="16"/>
          <w:lang w:val="es-US"/>
        </w:rPr>
      </w:pPr>
      <w:r w:rsidRPr="00E72089">
        <w:rPr>
          <w:rStyle w:val="FootnoteReference"/>
          <w:rFonts w:asciiTheme="majorHAnsi" w:hAnsiTheme="majorHAnsi"/>
          <w:sz w:val="16"/>
          <w:szCs w:val="16"/>
        </w:rPr>
        <w:footnoteRef/>
      </w:r>
      <w:r w:rsidRPr="00E72089">
        <w:rPr>
          <w:rFonts w:asciiTheme="majorHAnsi" w:hAnsiTheme="majorHAnsi"/>
          <w:sz w:val="16"/>
          <w:szCs w:val="16"/>
          <w:lang w:val="es-US"/>
        </w:rPr>
        <w:t xml:space="preserve"> CIDH, Informe No. 142/20. Petición 537-10. Admisibilidad. Teresa Ortega La Rosa Vda. de Morán. Perú. 8 de mayo de 2020, párr.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97723"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59BCDF6A"/>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8F4F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001150"/>
    <w:multiLevelType w:val="hybridMultilevel"/>
    <w:tmpl w:val="EC32CB04"/>
    <w:lvl w:ilvl="0" w:tplc="07DE1420">
      <w:start w:val="1"/>
      <w:numFmt w:val="decimal"/>
      <w:lvlText w:val="%1."/>
      <w:lvlJc w:val="left"/>
      <w:pPr>
        <w:ind w:left="758" w:hanging="720"/>
      </w:pPr>
      <w:rPr>
        <w:rFonts w:ascii="Cambria" w:eastAsia="Cambria" w:hAnsi="Cambria" w:cs="Cambria" w:hint="default"/>
        <w:w w:val="99"/>
        <w:sz w:val="20"/>
        <w:szCs w:val="20"/>
        <w:vertAlign w:val="baseline"/>
        <w:lang w:val="es-ES_tradnl"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4"/>
  </w:num>
  <w:num w:numId="2" w16cid:durableId="1815367427">
    <w:abstractNumId w:val="6"/>
  </w:num>
  <w:num w:numId="3" w16cid:durableId="1663389590">
    <w:abstractNumId w:val="58"/>
  </w:num>
  <w:num w:numId="4" w16cid:durableId="82342866">
    <w:abstractNumId w:val="21"/>
  </w:num>
  <w:num w:numId="5" w16cid:durableId="1599026591">
    <w:abstractNumId w:val="51"/>
  </w:num>
  <w:num w:numId="6" w16cid:durableId="1795514418">
    <w:abstractNumId w:val="28"/>
  </w:num>
  <w:num w:numId="7" w16cid:durableId="396254">
    <w:abstractNumId w:val="7"/>
  </w:num>
  <w:num w:numId="8" w16cid:durableId="1302268258">
    <w:abstractNumId w:val="17"/>
  </w:num>
  <w:num w:numId="9" w16cid:durableId="669480169">
    <w:abstractNumId w:val="45"/>
  </w:num>
  <w:num w:numId="10" w16cid:durableId="275260533">
    <w:abstractNumId w:val="0"/>
  </w:num>
  <w:num w:numId="11" w16cid:durableId="866258526">
    <w:abstractNumId w:val="40"/>
  </w:num>
  <w:num w:numId="12" w16cid:durableId="171335598">
    <w:abstractNumId w:val="41"/>
  </w:num>
  <w:num w:numId="13" w16cid:durableId="752550714">
    <w:abstractNumId w:val="48"/>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8"/>
  </w:num>
  <w:num w:numId="26" w16cid:durableId="660161155">
    <w:abstractNumId w:val="19"/>
  </w:num>
  <w:num w:numId="27" w16cid:durableId="2016032229">
    <w:abstractNumId w:val="22"/>
  </w:num>
  <w:num w:numId="28" w16cid:durableId="1169757202">
    <w:abstractNumId w:val="23"/>
  </w:num>
  <w:num w:numId="29" w16cid:durableId="1713113596">
    <w:abstractNumId w:val="24"/>
  </w:num>
  <w:num w:numId="30" w16cid:durableId="217321478">
    <w:abstractNumId w:val="26"/>
  </w:num>
  <w:num w:numId="31" w16cid:durableId="2001157105">
    <w:abstractNumId w:val="30"/>
  </w:num>
  <w:num w:numId="32" w16cid:durableId="1680884154">
    <w:abstractNumId w:val="31"/>
  </w:num>
  <w:num w:numId="33" w16cid:durableId="1152284582">
    <w:abstractNumId w:val="32"/>
  </w:num>
  <w:num w:numId="34" w16cid:durableId="676424681">
    <w:abstractNumId w:val="33"/>
  </w:num>
  <w:num w:numId="35" w16cid:durableId="894270057">
    <w:abstractNumId w:val="34"/>
  </w:num>
  <w:num w:numId="36" w16cid:durableId="988172318">
    <w:abstractNumId w:val="36"/>
  </w:num>
  <w:num w:numId="37" w16cid:durableId="550464103">
    <w:abstractNumId w:val="37"/>
  </w:num>
  <w:num w:numId="38" w16cid:durableId="923027620">
    <w:abstractNumId w:val="38"/>
  </w:num>
  <w:num w:numId="39" w16cid:durableId="257376164">
    <w:abstractNumId w:val="42"/>
  </w:num>
  <w:num w:numId="40" w16cid:durableId="1595551088">
    <w:abstractNumId w:val="43"/>
  </w:num>
  <w:num w:numId="41" w16cid:durableId="1901792458">
    <w:abstractNumId w:val="50"/>
  </w:num>
  <w:num w:numId="42" w16cid:durableId="2066679574">
    <w:abstractNumId w:val="52"/>
  </w:num>
  <w:num w:numId="43" w16cid:durableId="1855076713">
    <w:abstractNumId w:val="54"/>
  </w:num>
  <w:num w:numId="44" w16cid:durableId="101000019">
    <w:abstractNumId w:val="56"/>
  </w:num>
  <w:num w:numId="45" w16cid:durableId="1260337889">
    <w:abstractNumId w:val="57"/>
  </w:num>
  <w:num w:numId="46" w16cid:durableId="1866938194">
    <w:abstractNumId w:val="59"/>
  </w:num>
  <w:num w:numId="47" w16cid:durableId="1627587656">
    <w:abstractNumId w:val="60"/>
  </w:num>
  <w:num w:numId="48" w16cid:durableId="43716973">
    <w:abstractNumId w:val="61"/>
  </w:num>
  <w:num w:numId="49" w16cid:durableId="795217068">
    <w:abstractNumId w:val="63"/>
  </w:num>
  <w:num w:numId="50" w16cid:durableId="1981417420">
    <w:abstractNumId w:val="64"/>
  </w:num>
  <w:num w:numId="51" w16cid:durableId="1472405985">
    <w:abstractNumId w:val="20"/>
  </w:num>
  <w:num w:numId="52" w16cid:durableId="1310091464">
    <w:abstractNumId w:val="44"/>
  </w:num>
  <w:num w:numId="53" w16cid:durableId="88084230">
    <w:abstractNumId w:val="55"/>
  </w:num>
  <w:num w:numId="54" w16cid:durableId="1659263601">
    <w:abstractNumId w:val="49"/>
  </w:num>
  <w:num w:numId="55" w16cid:durableId="1823621252">
    <w:abstractNumId w:val="46"/>
  </w:num>
  <w:num w:numId="56" w16cid:durableId="1618171722">
    <w:abstractNumId w:val="27"/>
  </w:num>
  <w:num w:numId="57" w16cid:durableId="979261358">
    <w:abstractNumId w:val="25"/>
  </w:num>
  <w:num w:numId="58" w16cid:durableId="55784951">
    <w:abstractNumId w:val="39"/>
  </w:num>
  <w:num w:numId="59" w16cid:durableId="665792024">
    <w:abstractNumId w:val="62"/>
  </w:num>
  <w:num w:numId="60" w16cid:durableId="712732366">
    <w:abstractNumId w:val="35"/>
  </w:num>
  <w:num w:numId="61" w16cid:durableId="1097671741">
    <w:abstractNumId w:val="47"/>
  </w:num>
  <w:num w:numId="62" w16cid:durableId="1840730130">
    <w:abstractNumId w:val="53"/>
  </w:num>
  <w:num w:numId="63" w16cid:durableId="369187513">
    <w:abstractNumId w:val="3"/>
  </w:num>
  <w:num w:numId="64" w16cid:durableId="984119965">
    <w:abstractNumId w:val="5"/>
  </w:num>
  <w:num w:numId="65" w16cid:durableId="1221750717">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9E"/>
    <w:rsid w:val="00000CDA"/>
    <w:rsid w:val="00006E1F"/>
    <w:rsid w:val="000070D7"/>
    <w:rsid w:val="000077B5"/>
    <w:rsid w:val="0000792E"/>
    <w:rsid w:val="00007E23"/>
    <w:rsid w:val="0001788C"/>
    <w:rsid w:val="00023471"/>
    <w:rsid w:val="000237BB"/>
    <w:rsid w:val="000337EF"/>
    <w:rsid w:val="000342AB"/>
    <w:rsid w:val="00040C3A"/>
    <w:rsid w:val="000419AD"/>
    <w:rsid w:val="000433C9"/>
    <w:rsid w:val="000444E7"/>
    <w:rsid w:val="0004788A"/>
    <w:rsid w:val="0005720B"/>
    <w:rsid w:val="000603A1"/>
    <w:rsid w:val="00070C87"/>
    <w:rsid w:val="00071174"/>
    <w:rsid w:val="000716C5"/>
    <w:rsid w:val="00075E23"/>
    <w:rsid w:val="0009344A"/>
    <w:rsid w:val="000970F4"/>
    <w:rsid w:val="000A392E"/>
    <w:rsid w:val="000A3AB0"/>
    <w:rsid w:val="000A575F"/>
    <w:rsid w:val="000B66F4"/>
    <w:rsid w:val="000B7730"/>
    <w:rsid w:val="000B7F16"/>
    <w:rsid w:val="000C09E6"/>
    <w:rsid w:val="000D05CB"/>
    <w:rsid w:val="000D10DB"/>
    <w:rsid w:val="000D5F40"/>
    <w:rsid w:val="000E11A9"/>
    <w:rsid w:val="000E5EB5"/>
    <w:rsid w:val="000F35ED"/>
    <w:rsid w:val="000F3E4D"/>
    <w:rsid w:val="0010550C"/>
    <w:rsid w:val="00107131"/>
    <w:rsid w:val="0010736F"/>
    <w:rsid w:val="00113F73"/>
    <w:rsid w:val="001157A0"/>
    <w:rsid w:val="00121CC2"/>
    <w:rsid w:val="001276F0"/>
    <w:rsid w:val="00130478"/>
    <w:rsid w:val="00131425"/>
    <w:rsid w:val="00133EE5"/>
    <w:rsid w:val="00165562"/>
    <w:rsid w:val="00167A34"/>
    <w:rsid w:val="00184A32"/>
    <w:rsid w:val="001913A0"/>
    <w:rsid w:val="001A137B"/>
    <w:rsid w:val="001A520D"/>
    <w:rsid w:val="001A7870"/>
    <w:rsid w:val="001A7D7B"/>
    <w:rsid w:val="001B3A00"/>
    <w:rsid w:val="001C1B41"/>
    <w:rsid w:val="001C6DB1"/>
    <w:rsid w:val="001D21C7"/>
    <w:rsid w:val="001D65EF"/>
    <w:rsid w:val="001E15E7"/>
    <w:rsid w:val="001E308A"/>
    <w:rsid w:val="001E49E7"/>
    <w:rsid w:val="001F1BFE"/>
    <w:rsid w:val="001F7201"/>
    <w:rsid w:val="001F75A8"/>
    <w:rsid w:val="00201077"/>
    <w:rsid w:val="002047CE"/>
    <w:rsid w:val="002111A6"/>
    <w:rsid w:val="002219B7"/>
    <w:rsid w:val="002226B3"/>
    <w:rsid w:val="00223A29"/>
    <w:rsid w:val="002250A3"/>
    <w:rsid w:val="00227BFE"/>
    <w:rsid w:val="00230F7C"/>
    <w:rsid w:val="00234F71"/>
    <w:rsid w:val="00235217"/>
    <w:rsid w:val="00237C68"/>
    <w:rsid w:val="00246D1F"/>
    <w:rsid w:val="00247403"/>
    <w:rsid w:val="00247542"/>
    <w:rsid w:val="002500B3"/>
    <w:rsid w:val="0025385F"/>
    <w:rsid w:val="00266B61"/>
    <w:rsid w:val="0026712A"/>
    <w:rsid w:val="002704DB"/>
    <w:rsid w:val="0027087A"/>
    <w:rsid w:val="00275A32"/>
    <w:rsid w:val="00280B37"/>
    <w:rsid w:val="00281F63"/>
    <w:rsid w:val="0028279E"/>
    <w:rsid w:val="002A0AAE"/>
    <w:rsid w:val="002A5820"/>
    <w:rsid w:val="002A64A6"/>
    <w:rsid w:val="002B13B6"/>
    <w:rsid w:val="002B1533"/>
    <w:rsid w:val="002C7C97"/>
    <w:rsid w:val="002D05F6"/>
    <w:rsid w:val="002D24F9"/>
    <w:rsid w:val="002D2B26"/>
    <w:rsid w:val="002D7EA2"/>
    <w:rsid w:val="002E187C"/>
    <w:rsid w:val="002F3F8C"/>
    <w:rsid w:val="00302733"/>
    <w:rsid w:val="00302D8F"/>
    <w:rsid w:val="003034A4"/>
    <w:rsid w:val="003048D0"/>
    <w:rsid w:val="00305835"/>
    <w:rsid w:val="00306F33"/>
    <w:rsid w:val="00314078"/>
    <w:rsid w:val="0031535D"/>
    <w:rsid w:val="003176B3"/>
    <w:rsid w:val="003239B8"/>
    <w:rsid w:val="0033169F"/>
    <w:rsid w:val="00333DFE"/>
    <w:rsid w:val="00344977"/>
    <w:rsid w:val="003459D0"/>
    <w:rsid w:val="00346C95"/>
    <w:rsid w:val="00350587"/>
    <w:rsid w:val="00356185"/>
    <w:rsid w:val="00360380"/>
    <w:rsid w:val="00366584"/>
    <w:rsid w:val="0037519E"/>
    <w:rsid w:val="00380295"/>
    <w:rsid w:val="00386CF0"/>
    <w:rsid w:val="003A2161"/>
    <w:rsid w:val="003B70FB"/>
    <w:rsid w:val="003C1107"/>
    <w:rsid w:val="003C4E6B"/>
    <w:rsid w:val="003C676B"/>
    <w:rsid w:val="003D3BC2"/>
    <w:rsid w:val="003D67A9"/>
    <w:rsid w:val="003E4493"/>
    <w:rsid w:val="003E51E9"/>
    <w:rsid w:val="003E6CA1"/>
    <w:rsid w:val="003F5154"/>
    <w:rsid w:val="003F5AFC"/>
    <w:rsid w:val="00405F9C"/>
    <w:rsid w:val="004065A8"/>
    <w:rsid w:val="004165C2"/>
    <w:rsid w:val="00416CAB"/>
    <w:rsid w:val="004205D0"/>
    <w:rsid w:val="004241A0"/>
    <w:rsid w:val="00426EB8"/>
    <w:rsid w:val="00427B38"/>
    <w:rsid w:val="00441ECB"/>
    <w:rsid w:val="00445193"/>
    <w:rsid w:val="00447769"/>
    <w:rsid w:val="00452F27"/>
    <w:rsid w:val="00462C1B"/>
    <w:rsid w:val="00467B7E"/>
    <w:rsid w:val="00473BB4"/>
    <w:rsid w:val="00477592"/>
    <w:rsid w:val="00486F1C"/>
    <w:rsid w:val="0049419D"/>
    <w:rsid w:val="004A057B"/>
    <w:rsid w:val="004A6A54"/>
    <w:rsid w:val="004B421C"/>
    <w:rsid w:val="004C20D2"/>
    <w:rsid w:val="004C2312"/>
    <w:rsid w:val="004C24EC"/>
    <w:rsid w:val="004C4B62"/>
    <w:rsid w:val="004C54C9"/>
    <w:rsid w:val="004D2A22"/>
    <w:rsid w:val="004D4ABA"/>
    <w:rsid w:val="004D6025"/>
    <w:rsid w:val="004E013A"/>
    <w:rsid w:val="004E2649"/>
    <w:rsid w:val="004E5844"/>
    <w:rsid w:val="004F1840"/>
    <w:rsid w:val="004F1B17"/>
    <w:rsid w:val="004F626F"/>
    <w:rsid w:val="00501399"/>
    <w:rsid w:val="005047ED"/>
    <w:rsid w:val="0050633D"/>
    <w:rsid w:val="005079DA"/>
    <w:rsid w:val="00507BC4"/>
    <w:rsid w:val="00507DBE"/>
    <w:rsid w:val="005128E4"/>
    <w:rsid w:val="005133DB"/>
    <w:rsid w:val="00514504"/>
    <w:rsid w:val="00521E1F"/>
    <w:rsid w:val="00525560"/>
    <w:rsid w:val="00544C49"/>
    <w:rsid w:val="005516A1"/>
    <w:rsid w:val="00552088"/>
    <w:rsid w:val="005559EF"/>
    <w:rsid w:val="005627DD"/>
    <w:rsid w:val="00563557"/>
    <w:rsid w:val="0056768B"/>
    <w:rsid w:val="0057402A"/>
    <w:rsid w:val="005771D0"/>
    <w:rsid w:val="0059191A"/>
    <w:rsid w:val="005921FF"/>
    <w:rsid w:val="00597912"/>
    <w:rsid w:val="005A0136"/>
    <w:rsid w:val="005A24ED"/>
    <w:rsid w:val="005A6D0E"/>
    <w:rsid w:val="005B039F"/>
    <w:rsid w:val="005B1358"/>
    <w:rsid w:val="005B52B0"/>
    <w:rsid w:val="005B6806"/>
    <w:rsid w:val="005C07FD"/>
    <w:rsid w:val="005C0CC4"/>
    <w:rsid w:val="005C4225"/>
    <w:rsid w:val="005C78AE"/>
    <w:rsid w:val="005F0791"/>
    <w:rsid w:val="005F0DAD"/>
    <w:rsid w:val="005F0F33"/>
    <w:rsid w:val="005F5811"/>
    <w:rsid w:val="00600735"/>
    <w:rsid w:val="00600DEB"/>
    <w:rsid w:val="00627562"/>
    <w:rsid w:val="00627C9F"/>
    <w:rsid w:val="006311E9"/>
    <w:rsid w:val="00632354"/>
    <w:rsid w:val="00635421"/>
    <w:rsid w:val="00635B94"/>
    <w:rsid w:val="00636BC9"/>
    <w:rsid w:val="00642810"/>
    <w:rsid w:val="00652333"/>
    <w:rsid w:val="006769F3"/>
    <w:rsid w:val="0068009E"/>
    <w:rsid w:val="006900A2"/>
    <w:rsid w:val="00692219"/>
    <w:rsid w:val="00693EB9"/>
    <w:rsid w:val="00697F10"/>
    <w:rsid w:val="006A17D2"/>
    <w:rsid w:val="006A217E"/>
    <w:rsid w:val="006A73E6"/>
    <w:rsid w:val="006B2D5C"/>
    <w:rsid w:val="006B3E22"/>
    <w:rsid w:val="006C0ECF"/>
    <w:rsid w:val="006C3A93"/>
    <w:rsid w:val="006C4EB1"/>
    <w:rsid w:val="006D0B8C"/>
    <w:rsid w:val="006D3CCF"/>
    <w:rsid w:val="006D4B4F"/>
    <w:rsid w:val="006E0166"/>
    <w:rsid w:val="006E2FFB"/>
    <w:rsid w:val="006E3BAD"/>
    <w:rsid w:val="006E3F40"/>
    <w:rsid w:val="006E7B34"/>
    <w:rsid w:val="006F0092"/>
    <w:rsid w:val="006F7C1E"/>
    <w:rsid w:val="00700F50"/>
    <w:rsid w:val="00703E9E"/>
    <w:rsid w:val="0070697F"/>
    <w:rsid w:val="007103C4"/>
    <w:rsid w:val="00711924"/>
    <w:rsid w:val="00713015"/>
    <w:rsid w:val="0072199C"/>
    <w:rsid w:val="00722C9F"/>
    <w:rsid w:val="00723817"/>
    <w:rsid w:val="007253B8"/>
    <w:rsid w:val="0073109C"/>
    <w:rsid w:val="0073392A"/>
    <w:rsid w:val="0073741F"/>
    <w:rsid w:val="00751EB7"/>
    <w:rsid w:val="0075547F"/>
    <w:rsid w:val="00756C31"/>
    <w:rsid w:val="0076643F"/>
    <w:rsid w:val="00771587"/>
    <w:rsid w:val="00777F63"/>
    <w:rsid w:val="00780BF9"/>
    <w:rsid w:val="0078658C"/>
    <w:rsid w:val="00793F1C"/>
    <w:rsid w:val="007A0DC6"/>
    <w:rsid w:val="007A2986"/>
    <w:rsid w:val="007A5817"/>
    <w:rsid w:val="007B05C4"/>
    <w:rsid w:val="007B60E9"/>
    <w:rsid w:val="007B6595"/>
    <w:rsid w:val="007B6CC3"/>
    <w:rsid w:val="007B76D3"/>
    <w:rsid w:val="007C18F9"/>
    <w:rsid w:val="007C3334"/>
    <w:rsid w:val="007C73A3"/>
    <w:rsid w:val="007D2B98"/>
    <w:rsid w:val="007E1EE8"/>
    <w:rsid w:val="007E21BC"/>
    <w:rsid w:val="007E2887"/>
    <w:rsid w:val="007E62F2"/>
    <w:rsid w:val="007E6888"/>
    <w:rsid w:val="007E7C82"/>
    <w:rsid w:val="007F2AA1"/>
    <w:rsid w:val="007F2D7C"/>
    <w:rsid w:val="007F588D"/>
    <w:rsid w:val="00801E92"/>
    <w:rsid w:val="00803F1C"/>
    <w:rsid w:val="0080600E"/>
    <w:rsid w:val="0081055A"/>
    <w:rsid w:val="00814688"/>
    <w:rsid w:val="00817612"/>
    <w:rsid w:val="008205F3"/>
    <w:rsid w:val="008338A4"/>
    <w:rsid w:val="00834D49"/>
    <w:rsid w:val="00837C45"/>
    <w:rsid w:val="00841CD0"/>
    <w:rsid w:val="00844730"/>
    <w:rsid w:val="00844B54"/>
    <w:rsid w:val="008457C2"/>
    <w:rsid w:val="00846060"/>
    <w:rsid w:val="00856620"/>
    <w:rsid w:val="008576C1"/>
    <w:rsid w:val="00857A82"/>
    <w:rsid w:val="00872CBE"/>
    <w:rsid w:val="00873836"/>
    <w:rsid w:val="00885737"/>
    <w:rsid w:val="00890650"/>
    <w:rsid w:val="008944DC"/>
    <w:rsid w:val="00895F48"/>
    <w:rsid w:val="00897E12"/>
    <w:rsid w:val="008A47BB"/>
    <w:rsid w:val="008A6BC8"/>
    <w:rsid w:val="008A7E0F"/>
    <w:rsid w:val="008B12F5"/>
    <w:rsid w:val="008B7355"/>
    <w:rsid w:val="008C5E2D"/>
    <w:rsid w:val="008D768D"/>
    <w:rsid w:val="008E2546"/>
    <w:rsid w:val="008E3759"/>
    <w:rsid w:val="008E3BFE"/>
    <w:rsid w:val="008F1912"/>
    <w:rsid w:val="0090270B"/>
    <w:rsid w:val="009041DC"/>
    <w:rsid w:val="00917B5A"/>
    <w:rsid w:val="00920A58"/>
    <w:rsid w:val="00920A8C"/>
    <w:rsid w:val="00934A2C"/>
    <w:rsid w:val="00937452"/>
    <w:rsid w:val="009445F4"/>
    <w:rsid w:val="00957188"/>
    <w:rsid w:val="00957C0E"/>
    <w:rsid w:val="0096706E"/>
    <w:rsid w:val="00974312"/>
    <w:rsid w:val="00974491"/>
    <w:rsid w:val="00975C4E"/>
    <w:rsid w:val="00981FBA"/>
    <w:rsid w:val="00982364"/>
    <w:rsid w:val="00982E3D"/>
    <w:rsid w:val="009838C1"/>
    <w:rsid w:val="00997BC5"/>
    <w:rsid w:val="009A1EFB"/>
    <w:rsid w:val="009A431F"/>
    <w:rsid w:val="009A4F41"/>
    <w:rsid w:val="009B381B"/>
    <w:rsid w:val="009B7673"/>
    <w:rsid w:val="009C1811"/>
    <w:rsid w:val="009D1753"/>
    <w:rsid w:val="009D2D7C"/>
    <w:rsid w:val="009D7611"/>
    <w:rsid w:val="009E0B61"/>
    <w:rsid w:val="009E3D03"/>
    <w:rsid w:val="009E53DE"/>
    <w:rsid w:val="009E7F46"/>
    <w:rsid w:val="009F5794"/>
    <w:rsid w:val="00A004BB"/>
    <w:rsid w:val="00A004F4"/>
    <w:rsid w:val="00A071D5"/>
    <w:rsid w:val="00A11212"/>
    <w:rsid w:val="00A11E44"/>
    <w:rsid w:val="00A30100"/>
    <w:rsid w:val="00A328B3"/>
    <w:rsid w:val="00A34797"/>
    <w:rsid w:val="00A348E6"/>
    <w:rsid w:val="00A35F26"/>
    <w:rsid w:val="00A50FCF"/>
    <w:rsid w:val="00A528D1"/>
    <w:rsid w:val="00A610CD"/>
    <w:rsid w:val="00A758AA"/>
    <w:rsid w:val="00A877CB"/>
    <w:rsid w:val="00A95179"/>
    <w:rsid w:val="00A97723"/>
    <w:rsid w:val="00AA09A2"/>
    <w:rsid w:val="00AA5191"/>
    <w:rsid w:val="00AA7996"/>
    <w:rsid w:val="00AB3141"/>
    <w:rsid w:val="00AB5C3E"/>
    <w:rsid w:val="00AC19CB"/>
    <w:rsid w:val="00AC1ECD"/>
    <w:rsid w:val="00AE263F"/>
    <w:rsid w:val="00AE5488"/>
    <w:rsid w:val="00AE6F91"/>
    <w:rsid w:val="00AF1AF9"/>
    <w:rsid w:val="00AF1EA1"/>
    <w:rsid w:val="00AF5571"/>
    <w:rsid w:val="00B0247A"/>
    <w:rsid w:val="00B07341"/>
    <w:rsid w:val="00B10BDC"/>
    <w:rsid w:val="00B11718"/>
    <w:rsid w:val="00B249AB"/>
    <w:rsid w:val="00B30539"/>
    <w:rsid w:val="00B314DB"/>
    <w:rsid w:val="00B361F2"/>
    <w:rsid w:val="00B3718B"/>
    <w:rsid w:val="00B3745F"/>
    <w:rsid w:val="00B4632A"/>
    <w:rsid w:val="00B530F1"/>
    <w:rsid w:val="00B80A9E"/>
    <w:rsid w:val="00B83158"/>
    <w:rsid w:val="00B93D7F"/>
    <w:rsid w:val="00BA2401"/>
    <w:rsid w:val="00BA276C"/>
    <w:rsid w:val="00BA27E4"/>
    <w:rsid w:val="00BA6CEF"/>
    <w:rsid w:val="00BB019D"/>
    <w:rsid w:val="00BB306F"/>
    <w:rsid w:val="00BB6B26"/>
    <w:rsid w:val="00BD0FF5"/>
    <w:rsid w:val="00BD4443"/>
    <w:rsid w:val="00BD4B89"/>
    <w:rsid w:val="00BD5922"/>
    <w:rsid w:val="00BF02CB"/>
    <w:rsid w:val="00BF2534"/>
    <w:rsid w:val="00BF6FD8"/>
    <w:rsid w:val="00C03680"/>
    <w:rsid w:val="00C054DF"/>
    <w:rsid w:val="00C07A44"/>
    <w:rsid w:val="00C13055"/>
    <w:rsid w:val="00C20BC2"/>
    <w:rsid w:val="00C21762"/>
    <w:rsid w:val="00C21FEF"/>
    <w:rsid w:val="00C23BA4"/>
    <w:rsid w:val="00C24543"/>
    <w:rsid w:val="00C256A2"/>
    <w:rsid w:val="00C25ADB"/>
    <w:rsid w:val="00C3331F"/>
    <w:rsid w:val="00C51515"/>
    <w:rsid w:val="00C544BB"/>
    <w:rsid w:val="00C5660B"/>
    <w:rsid w:val="00C56831"/>
    <w:rsid w:val="00C66B72"/>
    <w:rsid w:val="00C721DB"/>
    <w:rsid w:val="00C760AB"/>
    <w:rsid w:val="00C87AC4"/>
    <w:rsid w:val="00C9124E"/>
    <w:rsid w:val="00C9567A"/>
    <w:rsid w:val="00CA3431"/>
    <w:rsid w:val="00CA7CAB"/>
    <w:rsid w:val="00CB0178"/>
    <w:rsid w:val="00CB212D"/>
    <w:rsid w:val="00CB2660"/>
    <w:rsid w:val="00CB58A6"/>
    <w:rsid w:val="00CC543D"/>
    <w:rsid w:val="00CC5E90"/>
    <w:rsid w:val="00CC6B23"/>
    <w:rsid w:val="00CD046C"/>
    <w:rsid w:val="00CD1060"/>
    <w:rsid w:val="00CD1D3B"/>
    <w:rsid w:val="00CE076C"/>
    <w:rsid w:val="00CE3595"/>
    <w:rsid w:val="00CE37C4"/>
    <w:rsid w:val="00CE5199"/>
    <w:rsid w:val="00CE66D5"/>
    <w:rsid w:val="00CF637A"/>
    <w:rsid w:val="00D01312"/>
    <w:rsid w:val="00D04E00"/>
    <w:rsid w:val="00D059DE"/>
    <w:rsid w:val="00D05ABD"/>
    <w:rsid w:val="00D11483"/>
    <w:rsid w:val="00D13FCE"/>
    <w:rsid w:val="00D306D1"/>
    <w:rsid w:val="00D30800"/>
    <w:rsid w:val="00D34786"/>
    <w:rsid w:val="00D37BFC"/>
    <w:rsid w:val="00D471A2"/>
    <w:rsid w:val="00D47A8E"/>
    <w:rsid w:val="00D52D14"/>
    <w:rsid w:val="00D712D3"/>
    <w:rsid w:val="00D71422"/>
    <w:rsid w:val="00D72DC6"/>
    <w:rsid w:val="00D7558D"/>
    <w:rsid w:val="00D75B49"/>
    <w:rsid w:val="00D80A66"/>
    <w:rsid w:val="00D81D92"/>
    <w:rsid w:val="00D876F9"/>
    <w:rsid w:val="00D90C96"/>
    <w:rsid w:val="00D92F63"/>
    <w:rsid w:val="00DA7B5F"/>
    <w:rsid w:val="00DB2D81"/>
    <w:rsid w:val="00DC11E7"/>
    <w:rsid w:val="00DC1B4C"/>
    <w:rsid w:val="00DC24E3"/>
    <w:rsid w:val="00DC7023"/>
    <w:rsid w:val="00DC769A"/>
    <w:rsid w:val="00DD3D86"/>
    <w:rsid w:val="00DD4AD2"/>
    <w:rsid w:val="00DD515C"/>
    <w:rsid w:val="00DE0A58"/>
    <w:rsid w:val="00DE2862"/>
    <w:rsid w:val="00DF1EC4"/>
    <w:rsid w:val="00DF6B57"/>
    <w:rsid w:val="00E0340B"/>
    <w:rsid w:val="00E04A90"/>
    <w:rsid w:val="00E0551F"/>
    <w:rsid w:val="00E219C7"/>
    <w:rsid w:val="00E2321A"/>
    <w:rsid w:val="00E246C9"/>
    <w:rsid w:val="00E265B7"/>
    <w:rsid w:val="00E323B2"/>
    <w:rsid w:val="00E40E47"/>
    <w:rsid w:val="00E4118C"/>
    <w:rsid w:val="00E43157"/>
    <w:rsid w:val="00E43355"/>
    <w:rsid w:val="00E461CE"/>
    <w:rsid w:val="00E573E4"/>
    <w:rsid w:val="00E64C3D"/>
    <w:rsid w:val="00E6535D"/>
    <w:rsid w:val="00E66AFF"/>
    <w:rsid w:val="00E707EC"/>
    <w:rsid w:val="00E72089"/>
    <w:rsid w:val="00E720CA"/>
    <w:rsid w:val="00E84EB5"/>
    <w:rsid w:val="00E85662"/>
    <w:rsid w:val="00E8789F"/>
    <w:rsid w:val="00E95F8D"/>
    <w:rsid w:val="00E97B71"/>
    <w:rsid w:val="00EA3D34"/>
    <w:rsid w:val="00EB1B24"/>
    <w:rsid w:val="00EB454D"/>
    <w:rsid w:val="00EB47CD"/>
    <w:rsid w:val="00EB77C7"/>
    <w:rsid w:val="00EC336F"/>
    <w:rsid w:val="00ED2B3F"/>
    <w:rsid w:val="00ED549D"/>
    <w:rsid w:val="00ED5E10"/>
    <w:rsid w:val="00ED76BE"/>
    <w:rsid w:val="00EE00E9"/>
    <w:rsid w:val="00EE36C0"/>
    <w:rsid w:val="00EF1AAA"/>
    <w:rsid w:val="00EF619B"/>
    <w:rsid w:val="00F00B55"/>
    <w:rsid w:val="00F02AD1"/>
    <w:rsid w:val="00F05125"/>
    <w:rsid w:val="00F062D2"/>
    <w:rsid w:val="00F17870"/>
    <w:rsid w:val="00F253CC"/>
    <w:rsid w:val="00F37106"/>
    <w:rsid w:val="00F44E25"/>
    <w:rsid w:val="00F519CF"/>
    <w:rsid w:val="00F56BA5"/>
    <w:rsid w:val="00F60C89"/>
    <w:rsid w:val="00F60E22"/>
    <w:rsid w:val="00F7289E"/>
    <w:rsid w:val="00F80D59"/>
    <w:rsid w:val="00F81395"/>
    <w:rsid w:val="00F81BB8"/>
    <w:rsid w:val="00F8227D"/>
    <w:rsid w:val="00F90C64"/>
    <w:rsid w:val="00F917D1"/>
    <w:rsid w:val="00F9653B"/>
    <w:rsid w:val="00FA01FC"/>
    <w:rsid w:val="00FB62CF"/>
    <w:rsid w:val="00FB66EE"/>
    <w:rsid w:val="00FC0ED9"/>
    <w:rsid w:val="00FC6219"/>
    <w:rsid w:val="00FC625F"/>
    <w:rsid w:val="00FD3C3B"/>
    <w:rsid w:val="00FD4E08"/>
    <w:rsid w:val="00FD5701"/>
    <w:rsid w:val="00FD667B"/>
    <w:rsid w:val="00FD715C"/>
    <w:rsid w:val="00FE07DD"/>
    <w:rsid w:val="00FE3824"/>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List Paragraph11,List Paragraph2,Lista vistosa - Énfasis 11,Colorful List - Accent 11,Subtle Emphasis1,Footnote1,Grade Clara - Ênfase 31"/>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R"/>
    <w:basedOn w:val="DefaultParagraphFont"/>
    <w:link w:val="1"/>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paragraph" w:customStyle="1" w:styleId="1">
    <w:name w:val="1"/>
    <w:basedOn w:val="Normal"/>
    <w:link w:val="FootnoteReference"/>
    <w:rsid w:val="008205F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3176B3"/>
    <w:rPr>
      <w:sz w:val="16"/>
      <w:szCs w:val="16"/>
    </w:rPr>
  </w:style>
  <w:style w:type="paragraph" w:styleId="CommentText">
    <w:name w:val="annotation text"/>
    <w:basedOn w:val="Normal"/>
    <w:link w:val="CommentTextChar"/>
    <w:uiPriority w:val="99"/>
    <w:unhideWhenUsed/>
    <w:rsid w:val="003176B3"/>
    <w:rPr>
      <w:sz w:val="20"/>
      <w:szCs w:val="20"/>
    </w:rPr>
  </w:style>
  <w:style w:type="character" w:customStyle="1" w:styleId="CommentTextChar">
    <w:name w:val="Comment Text Char"/>
    <w:basedOn w:val="DefaultParagraphFont"/>
    <w:link w:val="CommentText"/>
    <w:uiPriority w:val="99"/>
    <w:rsid w:val="003176B3"/>
    <w:rPr>
      <w:lang w:val="en-US" w:eastAsia="en-US"/>
    </w:rPr>
  </w:style>
  <w:style w:type="paragraph" w:styleId="CommentSubject">
    <w:name w:val="annotation subject"/>
    <w:basedOn w:val="CommentText"/>
    <w:next w:val="CommentText"/>
    <w:link w:val="CommentSubjectChar"/>
    <w:uiPriority w:val="99"/>
    <w:semiHidden/>
    <w:unhideWhenUsed/>
    <w:rsid w:val="003176B3"/>
    <w:rPr>
      <w:b/>
      <w:bCs/>
    </w:rPr>
  </w:style>
  <w:style w:type="character" w:customStyle="1" w:styleId="CommentSubjectChar">
    <w:name w:val="Comment Subject Char"/>
    <w:basedOn w:val="CommentTextChar"/>
    <w:link w:val="CommentSubject"/>
    <w:uiPriority w:val="99"/>
    <w:semiHidden/>
    <w:rsid w:val="003176B3"/>
    <w:rPr>
      <w:b/>
      <w:bCs/>
      <w:lang w:val="en-US" w:eastAsia="en-US"/>
    </w:rPr>
  </w:style>
  <w:style w:type="paragraph" w:styleId="Revision">
    <w:name w:val="Revision"/>
    <w:hidden/>
    <w:uiPriority w:val="99"/>
    <w:semiHidden/>
    <w:rsid w:val="003E449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CA7CA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A7CAB"/>
  </w:style>
  <w:style w:type="character" w:customStyle="1" w:styleId="eop">
    <w:name w:val="eop"/>
    <w:basedOn w:val="DefaultParagraphFont"/>
    <w:rsid w:val="00CA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pt/cidh/decisiones/2021/brad441-10po.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3598"/>
    <w:rsid w:val="0008633E"/>
    <w:rsid w:val="001440D3"/>
    <w:rsid w:val="001C1CAE"/>
    <w:rsid w:val="001F1E7D"/>
    <w:rsid w:val="00200821"/>
    <w:rsid w:val="0025245B"/>
    <w:rsid w:val="002A3923"/>
    <w:rsid w:val="0036703B"/>
    <w:rsid w:val="00394049"/>
    <w:rsid w:val="003A59C2"/>
    <w:rsid w:val="003B0C71"/>
    <w:rsid w:val="004B5BBB"/>
    <w:rsid w:val="004F2DF8"/>
    <w:rsid w:val="00517E2A"/>
    <w:rsid w:val="006255DD"/>
    <w:rsid w:val="0062577D"/>
    <w:rsid w:val="006D12AA"/>
    <w:rsid w:val="006F24A1"/>
    <w:rsid w:val="007016BF"/>
    <w:rsid w:val="007709E7"/>
    <w:rsid w:val="00875B8A"/>
    <w:rsid w:val="008F55D1"/>
    <w:rsid w:val="00984671"/>
    <w:rsid w:val="009A261B"/>
    <w:rsid w:val="009D7555"/>
    <w:rsid w:val="00AA2E17"/>
    <w:rsid w:val="00AC15A4"/>
    <w:rsid w:val="00B0336C"/>
    <w:rsid w:val="00BD6BF2"/>
    <w:rsid w:val="00C94B94"/>
    <w:rsid w:val="00CF2B71"/>
    <w:rsid w:val="00D241E9"/>
    <w:rsid w:val="00D7750D"/>
    <w:rsid w:val="00DF2983"/>
    <w:rsid w:val="00E32779"/>
    <w:rsid w:val="00EB2B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8F28-6890-4652-A641-CB1E509F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2023-01-25T16:57:00Z</dcterms:created>
  <dcterms:modified xsi:type="dcterms:W3CDTF">2023-01-25T16:57:00Z</dcterms:modified>
</cp:coreProperties>
</file>