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6167748"/>
    <w:bookmarkStart w:id="1" w:name="_Hlk82097561"/>
    <w:p w14:paraId="11289B20" w14:textId="57F7A499" w:rsidR="00C02C7F" w:rsidRDefault="00035FF1" w:rsidP="00E967F5">
      <w:pPr>
        <w:pStyle w:val="BodyText"/>
        <w:spacing w:before="6"/>
        <w:rPr>
          <w:rFonts w:ascii="Times New Roman"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6C74EE" wp14:editId="25E4DCCE">
                <wp:simplePos x="0" y="0"/>
                <wp:positionH relativeFrom="page">
                  <wp:posOffset>498475</wp:posOffset>
                </wp:positionH>
                <wp:positionV relativeFrom="page">
                  <wp:posOffset>474980</wp:posOffset>
                </wp:positionV>
                <wp:extent cx="1543050" cy="9096375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9096375"/>
                        </a:xfrm>
                        <a:prstGeom prst="rect">
                          <a:avLst/>
                        </a:prstGeom>
                        <a:solidFill>
                          <a:srgbClr val="4A7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6298F" w14:textId="77777777" w:rsidR="00371496" w:rsidRDefault="0037149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68352512" w14:textId="77777777" w:rsidR="00371496" w:rsidRDefault="0037149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59DC0060" w14:textId="77777777" w:rsidR="00371496" w:rsidRDefault="0037149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68073EBC" w14:textId="77777777" w:rsidR="00371496" w:rsidRDefault="0037149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78FEA6A8" w14:textId="77777777" w:rsidR="00371496" w:rsidRDefault="0037149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5C4C7E9B" w14:textId="77777777" w:rsidR="00371496" w:rsidRDefault="0037149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7DA1D8A5" w14:textId="77777777" w:rsidR="00371496" w:rsidRDefault="0037149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45013810" w14:textId="77777777" w:rsidR="00371496" w:rsidRDefault="0037149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5AD09D0C" w14:textId="77777777" w:rsidR="00371496" w:rsidRDefault="0037149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1025AA08" w14:textId="77777777" w:rsidR="00371496" w:rsidRDefault="0037149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0FF8B220" w14:textId="77777777" w:rsidR="00371496" w:rsidRDefault="0037149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52D63876" w14:textId="77777777" w:rsidR="00371496" w:rsidRDefault="0037149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7F40E19A" w14:textId="77777777" w:rsidR="00371496" w:rsidRDefault="0037149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771BCFDF" w14:textId="77777777" w:rsidR="00371496" w:rsidRDefault="0037149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010292D4" w14:textId="77777777" w:rsidR="00371496" w:rsidRDefault="0037149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5AC78962" w14:textId="77777777" w:rsidR="00371496" w:rsidRDefault="00371496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33EE618D" w14:textId="77777777" w:rsidR="00371496" w:rsidRDefault="00371496">
                            <w:pPr>
                              <w:pStyle w:val="BodyText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5B212135" w14:textId="6CE32AF6" w:rsidR="00371496" w:rsidRPr="003B0E17" w:rsidRDefault="00371496">
                            <w:pPr>
                              <w:spacing w:before="1"/>
                              <w:ind w:left="794"/>
                              <w:rPr>
                                <w:rFonts w:ascii="Calibri"/>
                                <w:lang w:val="pt-BR"/>
                              </w:rPr>
                            </w:pPr>
                            <w:r w:rsidRPr="003B0E17">
                              <w:rPr>
                                <w:rFonts w:ascii="Calibri"/>
                                <w:color w:val="FFFFFF"/>
                                <w:lang w:val="pt-BR"/>
                              </w:rPr>
                              <w:t>OEA/Ser.L/V/II</w:t>
                            </w:r>
                          </w:p>
                          <w:p w14:paraId="2103D6EE" w14:textId="65CC6247" w:rsidR="00371496" w:rsidRPr="003B0E17" w:rsidRDefault="00371496">
                            <w:pPr>
                              <w:spacing w:before="41"/>
                              <w:ind w:right="271"/>
                              <w:jc w:val="right"/>
                              <w:rPr>
                                <w:rFonts w:ascii="Calibri"/>
                                <w:lang w:val="pt-BR"/>
                              </w:rPr>
                            </w:pPr>
                            <w:r w:rsidRPr="003B0E17">
                              <w:rPr>
                                <w:rFonts w:ascii="Calibri"/>
                                <w:color w:val="FFFFFF"/>
                                <w:lang w:val="pt-BR"/>
                              </w:rPr>
                              <w:t>Doc.</w:t>
                            </w:r>
                            <w:r w:rsidRPr="003B0E17">
                              <w:rPr>
                                <w:rFonts w:ascii="Calibri"/>
                                <w:color w:val="FFFFFF"/>
                                <w:spacing w:val="-2"/>
                                <w:lang w:val="pt-BR"/>
                              </w:rPr>
                              <w:t xml:space="preserve"> </w:t>
                            </w:r>
                            <w:r w:rsidR="00952A89">
                              <w:rPr>
                                <w:rFonts w:ascii="Calibri"/>
                                <w:color w:val="FFFFFF"/>
                                <w:lang w:val="pt-BR"/>
                              </w:rPr>
                              <w:t>29</w:t>
                            </w:r>
                          </w:p>
                          <w:p w14:paraId="2B5938C9" w14:textId="3ED8B6F7" w:rsidR="00371496" w:rsidRPr="00EE7BDA" w:rsidRDefault="00952A89">
                            <w:pPr>
                              <w:spacing w:before="38" w:line="278" w:lineRule="auto"/>
                              <w:ind w:left="650" w:right="270" w:hanging="286"/>
                              <w:jc w:val="right"/>
                              <w:rPr>
                                <w:rFonts w:ascii="Calibri" w:hAnsi="Calibri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lang w:val="pt-BR"/>
                              </w:rPr>
                              <w:t>9 marzo</w:t>
                            </w:r>
                            <w:r w:rsidR="00371496" w:rsidRPr="003B0E17">
                              <w:rPr>
                                <w:rFonts w:ascii="Calibri" w:hAnsi="Calibri"/>
                                <w:color w:val="FFFFFF"/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="00371496" w:rsidRPr="003B0E17">
                              <w:rPr>
                                <w:rFonts w:ascii="Calibri" w:hAnsi="Calibri"/>
                                <w:color w:val="FFFFFF"/>
                                <w:lang w:val="pt-BR"/>
                              </w:rPr>
                              <w:t>202</w:t>
                            </w:r>
                            <w:r w:rsidR="00D15F36">
                              <w:rPr>
                                <w:rFonts w:ascii="Calibri" w:hAnsi="Calibri"/>
                                <w:color w:val="FFFFFF"/>
                                <w:lang w:val="pt-BR"/>
                              </w:rPr>
                              <w:t xml:space="preserve">2 </w:t>
                            </w:r>
                            <w:r w:rsidR="00371496" w:rsidRPr="003B0E17">
                              <w:rPr>
                                <w:rFonts w:ascii="Calibri" w:hAnsi="Calibri"/>
                                <w:color w:val="FFFFFF"/>
                                <w:lang w:val="pt-BR"/>
                              </w:rPr>
                              <w:t>Original:</w:t>
                            </w:r>
                            <w:r w:rsidR="00371496" w:rsidRPr="003B0E17">
                              <w:rPr>
                                <w:rFonts w:ascii="Calibri" w:hAnsi="Calibri"/>
                                <w:color w:val="FFFFFF"/>
                                <w:spacing w:val="-6"/>
                                <w:lang w:val="pt-BR"/>
                              </w:rPr>
                              <w:t xml:space="preserve"> </w:t>
                            </w:r>
                            <w:r w:rsidR="00371496" w:rsidRPr="003B0E17">
                              <w:rPr>
                                <w:rFonts w:ascii="Calibri" w:hAnsi="Calibri"/>
                                <w:color w:val="FFFFFF"/>
                                <w:lang w:val="pt-BR"/>
                              </w:rPr>
                              <w:t>español</w:t>
                            </w:r>
                          </w:p>
                          <w:p w14:paraId="18E44612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0860EC38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0952E55B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4C3592B3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3E49B12C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2C1EBE27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3271977D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4ACD6E87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4615FBE5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546D6BA3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04C73831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69C35975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064BDD69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2779BAF2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0405996E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65DBB752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3914C4FE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6CD615F1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6C14BE4D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72D584A2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044E3404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472E25FD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50743F04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16A249B5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6AF262A4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6FBF2F20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147FE114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08EA78E3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262C4DEB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0CB605B8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3E06130D" w14:textId="77777777" w:rsidR="00371496" w:rsidRPr="00EE7BDA" w:rsidRDefault="00371496">
                            <w:pPr>
                              <w:pStyle w:val="BodyText"/>
                              <w:rPr>
                                <w:sz w:val="22"/>
                                <w:lang w:val="pt-BR"/>
                              </w:rPr>
                            </w:pPr>
                          </w:p>
                          <w:p w14:paraId="0A159DD6" w14:textId="77777777" w:rsidR="00371496" w:rsidRPr="00EE7BDA" w:rsidRDefault="00371496">
                            <w:pPr>
                              <w:pStyle w:val="BodyText"/>
                              <w:spacing w:before="3"/>
                              <w:rPr>
                                <w:sz w:val="21"/>
                                <w:lang w:val="pt-BR"/>
                              </w:rPr>
                            </w:pPr>
                          </w:p>
                          <w:p w14:paraId="7A54D27C" w14:textId="77777777" w:rsidR="00371496" w:rsidRPr="00EE7BDA" w:rsidRDefault="006B01F0">
                            <w:pPr>
                              <w:spacing w:before="1"/>
                              <w:ind w:left="453"/>
                              <w:rPr>
                                <w:rFonts w:ascii="Calibri"/>
                                <w:b/>
                                <w:sz w:val="24"/>
                                <w:lang w:val="pt-BR"/>
                              </w:rPr>
                            </w:pPr>
                            <w:hyperlink r:id="rId8">
                              <w:r w:rsidR="00371496" w:rsidRPr="00EE7BDA"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  <w:lang w:val="pt-BR"/>
                                </w:rPr>
                                <w:t>www.cidh.org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C74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.25pt;margin-top:37.4pt;width:121.5pt;height:7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" fillcolor="#4a7194" stroked="f">
                <v:textbox inset="0,0,0,0">
                  <w:txbxContent>
                    <w:p w14:paraId="57C6298F" w14:textId="77777777" w:rsidR="00371496" w:rsidRDefault="0037149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68352512" w14:textId="77777777" w:rsidR="00371496" w:rsidRDefault="0037149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59DC0060" w14:textId="77777777" w:rsidR="00371496" w:rsidRDefault="0037149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68073EBC" w14:textId="77777777" w:rsidR="00371496" w:rsidRDefault="0037149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78FEA6A8" w14:textId="77777777" w:rsidR="00371496" w:rsidRDefault="0037149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5C4C7E9B" w14:textId="77777777" w:rsidR="00371496" w:rsidRDefault="0037149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7DA1D8A5" w14:textId="77777777" w:rsidR="00371496" w:rsidRDefault="0037149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45013810" w14:textId="77777777" w:rsidR="00371496" w:rsidRDefault="0037149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5AD09D0C" w14:textId="77777777" w:rsidR="00371496" w:rsidRDefault="0037149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1025AA08" w14:textId="77777777" w:rsidR="00371496" w:rsidRDefault="0037149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0FF8B220" w14:textId="77777777" w:rsidR="00371496" w:rsidRDefault="0037149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52D63876" w14:textId="77777777" w:rsidR="00371496" w:rsidRDefault="0037149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7F40E19A" w14:textId="77777777" w:rsidR="00371496" w:rsidRDefault="0037149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771BCFDF" w14:textId="77777777" w:rsidR="00371496" w:rsidRDefault="0037149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010292D4" w14:textId="77777777" w:rsidR="00371496" w:rsidRDefault="0037149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5AC78962" w14:textId="77777777" w:rsidR="00371496" w:rsidRDefault="00371496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33EE618D" w14:textId="77777777" w:rsidR="00371496" w:rsidRDefault="00371496">
                      <w:pPr>
                        <w:pStyle w:val="BodyText"/>
                        <w:spacing w:before="4"/>
                        <w:rPr>
                          <w:sz w:val="21"/>
                        </w:rPr>
                      </w:pPr>
                    </w:p>
                    <w:p w14:paraId="5B212135" w14:textId="6CE32AF6" w:rsidR="00371496" w:rsidRPr="003B0E17" w:rsidRDefault="00371496">
                      <w:pPr>
                        <w:spacing w:before="1"/>
                        <w:ind w:left="794"/>
                        <w:rPr>
                          <w:rFonts w:ascii="Calibri"/>
                          <w:lang w:val="pt-BR"/>
                        </w:rPr>
                      </w:pPr>
                      <w:r w:rsidRPr="003B0E17">
                        <w:rPr>
                          <w:rFonts w:ascii="Calibri"/>
                          <w:color w:val="FFFFFF"/>
                          <w:lang w:val="pt-BR"/>
                        </w:rPr>
                        <w:t>OEA/Ser.L/V/II</w:t>
                      </w:r>
                    </w:p>
                    <w:p w14:paraId="2103D6EE" w14:textId="65CC6247" w:rsidR="00371496" w:rsidRPr="003B0E17" w:rsidRDefault="00371496">
                      <w:pPr>
                        <w:spacing w:before="41"/>
                        <w:ind w:right="271"/>
                        <w:jc w:val="right"/>
                        <w:rPr>
                          <w:rFonts w:ascii="Calibri"/>
                          <w:lang w:val="pt-BR"/>
                        </w:rPr>
                      </w:pPr>
                      <w:r w:rsidRPr="003B0E17">
                        <w:rPr>
                          <w:rFonts w:ascii="Calibri"/>
                          <w:color w:val="FFFFFF"/>
                          <w:lang w:val="pt-BR"/>
                        </w:rPr>
                        <w:t>Doc.</w:t>
                      </w:r>
                      <w:r w:rsidRPr="003B0E17">
                        <w:rPr>
                          <w:rFonts w:ascii="Calibri"/>
                          <w:color w:val="FFFFFF"/>
                          <w:spacing w:val="-2"/>
                          <w:lang w:val="pt-BR"/>
                        </w:rPr>
                        <w:t xml:space="preserve"> </w:t>
                      </w:r>
                      <w:r w:rsidR="00952A89">
                        <w:rPr>
                          <w:rFonts w:ascii="Calibri"/>
                          <w:color w:val="FFFFFF"/>
                          <w:lang w:val="pt-BR"/>
                        </w:rPr>
                        <w:t>29</w:t>
                      </w:r>
                    </w:p>
                    <w:p w14:paraId="2B5938C9" w14:textId="3ED8B6F7" w:rsidR="00371496" w:rsidRPr="00EE7BDA" w:rsidRDefault="00952A89">
                      <w:pPr>
                        <w:spacing w:before="38" w:line="278" w:lineRule="auto"/>
                        <w:ind w:left="650" w:right="270" w:hanging="286"/>
                        <w:jc w:val="right"/>
                        <w:rPr>
                          <w:rFonts w:ascii="Calibri" w:hAnsi="Calibri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lang w:val="pt-BR"/>
                        </w:rPr>
                        <w:t>9 marzo</w:t>
                      </w:r>
                      <w:r w:rsidR="00371496" w:rsidRPr="003B0E17">
                        <w:rPr>
                          <w:rFonts w:ascii="Calibri" w:hAnsi="Calibri"/>
                          <w:color w:val="FFFFFF"/>
                          <w:spacing w:val="-5"/>
                          <w:lang w:val="pt-BR"/>
                        </w:rPr>
                        <w:t xml:space="preserve"> </w:t>
                      </w:r>
                      <w:r w:rsidR="00371496" w:rsidRPr="003B0E17">
                        <w:rPr>
                          <w:rFonts w:ascii="Calibri" w:hAnsi="Calibri"/>
                          <w:color w:val="FFFFFF"/>
                          <w:lang w:val="pt-BR"/>
                        </w:rPr>
                        <w:t>202</w:t>
                      </w:r>
                      <w:r w:rsidR="00D15F36">
                        <w:rPr>
                          <w:rFonts w:ascii="Calibri" w:hAnsi="Calibri"/>
                          <w:color w:val="FFFFFF"/>
                          <w:lang w:val="pt-BR"/>
                        </w:rPr>
                        <w:t xml:space="preserve">2 </w:t>
                      </w:r>
                      <w:r w:rsidR="00371496" w:rsidRPr="003B0E17">
                        <w:rPr>
                          <w:rFonts w:ascii="Calibri" w:hAnsi="Calibri"/>
                          <w:color w:val="FFFFFF"/>
                          <w:lang w:val="pt-BR"/>
                        </w:rPr>
                        <w:t>Original:</w:t>
                      </w:r>
                      <w:r w:rsidR="00371496" w:rsidRPr="003B0E17">
                        <w:rPr>
                          <w:rFonts w:ascii="Calibri" w:hAnsi="Calibri"/>
                          <w:color w:val="FFFFFF"/>
                          <w:spacing w:val="-6"/>
                          <w:lang w:val="pt-BR"/>
                        </w:rPr>
                        <w:t xml:space="preserve"> </w:t>
                      </w:r>
                      <w:r w:rsidR="00371496" w:rsidRPr="003B0E17">
                        <w:rPr>
                          <w:rFonts w:ascii="Calibri" w:hAnsi="Calibri"/>
                          <w:color w:val="FFFFFF"/>
                          <w:lang w:val="pt-BR"/>
                        </w:rPr>
                        <w:t>español</w:t>
                      </w:r>
                    </w:p>
                    <w:p w14:paraId="18E44612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0860EC38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0952E55B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4C3592B3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3E49B12C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2C1EBE27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3271977D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4ACD6E87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4615FBE5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546D6BA3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04C73831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69C35975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064BDD69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2779BAF2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0405996E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65DBB752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3914C4FE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6CD615F1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6C14BE4D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72D584A2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044E3404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472E25FD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50743F04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16A249B5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6AF262A4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6FBF2F20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147FE114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08EA78E3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262C4DEB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0CB605B8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3E06130D" w14:textId="77777777" w:rsidR="00371496" w:rsidRPr="00EE7BDA" w:rsidRDefault="00371496">
                      <w:pPr>
                        <w:pStyle w:val="BodyText"/>
                        <w:rPr>
                          <w:sz w:val="22"/>
                          <w:lang w:val="pt-BR"/>
                        </w:rPr>
                      </w:pPr>
                    </w:p>
                    <w:p w14:paraId="0A159DD6" w14:textId="77777777" w:rsidR="00371496" w:rsidRPr="00EE7BDA" w:rsidRDefault="00371496">
                      <w:pPr>
                        <w:pStyle w:val="BodyText"/>
                        <w:spacing w:before="3"/>
                        <w:rPr>
                          <w:sz w:val="21"/>
                          <w:lang w:val="pt-BR"/>
                        </w:rPr>
                      </w:pPr>
                    </w:p>
                    <w:p w14:paraId="7A54D27C" w14:textId="77777777" w:rsidR="00371496" w:rsidRPr="00EE7BDA" w:rsidRDefault="0024047D">
                      <w:pPr>
                        <w:spacing w:before="1"/>
                        <w:ind w:left="453"/>
                        <w:rPr>
                          <w:rFonts w:ascii="Calibri"/>
                          <w:b/>
                          <w:sz w:val="24"/>
                          <w:lang w:val="pt-BR"/>
                        </w:rPr>
                      </w:pPr>
                      <w:hyperlink r:id="rId12">
                        <w:r w:rsidR="00371496" w:rsidRPr="00EE7BDA">
                          <w:rPr>
                            <w:rFonts w:ascii="Calibri"/>
                            <w:b/>
                            <w:color w:val="FFFFFF"/>
                            <w:sz w:val="24"/>
                            <w:lang w:val="pt-BR"/>
                          </w:rPr>
                          <w:t>www.cidh.org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D3CB1A" w14:textId="77777777" w:rsidR="00C02C7F" w:rsidRDefault="001223F2" w:rsidP="00E967F5">
      <w:pPr>
        <w:pStyle w:val="BodyText"/>
        <w:ind w:left="301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ECEBE8E" wp14:editId="3C7128B3">
            <wp:extent cx="2525632" cy="473201"/>
            <wp:effectExtent l="0" t="0" r="0" b="0"/>
            <wp:docPr id="1" name="image1.jpeg" descr="C:\Users\mfontana\Documents\Eva Fontana\GRAFICA CIDH\cartas\logos\cidh-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632" cy="47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3924B" w14:textId="77777777" w:rsidR="00C02C7F" w:rsidRDefault="00C02C7F" w:rsidP="00E967F5">
      <w:pPr>
        <w:pStyle w:val="BodyText"/>
        <w:rPr>
          <w:rFonts w:ascii="Times New Roman"/>
        </w:rPr>
      </w:pPr>
    </w:p>
    <w:p w14:paraId="6CB005A9" w14:textId="77777777" w:rsidR="00C02C7F" w:rsidRDefault="00C02C7F" w:rsidP="00E967F5">
      <w:pPr>
        <w:pStyle w:val="BodyText"/>
        <w:rPr>
          <w:rFonts w:ascii="Times New Roman"/>
        </w:rPr>
      </w:pPr>
    </w:p>
    <w:p w14:paraId="37D60A00" w14:textId="77777777" w:rsidR="00C02C7F" w:rsidRDefault="00C02C7F" w:rsidP="00E967F5">
      <w:pPr>
        <w:pStyle w:val="BodyText"/>
        <w:rPr>
          <w:rFonts w:ascii="Times New Roman"/>
        </w:rPr>
      </w:pPr>
    </w:p>
    <w:p w14:paraId="294A612B" w14:textId="77777777" w:rsidR="00C02C7F" w:rsidRDefault="00C02C7F" w:rsidP="00E967F5">
      <w:pPr>
        <w:pStyle w:val="BodyText"/>
        <w:rPr>
          <w:rFonts w:ascii="Times New Roman"/>
        </w:rPr>
      </w:pPr>
    </w:p>
    <w:p w14:paraId="257E66D2" w14:textId="77777777" w:rsidR="00C02C7F" w:rsidRDefault="00C02C7F" w:rsidP="00E967F5">
      <w:pPr>
        <w:pStyle w:val="BodyText"/>
        <w:rPr>
          <w:rFonts w:ascii="Times New Roman"/>
        </w:rPr>
      </w:pPr>
    </w:p>
    <w:p w14:paraId="7D3B429A" w14:textId="77777777" w:rsidR="00C02C7F" w:rsidRDefault="00C02C7F" w:rsidP="00E967F5">
      <w:pPr>
        <w:pStyle w:val="BodyText"/>
        <w:rPr>
          <w:rFonts w:ascii="Times New Roman"/>
        </w:rPr>
      </w:pPr>
    </w:p>
    <w:p w14:paraId="6577169D" w14:textId="77777777" w:rsidR="00C02C7F" w:rsidRDefault="00C02C7F" w:rsidP="00E967F5">
      <w:pPr>
        <w:pStyle w:val="BodyText"/>
        <w:rPr>
          <w:rFonts w:ascii="Times New Roman"/>
        </w:rPr>
      </w:pPr>
    </w:p>
    <w:p w14:paraId="24AB6ADD" w14:textId="77777777" w:rsidR="00C02C7F" w:rsidRDefault="00C02C7F" w:rsidP="00E967F5">
      <w:pPr>
        <w:pStyle w:val="BodyText"/>
        <w:rPr>
          <w:rFonts w:ascii="Times New Roman"/>
        </w:rPr>
      </w:pPr>
    </w:p>
    <w:p w14:paraId="5F2F745A" w14:textId="77777777" w:rsidR="00C02C7F" w:rsidRDefault="00C02C7F" w:rsidP="00E967F5">
      <w:pPr>
        <w:pStyle w:val="BodyText"/>
        <w:rPr>
          <w:rFonts w:ascii="Times New Roman"/>
        </w:rPr>
      </w:pPr>
    </w:p>
    <w:p w14:paraId="3A8F9941" w14:textId="77777777" w:rsidR="00C02C7F" w:rsidRDefault="00C02C7F" w:rsidP="00E967F5">
      <w:pPr>
        <w:pStyle w:val="BodyText"/>
        <w:rPr>
          <w:rFonts w:ascii="Times New Roman"/>
        </w:rPr>
      </w:pPr>
    </w:p>
    <w:p w14:paraId="31F7366B" w14:textId="77777777" w:rsidR="00C02C7F" w:rsidRDefault="00C02C7F" w:rsidP="00E967F5">
      <w:pPr>
        <w:pStyle w:val="BodyText"/>
        <w:rPr>
          <w:rFonts w:ascii="Times New Roman"/>
        </w:rPr>
      </w:pPr>
    </w:p>
    <w:p w14:paraId="73EF7E9C" w14:textId="77777777" w:rsidR="00C02C7F" w:rsidRDefault="00C02C7F" w:rsidP="00E967F5">
      <w:pPr>
        <w:pStyle w:val="BodyText"/>
        <w:rPr>
          <w:rFonts w:ascii="Times New Roman"/>
        </w:rPr>
      </w:pPr>
    </w:p>
    <w:p w14:paraId="45D91B69" w14:textId="77777777" w:rsidR="00C02C7F" w:rsidRDefault="00C02C7F" w:rsidP="00E967F5">
      <w:pPr>
        <w:pStyle w:val="BodyText"/>
        <w:rPr>
          <w:rFonts w:ascii="Times New Roman"/>
        </w:rPr>
      </w:pPr>
    </w:p>
    <w:p w14:paraId="34FD64FC" w14:textId="77777777" w:rsidR="00C02C7F" w:rsidRDefault="00C02C7F" w:rsidP="00E967F5">
      <w:pPr>
        <w:pStyle w:val="BodyText"/>
        <w:rPr>
          <w:rFonts w:ascii="Times New Roman"/>
        </w:rPr>
      </w:pPr>
    </w:p>
    <w:p w14:paraId="27729AED" w14:textId="77777777" w:rsidR="003A096C" w:rsidRDefault="001223F2" w:rsidP="0026444C">
      <w:pPr>
        <w:ind w:left="3038" w:right="2232"/>
        <w:rPr>
          <w:b/>
          <w:color w:val="050505"/>
          <w:spacing w:val="-3"/>
          <w:sz w:val="36"/>
        </w:rPr>
      </w:pPr>
      <w:r w:rsidRPr="003B0E17">
        <w:rPr>
          <w:b/>
          <w:color w:val="050505"/>
          <w:sz w:val="36"/>
        </w:rPr>
        <w:t xml:space="preserve">INFORME No. </w:t>
      </w:r>
      <w:r w:rsidR="003A096C">
        <w:rPr>
          <w:b/>
          <w:color w:val="050505"/>
          <w:sz w:val="36"/>
        </w:rPr>
        <w:t>27</w:t>
      </w:r>
      <w:r w:rsidRPr="003B0E17">
        <w:rPr>
          <w:b/>
          <w:color w:val="050505"/>
          <w:spacing w:val="-3"/>
          <w:sz w:val="36"/>
        </w:rPr>
        <w:t>/2</w:t>
      </w:r>
      <w:r w:rsidR="00D15F36">
        <w:rPr>
          <w:b/>
          <w:color w:val="050505"/>
          <w:spacing w:val="-3"/>
          <w:sz w:val="36"/>
        </w:rPr>
        <w:t>2</w:t>
      </w:r>
      <w:r w:rsidRPr="003B0E17">
        <w:rPr>
          <w:b/>
          <w:color w:val="050505"/>
          <w:spacing w:val="-3"/>
          <w:sz w:val="36"/>
        </w:rPr>
        <w:t xml:space="preserve"> </w:t>
      </w:r>
    </w:p>
    <w:p w14:paraId="7817E937" w14:textId="2AAF7044" w:rsidR="00C02C7F" w:rsidRDefault="001223F2" w:rsidP="0026444C">
      <w:pPr>
        <w:ind w:left="3038" w:right="2232"/>
        <w:rPr>
          <w:b/>
          <w:sz w:val="36"/>
        </w:rPr>
      </w:pPr>
      <w:r w:rsidRPr="003B0E17">
        <w:rPr>
          <w:b/>
          <w:color w:val="050505"/>
          <w:sz w:val="36"/>
        </w:rPr>
        <w:t>PETICIÓN</w:t>
      </w:r>
      <w:r w:rsidRPr="003B0E17">
        <w:rPr>
          <w:b/>
          <w:color w:val="050505"/>
          <w:spacing w:val="-2"/>
          <w:sz w:val="36"/>
        </w:rPr>
        <w:t xml:space="preserve"> </w:t>
      </w:r>
      <w:r w:rsidR="00D15F36">
        <w:rPr>
          <w:b/>
          <w:color w:val="050505"/>
          <w:sz w:val="36"/>
        </w:rPr>
        <w:t>1207-13</w:t>
      </w:r>
    </w:p>
    <w:p w14:paraId="485AE2BC" w14:textId="77777777" w:rsidR="00C02C7F" w:rsidRDefault="001223F2" w:rsidP="00E967F5">
      <w:pPr>
        <w:pStyle w:val="Heading1"/>
        <w:spacing w:line="277" w:lineRule="exact"/>
      </w:pPr>
      <w:r>
        <w:rPr>
          <w:color w:val="050505"/>
        </w:rPr>
        <w:t>INFORME DE</w:t>
      </w:r>
      <w:r>
        <w:rPr>
          <w:color w:val="050505"/>
          <w:spacing w:val="-15"/>
        </w:rPr>
        <w:t xml:space="preserve"> </w:t>
      </w:r>
      <w:r>
        <w:rPr>
          <w:color w:val="050505"/>
        </w:rPr>
        <w:t>ADMISIBILIDAD</w:t>
      </w:r>
    </w:p>
    <w:p w14:paraId="61B91498" w14:textId="77777777" w:rsidR="00C02C7F" w:rsidRDefault="00C02C7F" w:rsidP="00E967F5">
      <w:pPr>
        <w:pStyle w:val="BodyText"/>
        <w:spacing w:before="3"/>
        <w:rPr>
          <w:sz w:val="31"/>
        </w:rPr>
      </w:pPr>
    </w:p>
    <w:p w14:paraId="58FCEC4E" w14:textId="71BBD6E6" w:rsidR="00664365" w:rsidRDefault="00D15F36" w:rsidP="001E71D5">
      <w:pPr>
        <w:spacing w:line="276" w:lineRule="auto"/>
        <w:ind w:left="3040" w:right="3130"/>
        <w:rPr>
          <w:color w:val="050505"/>
          <w:sz w:val="24"/>
        </w:rPr>
      </w:pPr>
      <w:r>
        <w:rPr>
          <w:color w:val="050505"/>
          <w:sz w:val="24"/>
        </w:rPr>
        <w:t>HÉCTOR HERNÁN SALDIVIA OTEI</w:t>
      </w:r>
    </w:p>
    <w:p w14:paraId="1458044E" w14:textId="4AD7BDC2" w:rsidR="00C02C7F" w:rsidRDefault="00D15F36" w:rsidP="00E967F5">
      <w:pPr>
        <w:spacing w:line="276" w:lineRule="auto"/>
        <w:ind w:left="3040" w:right="4155"/>
        <w:rPr>
          <w:sz w:val="24"/>
        </w:rPr>
      </w:pPr>
      <w:r>
        <w:rPr>
          <w:color w:val="050505"/>
          <w:sz w:val="24"/>
        </w:rPr>
        <w:t>CHILE</w:t>
      </w:r>
    </w:p>
    <w:p w14:paraId="0FA9EC32" w14:textId="77777777" w:rsidR="00C02C7F" w:rsidRDefault="00C02C7F" w:rsidP="00E967F5">
      <w:pPr>
        <w:pStyle w:val="BodyText"/>
        <w:rPr>
          <w:sz w:val="28"/>
        </w:rPr>
      </w:pPr>
    </w:p>
    <w:p w14:paraId="04D6F510" w14:textId="77777777" w:rsidR="00C02C7F" w:rsidRDefault="00C02C7F" w:rsidP="00E967F5">
      <w:pPr>
        <w:pStyle w:val="BodyText"/>
        <w:rPr>
          <w:sz w:val="28"/>
        </w:rPr>
      </w:pPr>
    </w:p>
    <w:p w14:paraId="45841172" w14:textId="77777777" w:rsidR="00C02C7F" w:rsidRDefault="00C02C7F" w:rsidP="00E967F5">
      <w:pPr>
        <w:pStyle w:val="BodyText"/>
        <w:rPr>
          <w:sz w:val="28"/>
        </w:rPr>
      </w:pPr>
    </w:p>
    <w:p w14:paraId="769E29D0" w14:textId="77777777" w:rsidR="00C02C7F" w:rsidRDefault="00C02C7F" w:rsidP="00E967F5">
      <w:pPr>
        <w:pStyle w:val="BodyText"/>
        <w:rPr>
          <w:sz w:val="28"/>
        </w:rPr>
      </w:pPr>
    </w:p>
    <w:p w14:paraId="2CB703E1" w14:textId="77777777" w:rsidR="00C02C7F" w:rsidRDefault="00C02C7F" w:rsidP="00E967F5">
      <w:pPr>
        <w:pStyle w:val="BodyText"/>
        <w:rPr>
          <w:sz w:val="28"/>
        </w:rPr>
      </w:pPr>
    </w:p>
    <w:p w14:paraId="041C9733" w14:textId="77777777" w:rsidR="00C02C7F" w:rsidRDefault="00C02C7F" w:rsidP="00E967F5">
      <w:pPr>
        <w:pStyle w:val="BodyText"/>
        <w:rPr>
          <w:sz w:val="28"/>
        </w:rPr>
      </w:pPr>
    </w:p>
    <w:p w14:paraId="57E12571" w14:textId="77777777" w:rsidR="00C02C7F" w:rsidRDefault="00C02C7F" w:rsidP="00E967F5">
      <w:pPr>
        <w:pStyle w:val="BodyText"/>
        <w:rPr>
          <w:sz w:val="28"/>
        </w:rPr>
      </w:pPr>
    </w:p>
    <w:p w14:paraId="73663671" w14:textId="77777777" w:rsidR="00C02C7F" w:rsidRDefault="00C02C7F" w:rsidP="00E967F5">
      <w:pPr>
        <w:pStyle w:val="BodyText"/>
        <w:rPr>
          <w:sz w:val="28"/>
        </w:rPr>
      </w:pPr>
    </w:p>
    <w:p w14:paraId="33437773" w14:textId="77777777" w:rsidR="00C02C7F" w:rsidRDefault="00C02C7F" w:rsidP="00E967F5">
      <w:pPr>
        <w:pStyle w:val="BodyText"/>
        <w:rPr>
          <w:sz w:val="28"/>
        </w:rPr>
      </w:pPr>
    </w:p>
    <w:p w14:paraId="3E4A4DEB" w14:textId="77777777" w:rsidR="00C02C7F" w:rsidRDefault="00C02C7F" w:rsidP="00E967F5">
      <w:pPr>
        <w:pStyle w:val="BodyText"/>
        <w:rPr>
          <w:sz w:val="28"/>
        </w:rPr>
      </w:pPr>
    </w:p>
    <w:p w14:paraId="439C13BA" w14:textId="77777777" w:rsidR="00C02C7F" w:rsidRDefault="00C02C7F" w:rsidP="00E967F5">
      <w:pPr>
        <w:pStyle w:val="BodyText"/>
        <w:rPr>
          <w:sz w:val="28"/>
        </w:rPr>
      </w:pPr>
    </w:p>
    <w:p w14:paraId="55AD9ADD" w14:textId="77777777" w:rsidR="00C02C7F" w:rsidRDefault="00C02C7F" w:rsidP="00E967F5">
      <w:pPr>
        <w:pStyle w:val="BodyText"/>
        <w:rPr>
          <w:sz w:val="28"/>
        </w:rPr>
      </w:pPr>
    </w:p>
    <w:p w14:paraId="001AF764" w14:textId="77777777" w:rsidR="00C02C7F" w:rsidRDefault="00C02C7F" w:rsidP="00E967F5">
      <w:pPr>
        <w:pStyle w:val="BodyText"/>
        <w:rPr>
          <w:sz w:val="28"/>
        </w:rPr>
      </w:pPr>
    </w:p>
    <w:p w14:paraId="25916868" w14:textId="7897437B" w:rsidR="00C02C7F" w:rsidRPr="00726DAC" w:rsidRDefault="001223F2" w:rsidP="00E967F5">
      <w:pPr>
        <w:spacing w:before="216"/>
        <w:ind w:left="3023"/>
        <w:rPr>
          <w:sz w:val="18"/>
        </w:rPr>
      </w:pPr>
      <w:r w:rsidRPr="00726DAC">
        <w:rPr>
          <w:color w:val="050505"/>
          <w:sz w:val="18"/>
        </w:rPr>
        <w:t xml:space="preserve">Aprobado electrónicamente por la Comisión el </w:t>
      </w:r>
      <w:r w:rsidR="009F23B2">
        <w:rPr>
          <w:color w:val="050505"/>
          <w:sz w:val="18"/>
        </w:rPr>
        <w:t>9</w:t>
      </w:r>
      <w:r w:rsidRPr="00726DAC">
        <w:rPr>
          <w:color w:val="050505"/>
          <w:sz w:val="18"/>
        </w:rPr>
        <w:t xml:space="preserve"> de </w:t>
      </w:r>
      <w:r w:rsidR="009F23B2">
        <w:rPr>
          <w:color w:val="050505"/>
          <w:sz w:val="18"/>
        </w:rPr>
        <w:t>marzo</w:t>
      </w:r>
      <w:r w:rsidRPr="00726DAC">
        <w:rPr>
          <w:color w:val="050505"/>
          <w:sz w:val="18"/>
        </w:rPr>
        <w:t xml:space="preserve"> de 202</w:t>
      </w:r>
      <w:r w:rsidR="00D15F36">
        <w:rPr>
          <w:color w:val="050505"/>
          <w:sz w:val="18"/>
        </w:rPr>
        <w:t>2</w:t>
      </w:r>
      <w:r w:rsidRPr="00726DAC">
        <w:rPr>
          <w:color w:val="050505"/>
          <w:sz w:val="18"/>
        </w:rPr>
        <w:t>.</w:t>
      </w:r>
    </w:p>
    <w:p w14:paraId="565F36A6" w14:textId="77777777" w:rsidR="00C02C7F" w:rsidRPr="00726DAC" w:rsidRDefault="00C02C7F" w:rsidP="00E967F5">
      <w:pPr>
        <w:pStyle w:val="BodyText"/>
      </w:pPr>
    </w:p>
    <w:p w14:paraId="1DC05081" w14:textId="77777777" w:rsidR="00C02C7F" w:rsidRPr="00726DAC" w:rsidRDefault="00C02C7F" w:rsidP="00E967F5">
      <w:pPr>
        <w:pStyle w:val="BodyText"/>
      </w:pPr>
    </w:p>
    <w:p w14:paraId="75DD224D" w14:textId="77777777" w:rsidR="00C02C7F" w:rsidRPr="00726DAC" w:rsidRDefault="00C02C7F" w:rsidP="00E967F5">
      <w:pPr>
        <w:pStyle w:val="BodyText"/>
        <w:spacing w:before="2"/>
        <w:rPr>
          <w:sz w:val="16"/>
        </w:rPr>
      </w:pPr>
    </w:p>
    <w:p w14:paraId="3F79E214" w14:textId="50AF6A33" w:rsidR="00C02C7F" w:rsidRDefault="001223F2" w:rsidP="0026444C">
      <w:pPr>
        <w:ind w:left="3010" w:right="331"/>
        <w:rPr>
          <w:sz w:val="18"/>
        </w:rPr>
      </w:pPr>
      <w:r w:rsidRPr="00726DAC">
        <w:rPr>
          <w:b/>
          <w:color w:val="595958"/>
          <w:sz w:val="18"/>
          <w:lang w:val="pt-BR"/>
        </w:rPr>
        <w:t xml:space="preserve">Citar como: </w:t>
      </w:r>
      <w:r w:rsidRPr="00726DAC">
        <w:rPr>
          <w:color w:val="595958"/>
          <w:sz w:val="18"/>
          <w:lang w:val="pt-BR"/>
        </w:rPr>
        <w:t xml:space="preserve">CIDH, Informe No. </w:t>
      </w:r>
      <w:r w:rsidR="009F23B2" w:rsidRPr="0026444C">
        <w:rPr>
          <w:color w:val="595958"/>
          <w:sz w:val="18"/>
          <w:lang w:val="pt-BR"/>
        </w:rPr>
        <w:t>27</w:t>
      </w:r>
      <w:r w:rsidRPr="0026444C">
        <w:rPr>
          <w:color w:val="595958"/>
          <w:sz w:val="18"/>
          <w:lang w:val="pt-BR"/>
        </w:rPr>
        <w:t>/2</w:t>
      </w:r>
      <w:r w:rsidR="00284413" w:rsidRPr="0026444C">
        <w:rPr>
          <w:color w:val="595958"/>
          <w:sz w:val="18"/>
          <w:lang w:val="pt-BR"/>
        </w:rPr>
        <w:t>2</w:t>
      </w:r>
      <w:r w:rsidRPr="0026444C">
        <w:rPr>
          <w:color w:val="595958"/>
          <w:sz w:val="18"/>
          <w:lang w:val="pt-BR"/>
        </w:rPr>
        <w:t xml:space="preserve">. </w:t>
      </w:r>
      <w:r w:rsidRPr="00726DAC">
        <w:rPr>
          <w:color w:val="595958"/>
          <w:sz w:val="18"/>
        </w:rPr>
        <w:t>Petición P-</w:t>
      </w:r>
      <w:r w:rsidR="00D15F36">
        <w:rPr>
          <w:color w:val="595958"/>
          <w:sz w:val="18"/>
        </w:rPr>
        <w:t>1207-13</w:t>
      </w:r>
      <w:r w:rsidRPr="00726DAC">
        <w:rPr>
          <w:color w:val="595958"/>
          <w:sz w:val="18"/>
        </w:rPr>
        <w:t xml:space="preserve">. Admisibilidad. </w:t>
      </w:r>
      <w:r w:rsidR="00D15F36">
        <w:rPr>
          <w:color w:val="595958"/>
          <w:sz w:val="18"/>
        </w:rPr>
        <w:t xml:space="preserve">Héctor Hernán Saldivia </w:t>
      </w:r>
      <w:proofErr w:type="spellStart"/>
      <w:r w:rsidR="00D15F36">
        <w:rPr>
          <w:color w:val="595958"/>
          <w:sz w:val="18"/>
        </w:rPr>
        <w:t>Otei</w:t>
      </w:r>
      <w:proofErr w:type="spellEnd"/>
      <w:r w:rsidRPr="00726DAC">
        <w:rPr>
          <w:color w:val="595958"/>
          <w:sz w:val="18"/>
        </w:rPr>
        <w:t xml:space="preserve">. </w:t>
      </w:r>
      <w:r w:rsidR="00D15F36">
        <w:rPr>
          <w:color w:val="595958"/>
          <w:sz w:val="18"/>
        </w:rPr>
        <w:t>Chile</w:t>
      </w:r>
      <w:r w:rsidRPr="00726DAC">
        <w:rPr>
          <w:color w:val="595958"/>
          <w:sz w:val="18"/>
        </w:rPr>
        <w:t xml:space="preserve">. </w:t>
      </w:r>
      <w:r w:rsidR="0026444C">
        <w:rPr>
          <w:color w:val="595958"/>
          <w:sz w:val="18"/>
        </w:rPr>
        <w:t>9</w:t>
      </w:r>
      <w:r w:rsidRPr="00726DAC">
        <w:rPr>
          <w:color w:val="595958"/>
          <w:sz w:val="18"/>
        </w:rPr>
        <w:t xml:space="preserve"> de </w:t>
      </w:r>
      <w:r w:rsidR="0026444C">
        <w:rPr>
          <w:color w:val="595958"/>
          <w:sz w:val="18"/>
        </w:rPr>
        <w:t>marzo</w:t>
      </w:r>
      <w:r w:rsidRPr="00726DAC">
        <w:rPr>
          <w:color w:val="595958"/>
          <w:sz w:val="18"/>
        </w:rPr>
        <w:t xml:space="preserve"> de 202</w:t>
      </w:r>
      <w:r w:rsidR="00D15F36">
        <w:rPr>
          <w:color w:val="595958"/>
          <w:sz w:val="18"/>
        </w:rPr>
        <w:t>2</w:t>
      </w:r>
      <w:r w:rsidRPr="00726DAC">
        <w:rPr>
          <w:color w:val="595958"/>
          <w:sz w:val="18"/>
        </w:rPr>
        <w:t>.</w:t>
      </w:r>
    </w:p>
    <w:p w14:paraId="41E2E7B7" w14:textId="77777777" w:rsidR="00C02C7F" w:rsidRDefault="00C02C7F" w:rsidP="00E967F5">
      <w:pPr>
        <w:pStyle w:val="BodyText"/>
      </w:pPr>
    </w:p>
    <w:p w14:paraId="38E03824" w14:textId="77777777" w:rsidR="00C02C7F" w:rsidRDefault="00C02C7F" w:rsidP="00E967F5">
      <w:pPr>
        <w:pStyle w:val="BodyText"/>
      </w:pPr>
    </w:p>
    <w:p w14:paraId="0CD67CB2" w14:textId="77777777" w:rsidR="00C02C7F" w:rsidRDefault="00C02C7F" w:rsidP="00E967F5">
      <w:pPr>
        <w:pStyle w:val="BodyText"/>
      </w:pPr>
    </w:p>
    <w:p w14:paraId="1B7A744F" w14:textId="77777777" w:rsidR="00C02C7F" w:rsidRDefault="001223F2" w:rsidP="00E967F5">
      <w:pPr>
        <w:pStyle w:val="BodyText"/>
        <w:spacing w:before="4"/>
        <w:rPr>
          <w:sz w:val="16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5C333012" wp14:editId="5579A118">
            <wp:simplePos x="0" y="0"/>
            <wp:positionH relativeFrom="page">
              <wp:posOffset>2338705</wp:posOffset>
            </wp:positionH>
            <wp:positionV relativeFrom="paragraph">
              <wp:posOffset>595358</wp:posOffset>
            </wp:positionV>
            <wp:extent cx="1772183" cy="456056"/>
            <wp:effectExtent l="0" t="0" r="0" b="127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183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CCC4A7" w14:textId="77777777" w:rsidR="00C02C7F" w:rsidRDefault="00C02C7F" w:rsidP="00E967F5">
      <w:pPr>
        <w:rPr>
          <w:sz w:val="16"/>
        </w:rPr>
        <w:sectPr w:rsidR="00C02C7F" w:rsidSect="00DA7568">
          <w:headerReference w:type="default" r:id="rId15"/>
          <w:type w:val="continuous"/>
          <w:pgSz w:w="12240" w:h="15840"/>
          <w:pgMar w:top="740" w:right="1200" w:bottom="280" w:left="680" w:header="720" w:footer="720" w:gutter="0"/>
          <w:cols w:space="720"/>
          <w:titlePg/>
          <w:docGrid w:linePitch="299"/>
        </w:sectPr>
      </w:pPr>
    </w:p>
    <w:p w14:paraId="21A11F39" w14:textId="77777777" w:rsidR="00C02C7F" w:rsidRDefault="00C02C7F" w:rsidP="00E967F5">
      <w:pPr>
        <w:pStyle w:val="BodyText"/>
        <w:spacing w:before="4"/>
        <w:rPr>
          <w:sz w:val="11"/>
        </w:rPr>
      </w:pPr>
    </w:p>
    <w:p w14:paraId="3D379E68" w14:textId="77777777" w:rsidR="00C02C7F" w:rsidRDefault="001223F2" w:rsidP="00E967F5">
      <w:pPr>
        <w:pStyle w:val="Heading2"/>
        <w:numPr>
          <w:ilvl w:val="0"/>
          <w:numId w:val="3"/>
        </w:numPr>
        <w:spacing w:before="99"/>
        <w:ind w:firstLine="270"/>
      </w:pPr>
      <w:bookmarkStart w:id="2" w:name="_bookmark4"/>
      <w:bookmarkEnd w:id="2"/>
      <w:r>
        <w:t>DATOS DE LA</w:t>
      </w:r>
      <w:r>
        <w:rPr>
          <w:spacing w:val="1"/>
        </w:rPr>
        <w:t xml:space="preserve"> </w:t>
      </w:r>
      <w:r>
        <w:t>PETICIÓN</w:t>
      </w:r>
    </w:p>
    <w:p w14:paraId="19C4C750" w14:textId="77777777" w:rsidR="00C02C7F" w:rsidRDefault="00C02C7F" w:rsidP="00E967F5">
      <w:pPr>
        <w:pStyle w:val="BodyText"/>
        <w:spacing w:before="4"/>
        <w:rPr>
          <w:b/>
          <w:sz w:val="10"/>
        </w:rPr>
      </w:pPr>
    </w:p>
    <w:tbl>
      <w:tblPr>
        <w:tblStyle w:val="TableNormal1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6569"/>
      </w:tblGrid>
      <w:tr w:rsidR="00C02C7F" w:rsidRPr="007206F8" w14:paraId="2E06C8FB" w14:textId="77777777" w:rsidTr="00E967F5">
        <w:trPr>
          <w:trHeight w:val="222"/>
        </w:trPr>
        <w:tc>
          <w:tcPr>
            <w:tcW w:w="2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386294"/>
          </w:tcPr>
          <w:p w14:paraId="2D1EFF23" w14:textId="77777777" w:rsidR="00C02C7F" w:rsidRPr="00AD64AA" w:rsidRDefault="001223F2" w:rsidP="00E967F5">
            <w:pPr>
              <w:pStyle w:val="TableParagraph"/>
              <w:ind w:left="175" w:right="164"/>
              <w:jc w:val="center"/>
              <w:rPr>
                <w:b/>
                <w:bCs/>
                <w:sz w:val="19"/>
              </w:rPr>
            </w:pPr>
            <w:r w:rsidRPr="00AD64AA">
              <w:rPr>
                <w:b/>
                <w:bCs/>
                <w:color w:val="FFFFFF"/>
                <w:sz w:val="19"/>
              </w:rPr>
              <w:t>Parte peticionaria</w:t>
            </w:r>
          </w:p>
        </w:tc>
        <w:tc>
          <w:tcPr>
            <w:tcW w:w="6569" w:type="dxa"/>
            <w:tcBorders>
              <w:left w:val="single" w:sz="6" w:space="0" w:color="000000"/>
              <w:bottom w:val="single" w:sz="6" w:space="0" w:color="000000"/>
            </w:tcBorders>
          </w:tcPr>
          <w:p w14:paraId="192EA89A" w14:textId="310FDFC7" w:rsidR="00C02C7F" w:rsidRPr="00664365" w:rsidRDefault="00D15F36" w:rsidP="00E967F5">
            <w:pPr>
              <w:pStyle w:val="TableParagraph"/>
              <w:ind w:right="65"/>
              <w:jc w:val="both"/>
              <w:rPr>
                <w:sz w:val="12"/>
              </w:rPr>
            </w:pPr>
            <w:r>
              <w:rPr>
                <w:sz w:val="19"/>
              </w:rPr>
              <w:t xml:space="preserve">Héctor Hernán Saldivia </w:t>
            </w:r>
            <w:proofErr w:type="spellStart"/>
            <w:r>
              <w:rPr>
                <w:sz w:val="19"/>
              </w:rPr>
              <w:t>Otei</w:t>
            </w:r>
            <w:proofErr w:type="spellEnd"/>
          </w:p>
        </w:tc>
      </w:tr>
      <w:tr w:rsidR="00C02C7F" w14:paraId="78BCB745" w14:textId="77777777" w:rsidTr="00E967F5">
        <w:trPr>
          <w:trHeight w:val="222"/>
        </w:trPr>
        <w:tc>
          <w:tcPr>
            <w:tcW w:w="2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86294"/>
          </w:tcPr>
          <w:p w14:paraId="5558FF07" w14:textId="020AEE9F" w:rsidR="00C02C7F" w:rsidRPr="00AD64AA" w:rsidRDefault="001223F2" w:rsidP="00E967F5">
            <w:pPr>
              <w:pStyle w:val="TableParagraph"/>
              <w:ind w:left="175" w:right="167"/>
              <w:jc w:val="center"/>
              <w:rPr>
                <w:b/>
                <w:bCs/>
                <w:sz w:val="19"/>
              </w:rPr>
            </w:pPr>
            <w:r w:rsidRPr="00AD64AA">
              <w:rPr>
                <w:b/>
                <w:bCs/>
                <w:color w:val="FFFFFF"/>
                <w:sz w:val="19"/>
              </w:rPr>
              <w:t>Presunta</w:t>
            </w:r>
            <w:r w:rsidR="00664365" w:rsidRPr="00AD64AA">
              <w:rPr>
                <w:b/>
                <w:bCs/>
                <w:color w:val="FFFFFF"/>
                <w:sz w:val="19"/>
              </w:rPr>
              <w:t>s</w:t>
            </w:r>
            <w:r w:rsidRPr="00AD64AA">
              <w:rPr>
                <w:b/>
                <w:bCs/>
                <w:color w:val="FFFFFF"/>
                <w:sz w:val="19"/>
              </w:rPr>
              <w:t xml:space="preserve"> víctima</w:t>
            </w:r>
            <w:r w:rsidR="00664365" w:rsidRPr="00AD64AA">
              <w:rPr>
                <w:b/>
                <w:bCs/>
                <w:color w:val="FFFFFF"/>
                <w:sz w:val="19"/>
              </w:rPr>
              <w:t>s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3C9213" w14:textId="5DFA9D48" w:rsidR="00C02C7F" w:rsidRDefault="00D15F36" w:rsidP="00E967F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Héctor Hernán Saldivia </w:t>
            </w:r>
            <w:proofErr w:type="spellStart"/>
            <w:r>
              <w:rPr>
                <w:sz w:val="19"/>
              </w:rPr>
              <w:t>Otei</w:t>
            </w:r>
            <w:proofErr w:type="spellEnd"/>
          </w:p>
        </w:tc>
      </w:tr>
      <w:tr w:rsidR="00C02C7F" w14:paraId="2D2B5C75" w14:textId="77777777" w:rsidTr="00E967F5">
        <w:trPr>
          <w:trHeight w:val="222"/>
        </w:trPr>
        <w:tc>
          <w:tcPr>
            <w:tcW w:w="2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86294"/>
          </w:tcPr>
          <w:p w14:paraId="7ACFC022" w14:textId="77777777" w:rsidR="00C02C7F" w:rsidRPr="00AD64AA" w:rsidRDefault="001223F2" w:rsidP="00E967F5">
            <w:pPr>
              <w:pStyle w:val="TableParagraph"/>
              <w:ind w:left="175" w:right="168"/>
              <w:jc w:val="center"/>
              <w:rPr>
                <w:b/>
                <w:bCs/>
                <w:sz w:val="19"/>
              </w:rPr>
            </w:pPr>
            <w:r w:rsidRPr="00AD64AA">
              <w:rPr>
                <w:b/>
                <w:bCs/>
                <w:color w:val="FFFFFF"/>
                <w:sz w:val="19"/>
              </w:rPr>
              <w:t>Estado denunciado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0AD21D" w14:textId="3622526E" w:rsidR="00C02C7F" w:rsidRDefault="00D15F36" w:rsidP="00E967F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Chile</w:t>
            </w:r>
          </w:p>
        </w:tc>
      </w:tr>
      <w:tr w:rsidR="00C02C7F" w14:paraId="7B4FADA0" w14:textId="77777777" w:rsidTr="00E967F5">
        <w:trPr>
          <w:trHeight w:val="889"/>
        </w:trPr>
        <w:tc>
          <w:tcPr>
            <w:tcW w:w="2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86294"/>
          </w:tcPr>
          <w:p w14:paraId="7386B7A3" w14:textId="77777777" w:rsidR="00C02C7F" w:rsidRPr="00AD64AA" w:rsidRDefault="00C02C7F" w:rsidP="00E967F5">
            <w:pPr>
              <w:pStyle w:val="TableParagraph"/>
              <w:spacing w:before="2" w:line="240" w:lineRule="auto"/>
              <w:ind w:left="0"/>
              <w:rPr>
                <w:b/>
                <w:bCs/>
                <w:sz w:val="28"/>
              </w:rPr>
            </w:pPr>
          </w:p>
          <w:p w14:paraId="123FDED4" w14:textId="77777777" w:rsidR="00C02C7F" w:rsidRPr="00AD64AA" w:rsidRDefault="001223F2" w:rsidP="00E967F5">
            <w:pPr>
              <w:pStyle w:val="TableParagraph"/>
              <w:spacing w:line="240" w:lineRule="auto"/>
              <w:ind w:left="175" w:right="163"/>
              <w:jc w:val="center"/>
              <w:rPr>
                <w:b/>
                <w:bCs/>
                <w:sz w:val="19"/>
              </w:rPr>
            </w:pPr>
            <w:r w:rsidRPr="00AD64AA">
              <w:rPr>
                <w:b/>
                <w:bCs/>
                <w:color w:val="FFFFFF"/>
                <w:sz w:val="19"/>
              </w:rPr>
              <w:t>Derechos invocados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</w:tcBorders>
          </w:tcPr>
          <w:p w14:paraId="343BF5C1" w14:textId="025FBC60" w:rsidR="00C02C7F" w:rsidRDefault="001223F2" w:rsidP="00E967F5">
            <w:pPr>
              <w:pStyle w:val="TableParagraph"/>
              <w:ind w:right="34"/>
              <w:rPr>
                <w:sz w:val="12"/>
              </w:rPr>
            </w:pPr>
            <w:r w:rsidRPr="0031450D">
              <w:rPr>
                <w:sz w:val="19"/>
              </w:rPr>
              <w:t>Artículos</w:t>
            </w:r>
            <w:r w:rsidR="00664365" w:rsidRPr="0031450D">
              <w:rPr>
                <w:sz w:val="19"/>
              </w:rPr>
              <w:t xml:space="preserve"> 4 (vida), 5 (integridad personal),</w:t>
            </w:r>
            <w:r w:rsidRPr="0031450D">
              <w:rPr>
                <w:sz w:val="19"/>
              </w:rPr>
              <w:t xml:space="preserve"> </w:t>
            </w:r>
            <w:r w:rsidR="0031450D">
              <w:rPr>
                <w:sz w:val="19"/>
              </w:rPr>
              <w:t xml:space="preserve">7 (libertad personal), </w:t>
            </w:r>
            <w:r w:rsidR="00920309" w:rsidRPr="0031450D">
              <w:rPr>
                <w:sz w:val="19"/>
              </w:rPr>
              <w:t>8</w:t>
            </w:r>
            <w:r w:rsidR="00384195" w:rsidRPr="0031450D">
              <w:rPr>
                <w:sz w:val="19"/>
              </w:rPr>
              <w:t xml:space="preserve"> (garantías judiciales)</w:t>
            </w:r>
            <w:r w:rsidR="00920309" w:rsidRPr="0031450D">
              <w:rPr>
                <w:sz w:val="19"/>
              </w:rPr>
              <w:t>,</w:t>
            </w:r>
            <w:r w:rsidR="0031450D">
              <w:rPr>
                <w:sz w:val="19"/>
              </w:rPr>
              <w:t xml:space="preserve"> 11 (protección de la honra y de la dignidad), 13 (libertad de pensamiento y de expresión), 23 (derechos políticos), 24 (igualdad ante la ley),</w:t>
            </w:r>
            <w:r w:rsidR="00920309" w:rsidRPr="0031450D">
              <w:rPr>
                <w:sz w:val="19"/>
              </w:rPr>
              <w:t xml:space="preserve"> 25 (protección judicial)</w:t>
            </w:r>
            <w:r w:rsidR="0031450D">
              <w:rPr>
                <w:sz w:val="19"/>
              </w:rPr>
              <w:t>, 26 (derechos económicos y sociales)</w:t>
            </w:r>
            <w:r w:rsidR="00384195" w:rsidRPr="0031450D">
              <w:rPr>
                <w:sz w:val="19"/>
              </w:rPr>
              <w:t xml:space="preserve"> de la Convención Americana de Derechos Humanos, </w:t>
            </w:r>
            <w:r w:rsidR="00807BF6" w:rsidRPr="0031450D">
              <w:rPr>
                <w:sz w:val="19"/>
              </w:rPr>
              <w:t xml:space="preserve">en conexión con </w:t>
            </w:r>
            <w:r w:rsidR="00920309" w:rsidRPr="0031450D">
              <w:rPr>
                <w:sz w:val="19"/>
              </w:rPr>
              <w:t>el</w:t>
            </w:r>
            <w:r w:rsidR="00807BF6" w:rsidRPr="0031450D">
              <w:rPr>
                <w:sz w:val="19"/>
              </w:rPr>
              <w:t xml:space="preserve"> artículo 1.1 (obligación de respetar los derechos) </w:t>
            </w:r>
          </w:p>
        </w:tc>
      </w:tr>
    </w:tbl>
    <w:p w14:paraId="3AC4BC06" w14:textId="293CF95B" w:rsidR="00C02C7F" w:rsidRDefault="001223F2" w:rsidP="00E967F5">
      <w:pPr>
        <w:pStyle w:val="ListParagraph"/>
        <w:numPr>
          <w:ilvl w:val="0"/>
          <w:numId w:val="3"/>
        </w:numPr>
        <w:spacing w:before="122"/>
        <w:ind w:left="2200" w:hanging="721"/>
        <w:rPr>
          <w:b/>
          <w:sz w:val="13"/>
        </w:rPr>
      </w:pPr>
      <w:r>
        <w:rPr>
          <w:b/>
          <w:sz w:val="20"/>
        </w:rPr>
        <w:t>TRÁMITE ANTE LA</w:t>
      </w:r>
      <w:r>
        <w:rPr>
          <w:b/>
          <w:spacing w:val="-2"/>
          <w:sz w:val="20"/>
        </w:rPr>
        <w:t xml:space="preserve"> </w:t>
      </w:r>
      <w:r>
        <w:rPr>
          <w:b/>
          <w:spacing w:val="2"/>
          <w:sz w:val="20"/>
        </w:rPr>
        <w:t>CIDH</w:t>
      </w:r>
    </w:p>
    <w:p w14:paraId="286E1769" w14:textId="77777777" w:rsidR="00C02C7F" w:rsidRDefault="00C02C7F" w:rsidP="00E967F5">
      <w:pPr>
        <w:pStyle w:val="BodyText"/>
        <w:spacing w:before="10" w:after="1"/>
        <w:rPr>
          <w:b/>
          <w:sz w:val="9"/>
        </w:rPr>
      </w:pPr>
    </w:p>
    <w:tbl>
      <w:tblPr>
        <w:tblStyle w:val="TableNormal1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6569"/>
      </w:tblGrid>
      <w:tr w:rsidR="001E71D5" w:rsidRPr="00CE19C2" w14:paraId="3325FE85" w14:textId="77777777" w:rsidTr="00E967F5">
        <w:trPr>
          <w:trHeight w:val="225"/>
        </w:trPr>
        <w:tc>
          <w:tcPr>
            <w:tcW w:w="2954" w:type="dxa"/>
            <w:tcBorders>
              <w:left w:val="single" w:sz="4" w:space="0" w:color="000000"/>
            </w:tcBorders>
            <w:shd w:val="clear" w:color="auto" w:fill="386294"/>
          </w:tcPr>
          <w:p w14:paraId="2284D9D5" w14:textId="77777777" w:rsidR="001E71D5" w:rsidRPr="00AD64AA" w:rsidRDefault="001E71D5" w:rsidP="001E71D5">
            <w:pPr>
              <w:pStyle w:val="TableParagraph"/>
              <w:spacing w:line="205" w:lineRule="exact"/>
              <w:ind w:left="175" w:right="165"/>
              <w:jc w:val="center"/>
              <w:rPr>
                <w:b/>
                <w:bCs/>
                <w:sz w:val="19"/>
              </w:rPr>
            </w:pPr>
            <w:r w:rsidRPr="00AD64AA">
              <w:rPr>
                <w:b/>
                <w:bCs/>
                <w:color w:val="FFFFFF"/>
                <w:sz w:val="19"/>
              </w:rPr>
              <w:t>Recepción de la petición</w:t>
            </w:r>
          </w:p>
        </w:tc>
        <w:tc>
          <w:tcPr>
            <w:tcW w:w="6569" w:type="dxa"/>
            <w:tcBorders>
              <w:top w:val="single" w:sz="4" w:space="0" w:color="000000"/>
              <w:right w:val="single" w:sz="4" w:space="0" w:color="000000"/>
            </w:tcBorders>
          </w:tcPr>
          <w:p w14:paraId="5DA58D2E" w14:textId="632DED3D" w:rsidR="001E71D5" w:rsidRPr="005E59AB" w:rsidRDefault="008373BB" w:rsidP="001E71D5">
            <w:pPr>
              <w:pStyle w:val="TableParagraph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18 de julio de 2013</w:t>
            </w:r>
          </w:p>
        </w:tc>
      </w:tr>
      <w:tr w:rsidR="001E71D5" w14:paraId="32759362" w14:textId="77777777" w:rsidTr="00E967F5">
        <w:trPr>
          <w:trHeight w:val="222"/>
        </w:trPr>
        <w:tc>
          <w:tcPr>
            <w:tcW w:w="2954" w:type="dxa"/>
            <w:tcBorders>
              <w:left w:val="single" w:sz="4" w:space="0" w:color="000000"/>
            </w:tcBorders>
            <w:shd w:val="clear" w:color="auto" w:fill="386294"/>
          </w:tcPr>
          <w:p w14:paraId="017B6122" w14:textId="77777777" w:rsidR="001E71D5" w:rsidRPr="00AD64AA" w:rsidRDefault="001E71D5" w:rsidP="001E71D5">
            <w:pPr>
              <w:pStyle w:val="TableParagraph"/>
              <w:ind w:left="175" w:right="168"/>
              <w:jc w:val="center"/>
              <w:rPr>
                <w:b/>
                <w:bCs/>
                <w:sz w:val="19"/>
              </w:rPr>
            </w:pPr>
            <w:r w:rsidRPr="00AD64AA">
              <w:rPr>
                <w:b/>
                <w:bCs/>
                <w:color w:val="FFFFFF"/>
                <w:sz w:val="19"/>
              </w:rPr>
              <w:t>Notificación de la petición</w:t>
            </w:r>
          </w:p>
        </w:tc>
        <w:tc>
          <w:tcPr>
            <w:tcW w:w="6569" w:type="dxa"/>
            <w:tcBorders>
              <w:right w:val="single" w:sz="4" w:space="0" w:color="000000"/>
            </w:tcBorders>
          </w:tcPr>
          <w:p w14:paraId="7549FCD6" w14:textId="71D51A4F" w:rsidR="001E71D5" w:rsidRPr="005E59AB" w:rsidRDefault="008373BB" w:rsidP="001E71D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5 de noviembre de 2018</w:t>
            </w:r>
          </w:p>
        </w:tc>
      </w:tr>
      <w:tr w:rsidR="008373BB" w14:paraId="07CDC5EA" w14:textId="77777777" w:rsidTr="00E967F5">
        <w:trPr>
          <w:trHeight w:val="222"/>
        </w:trPr>
        <w:tc>
          <w:tcPr>
            <w:tcW w:w="2954" w:type="dxa"/>
            <w:tcBorders>
              <w:left w:val="single" w:sz="4" w:space="0" w:color="000000"/>
            </w:tcBorders>
            <w:shd w:val="clear" w:color="auto" w:fill="386294"/>
          </w:tcPr>
          <w:p w14:paraId="00BB3E1D" w14:textId="529DEF6D" w:rsidR="008373BB" w:rsidRPr="00AD64AA" w:rsidRDefault="008373BB" w:rsidP="001E71D5">
            <w:pPr>
              <w:pStyle w:val="TableParagraph"/>
              <w:ind w:left="175" w:right="168"/>
              <w:jc w:val="center"/>
              <w:rPr>
                <w:b/>
                <w:bCs/>
                <w:color w:val="FFFFFF"/>
                <w:sz w:val="19"/>
              </w:rPr>
            </w:pPr>
            <w:r w:rsidRPr="00AD64AA">
              <w:rPr>
                <w:b/>
                <w:bCs/>
                <w:color w:val="FFFFFF"/>
                <w:sz w:val="19"/>
              </w:rPr>
              <w:t>Solicitud de prórroga</w:t>
            </w:r>
          </w:p>
        </w:tc>
        <w:tc>
          <w:tcPr>
            <w:tcW w:w="6569" w:type="dxa"/>
            <w:tcBorders>
              <w:right w:val="single" w:sz="4" w:space="0" w:color="000000"/>
            </w:tcBorders>
          </w:tcPr>
          <w:p w14:paraId="2A4A849A" w14:textId="062D9D88" w:rsidR="008373BB" w:rsidRDefault="008373BB" w:rsidP="001E71D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5 de marzo de 2019</w:t>
            </w:r>
          </w:p>
        </w:tc>
      </w:tr>
      <w:tr w:rsidR="001E71D5" w14:paraId="41A7E7E6" w14:textId="77777777" w:rsidTr="00E967F5">
        <w:trPr>
          <w:trHeight w:val="222"/>
        </w:trPr>
        <w:tc>
          <w:tcPr>
            <w:tcW w:w="2954" w:type="dxa"/>
            <w:tcBorders>
              <w:left w:val="single" w:sz="4" w:space="0" w:color="000000"/>
            </w:tcBorders>
            <w:shd w:val="clear" w:color="auto" w:fill="386294"/>
          </w:tcPr>
          <w:p w14:paraId="63A3DC5C" w14:textId="77777777" w:rsidR="001E71D5" w:rsidRPr="00AD64AA" w:rsidRDefault="001E71D5" w:rsidP="001E71D5">
            <w:pPr>
              <w:pStyle w:val="TableParagraph"/>
              <w:ind w:left="175" w:right="166"/>
              <w:jc w:val="center"/>
              <w:rPr>
                <w:b/>
                <w:bCs/>
                <w:sz w:val="19"/>
              </w:rPr>
            </w:pPr>
            <w:r w:rsidRPr="00AD64AA">
              <w:rPr>
                <w:b/>
                <w:bCs/>
                <w:color w:val="FFFFFF"/>
                <w:sz w:val="19"/>
              </w:rPr>
              <w:t>Primera respuesta del Estado</w:t>
            </w:r>
          </w:p>
        </w:tc>
        <w:tc>
          <w:tcPr>
            <w:tcW w:w="6569" w:type="dxa"/>
            <w:tcBorders>
              <w:right w:val="single" w:sz="4" w:space="0" w:color="000000"/>
            </w:tcBorders>
          </w:tcPr>
          <w:p w14:paraId="20499362" w14:textId="1F0113EB" w:rsidR="001E71D5" w:rsidRPr="005E59AB" w:rsidRDefault="008373BB" w:rsidP="001E71D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4 de noviembre de 2019</w:t>
            </w:r>
          </w:p>
        </w:tc>
      </w:tr>
      <w:tr w:rsidR="001E71D5" w:rsidRPr="005E59AB" w14:paraId="2D8E3796" w14:textId="77777777" w:rsidTr="00E967F5">
        <w:trPr>
          <w:trHeight w:val="222"/>
        </w:trPr>
        <w:tc>
          <w:tcPr>
            <w:tcW w:w="2954" w:type="dxa"/>
            <w:tcBorders>
              <w:left w:val="single" w:sz="4" w:space="0" w:color="000000"/>
            </w:tcBorders>
            <w:shd w:val="clear" w:color="auto" w:fill="386294"/>
          </w:tcPr>
          <w:p w14:paraId="65D5D43B" w14:textId="768C1BBC" w:rsidR="001E71D5" w:rsidRPr="00AD64AA" w:rsidRDefault="001E71D5" w:rsidP="001E71D5">
            <w:pPr>
              <w:pStyle w:val="TableParagraph"/>
              <w:ind w:left="175" w:right="166"/>
              <w:jc w:val="center"/>
              <w:rPr>
                <w:b/>
                <w:bCs/>
                <w:color w:val="FFFFFF"/>
                <w:sz w:val="19"/>
              </w:rPr>
            </w:pPr>
            <w:r w:rsidRPr="00AD64AA">
              <w:rPr>
                <w:b/>
                <w:bCs/>
                <w:color w:val="FFFFFF"/>
                <w:sz w:val="19"/>
              </w:rPr>
              <w:t>Información adicional de la parte peticionaria</w:t>
            </w:r>
          </w:p>
        </w:tc>
        <w:tc>
          <w:tcPr>
            <w:tcW w:w="6569" w:type="dxa"/>
            <w:tcBorders>
              <w:right w:val="single" w:sz="4" w:space="0" w:color="000000"/>
            </w:tcBorders>
          </w:tcPr>
          <w:p w14:paraId="573BD604" w14:textId="1604B210" w:rsidR="001E71D5" w:rsidRPr="005E59AB" w:rsidRDefault="008373BB" w:rsidP="001E71D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 de septiembre de 2018, 12 de febrero de 2020</w:t>
            </w:r>
          </w:p>
        </w:tc>
      </w:tr>
    </w:tbl>
    <w:p w14:paraId="3CBF9A68" w14:textId="77777777" w:rsidR="00C02C7F" w:rsidRDefault="001223F2" w:rsidP="00E967F5">
      <w:pPr>
        <w:pStyle w:val="ListParagraph"/>
        <w:numPr>
          <w:ilvl w:val="0"/>
          <w:numId w:val="3"/>
        </w:numPr>
        <w:spacing w:before="122"/>
        <w:ind w:firstLine="360"/>
        <w:rPr>
          <w:b/>
          <w:sz w:val="20"/>
        </w:rPr>
      </w:pPr>
      <w:r>
        <w:rPr>
          <w:b/>
          <w:sz w:val="20"/>
        </w:rPr>
        <w:t>COMPETENCIA</w:t>
      </w:r>
    </w:p>
    <w:p w14:paraId="1D935329" w14:textId="77777777" w:rsidR="00C02C7F" w:rsidRDefault="00C02C7F" w:rsidP="00E967F5">
      <w:pPr>
        <w:pStyle w:val="BodyText"/>
        <w:spacing w:before="3" w:after="1"/>
        <w:rPr>
          <w:b/>
          <w:sz w:val="10"/>
        </w:rPr>
      </w:pPr>
    </w:p>
    <w:tbl>
      <w:tblPr>
        <w:tblStyle w:val="TableNormal1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6563"/>
      </w:tblGrid>
      <w:tr w:rsidR="00C02C7F" w14:paraId="7BD6E492" w14:textId="77777777" w:rsidTr="00E967F5">
        <w:trPr>
          <w:trHeight w:val="222"/>
        </w:trPr>
        <w:tc>
          <w:tcPr>
            <w:tcW w:w="2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386294"/>
          </w:tcPr>
          <w:p w14:paraId="37EA1B65" w14:textId="77777777" w:rsidR="00C02C7F" w:rsidRPr="00AD64AA" w:rsidRDefault="001223F2" w:rsidP="00E967F5">
            <w:pPr>
              <w:pStyle w:val="TableParagraph"/>
              <w:ind w:left="669" w:right="660"/>
              <w:jc w:val="center"/>
              <w:rPr>
                <w:b/>
                <w:bCs/>
                <w:i/>
                <w:sz w:val="19"/>
              </w:rPr>
            </w:pPr>
            <w:proofErr w:type="spellStart"/>
            <w:r w:rsidRPr="00AD64AA">
              <w:rPr>
                <w:b/>
                <w:bCs/>
                <w:i/>
                <w:color w:val="FFFFFF"/>
                <w:sz w:val="19"/>
              </w:rPr>
              <w:t>Ratione</w:t>
            </w:r>
            <w:proofErr w:type="spellEnd"/>
            <w:r w:rsidRPr="00AD64AA">
              <w:rPr>
                <w:b/>
                <w:bCs/>
                <w:i/>
                <w:color w:val="FFFFFF"/>
                <w:sz w:val="19"/>
              </w:rPr>
              <w:t xml:space="preserve"> </w:t>
            </w:r>
            <w:proofErr w:type="spellStart"/>
            <w:r w:rsidRPr="00AD64AA">
              <w:rPr>
                <w:b/>
                <w:bCs/>
                <w:i/>
                <w:color w:val="FFFFFF"/>
                <w:sz w:val="19"/>
              </w:rPr>
              <w:t>personae</w:t>
            </w:r>
            <w:proofErr w:type="spellEnd"/>
          </w:p>
        </w:tc>
        <w:tc>
          <w:tcPr>
            <w:tcW w:w="6563" w:type="dxa"/>
            <w:tcBorders>
              <w:left w:val="single" w:sz="6" w:space="0" w:color="000000"/>
              <w:bottom w:val="single" w:sz="6" w:space="0" w:color="000000"/>
            </w:tcBorders>
          </w:tcPr>
          <w:p w14:paraId="2B29C0D1" w14:textId="77777777" w:rsidR="00C02C7F" w:rsidRDefault="001223F2" w:rsidP="00E967F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Sí</w:t>
            </w:r>
          </w:p>
        </w:tc>
      </w:tr>
      <w:tr w:rsidR="00C02C7F" w14:paraId="6F84A2C7" w14:textId="77777777" w:rsidTr="00E967F5">
        <w:trPr>
          <w:trHeight w:val="222"/>
        </w:trPr>
        <w:tc>
          <w:tcPr>
            <w:tcW w:w="2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86294"/>
          </w:tcPr>
          <w:p w14:paraId="7E0B9C49" w14:textId="77777777" w:rsidR="00C02C7F" w:rsidRPr="00AD64AA" w:rsidRDefault="001223F2" w:rsidP="00E967F5">
            <w:pPr>
              <w:pStyle w:val="TableParagraph"/>
              <w:ind w:left="669" w:right="659"/>
              <w:jc w:val="center"/>
              <w:rPr>
                <w:b/>
                <w:bCs/>
                <w:i/>
                <w:sz w:val="19"/>
              </w:rPr>
            </w:pPr>
            <w:proofErr w:type="spellStart"/>
            <w:r w:rsidRPr="00AD64AA">
              <w:rPr>
                <w:b/>
                <w:bCs/>
                <w:i/>
                <w:color w:val="FFFFFF"/>
                <w:sz w:val="19"/>
              </w:rPr>
              <w:t>Ratione</w:t>
            </w:r>
            <w:proofErr w:type="spellEnd"/>
            <w:r w:rsidRPr="00AD64AA">
              <w:rPr>
                <w:b/>
                <w:bCs/>
                <w:i/>
                <w:color w:val="FFFFFF"/>
                <w:sz w:val="19"/>
              </w:rPr>
              <w:t xml:space="preserve"> loci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77A86A" w14:textId="77777777" w:rsidR="00C02C7F" w:rsidRDefault="001223F2" w:rsidP="00E967F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Sí</w:t>
            </w:r>
          </w:p>
        </w:tc>
      </w:tr>
      <w:tr w:rsidR="00C02C7F" w14:paraId="78FEFE3D" w14:textId="77777777" w:rsidTr="00E967F5">
        <w:trPr>
          <w:trHeight w:val="222"/>
        </w:trPr>
        <w:tc>
          <w:tcPr>
            <w:tcW w:w="2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86294"/>
          </w:tcPr>
          <w:p w14:paraId="4E6595F1" w14:textId="77777777" w:rsidR="00C02C7F" w:rsidRPr="00AD64AA" w:rsidRDefault="001223F2" w:rsidP="00E967F5">
            <w:pPr>
              <w:pStyle w:val="TableParagraph"/>
              <w:ind w:left="669" w:right="659"/>
              <w:jc w:val="center"/>
              <w:rPr>
                <w:b/>
                <w:bCs/>
                <w:i/>
                <w:sz w:val="19"/>
              </w:rPr>
            </w:pPr>
            <w:proofErr w:type="spellStart"/>
            <w:r w:rsidRPr="00AD64AA">
              <w:rPr>
                <w:b/>
                <w:bCs/>
                <w:i/>
                <w:color w:val="FFFFFF"/>
                <w:sz w:val="19"/>
              </w:rPr>
              <w:t>Ratione</w:t>
            </w:r>
            <w:proofErr w:type="spellEnd"/>
            <w:r w:rsidRPr="00AD64AA">
              <w:rPr>
                <w:b/>
                <w:bCs/>
                <w:i/>
                <w:color w:val="FFFFFF"/>
                <w:sz w:val="19"/>
              </w:rPr>
              <w:t xml:space="preserve"> </w:t>
            </w:r>
            <w:proofErr w:type="spellStart"/>
            <w:r w:rsidRPr="00AD64AA">
              <w:rPr>
                <w:b/>
                <w:bCs/>
                <w:i/>
                <w:color w:val="FFFFFF"/>
                <w:sz w:val="19"/>
              </w:rPr>
              <w:t>temporis</w:t>
            </w:r>
            <w:proofErr w:type="spellEnd"/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361CE3" w14:textId="77777777" w:rsidR="00C02C7F" w:rsidRDefault="001223F2" w:rsidP="00E967F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Sí</w:t>
            </w:r>
          </w:p>
        </w:tc>
      </w:tr>
      <w:tr w:rsidR="00C02C7F" w14:paraId="099011DD" w14:textId="77777777" w:rsidTr="00E967F5">
        <w:trPr>
          <w:trHeight w:val="443"/>
        </w:trPr>
        <w:tc>
          <w:tcPr>
            <w:tcW w:w="2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86294"/>
          </w:tcPr>
          <w:p w14:paraId="696C58D4" w14:textId="77777777" w:rsidR="00C02C7F" w:rsidRPr="00AD64AA" w:rsidRDefault="001223F2" w:rsidP="00E967F5">
            <w:pPr>
              <w:pStyle w:val="TableParagraph"/>
              <w:spacing w:before="109" w:line="240" w:lineRule="auto"/>
              <w:ind w:left="667" w:right="660"/>
              <w:jc w:val="center"/>
              <w:rPr>
                <w:b/>
                <w:bCs/>
                <w:i/>
                <w:sz w:val="19"/>
              </w:rPr>
            </w:pPr>
            <w:proofErr w:type="spellStart"/>
            <w:r w:rsidRPr="00AD64AA">
              <w:rPr>
                <w:b/>
                <w:bCs/>
                <w:i/>
                <w:color w:val="FFFFFF"/>
                <w:sz w:val="19"/>
              </w:rPr>
              <w:t>Ratione</w:t>
            </w:r>
            <w:proofErr w:type="spellEnd"/>
            <w:r w:rsidRPr="00AD64AA">
              <w:rPr>
                <w:b/>
                <w:bCs/>
                <w:i/>
                <w:color w:val="FFFFFF"/>
                <w:sz w:val="19"/>
              </w:rPr>
              <w:t xml:space="preserve"> </w:t>
            </w:r>
            <w:proofErr w:type="spellStart"/>
            <w:r w:rsidRPr="00AD64AA">
              <w:rPr>
                <w:b/>
                <w:bCs/>
                <w:i/>
                <w:color w:val="FFFFFF"/>
                <w:sz w:val="19"/>
              </w:rPr>
              <w:t>materiae</w:t>
            </w:r>
            <w:proofErr w:type="spellEnd"/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</w:tcBorders>
          </w:tcPr>
          <w:p w14:paraId="0683CE5A" w14:textId="69F931A6" w:rsidR="00C02C7F" w:rsidRDefault="001223F2" w:rsidP="00E967F5">
            <w:pPr>
              <w:pStyle w:val="TableParagraph"/>
              <w:spacing w:line="220" w:lineRule="exact"/>
              <w:ind w:right="126"/>
              <w:jc w:val="both"/>
              <w:rPr>
                <w:sz w:val="19"/>
              </w:rPr>
            </w:pPr>
            <w:r>
              <w:rPr>
                <w:sz w:val="19"/>
              </w:rPr>
              <w:t xml:space="preserve">Sí, </w:t>
            </w:r>
            <w:r w:rsidR="001A3697" w:rsidRPr="001A3697">
              <w:rPr>
                <w:sz w:val="19"/>
              </w:rPr>
              <w:t>Declaración Americana (depósito del instrumento de ratificación de la Carta de la OEA realizado el 5 de junio de 1953);</w:t>
            </w:r>
            <w:r w:rsidR="001A3697">
              <w:rPr>
                <w:sz w:val="19"/>
              </w:rPr>
              <w:t xml:space="preserve"> </w:t>
            </w:r>
            <w:r w:rsidR="001A3697" w:rsidRPr="001A3697">
              <w:rPr>
                <w:sz w:val="19"/>
              </w:rPr>
              <w:t>Convención Americana (depósito de instrumento realizado el 21 de agosto de 1990), y Convención Interamericana para Prevenir y Sancionar la Tortura (depósito de instrumento realizado el 30 de septiembre de 1988)</w:t>
            </w:r>
          </w:p>
        </w:tc>
      </w:tr>
    </w:tbl>
    <w:p w14:paraId="770A037A" w14:textId="77777777" w:rsidR="00C02C7F" w:rsidRDefault="001223F2" w:rsidP="00E967F5">
      <w:pPr>
        <w:pStyle w:val="ListParagraph"/>
        <w:numPr>
          <w:ilvl w:val="0"/>
          <w:numId w:val="3"/>
        </w:numPr>
        <w:spacing w:before="122"/>
        <w:ind w:left="2160" w:right="242" w:hanging="681"/>
        <w:rPr>
          <w:b/>
          <w:sz w:val="20"/>
        </w:rPr>
      </w:pPr>
      <w:r>
        <w:rPr>
          <w:b/>
          <w:sz w:val="20"/>
        </w:rPr>
        <w:t>DUPLICACIÓN DE PROCEDIMIENTOS Y COSA JUZGADA INTERNACIONAL, CARACTERIZACIÓN, AGOTAMIENTO DE LOS RECURSOS INTERNOS Y PLAZO 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PRESENTACIÓN</w:t>
      </w:r>
    </w:p>
    <w:p w14:paraId="5634685D" w14:textId="77777777" w:rsidR="00C02C7F" w:rsidRDefault="00C02C7F" w:rsidP="00E967F5">
      <w:pPr>
        <w:pStyle w:val="BodyText"/>
        <w:spacing w:before="4"/>
        <w:rPr>
          <w:b/>
          <w:sz w:val="10"/>
        </w:rPr>
      </w:pPr>
    </w:p>
    <w:tbl>
      <w:tblPr>
        <w:tblStyle w:val="TableNormal1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6558"/>
      </w:tblGrid>
      <w:tr w:rsidR="00C02C7F" w14:paraId="68B4CAD7" w14:textId="77777777" w:rsidTr="00E967F5">
        <w:trPr>
          <w:trHeight w:val="443"/>
        </w:trPr>
        <w:tc>
          <w:tcPr>
            <w:tcW w:w="29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386294"/>
          </w:tcPr>
          <w:p w14:paraId="33949A2B" w14:textId="77777777" w:rsidR="00C02C7F" w:rsidRPr="00AD64AA" w:rsidRDefault="001223F2" w:rsidP="00E967F5">
            <w:pPr>
              <w:pStyle w:val="TableParagraph"/>
              <w:spacing w:line="220" w:lineRule="exact"/>
              <w:ind w:left="142" w:right="134"/>
              <w:jc w:val="center"/>
              <w:rPr>
                <w:b/>
                <w:bCs/>
                <w:sz w:val="19"/>
              </w:rPr>
            </w:pPr>
            <w:r w:rsidRPr="00AD64AA">
              <w:rPr>
                <w:b/>
                <w:bCs/>
                <w:color w:val="FFFFFF"/>
                <w:sz w:val="19"/>
              </w:rPr>
              <w:t>Duplicación y cosa juzgada</w:t>
            </w:r>
          </w:p>
          <w:p w14:paraId="66EB2A0D" w14:textId="77777777" w:rsidR="00C02C7F" w:rsidRPr="00AD64AA" w:rsidRDefault="001223F2" w:rsidP="00E967F5">
            <w:pPr>
              <w:pStyle w:val="TableParagraph"/>
              <w:ind w:left="146" w:right="131"/>
              <w:jc w:val="center"/>
              <w:rPr>
                <w:b/>
                <w:bCs/>
                <w:sz w:val="19"/>
              </w:rPr>
            </w:pPr>
            <w:r w:rsidRPr="00AD64AA">
              <w:rPr>
                <w:b/>
                <w:bCs/>
                <w:color w:val="FFFFFF"/>
                <w:sz w:val="19"/>
              </w:rPr>
              <w:t>internacional</w:t>
            </w:r>
          </w:p>
        </w:tc>
        <w:tc>
          <w:tcPr>
            <w:tcW w:w="6558" w:type="dxa"/>
            <w:tcBorders>
              <w:left w:val="single" w:sz="6" w:space="0" w:color="000000"/>
              <w:bottom w:val="single" w:sz="6" w:space="0" w:color="000000"/>
            </w:tcBorders>
          </w:tcPr>
          <w:p w14:paraId="66B92B08" w14:textId="77777777" w:rsidR="00C02C7F" w:rsidRDefault="001223F2" w:rsidP="00E967F5">
            <w:pPr>
              <w:pStyle w:val="TableParagraph"/>
              <w:spacing w:before="107" w:line="240" w:lineRule="auto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</w:tr>
      <w:tr w:rsidR="00C02C7F" w14:paraId="1357AF01" w14:textId="77777777" w:rsidTr="00E967F5">
        <w:trPr>
          <w:trHeight w:val="892"/>
        </w:trPr>
        <w:tc>
          <w:tcPr>
            <w:tcW w:w="2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86294"/>
          </w:tcPr>
          <w:p w14:paraId="7AD67A63" w14:textId="77777777" w:rsidR="00C02C7F" w:rsidRPr="00AD64AA" w:rsidRDefault="00C02C7F" w:rsidP="00E967F5">
            <w:pPr>
              <w:pStyle w:val="TableParagraph"/>
              <w:spacing w:before="11" w:line="240" w:lineRule="auto"/>
              <w:ind w:left="0"/>
              <w:rPr>
                <w:b/>
                <w:bCs/>
                <w:sz w:val="18"/>
              </w:rPr>
            </w:pPr>
          </w:p>
          <w:p w14:paraId="11221178" w14:textId="77777777" w:rsidR="00C02C7F" w:rsidRPr="00AD64AA" w:rsidRDefault="001223F2" w:rsidP="00E967F5">
            <w:pPr>
              <w:pStyle w:val="TableParagraph"/>
              <w:spacing w:line="240" w:lineRule="auto"/>
              <w:ind w:left="945" w:right="507" w:hanging="408"/>
              <w:rPr>
                <w:b/>
                <w:bCs/>
                <w:sz w:val="19"/>
              </w:rPr>
            </w:pPr>
            <w:r w:rsidRPr="00AD64AA">
              <w:rPr>
                <w:b/>
                <w:bCs/>
                <w:color w:val="FFFFFF"/>
                <w:sz w:val="19"/>
              </w:rPr>
              <w:t>Derechos declarados admisibles</w:t>
            </w:r>
          </w:p>
        </w:tc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54F17A" w14:textId="77777777" w:rsidR="00664365" w:rsidRPr="00664365" w:rsidRDefault="00664365" w:rsidP="00E967F5">
            <w:pPr>
              <w:pStyle w:val="TableParagraph"/>
              <w:spacing w:line="240" w:lineRule="auto"/>
              <w:ind w:left="108" w:right="136"/>
              <w:jc w:val="both"/>
              <w:rPr>
                <w:sz w:val="8"/>
                <w:szCs w:val="8"/>
              </w:rPr>
            </w:pPr>
          </w:p>
          <w:p w14:paraId="4B0B80C4" w14:textId="75FB98AB" w:rsidR="00664365" w:rsidRPr="00664365" w:rsidRDefault="00D67BD7" w:rsidP="00E967F5">
            <w:pPr>
              <w:pStyle w:val="TableParagraph"/>
              <w:spacing w:line="240" w:lineRule="auto"/>
              <w:ind w:left="108" w:right="136"/>
              <w:jc w:val="both"/>
              <w:rPr>
                <w:sz w:val="8"/>
                <w:szCs w:val="8"/>
              </w:rPr>
            </w:pPr>
            <w:r>
              <w:rPr>
                <w:sz w:val="19"/>
              </w:rPr>
              <w:t>A</w:t>
            </w:r>
            <w:r w:rsidRPr="00D67BD7">
              <w:rPr>
                <w:sz w:val="19"/>
              </w:rPr>
              <w:t>rtículos I (libertad e integridad), XVIII (justicia) y XXV (protección contra la detención arbitraria) de la Declaración Americana</w:t>
            </w:r>
            <w:r>
              <w:rPr>
                <w:sz w:val="19"/>
              </w:rPr>
              <w:t>;</w:t>
            </w:r>
            <w:r w:rsidRPr="00D67BD7">
              <w:rPr>
                <w:sz w:val="19"/>
              </w:rPr>
              <w:t xml:space="preserve"> artículos 5 (integridad personal), 8 (garantías judiciales) y 25 (protección judicial) de la Convención, en concordancia con los artículos 1.1 y 2 del mismo instrumento</w:t>
            </w:r>
            <w:r>
              <w:rPr>
                <w:sz w:val="19"/>
              </w:rPr>
              <w:t>;</w:t>
            </w:r>
            <w:r w:rsidRPr="00D67BD7">
              <w:rPr>
                <w:sz w:val="19"/>
              </w:rPr>
              <w:t xml:space="preserve"> artículos 1, 6 y 8 de la Convención Interamericana para Prevenir y Sancionar la Tortura</w:t>
            </w:r>
          </w:p>
        </w:tc>
      </w:tr>
      <w:tr w:rsidR="00C02C7F" w14:paraId="6D15123B" w14:textId="77777777" w:rsidTr="00E967F5">
        <w:trPr>
          <w:trHeight w:val="445"/>
        </w:trPr>
        <w:tc>
          <w:tcPr>
            <w:tcW w:w="2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86294"/>
          </w:tcPr>
          <w:p w14:paraId="25E17E00" w14:textId="77777777" w:rsidR="00C02C7F" w:rsidRPr="00AD64AA" w:rsidRDefault="001223F2" w:rsidP="00E967F5">
            <w:pPr>
              <w:pStyle w:val="TableParagraph"/>
              <w:spacing w:line="220" w:lineRule="exact"/>
              <w:ind w:left="145" w:right="134"/>
              <w:jc w:val="center"/>
              <w:rPr>
                <w:b/>
                <w:bCs/>
                <w:sz w:val="19"/>
              </w:rPr>
            </w:pPr>
            <w:r w:rsidRPr="00AD64AA">
              <w:rPr>
                <w:b/>
                <w:bCs/>
                <w:color w:val="FFFFFF"/>
                <w:sz w:val="19"/>
              </w:rPr>
              <w:t>Agotamiento de recursos o</w:t>
            </w:r>
          </w:p>
          <w:p w14:paraId="56AB8829" w14:textId="77777777" w:rsidR="00C02C7F" w:rsidRPr="00AD64AA" w:rsidRDefault="001223F2" w:rsidP="00E967F5">
            <w:pPr>
              <w:pStyle w:val="TableParagraph"/>
              <w:spacing w:line="206" w:lineRule="exact"/>
              <w:ind w:left="146" w:right="134"/>
              <w:jc w:val="center"/>
              <w:rPr>
                <w:b/>
                <w:bCs/>
                <w:sz w:val="19"/>
              </w:rPr>
            </w:pPr>
            <w:r w:rsidRPr="00AD64AA">
              <w:rPr>
                <w:b/>
                <w:bCs/>
                <w:color w:val="FFFFFF"/>
                <w:sz w:val="19"/>
              </w:rPr>
              <w:t>procedencia de una excepción</w:t>
            </w:r>
          </w:p>
        </w:tc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9375A6" w14:textId="0D39A374" w:rsidR="00C02C7F" w:rsidRDefault="00F05A65" w:rsidP="00E967F5">
            <w:pPr>
              <w:pStyle w:val="TableParagraph"/>
              <w:spacing w:before="109" w:line="240" w:lineRule="auto"/>
              <w:rPr>
                <w:sz w:val="19"/>
              </w:rPr>
            </w:pPr>
            <w:r>
              <w:rPr>
                <w:sz w:val="19"/>
              </w:rPr>
              <w:t xml:space="preserve">Sí, cf. razones </w:t>
            </w:r>
            <w:r w:rsidRPr="009C4491">
              <w:rPr>
                <w:i/>
                <w:iCs/>
                <w:sz w:val="19"/>
              </w:rPr>
              <w:t>infra</w:t>
            </w:r>
            <w:r>
              <w:rPr>
                <w:sz w:val="19"/>
              </w:rPr>
              <w:t>.</w:t>
            </w:r>
          </w:p>
        </w:tc>
      </w:tr>
      <w:tr w:rsidR="00C02C7F" w14:paraId="00883C9E" w14:textId="77777777" w:rsidTr="00E967F5">
        <w:trPr>
          <w:trHeight w:val="220"/>
        </w:trPr>
        <w:tc>
          <w:tcPr>
            <w:tcW w:w="2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86294"/>
          </w:tcPr>
          <w:p w14:paraId="5C6952B9" w14:textId="77777777" w:rsidR="00C02C7F" w:rsidRPr="00AD64AA" w:rsidRDefault="001223F2" w:rsidP="00E967F5">
            <w:pPr>
              <w:pStyle w:val="TableParagraph"/>
              <w:spacing w:line="200" w:lineRule="exact"/>
              <w:ind w:left="196"/>
              <w:rPr>
                <w:b/>
                <w:bCs/>
                <w:sz w:val="19"/>
              </w:rPr>
            </w:pPr>
            <w:r w:rsidRPr="00AD64AA">
              <w:rPr>
                <w:b/>
                <w:bCs/>
                <w:color w:val="FFFFFF"/>
                <w:sz w:val="19"/>
              </w:rPr>
              <w:t>Presentación dentro de plazo</w:t>
            </w:r>
          </w:p>
        </w:tc>
        <w:tc>
          <w:tcPr>
            <w:tcW w:w="6558" w:type="dxa"/>
            <w:tcBorders>
              <w:top w:val="single" w:sz="6" w:space="0" w:color="000000"/>
              <w:left w:val="single" w:sz="6" w:space="0" w:color="000000"/>
            </w:tcBorders>
          </w:tcPr>
          <w:p w14:paraId="4F97759F" w14:textId="40B2041C" w:rsidR="00C02C7F" w:rsidRDefault="009C4491" w:rsidP="00E967F5">
            <w:pPr>
              <w:pStyle w:val="TableParagraph"/>
              <w:spacing w:line="200" w:lineRule="exact"/>
              <w:rPr>
                <w:sz w:val="19"/>
              </w:rPr>
            </w:pPr>
            <w:r>
              <w:rPr>
                <w:sz w:val="19"/>
              </w:rPr>
              <w:t xml:space="preserve">Sí, cf. razones </w:t>
            </w:r>
            <w:r w:rsidRPr="009C4491">
              <w:rPr>
                <w:i/>
                <w:iCs/>
                <w:sz w:val="19"/>
              </w:rPr>
              <w:t>infra</w:t>
            </w:r>
            <w:r>
              <w:rPr>
                <w:sz w:val="19"/>
              </w:rPr>
              <w:t>.</w:t>
            </w:r>
          </w:p>
        </w:tc>
      </w:tr>
    </w:tbl>
    <w:p w14:paraId="3C2FA9D4" w14:textId="77777777" w:rsidR="00632BAA" w:rsidRDefault="00632BAA" w:rsidP="00632BAA">
      <w:pPr>
        <w:pStyle w:val="ListParagraph"/>
        <w:spacing w:before="0"/>
        <w:ind w:left="1440" w:firstLine="0"/>
        <w:rPr>
          <w:b/>
          <w:sz w:val="20"/>
          <w:szCs w:val="20"/>
        </w:rPr>
      </w:pPr>
    </w:p>
    <w:p w14:paraId="058A2370" w14:textId="5923598F" w:rsidR="00C02C7F" w:rsidRPr="00632BAA" w:rsidRDefault="001223F2" w:rsidP="00632BAA">
      <w:pPr>
        <w:pStyle w:val="ListParagraph"/>
        <w:numPr>
          <w:ilvl w:val="0"/>
          <w:numId w:val="3"/>
        </w:numPr>
        <w:spacing w:before="0"/>
        <w:ind w:left="810" w:firstLine="630"/>
        <w:rPr>
          <w:b/>
          <w:sz w:val="20"/>
          <w:szCs w:val="20"/>
        </w:rPr>
      </w:pPr>
      <w:r w:rsidRPr="00632BAA">
        <w:rPr>
          <w:b/>
          <w:sz w:val="20"/>
          <w:szCs w:val="20"/>
        </w:rPr>
        <w:t>RESUMEN DE LOS HECHOS ALEGADOS</w:t>
      </w:r>
    </w:p>
    <w:p w14:paraId="1E89C274" w14:textId="77777777" w:rsidR="00632BAA" w:rsidRDefault="00632BAA" w:rsidP="00632BAA">
      <w:pPr>
        <w:pStyle w:val="ListParagraph"/>
        <w:spacing w:before="0"/>
        <w:ind w:left="1440" w:right="280" w:firstLine="0"/>
        <w:rPr>
          <w:sz w:val="20"/>
          <w:szCs w:val="20"/>
        </w:rPr>
      </w:pPr>
      <w:bookmarkStart w:id="3" w:name="_Hlk90038434"/>
      <w:bookmarkEnd w:id="0"/>
    </w:p>
    <w:p w14:paraId="339EDD93" w14:textId="2AE15EB8" w:rsidR="007E7632" w:rsidRPr="00C2012F" w:rsidRDefault="00B47795" w:rsidP="00C6122E">
      <w:pPr>
        <w:pStyle w:val="ListParagraph"/>
        <w:numPr>
          <w:ilvl w:val="0"/>
          <w:numId w:val="2"/>
        </w:numPr>
        <w:spacing w:before="0"/>
        <w:ind w:left="720" w:right="280" w:firstLine="720"/>
        <w:rPr>
          <w:sz w:val="20"/>
          <w:szCs w:val="20"/>
        </w:rPr>
      </w:pPr>
      <w:r w:rsidRPr="00C2012F">
        <w:rPr>
          <w:sz w:val="20"/>
          <w:szCs w:val="20"/>
        </w:rPr>
        <w:t xml:space="preserve">Héctor Hernán Saldivia </w:t>
      </w:r>
      <w:proofErr w:type="spellStart"/>
      <w:r w:rsidRPr="00C2012F">
        <w:rPr>
          <w:sz w:val="20"/>
          <w:szCs w:val="20"/>
        </w:rPr>
        <w:t>Otei</w:t>
      </w:r>
      <w:proofErr w:type="spellEnd"/>
      <w:r w:rsidR="000802B2" w:rsidRPr="00C2012F">
        <w:rPr>
          <w:sz w:val="20"/>
          <w:szCs w:val="20"/>
        </w:rPr>
        <w:t xml:space="preserve"> (en adelante “</w:t>
      </w:r>
      <w:r w:rsidR="00C2012F" w:rsidRPr="00C2012F">
        <w:rPr>
          <w:sz w:val="20"/>
          <w:szCs w:val="20"/>
        </w:rPr>
        <w:t>el peticionario</w:t>
      </w:r>
      <w:r w:rsidR="000802B2" w:rsidRPr="00C2012F">
        <w:rPr>
          <w:sz w:val="20"/>
          <w:szCs w:val="20"/>
        </w:rPr>
        <w:t>”)</w:t>
      </w:r>
      <w:r w:rsidR="00C2012F" w:rsidRPr="00C2012F">
        <w:rPr>
          <w:sz w:val="20"/>
          <w:szCs w:val="20"/>
        </w:rPr>
        <w:t xml:space="preserve"> denuncia que fue ilegalmente detenido y torturado durante</w:t>
      </w:r>
      <w:r w:rsidR="00C2012F">
        <w:rPr>
          <w:sz w:val="20"/>
          <w:szCs w:val="20"/>
        </w:rPr>
        <w:t xml:space="preserve"> la dictadura</w:t>
      </w:r>
      <w:r w:rsidR="00C2012F" w:rsidRPr="00C2012F">
        <w:rPr>
          <w:sz w:val="20"/>
          <w:szCs w:val="20"/>
        </w:rPr>
        <w:t xml:space="preserve"> militar del General Pinochet</w:t>
      </w:r>
      <w:r w:rsidRPr="00C2012F">
        <w:rPr>
          <w:sz w:val="20"/>
          <w:szCs w:val="20"/>
        </w:rPr>
        <w:t xml:space="preserve">, </w:t>
      </w:r>
      <w:r w:rsidR="000802B2" w:rsidRPr="00C2012F">
        <w:rPr>
          <w:sz w:val="20"/>
          <w:szCs w:val="20"/>
        </w:rPr>
        <w:t xml:space="preserve">así como </w:t>
      </w:r>
      <w:r w:rsidRPr="00C2012F">
        <w:rPr>
          <w:sz w:val="20"/>
          <w:szCs w:val="20"/>
        </w:rPr>
        <w:t>la falta de debida investigación y reparación de estos hechos y las secuelas que ha sufrido</w:t>
      </w:r>
      <w:r w:rsidR="00F42355" w:rsidRPr="00C2012F">
        <w:rPr>
          <w:sz w:val="20"/>
          <w:szCs w:val="20"/>
        </w:rPr>
        <w:t xml:space="preserve"> que incluyen daños económicos y laborales.</w:t>
      </w:r>
      <w:r w:rsidRPr="00C2012F">
        <w:rPr>
          <w:sz w:val="20"/>
          <w:szCs w:val="20"/>
        </w:rPr>
        <w:t xml:space="preserve"> </w:t>
      </w:r>
      <w:r w:rsidR="00C2012F" w:rsidRPr="00C2012F">
        <w:rPr>
          <w:sz w:val="20"/>
          <w:szCs w:val="20"/>
        </w:rPr>
        <w:t>I</w:t>
      </w:r>
      <w:r w:rsidR="000802B2" w:rsidRPr="00C2012F">
        <w:rPr>
          <w:sz w:val="20"/>
          <w:szCs w:val="20"/>
        </w:rPr>
        <w:t>ndica que</w:t>
      </w:r>
      <w:r w:rsidR="00F42355" w:rsidRPr="00C2012F">
        <w:rPr>
          <w:sz w:val="20"/>
          <w:szCs w:val="20"/>
        </w:rPr>
        <w:t xml:space="preserve"> </w:t>
      </w:r>
      <w:r w:rsidR="00926AA5" w:rsidRPr="00C2012F">
        <w:rPr>
          <w:sz w:val="20"/>
          <w:szCs w:val="20"/>
        </w:rPr>
        <w:t>el 28 de septiembre de 1973</w:t>
      </w:r>
      <w:r w:rsidR="001B6F60" w:rsidRPr="00C2012F">
        <w:rPr>
          <w:sz w:val="20"/>
          <w:szCs w:val="20"/>
        </w:rPr>
        <w:t xml:space="preserve">, </w:t>
      </w:r>
      <w:r w:rsidR="00C2012F">
        <w:rPr>
          <w:sz w:val="20"/>
          <w:szCs w:val="20"/>
        </w:rPr>
        <w:t xml:space="preserve">cuando tenía </w:t>
      </w:r>
      <w:r w:rsidR="001B6F60" w:rsidRPr="00C2012F">
        <w:rPr>
          <w:sz w:val="20"/>
          <w:szCs w:val="20"/>
        </w:rPr>
        <w:t xml:space="preserve">30 </w:t>
      </w:r>
      <w:r w:rsidR="000802B2" w:rsidRPr="00C2012F">
        <w:rPr>
          <w:sz w:val="20"/>
          <w:szCs w:val="20"/>
        </w:rPr>
        <w:t>años</w:t>
      </w:r>
      <w:r w:rsidR="001B6F60" w:rsidRPr="00C2012F">
        <w:rPr>
          <w:sz w:val="20"/>
          <w:szCs w:val="20"/>
        </w:rPr>
        <w:t>,</w:t>
      </w:r>
      <w:r w:rsidR="00926AA5" w:rsidRPr="00C2012F">
        <w:rPr>
          <w:sz w:val="20"/>
          <w:szCs w:val="20"/>
        </w:rPr>
        <w:t xml:space="preserve"> fue detenid</w:t>
      </w:r>
      <w:r w:rsidR="00C2012F">
        <w:rPr>
          <w:sz w:val="20"/>
          <w:szCs w:val="20"/>
        </w:rPr>
        <w:t>o</w:t>
      </w:r>
      <w:r w:rsidR="00926AA5" w:rsidRPr="00C2012F">
        <w:rPr>
          <w:sz w:val="20"/>
          <w:szCs w:val="20"/>
        </w:rPr>
        <w:t xml:space="preserve"> en su lugar de trabajo por militares y llevado al Estadio Nacional en calidad de prisionero político, donde</w:t>
      </w:r>
      <w:r w:rsidR="00BD68A8" w:rsidRPr="00C2012F">
        <w:rPr>
          <w:sz w:val="20"/>
          <w:szCs w:val="20"/>
        </w:rPr>
        <w:t xml:space="preserve"> permaneció detenido hasta el 12 de octubre de 1973. </w:t>
      </w:r>
      <w:r w:rsidR="000802B2" w:rsidRPr="00C2012F">
        <w:rPr>
          <w:sz w:val="20"/>
          <w:szCs w:val="20"/>
        </w:rPr>
        <w:t xml:space="preserve">Señala que durante </w:t>
      </w:r>
      <w:r w:rsidR="00BD68A8" w:rsidRPr="00C2012F">
        <w:rPr>
          <w:sz w:val="20"/>
          <w:szCs w:val="20"/>
        </w:rPr>
        <w:t>dicho período</w:t>
      </w:r>
      <w:r w:rsidR="00926AA5" w:rsidRPr="00C2012F">
        <w:rPr>
          <w:sz w:val="20"/>
          <w:szCs w:val="20"/>
        </w:rPr>
        <w:t xml:space="preserve"> fue sometido a agresiones, amenazas y tortura </w:t>
      </w:r>
      <w:r w:rsidR="007E7632" w:rsidRPr="00C2012F">
        <w:rPr>
          <w:sz w:val="20"/>
          <w:szCs w:val="20"/>
        </w:rPr>
        <w:t>para que diera información sobre su supuesta participación en un grupo armado de resistencia a</w:t>
      </w:r>
      <w:r w:rsidR="00C2012F">
        <w:rPr>
          <w:sz w:val="20"/>
          <w:szCs w:val="20"/>
        </w:rPr>
        <w:t xml:space="preserve"> </w:t>
      </w:r>
      <w:r w:rsidR="007E7632" w:rsidRPr="00C2012F">
        <w:rPr>
          <w:sz w:val="20"/>
          <w:szCs w:val="20"/>
        </w:rPr>
        <w:t>l</w:t>
      </w:r>
      <w:r w:rsidR="00C2012F">
        <w:rPr>
          <w:sz w:val="20"/>
          <w:szCs w:val="20"/>
        </w:rPr>
        <w:t>a dictadura</w:t>
      </w:r>
      <w:r w:rsidR="000802B2" w:rsidRPr="00C2012F">
        <w:rPr>
          <w:sz w:val="20"/>
          <w:szCs w:val="20"/>
        </w:rPr>
        <w:t xml:space="preserve"> militar</w:t>
      </w:r>
      <w:r w:rsidR="007E7632" w:rsidRPr="00C2012F">
        <w:rPr>
          <w:sz w:val="20"/>
          <w:szCs w:val="20"/>
        </w:rPr>
        <w:t>.</w:t>
      </w:r>
      <w:r w:rsidR="00BD68A8" w:rsidRPr="00C2012F">
        <w:rPr>
          <w:sz w:val="20"/>
          <w:szCs w:val="20"/>
        </w:rPr>
        <w:t xml:space="preserve"> </w:t>
      </w:r>
    </w:p>
    <w:p w14:paraId="50EA12D9" w14:textId="01060FE2" w:rsidR="000802B2" w:rsidRDefault="000802B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0EB0494" w14:textId="77777777" w:rsidR="002B106A" w:rsidRDefault="002B106A">
      <w:pPr>
        <w:rPr>
          <w:sz w:val="20"/>
          <w:szCs w:val="20"/>
        </w:rPr>
      </w:pPr>
    </w:p>
    <w:p w14:paraId="41D309AF" w14:textId="336CA63C" w:rsidR="00BD68A8" w:rsidRDefault="00BD68A8" w:rsidP="00632BAA">
      <w:pPr>
        <w:pStyle w:val="ListParagraph"/>
        <w:numPr>
          <w:ilvl w:val="0"/>
          <w:numId w:val="2"/>
        </w:numPr>
        <w:spacing w:before="0"/>
        <w:ind w:left="720" w:right="280" w:firstLine="720"/>
        <w:rPr>
          <w:sz w:val="20"/>
          <w:szCs w:val="20"/>
        </w:rPr>
      </w:pPr>
      <w:r w:rsidRPr="00632BAA">
        <w:rPr>
          <w:sz w:val="20"/>
          <w:szCs w:val="20"/>
        </w:rPr>
        <w:t xml:space="preserve">Luego de su liberación el 12 de octubre de 1973, </w:t>
      </w:r>
      <w:r w:rsidR="00C2012F">
        <w:rPr>
          <w:sz w:val="20"/>
          <w:szCs w:val="20"/>
        </w:rPr>
        <w:t>el peticionario</w:t>
      </w:r>
      <w:r w:rsidRPr="00632BAA">
        <w:rPr>
          <w:sz w:val="20"/>
          <w:szCs w:val="20"/>
        </w:rPr>
        <w:t xml:space="preserve"> fue despedid</w:t>
      </w:r>
      <w:r w:rsidR="000802B2">
        <w:rPr>
          <w:sz w:val="20"/>
          <w:szCs w:val="20"/>
        </w:rPr>
        <w:t>a</w:t>
      </w:r>
      <w:r w:rsidRPr="00632BAA">
        <w:rPr>
          <w:sz w:val="20"/>
          <w:szCs w:val="20"/>
        </w:rPr>
        <w:t xml:space="preserve"> de la </w:t>
      </w:r>
      <w:r w:rsidR="00C2012F">
        <w:rPr>
          <w:sz w:val="20"/>
          <w:szCs w:val="20"/>
        </w:rPr>
        <w:t>i</w:t>
      </w:r>
      <w:r w:rsidRPr="00632BAA">
        <w:rPr>
          <w:sz w:val="20"/>
          <w:szCs w:val="20"/>
        </w:rPr>
        <w:t xml:space="preserve">nstitución donde trabajaba. </w:t>
      </w:r>
      <w:r w:rsidR="00C2012F">
        <w:rPr>
          <w:sz w:val="20"/>
          <w:szCs w:val="20"/>
        </w:rPr>
        <w:t>Relata que, durante</w:t>
      </w:r>
      <w:r w:rsidRPr="00632BAA">
        <w:rPr>
          <w:sz w:val="20"/>
          <w:szCs w:val="20"/>
        </w:rPr>
        <w:t xml:space="preserve"> los siguientes</w:t>
      </w:r>
      <w:r w:rsidR="00C2012F" w:rsidRPr="00C2012F">
        <w:rPr>
          <w:sz w:val="20"/>
          <w:szCs w:val="20"/>
        </w:rPr>
        <w:t xml:space="preserve"> </w:t>
      </w:r>
      <w:r w:rsidR="00C2012F" w:rsidRPr="00632BAA">
        <w:rPr>
          <w:sz w:val="20"/>
          <w:szCs w:val="20"/>
        </w:rPr>
        <w:t>ocho años</w:t>
      </w:r>
      <w:r w:rsidRPr="00632BAA">
        <w:rPr>
          <w:sz w:val="20"/>
          <w:szCs w:val="20"/>
        </w:rPr>
        <w:t xml:space="preserve">, postuló a empleos en la administración pública para ejercer su profesión de administrador público; sin embargo, sufrió rechazos de manera sistemática por razones de carácter político, como parte de la persecución que sufrió de la dictadura </w:t>
      </w:r>
      <w:r w:rsidR="00C2012F">
        <w:rPr>
          <w:sz w:val="20"/>
          <w:szCs w:val="20"/>
        </w:rPr>
        <w:t>militar</w:t>
      </w:r>
      <w:r w:rsidRPr="00632BAA">
        <w:rPr>
          <w:sz w:val="20"/>
          <w:szCs w:val="20"/>
        </w:rPr>
        <w:t>. Como consecuencia, tuvo que abandonar la ciudad de Santiago, donde vivía; para sobrevivir, volvió a su ciudad natal en la isla de Chiloé, donde se dedicó a</w:t>
      </w:r>
      <w:r w:rsidR="00C2012F">
        <w:rPr>
          <w:sz w:val="20"/>
          <w:szCs w:val="20"/>
        </w:rPr>
        <w:t xml:space="preserve"> </w:t>
      </w:r>
      <w:r w:rsidRPr="00632BAA">
        <w:rPr>
          <w:sz w:val="20"/>
          <w:szCs w:val="20"/>
        </w:rPr>
        <w:t>l</w:t>
      </w:r>
      <w:r w:rsidR="00C2012F">
        <w:rPr>
          <w:sz w:val="20"/>
          <w:szCs w:val="20"/>
        </w:rPr>
        <w:t>a</w:t>
      </w:r>
      <w:r w:rsidRPr="00632BAA">
        <w:rPr>
          <w:sz w:val="20"/>
          <w:szCs w:val="20"/>
        </w:rPr>
        <w:t xml:space="preserve"> pesca artesanal.</w:t>
      </w:r>
    </w:p>
    <w:p w14:paraId="7BA50048" w14:textId="77777777" w:rsidR="00632BAA" w:rsidRPr="00632BAA" w:rsidRDefault="00632BAA" w:rsidP="00632BAA">
      <w:pPr>
        <w:ind w:right="280"/>
        <w:rPr>
          <w:sz w:val="20"/>
          <w:szCs w:val="20"/>
        </w:rPr>
      </w:pPr>
    </w:p>
    <w:p w14:paraId="552C14B2" w14:textId="344178DE" w:rsidR="000C372A" w:rsidRPr="00632BAA" w:rsidRDefault="00C2012F" w:rsidP="00632BAA">
      <w:pPr>
        <w:pStyle w:val="ListParagraph"/>
        <w:numPr>
          <w:ilvl w:val="0"/>
          <w:numId w:val="2"/>
        </w:numPr>
        <w:spacing w:before="0"/>
        <w:ind w:left="720" w:right="280" w:firstLine="720"/>
        <w:rPr>
          <w:sz w:val="20"/>
          <w:szCs w:val="20"/>
        </w:rPr>
      </w:pPr>
      <w:r>
        <w:rPr>
          <w:sz w:val="20"/>
          <w:szCs w:val="20"/>
        </w:rPr>
        <w:t>El peticionario</w:t>
      </w:r>
      <w:r w:rsidR="000C372A" w:rsidRPr="00632B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alega que </w:t>
      </w:r>
      <w:r w:rsidR="000C372A" w:rsidRPr="00632BAA">
        <w:rPr>
          <w:sz w:val="20"/>
          <w:szCs w:val="20"/>
        </w:rPr>
        <w:t xml:space="preserve">no recibió la indemnización por término de contrato (desahucio) a que tenía derecho en su calidad de </w:t>
      </w:r>
      <w:r w:rsidR="009861D1" w:rsidRPr="00632BAA">
        <w:rPr>
          <w:sz w:val="20"/>
          <w:szCs w:val="20"/>
        </w:rPr>
        <w:t>exempleado</w:t>
      </w:r>
      <w:r w:rsidR="000C372A" w:rsidRPr="00632BAA">
        <w:rPr>
          <w:sz w:val="20"/>
          <w:szCs w:val="20"/>
        </w:rPr>
        <w:t xml:space="preserve"> </w:t>
      </w:r>
      <w:r w:rsidR="009861D1">
        <w:rPr>
          <w:sz w:val="20"/>
          <w:szCs w:val="20"/>
        </w:rPr>
        <w:t>p</w:t>
      </w:r>
      <w:r w:rsidR="000C372A" w:rsidRPr="00632BAA">
        <w:rPr>
          <w:sz w:val="20"/>
          <w:szCs w:val="20"/>
        </w:rPr>
        <w:t xml:space="preserve">úblico. </w:t>
      </w:r>
      <w:r w:rsidR="009861D1">
        <w:rPr>
          <w:sz w:val="20"/>
          <w:szCs w:val="20"/>
        </w:rPr>
        <w:t>En</w:t>
      </w:r>
      <w:r w:rsidR="000C372A" w:rsidRPr="00632BAA">
        <w:rPr>
          <w:sz w:val="20"/>
          <w:szCs w:val="20"/>
        </w:rPr>
        <w:t xml:space="preserve"> cuanto a sus derechos de seguridad social, indica que </w:t>
      </w:r>
      <w:r w:rsidR="009861D1">
        <w:rPr>
          <w:sz w:val="20"/>
          <w:szCs w:val="20"/>
        </w:rPr>
        <w:t xml:space="preserve">ha </w:t>
      </w:r>
      <w:r w:rsidR="000C372A" w:rsidRPr="00632BAA">
        <w:rPr>
          <w:sz w:val="20"/>
          <w:szCs w:val="20"/>
        </w:rPr>
        <w:t>sufrido daños derivados del prolongado periodo sin pagar cotizaciones previsionales, ocasionado por su cesantía por razones de discriminación política</w:t>
      </w:r>
      <w:r w:rsidR="00955EF1">
        <w:rPr>
          <w:sz w:val="20"/>
          <w:szCs w:val="20"/>
        </w:rPr>
        <w:t>.</w:t>
      </w:r>
      <w:r w:rsidR="000C372A" w:rsidRPr="00632BAA">
        <w:rPr>
          <w:sz w:val="20"/>
          <w:szCs w:val="20"/>
        </w:rPr>
        <w:t xml:space="preserve"> </w:t>
      </w:r>
      <w:r w:rsidR="00955EF1">
        <w:rPr>
          <w:sz w:val="20"/>
          <w:szCs w:val="20"/>
        </w:rPr>
        <w:t xml:space="preserve">Alega asimismo que </w:t>
      </w:r>
      <w:r w:rsidR="000C372A" w:rsidRPr="00632BAA">
        <w:rPr>
          <w:sz w:val="20"/>
          <w:szCs w:val="20"/>
        </w:rPr>
        <w:t xml:space="preserve">la </w:t>
      </w:r>
      <w:r w:rsidR="00BD1E48">
        <w:rPr>
          <w:sz w:val="20"/>
          <w:szCs w:val="20"/>
        </w:rPr>
        <w:t>d</w:t>
      </w:r>
      <w:r w:rsidR="000C372A" w:rsidRPr="00632BAA">
        <w:rPr>
          <w:sz w:val="20"/>
          <w:szCs w:val="20"/>
        </w:rPr>
        <w:t xml:space="preserve">ictadura </w:t>
      </w:r>
      <w:r w:rsidR="00BD1E48">
        <w:rPr>
          <w:sz w:val="20"/>
          <w:szCs w:val="20"/>
        </w:rPr>
        <w:t>m</w:t>
      </w:r>
      <w:r w:rsidR="000C372A" w:rsidRPr="00632BAA">
        <w:rPr>
          <w:sz w:val="20"/>
          <w:szCs w:val="20"/>
        </w:rPr>
        <w:t xml:space="preserve">ilitar </w:t>
      </w:r>
      <w:r w:rsidR="00BD1E48">
        <w:rPr>
          <w:sz w:val="20"/>
          <w:szCs w:val="20"/>
        </w:rPr>
        <w:t xml:space="preserve">impuso </w:t>
      </w:r>
      <w:r w:rsidR="000C372A" w:rsidRPr="00632BAA">
        <w:rPr>
          <w:sz w:val="20"/>
          <w:szCs w:val="20"/>
        </w:rPr>
        <w:t xml:space="preserve">en 1981 un sistema privado e individual de </w:t>
      </w:r>
      <w:r w:rsidR="00BD1E48">
        <w:rPr>
          <w:sz w:val="20"/>
          <w:szCs w:val="20"/>
        </w:rPr>
        <w:t>administración de</w:t>
      </w:r>
      <w:r w:rsidR="00BD1E48" w:rsidRPr="00BD1E48">
        <w:rPr>
          <w:sz w:val="20"/>
          <w:szCs w:val="20"/>
        </w:rPr>
        <w:t xml:space="preserve"> fondos de pensiones </w:t>
      </w:r>
      <w:r w:rsidR="00BD1E48">
        <w:rPr>
          <w:sz w:val="20"/>
          <w:szCs w:val="20"/>
        </w:rPr>
        <w:t>(</w:t>
      </w:r>
      <w:r w:rsidR="000C372A" w:rsidRPr="00632BAA">
        <w:rPr>
          <w:sz w:val="20"/>
          <w:szCs w:val="20"/>
        </w:rPr>
        <w:t>AFP) que eliminó y reemplazó al antiguo sistema de reparto</w:t>
      </w:r>
      <w:r w:rsidR="00BD1E48">
        <w:rPr>
          <w:sz w:val="20"/>
          <w:szCs w:val="20"/>
        </w:rPr>
        <w:t>”;</w:t>
      </w:r>
      <w:r w:rsidR="000C372A" w:rsidRPr="00632BAA">
        <w:rPr>
          <w:sz w:val="20"/>
          <w:szCs w:val="20"/>
        </w:rPr>
        <w:t xml:space="preserve"> </w:t>
      </w:r>
      <w:r w:rsidR="00BD1E48">
        <w:rPr>
          <w:sz w:val="20"/>
          <w:szCs w:val="20"/>
        </w:rPr>
        <w:t xml:space="preserve">y que toda persona que </w:t>
      </w:r>
      <w:r w:rsidR="00BD1E48" w:rsidRPr="00632BAA">
        <w:rPr>
          <w:sz w:val="20"/>
          <w:szCs w:val="20"/>
        </w:rPr>
        <w:t xml:space="preserve">pretendía obtener un nuevo empleo </w:t>
      </w:r>
      <w:r w:rsidR="00BD1E48">
        <w:rPr>
          <w:sz w:val="20"/>
          <w:szCs w:val="20"/>
        </w:rPr>
        <w:t xml:space="preserve">fue </w:t>
      </w:r>
      <w:r w:rsidR="000C372A" w:rsidRPr="00632BAA">
        <w:rPr>
          <w:sz w:val="20"/>
          <w:szCs w:val="20"/>
        </w:rPr>
        <w:t>obligad</w:t>
      </w:r>
      <w:r w:rsidR="00BD1E48">
        <w:rPr>
          <w:sz w:val="20"/>
          <w:szCs w:val="20"/>
        </w:rPr>
        <w:t>a</w:t>
      </w:r>
      <w:r w:rsidR="000C372A" w:rsidRPr="00632BAA">
        <w:rPr>
          <w:sz w:val="20"/>
          <w:szCs w:val="20"/>
        </w:rPr>
        <w:t xml:space="preserve"> a </w:t>
      </w:r>
      <w:r w:rsidR="00BD1E48">
        <w:rPr>
          <w:sz w:val="20"/>
          <w:szCs w:val="20"/>
        </w:rPr>
        <w:t>adherirse a él</w:t>
      </w:r>
      <w:r w:rsidR="000C372A" w:rsidRPr="00632BAA">
        <w:rPr>
          <w:sz w:val="20"/>
          <w:szCs w:val="20"/>
        </w:rPr>
        <w:t>. En e</w:t>
      </w:r>
      <w:r w:rsidR="00BD1E48">
        <w:rPr>
          <w:sz w:val="20"/>
          <w:szCs w:val="20"/>
        </w:rPr>
        <w:t>l</w:t>
      </w:r>
      <w:r w:rsidR="000C372A" w:rsidRPr="00632BAA">
        <w:rPr>
          <w:sz w:val="20"/>
          <w:szCs w:val="20"/>
        </w:rPr>
        <w:t xml:space="preserve"> nuevo sistema</w:t>
      </w:r>
      <w:r w:rsidR="00BD1E48" w:rsidRPr="00BD1E48">
        <w:rPr>
          <w:sz w:val="20"/>
          <w:szCs w:val="20"/>
        </w:rPr>
        <w:t xml:space="preserve"> </w:t>
      </w:r>
      <w:r w:rsidR="00BD1E48" w:rsidRPr="00632BAA">
        <w:rPr>
          <w:sz w:val="20"/>
          <w:szCs w:val="20"/>
        </w:rPr>
        <w:t>se otorgó un bono de reconocimiento</w:t>
      </w:r>
      <w:r w:rsidR="00BD1E48" w:rsidRPr="00BD1E48">
        <w:rPr>
          <w:sz w:val="20"/>
          <w:szCs w:val="20"/>
        </w:rPr>
        <w:t xml:space="preserve"> </w:t>
      </w:r>
      <w:r w:rsidR="00BD1E48">
        <w:rPr>
          <w:sz w:val="20"/>
          <w:szCs w:val="20"/>
        </w:rPr>
        <w:t xml:space="preserve">a </w:t>
      </w:r>
      <w:r w:rsidR="00BD1E48" w:rsidRPr="00632BAA">
        <w:rPr>
          <w:sz w:val="20"/>
          <w:szCs w:val="20"/>
        </w:rPr>
        <w:t>los trabajadores</w:t>
      </w:r>
      <w:r w:rsidR="000C372A" w:rsidRPr="00632BAA">
        <w:rPr>
          <w:sz w:val="20"/>
          <w:szCs w:val="20"/>
        </w:rPr>
        <w:t xml:space="preserve"> por las cotizaciones que mantenían en las antiguas </w:t>
      </w:r>
      <w:r w:rsidR="00BD1E48">
        <w:rPr>
          <w:sz w:val="20"/>
          <w:szCs w:val="20"/>
        </w:rPr>
        <w:t>c</w:t>
      </w:r>
      <w:r w:rsidR="000C372A" w:rsidRPr="00632BAA">
        <w:rPr>
          <w:sz w:val="20"/>
          <w:szCs w:val="20"/>
        </w:rPr>
        <w:t xml:space="preserve">ajas de </w:t>
      </w:r>
      <w:r w:rsidR="00BD1E48">
        <w:rPr>
          <w:sz w:val="20"/>
          <w:szCs w:val="20"/>
        </w:rPr>
        <w:t>p</w:t>
      </w:r>
      <w:r w:rsidR="000C372A" w:rsidRPr="00632BAA">
        <w:rPr>
          <w:sz w:val="20"/>
          <w:szCs w:val="20"/>
        </w:rPr>
        <w:t>revisión</w:t>
      </w:r>
      <w:r w:rsidR="00BD1E48">
        <w:rPr>
          <w:sz w:val="20"/>
          <w:szCs w:val="20"/>
        </w:rPr>
        <w:t>.</w:t>
      </w:r>
      <w:r w:rsidR="000C372A" w:rsidRPr="00632BAA">
        <w:rPr>
          <w:sz w:val="20"/>
          <w:szCs w:val="20"/>
        </w:rPr>
        <w:t xml:space="preserve"> </w:t>
      </w:r>
      <w:r w:rsidR="00BD1E48">
        <w:rPr>
          <w:sz w:val="20"/>
          <w:szCs w:val="20"/>
        </w:rPr>
        <w:t>De esta manera</w:t>
      </w:r>
      <w:r w:rsidR="000C372A" w:rsidRPr="00632BAA">
        <w:rPr>
          <w:sz w:val="20"/>
          <w:szCs w:val="20"/>
        </w:rPr>
        <w:t xml:space="preserve">, </w:t>
      </w:r>
      <w:r w:rsidR="00BD1E48">
        <w:rPr>
          <w:sz w:val="20"/>
          <w:szCs w:val="20"/>
        </w:rPr>
        <w:t xml:space="preserve">se </w:t>
      </w:r>
      <w:r w:rsidR="000C372A" w:rsidRPr="00632BAA">
        <w:rPr>
          <w:sz w:val="20"/>
          <w:szCs w:val="20"/>
        </w:rPr>
        <w:t>tradu</w:t>
      </w:r>
      <w:r w:rsidR="00BD1E48">
        <w:rPr>
          <w:sz w:val="20"/>
          <w:szCs w:val="20"/>
        </w:rPr>
        <w:t xml:space="preserve">jeron </w:t>
      </w:r>
      <w:r w:rsidR="000C372A" w:rsidRPr="00632BAA">
        <w:rPr>
          <w:sz w:val="20"/>
          <w:szCs w:val="20"/>
        </w:rPr>
        <w:t>los años de cotizaciones a un equivalente en dinero</w:t>
      </w:r>
      <w:r w:rsidR="00BD1E48">
        <w:rPr>
          <w:sz w:val="20"/>
          <w:szCs w:val="20"/>
        </w:rPr>
        <w:t xml:space="preserve"> que tomó </w:t>
      </w:r>
      <w:r w:rsidR="000C372A" w:rsidRPr="00632BAA">
        <w:rPr>
          <w:sz w:val="20"/>
          <w:szCs w:val="20"/>
        </w:rPr>
        <w:t>como base los sueldos</w:t>
      </w:r>
      <w:r w:rsidR="00D6321C">
        <w:rPr>
          <w:sz w:val="20"/>
          <w:szCs w:val="20"/>
        </w:rPr>
        <w:t>;</w:t>
      </w:r>
      <w:r w:rsidR="000C372A" w:rsidRPr="00632BAA">
        <w:rPr>
          <w:sz w:val="20"/>
          <w:szCs w:val="20"/>
        </w:rPr>
        <w:t xml:space="preserve"> en el caso </w:t>
      </w:r>
      <w:r w:rsidR="00D6321C">
        <w:rPr>
          <w:sz w:val="20"/>
          <w:szCs w:val="20"/>
        </w:rPr>
        <w:t>de</w:t>
      </w:r>
      <w:r w:rsidR="000C372A" w:rsidRPr="00632BAA">
        <w:rPr>
          <w:sz w:val="20"/>
          <w:szCs w:val="20"/>
        </w:rPr>
        <w:t xml:space="preserve">l </w:t>
      </w:r>
      <w:r w:rsidR="00D6321C">
        <w:rPr>
          <w:sz w:val="20"/>
          <w:szCs w:val="20"/>
        </w:rPr>
        <w:t>peticionario</w:t>
      </w:r>
      <w:r w:rsidR="000C372A" w:rsidRPr="00632BAA">
        <w:rPr>
          <w:sz w:val="20"/>
          <w:szCs w:val="20"/>
        </w:rPr>
        <w:t xml:space="preserve">, </w:t>
      </w:r>
      <w:r w:rsidR="00D6321C">
        <w:rPr>
          <w:sz w:val="20"/>
          <w:szCs w:val="20"/>
        </w:rPr>
        <w:t xml:space="preserve">como </w:t>
      </w:r>
      <w:r w:rsidR="00D6321C" w:rsidRPr="00632BAA">
        <w:rPr>
          <w:sz w:val="20"/>
          <w:szCs w:val="20"/>
        </w:rPr>
        <w:t>cotizante independiente</w:t>
      </w:r>
      <w:r w:rsidR="00D6321C">
        <w:rPr>
          <w:sz w:val="20"/>
          <w:szCs w:val="20"/>
        </w:rPr>
        <w:t>,</w:t>
      </w:r>
      <w:r w:rsidR="00D6321C" w:rsidRPr="00632BAA">
        <w:rPr>
          <w:sz w:val="20"/>
          <w:szCs w:val="20"/>
        </w:rPr>
        <w:t xml:space="preserve"> </w:t>
      </w:r>
      <w:r w:rsidR="000C372A" w:rsidRPr="00632BAA">
        <w:rPr>
          <w:sz w:val="20"/>
          <w:szCs w:val="20"/>
        </w:rPr>
        <w:t xml:space="preserve">las rentas </w:t>
      </w:r>
      <w:r w:rsidR="00D6321C">
        <w:rPr>
          <w:sz w:val="20"/>
          <w:szCs w:val="20"/>
        </w:rPr>
        <w:t xml:space="preserve">corresponden </w:t>
      </w:r>
      <w:r w:rsidR="000C372A" w:rsidRPr="00632BAA">
        <w:rPr>
          <w:sz w:val="20"/>
          <w:szCs w:val="20"/>
        </w:rPr>
        <w:t xml:space="preserve">precisamente </w:t>
      </w:r>
      <w:r w:rsidR="00D6321C">
        <w:rPr>
          <w:sz w:val="20"/>
          <w:szCs w:val="20"/>
        </w:rPr>
        <w:t>a</w:t>
      </w:r>
      <w:r w:rsidR="000C372A" w:rsidRPr="00632BAA">
        <w:rPr>
          <w:sz w:val="20"/>
          <w:szCs w:val="20"/>
        </w:rPr>
        <w:t>l periodo en que tuvo ingresos míseros, todo lo cual repercut</w:t>
      </w:r>
      <w:r w:rsidR="00D6321C">
        <w:rPr>
          <w:sz w:val="20"/>
          <w:szCs w:val="20"/>
        </w:rPr>
        <w:t>e</w:t>
      </w:r>
      <w:r w:rsidR="000C372A" w:rsidRPr="00632BAA">
        <w:rPr>
          <w:sz w:val="20"/>
          <w:szCs w:val="20"/>
        </w:rPr>
        <w:t xml:space="preserve"> a perpetuidad en su actual situación de pensionado.</w:t>
      </w:r>
    </w:p>
    <w:p w14:paraId="353B0332" w14:textId="77777777" w:rsidR="00632BAA" w:rsidRPr="00D6321C" w:rsidRDefault="00632BAA" w:rsidP="00D6321C">
      <w:pPr>
        <w:ind w:left="720" w:right="280"/>
        <w:rPr>
          <w:sz w:val="20"/>
          <w:szCs w:val="20"/>
        </w:rPr>
      </w:pPr>
    </w:p>
    <w:p w14:paraId="241CEA42" w14:textId="553A0D70" w:rsidR="005906B2" w:rsidRPr="00632BAA" w:rsidRDefault="000C372A" w:rsidP="00632BAA">
      <w:pPr>
        <w:pStyle w:val="ListParagraph"/>
        <w:numPr>
          <w:ilvl w:val="0"/>
          <w:numId w:val="2"/>
        </w:numPr>
        <w:spacing w:before="0"/>
        <w:ind w:left="720" w:right="280" w:firstLine="720"/>
        <w:rPr>
          <w:sz w:val="20"/>
          <w:szCs w:val="20"/>
        </w:rPr>
      </w:pPr>
      <w:r w:rsidRPr="00632BAA">
        <w:rPr>
          <w:sz w:val="20"/>
          <w:szCs w:val="20"/>
        </w:rPr>
        <w:t>En</w:t>
      </w:r>
      <w:r w:rsidR="005906B2" w:rsidRPr="00632BAA">
        <w:rPr>
          <w:sz w:val="20"/>
          <w:szCs w:val="20"/>
        </w:rPr>
        <w:t xml:space="preserve"> 2003, la Presidencia de la República </w:t>
      </w:r>
      <w:r w:rsidR="00D6321C">
        <w:rPr>
          <w:sz w:val="20"/>
          <w:szCs w:val="20"/>
        </w:rPr>
        <w:t xml:space="preserve">creó la </w:t>
      </w:r>
      <w:r w:rsidR="00D6321C" w:rsidRPr="00D6321C">
        <w:rPr>
          <w:sz w:val="20"/>
          <w:szCs w:val="20"/>
        </w:rPr>
        <w:t>Comisión Nacional sobre Prisión Política y Tortura</w:t>
      </w:r>
      <w:r w:rsidR="00D6321C" w:rsidRPr="00632BAA">
        <w:rPr>
          <w:sz w:val="20"/>
          <w:szCs w:val="20"/>
        </w:rPr>
        <w:t xml:space="preserve"> </w:t>
      </w:r>
      <w:r w:rsidR="00D6321C">
        <w:rPr>
          <w:sz w:val="20"/>
          <w:szCs w:val="20"/>
        </w:rPr>
        <w:t>(conocida como “</w:t>
      </w:r>
      <w:r w:rsidR="005906B2" w:rsidRPr="00632BAA">
        <w:rPr>
          <w:sz w:val="20"/>
          <w:szCs w:val="20"/>
        </w:rPr>
        <w:t xml:space="preserve">Comisión </w:t>
      </w:r>
      <w:proofErr w:type="spellStart"/>
      <w:r w:rsidR="005906B2" w:rsidRPr="00632BAA">
        <w:rPr>
          <w:sz w:val="20"/>
          <w:szCs w:val="20"/>
        </w:rPr>
        <w:t>Valech</w:t>
      </w:r>
      <w:proofErr w:type="spellEnd"/>
      <w:r w:rsidR="00D6321C">
        <w:rPr>
          <w:sz w:val="20"/>
          <w:szCs w:val="20"/>
        </w:rPr>
        <w:t>”)</w:t>
      </w:r>
      <w:r w:rsidR="005906B2" w:rsidRPr="00632BAA">
        <w:rPr>
          <w:sz w:val="20"/>
          <w:szCs w:val="20"/>
        </w:rPr>
        <w:t xml:space="preserve"> para investigar </w:t>
      </w:r>
      <w:r w:rsidR="007829B8">
        <w:rPr>
          <w:sz w:val="20"/>
          <w:szCs w:val="20"/>
        </w:rPr>
        <w:t xml:space="preserve">dichas violaciones de derechos humanos perpetradas </w:t>
      </w:r>
      <w:r w:rsidR="005906B2" w:rsidRPr="00632BAA">
        <w:rPr>
          <w:sz w:val="20"/>
          <w:szCs w:val="20"/>
        </w:rPr>
        <w:t xml:space="preserve">durante la dictadura militar. Dicha Comisión calificó </w:t>
      </w:r>
      <w:r w:rsidR="007829B8">
        <w:rPr>
          <w:sz w:val="20"/>
          <w:szCs w:val="20"/>
        </w:rPr>
        <w:t xml:space="preserve">al peticionario </w:t>
      </w:r>
      <w:r w:rsidR="005906B2" w:rsidRPr="00632BAA">
        <w:rPr>
          <w:sz w:val="20"/>
          <w:szCs w:val="20"/>
        </w:rPr>
        <w:t xml:space="preserve">como una de las víctimas </w:t>
      </w:r>
      <w:r w:rsidR="007829B8">
        <w:rPr>
          <w:sz w:val="20"/>
          <w:szCs w:val="20"/>
        </w:rPr>
        <w:t xml:space="preserve">y lo registró </w:t>
      </w:r>
      <w:r w:rsidR="005906B2" w:rsidRPr="00632BAA">
        <w:rPr>
          <w:sz w:val="20"/>
          <w:szCs w:val="20"/>
        </w:rPr>
        <w:t>bajo el número 22194</w:t>
      </w:r>
      <w:r w:rsidR="007829B8">
        <w:rPr>
          <w:sz w:val="20"/>
          <w:szCs w:val="20"/>
        </w:rPr>
        <w:t>;</w:t>
      </w:r>
      <w:r w:rsidR="00974C2D" w:rsidRPr="00632BAA">
        <w:rPr>
          <w:sz w:val="20"/>
          <w:szCs w:val="20"/>
        </w:rPr>
        <w:t xml:space="preserve"> </w:t>
      </w:r>
      <w:r w:rsidR="007829B8">
        <w:rPr>
          <w:sz w:val="20"/>
          <w:szCs w:val="20"/>
        </w:rPr>
        <w:t>s</w:t>
      </w:r>
      <w:r w:rsidR="00974C2D" w:rsidRPr="00632BAA">
        <w:rPr>
          <w:sz w:val="20"/>
          <w:szCs w:val="20"/>
        </w:rPr>
        <w:t xml:space="preserve">in embargo, </w:t>
      </w:r>
      <w:r w:rsidR="007829B8">
        <w:rPr>
          <w:sz w:val="20"/>
          <w:szCs w:val="20"/>
        </w:rPr>
        <w:t xml:space="preserve">aquel </w:t>
      </w:r>
      <w:r w:rsidR="00974C2D" w:rsidRPr="00632BAA">
        <w:rPr>
          <w:sz w:val="20"/>
          <w:szCs w:val="20"/>
        </w:rPr>
        <w:t xml:space="preserve">señala que la actuación no tuvo </w:t>
      </w:r>
      <w:r w:rsidR="007829B8">
        <w:rPr>
          <w:sz w:val="20"/>
          <w:szCs w:val="20"/>
        </w:rPr>
        <w:t xml:space="preserve">el </w:t>
      </w:r>
      <w:r w:rsidR="00974C2D" w:rsidRPr="00632BAA">
        <w:rPr>
          <w:sz w:val="20"/>
          <w:szCs w:val="20"/>
        </w:rPr>
        <w:t xml:space="preserve">carácter de investigación judicial </w:t>
      </w:r>
      <w:r w:rsidR="00F77600" w:rsidRPr="00632BAA">
        <w:rPr>
          <w:sz w:val="20"/>
          <w:szCs w:val="20"/>
        </w:rPr>
        <w:t xml:space="preserve">y que, además de la falta de investigación, no </w:t>
      </w:r>
      <w:r w:rsidR="007829B8">
        <w:rPr>
          <w:sz w:val="20"/>
          <w:szCs w:val="20"/>
        </w:rPr>
        <w:t xml:space="preserve">recibió </w:t>
      </w:r>
      <w:r w:rsidR="00F77600" w:rsidRPr="00632BAA">
        <w:rPr>
          <w:sz w:val="20"/>
          <w:szCs w:val="20"/>
        </w:rPr>
        <w:t>reparación suficiente.</w:t>
      </w:r>
    </w:p>
    <w:p w14:paraId="0CF3EEBC" w14:textId="77777777" w:rsidR="00632BAA" w:rsidRDefault="00632BAA" w:rsidP="00632BAA">
      <w:pPr>
        <w:pStyle w:val="ListParagraph"/>
        <w:spacing w:before="0"/>
        <w:ind w:left="1440" w:right="280" w:firstLine="0"/>
        <w:rPr>
          <w:sz w:val="20"/>
          <w:szCs w:val="20"/>
        </w:rPr>
      </w:pPr>
    </w:p>
    <w:p w14:paraId="04CA6833" w14:textId="7CED54A8" w:rsidR="00CC04A1" w:rsidRPr="00632BAA" w:rsidRDefault="00F42355" w:rsidP="00632BAA">
      <w:pPr>
        <w:pStyle w:val="ListParagraph"/>
        <w:numPr>
          <w:ilvl w:val="0"/>
          <w:numId w:val="2"/>
        </w:numPr>
        <w:spacing w:before="0"/>
        <w:ind w:left="720" w:right="280" w:firstLine="720"/>
        <w:rPr>
          <w:sz w:val="20"/>
          <w:szCs w:val="20"/>
        </w:rPr>
      </w:pPr>
      <w:r w:rsidRPr="00632BAA">
        <w:rPr>
          <w:sz w:val="20"/>
          <w:szCs w:val="20"/>
        </w:rPr>
        <w:t>El Estado, de su parte</w:t>
      </w:r>
      <w:r w:rsidR="00FE595D" w:rsidRPr="00632BAA">
        <w:rPr>
          <w:sz w:val="20"/>
          <w:szCs w:val="20"/>
        </w:rPr>
        <w:t>, indica</w:t>
      </w:r>
      <w:r w:rsidR="00CC04A1" w:rsidRPr="00632BAA">
        <w:rPr>
          <w:sz w:val="20"/>
          <w:szCs w:val="20"/>
        </w:rPr>
        <w:t xml:space="preserve"> que </w:t>
      </w:r>
      <w:r w:rsidR="00C2012F">
        <w:rPr>
          <w:sz w:val="20"/>
          <w:szCs w:val="20"/>
        </w:rPr>
        <w:t xml:space="preserve">el </w:t>
      </w:r>
      <w:r w:rsidR="007829B8">
        <w:rPr>
          <w:sz w:val="20"/>
          <w:szCs w:val="20"/>
        </w:rPr>
        <w:t>peticionario</w:t>
      </w:r>
      <w:r w:rsidR="007829B8" w:rsidRPr="00632BAA">
        <w:rPr>
          <w:sz w:val="20"/>
          <w:szCs w:val="20"/>
        </w:rPr>
        <w:t xml:space="preserve"> no</w:t>
      </w:r>
      <w:r w:rsidR="00CC04A1" w:rsidRPr="00632BAA">
        <w:rPr>
          <w:sz w:val="20"/>
          <w:szCs w:val="20"/>
        </w:rPr>
        <w:t xml:space="preserve"> ha utilizado los recursos que la legislación nacional proveía para remediar las situaciones denunciadas, </w:t>
      </w:r>
      <w:r w:rsidR="007829B8">
        <w:rPr>
          <w:sz w:val="20"/>
          <w:szCs w:val="20"/>
        </w:rPr>
        <w:t xml:space="preserve">tales </w:t>
      </w:r>
      <w:r w:rsidR="00CC04A1" w:rsidRPr="00632BAA">
        <w:rPr>
          <w:sz w:val="20"/>
          <w:szCs w:val="20"/>
        </w:rPr>
        <w:t>como</w:t>
      </w:r>
      <w:r w:rsidR="006D0A03" w:rsidRPr="00632BAA">
        <w:rPr>
          <w:sz w:val="20"/>
          <w:szCs w:val="20"/>
        </w:rPr>
        <w:t xml:space="preserve"> la </w:t>
      </w:r>
      <w:r w:rsidR="007829B8" w:rsidRPr="00632BAA">
        <w:rPr>
          <w:sz w:val="20"/>
          <w:szCs w:val="20"/>
        </w:rPr>
        <w:t>querella</w:t>
      </w:r>
      <w:r w:rsidR="006D0A03" w:rsidRPr="00632BAA">
        <w:rPr>
          <w:sz w:val="20"/>
          <w:szCs w:val="20"/>
        </w:rPr>
        <w:t xml:space="preserve"> por apremios ilegítimos</w:t>
      </w:r>
      <w:r w:rsidR="007829B8">
        <w:rPr>
          <w:sz w:val="20"/>
          <w:szCs w:val="20"/>
        </w:rPr>
        <w:t>;</w:t>
      </w:r>
      <w:r w:rsidR="006D0A03" w:rsidRPr="00632BAA">
        <w:rPr>
          <w:sz w:val="20"/>
          <w:szCs w:val="20"/>
        </w:rPr>
        <w:t xml:space="preserve"> y la demanda por indemnización contra el Fisco de Chile por los daños consecuentes de la tortura durante su detención</w:t>
      </w:r>
      <w:r w:rsidR="007829B8">
        <w:rPr>
          <w:sz w:val="20"/>
          <w:szCs w:val="20"/>
        </w:rPr>
        <w:t>.</w:t>
      </w:r>
      <w:r w:rsidR="006D0A03" w:rsidRPr="00632BAA">
        <w:rPr>
          <w:sz w:val="20"/>
          <w:szCs w:val="20"/>
        </w:rPr>
        <w:t xml:space="preserve"> </w:t>
      </w:r>
      <w:r w:rsidR="007829B8">
        <w:rPr>
          <w:sz w:val="20"/>
          <w:szCs w:val="20"/>
        </w:rPr>
        <w:t xml:space="preserve">Señala que </w:t>
      </w:r>
      <w:r w:rsidR="00F167E1" w:rsidRPr="00632BAA">
        <w:rPr>
          <w:sz w:val="20"/>
          <w:szCs w:val="20"/>
        </w:rPr>
        <w:t>desde 2011</w:t>
      </w:r>
      <w:r w:rsidR="00F167E1">
        <w:rPr>
          <w:sz w:val="20"/>
          <w:szCs w:val="20"/>
        </w:rPr>
        <w:t xml:space="preserve"> </w:t>
      </w:r>
      <w:r w:rsidR="006D0A03" w:rsidRPr="00632BAA">
        <w:rPr>
          <w:sz w:val="20"/>
          <w:szCs w:val="20"/>
        </w:rPr>
        <w:t>ambas accione</w:t>
      </w:r>
      <w:r w:rsidR="007829B8">
        <w:rPr>
          <w:sz w:val="20"/>
          <w:szCs w:val="20"/>
        </w:rPr>
        <w:t>s</w:t>
      </w:r>
      <w:r w:rsidR="006D0A03" w:rsidRPr="00632BAA">
        <w:rPr>
          <w:sz w:val="20"/>
          <w:szCs w:val="20"/>
        </w:rPr>
        <w:t xml:space="preserve"> han sido acogidas por tribunales chilenos, </w:t>
      </w:r>
      <w:r w:rsidR="00F167E1">
        <w:rPr>
          <w:sz w:val="20"/>
          <w:szCs w:val="20"/>
        </w:rPr>
        <w:t>que</w:t>
      </w:r>
      <w:r w:rsidR="006D0A03" w:rsidRPr="00632BAA">
        <w:rPr>
          <w:sz w:val="20"/>
          <w:szCs w:val="20"/>
        </w:rPr>
        <w:t xml:space="preserve"> han rechazado la aplicación de </w:t>
      </w:r>
      <w:r w:rsidR="00F167E1">
        <w:rPr>
          <w:sz w:val="20"/>
          <w:szCs w:val="20"/>
        </w:rPr>
        <w:t xml:space="preserve">la </w:t>
      </w:r>
      <w:r w:rsidR="006D0A03" w:rsidRPr="00632BAA">
        <w:rPr>
          <w:sz w:val="20"/>
          <w:szCs w:val="20"/>
        </w:rPr>
        <w:t>prescripción</w:t>
      </w:r>
      <w:r w:rsidR="00F167E1">
        <w:rPr>
          <w:sz w:val="20"/>
          <w:szCs w:val="20"/>
        </w:rPr>
        <w:t xml:space="preserve"> a tales casos</w:t>
      </w:r>
      <w:r w:rsidR="006D0A03" w:rsidRPr="00632BAA">
        <w:rPr>
          <w:sz w:val="20"/>
          <w:szCs w:val="20"/>
        </w:rPr>
        <w:t>.</w:t>
      </w:r>
    </w:p>
    <w:p w14:paraId="5C42B6A8" w14:textId="77777777" w:rsidR="00632BAA" w:rsidRPr="00F167E1" w:rsidRDefault="00632BAA" w:rsidP="00F167E1">
      <w:pPr>
        <w:ind w:left="720" w:right="280"/>
        <w:rPr>
          <w:sz w:val="20"/>
          <w:szCs w:val="20"/>
        </w:rPr>
      </w:pPr>
    </w:p>
    <w:p w14:paraId="0F09564E" w14:textId="21E0DAD6" w:rsidR="00F42355" w:rsidRPr="00632BAA" w:rsidRDefault="00F167E1" w:rsidP="00632BAA">
      <w:pPr>
        <w:pStyle w:val="ListParagraph"/>
        <w:numPr>
          <w:ilvl w:val="0"/>
          <w:numId w:val="2"/>
        </w:numPr>
        <w:spacing w:before="0"/>
        <w:ind w:left="720" w:right="280" w:firstLine="720"/>
        <w:rPr>
          <w:sz w:val="20"/>
          <w:szCs w:val="20"/>
        </w:rPr>
      </w:pPr>
      <w:r>
        <w:rPr>
          <w:sz w:val="20"/>
          <w:szCs w:val="20"/>
        </w:rPr>
        <w:t>S</w:t>
      </w:r>
      <w:r w:rsidR="006D0A03" w:rsidRPr="00632BAA">
        <w:rPr>
          <w:sz w:val="20"/>
          <w:szCs w:val="20"/>
        </w:rPr>
        <w:t xml:space="preserve">ostiene además </w:t>
      </w:r>
      <w:r w:rsidR="0080195B" w:rsidRPr="00632BAA">
        <w:rPr>
          <w:sz w:val="20"/>
          <w:szCs w:val="20"/>
        </w:rPr>
        <w:t xml:space="preserve">que no </w:t>
      </w:r>
      <w:r>
        <w:rPr>
          <w:sz w:val="20"/>
          <w:szCs w:val="20"/>
        </w:rPr>
        <w:t xml:space="preserve">hay </w:t>
      </w:r>
      <w:r w:rsidR="0080195B" w:rsidRPr="00632BAA">
        <w:rPr>
          <w:sz w:val="20"/>
          <w:szCs w:val="20"/>
        </w:rPr>
        <w:t>consta</w:t>
      </w:r>
      <w:r>
        <w:rPr>
          <w:sz w:val="20"/>
          <w:szCs w:val="20"/>
        </w:rPr>
        <w:t>ncia</w:t>
      </w:r>
      <w:r w:rsidR="0080195B" w:rsidRPr="00632B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r w:rsidR="0080195B" w:rsidRPr="00632BAA">
        <w:rPr>
          <w:sz w:val="20"/>
          <w:szCs w:val="20"/>
        </w:rPr>
        <w:t xml:space="preserve">que </w:t>
      </w:r>
      <w:r w:rsidR="00C2012F">
        <w:rPr>
          <w:sz w:val="20"/>
          <w:szCs w:val="20"/>
        </w:rPr>
        <w:t>el peticionario</w:t>
      </w:r>
      <w:r w:rsidR="000802B2">
        <w:rPr>
          <w:sz w:val="20"/>
          <w:szCs w:val="20"/>
        </w:rPr>
        <w:t xml:space="preserve"> hubiera</w:t>
      </w:r>
      <w:r w:rsidR="0080195B" w:rsidRPr="00632BAA">
        <w:rPr>
          <w:sz w:val="20"/>
          <w:szCs w:val="20"/>
        </w:rPr>
        <w:t xml:space="preserve"> formulado consultas ante la Contraloría General de la República para verificar si la solicitud de desahucio fue efectivamente presentada en 1974, lo que tampoco consta en los antecedentes aportados</w:t>
      </w:r>
      <w:r>
        <w:rPr>
          <w:sz w:val="20"/>
          <w:szCs w:val="20"/>
        </w:rPr>
        <w:t>.</w:t>
      </w:r>
      <w:r w:rsidR="0080195B" w:rsidRPr="00632BAA">
        <w:rPr>
          <w:sz w:val="20"/>
          <w:szCs w:val="20"/>
        </w:rPr>
        <w:t xml:space="preserve"> </w:t>
      </w:r>
      <w:r>
        <w:rPr>
          <w:sz w:val="20"/>
          <w:szCs w:val="20"/>
        </w:rPr>
        <w:t>Agrega que</w:t>
      </w:r>
      <w:r w:rsidR="0080195B" w:rsidRPr="00632B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tampoco hay prueba de que </w:t>
      </w:r>
      <w:r w:rsidR="00C2012F">
        <w:rPr>
          <w:sz w:val="20"/>
          <w:szCs w:val="20"/>
        </w:rPr>
        <w:t>el peticionario</w:t>
      </w:r>
      <w:r w:rsidR="000802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hubiera </w:t>
      </w:r>
      <w:r w:rsidR="0080195B" w:rsidRPr="00632BAA">
        <w:rPr>
          <w:sz w:val="20"/>
          <w:szCs w:val="20"/>
        </w:rPr>
        <w:t xml:space="preserve">interpuesto el recurso del artículo 53 de la Ley 19.880, que prescribe que “[l]a autoridad </w:t>
      </w:r>
      <w:r w:rsidR="000D72B4" w:rsidRPr="00632BAA">
        <w:rPr>
          <w:sz w:val="20"/>
          <w:szCs w:val="20"/>
        </w:rPr>
        <w:t>administrativa</w:t>
      </w:r>
      <w:r w:rsidR="0080195B" w:rsidRPr="00632BAA">
        <w:rPr>
          <w:sz w:val="20"/>
          <w:szCs w:val="20"/>
        </w:rPr>
        <w:t xml:space="preserve"> podrá, de oficio o a petición de parte, invalidar los actos contrarios a derecho, previa audiencia del interesado</w:t>
      </w:r>
      <w:r>
        <w:rPr>
          <w:sz w:val="20"/>
          <w:szCs w:val="20"/>
        </w:rPr>
        <w:t>.</w:t>
      </w:r>
      <w:r w:rsidR="0080195B" w:rsidRPr="00632BAA">
        <w:rPr>
          <w:sz w:val="20"/>
          <w:szCs w:val="20"/>
        </w:rPr>
        <w:t xml:space="preserve">” </w:t>
      </w:r>
      <w:r>
        <w:rPr>
          <w:sz w:val="20"/>
          <w:szCs w:val="20"/>
        </w:rPr>
        <w:t xml:space="preserve">Alega que </w:t>
      </w:r>
      <w:r w:rsidR="0080195B" w:rsidRPr="00632BAA">
        <w:rPr>
          <w:sz w:val="20"/>
          <w:szCs w:val="20"/>
        </w:rPr>
        <w:t xml:space="preserve">tampoco </w:t>
      </w:r>
      <w:r>
        <w:rPr>
          <w:sz w:val="20"/>
          <w:szCs w:val="20"/>
        </w:rPr>
        <w:t xml:space="preserve">hay </w:t>
      </w:r>
      <w:r w:rsidR="0080195B" w:rsidRPr="00632BAA">
        <w:rPr>
          <w:sz w:val="20"/>
          <w:szCs w:val="20"/>
        </w:rPr>
        <w:t>consta</w:t>
      </w:r>
      <w:r>
        <w:rPr>
          <w:sz w:val="20"/>
          <w:szCs w:val="20"/>
        </w:rPr>
        <w:t>ncia de</w:t>
      </w:r>
      <w:r w:rsidR="0080195B" w:rsidRPr="00632BAA">
        <w:rPr>
          <w:sz w:val="20"/>
          <w:szCs w:val="20"/>
        </w:rPr>
        <w:t xml:space="preserve"> que </w:t>
      </w:r>
      <w:r w:rsidR="00C2012F">
        <w:rPr>
          <w:sz w:val="20"/>
          <w:szCs w:val="20"/>
        </w:rPr>
        <w:t>el peticionario</w:t>
      </w:r>
      <w:r w:rsidR="0080195B" w:rsidRPr="00632BAA">
        <w:rPr>
          <w:sz w:val="20"/>
          <w:szCs w:val="20"/>
        </w:rPr>
        <w:t xml:space="preserve"> </w:t>
      </w:r>
      <w:r>
        <w:rPr>
          <w:sz w:val="20"/>
          <w:szCs w:val="20"/>
        </w:rPr>
        <w:t>hubiera planteado</w:t>
      </w:r>
      <w:r w:rsidR="0080195B" w:rsidRPr="00632BAA">
        <w:rPr>
          <w:sz w:val="20"/>
          <w:szCs w:val="20"/>
        </w:rPr>
        <w:t xml:space="preserve"> acciones ante la justicia ordinaria para reclamar sobre el tema del desahucio</w:t>
      </w:r>
      <w:r w:rsidR="000D72B4" w:rsidRPr="00632BA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tales </w:t>
      </w:r>
      <w:r w:rsidR="000D72B4" w:rsidRPr="00632BAA">
        <w:rPr>
          <w:sz w:val="20"/>
          <w:szCs w:val="20"/>
        </w:rPr>
        <w:t xml:space="preserve">como el juicio de hacienda regulado en </w:t>
      </w:r>
      <w:r w:rsidR="00012201">
        <w:rPr>
          <w:sz w:val="20"/>
          <w:szCs w:val="20"/>
        </w:rPr>
        <w:t xml:space="preserve">los </w:t>
      </w:r>
      <w:r w:rsidRPr="00632BAA">
        <w:rPr>
          <w:sz w:val="20"/>
          <w:szCs w:val="20"/>
        </w:rPr>
        <w:t>artículos 748 a 752</w:t>
      </w:r>
      <w:r w:rsidR="000D72B4" w:rsidRPr="00632BAA">
        <w:rPr>
          <w:sz w:val="20"/>
          <w:szCs w:val="20"/>
        </w:rPr>
        <w:t xml:space="preserve"> del C</w:t>
      </w:r>
      <w:r>
        <w:rPr>
          <w:sz w:val="20"/>
          <w:szCs w:val="20"/>
        </w:rPr>
        <w:t xml:space="preserve">ódigo de </w:t>
      </w:r>
      <w:r w:rsidRPr="00632BAA">
        <w:rPr>
          <w:sz w:val="20"/>
          <w:szCs w:val="20"/>
        </w:rPr>
        <w:t>P</w:t>
      </w:r>
      <w:r>
        <w:rPr>
          <w:sz w:val="20"/>
          <w:szCs w:val="20"/>
        </w:rPr>
        <w:t xml:space="preserve">rocedimiento </w:t>
      </w:r>
      <w:r w:rsidR="000D72B4" w:rsidRPr="00632BAA">
        <w:rPr>
          <w:sz w:val="20"/>
          <w:szCs w:val="20"/>
        </w:rPr>
        <w:t>C</w:t>
      </w:r>
      <w:r>
        <w:rPr>
          <w:sz w:val="20"/>
          <w:szCs w:val="20"/>
        </w:rPr>
        <w:t>ivil</w:t>
      </w:r>
      <w:r w:rsidR="00012201">
        <w:rPr>
          <w:sz w:val="20"/>
          <w:szCs w:val="20"/>
        </w:rPr>
        <w:t>,</w:t>
      </w:r>
      <w:r w:rsidR="000D72B4" w:rsidRPr="00632BAA">
        <w:rPr>
          <w:sz w:val="20"/>
          <w:szCs w:val="20"/>
        </w:rPr>
        <w:t xml:space="preserve"> y </w:t>
      </w:r>
      <w:r w:rsidR="00012201">
        <w:rPr>
          <w:sz w:val="20"/>
          <w:szCs w:val="20"/>
        </w:rPr>
        <w:t xml:space="preserve">en </w:t>
      </w:r>
      <w:r w:rsidR="000D72B4" w:rsidRPr="00632BAA">
        <w:rPr>
          <w:sz w:val="20"/>
          <w:szCs w:val="20"/>
        </w:rPr>
        <w:t>el D</w:t>
      </w:r>
      <w:r w:rsidR="00012201">
        <w:rPr>
          <w:sz w:val="20"/>
          <w:szCs w:val="20"/>
        </w:rPr>
        <w:t>ecreto con Fuerza de Ley N</w:t>
      </w:r>
      <w:r w:rsidR="00012201" w:rsidRPr="00012201">
        <w:rPr>
          <w:sz w:val="20"/>
          <w:szCs w:val="20"/>
          <w:vertAlign w:val="superscript"/>
        </w:rPr>
        <w:t>o</w:t>
      </w:r>
      <w:r w:rsidR="00012201">
        <w:rPr>
          <w:sz w:val="20"/>
          <w:szCs w:val="20"/>
        </w:rPr>
        <w:t xml:space="preserve"> </w:t>
      </w:r>
      <w:r w:rsidR="000D72B4" w:rsidRPr="00632BAA">
        <w:rPr>
          <w:sz w:val="20"/>
          <w:szCs w:val="20"/>
        </w:rPr>
        <w:t>1 de 1993</w:t>
      </w:r>
      <w:r w:rsidR="00012201" w:rsidRPr="00012201">
        <w:rPr>
          <w:sz w:val="20"/>
          <w:szCs w:val="20"/>
        </w:rPr>
        <w:t xml:space="preserve"> </w:t>
      </w:r>
      <w:r w:rsidR="00012201" w:rsidRPr="00632BAA">
        <w:rPr>
          <w:sz w:val="20"/>
          <w:szCs w:val="20"/>
        </w:rPr>
        <w:t>del Ministerio de Hacienda</w:t>
      </w:r>
      <w:r w:rsidR="000D72B4" w:rsidRPr="00632BAA">
        <w:rPr>
          <w:sz w:val="20"/>
          <w:szCs w:val="20"/>
        </w:rPr>
        <w:t>, que fija la Ley Orgánica del Consejo de Defensa del Estado.</w:t>
      </w:r>
    </w:p>
    <w:p w14:paraId="177352C1" w14:textId="77777777" w:rsidR="00632BAA" w:rsidRDefault="00632BAA" w:rsidP="00632BAA">
      <w:pPr>
        <w:pStyle w:val="ListParagraph"/>
        <w:spacing w:before="0"/>
        <w:ind w:left="1440" w:right="278" w:firstLine="0"/>
        <w:rPr>
          <w:sz w:val="20"/>
          <w:szCs w:val="20"/>
        </w:rPr>
      </w:pPr>
    </w:p>
    <w:p w14:paraId="00E0CD51" w14:textId="3F2C0F89" w:rsidR="000D72B4" w:rsidRDefault="000F2C3D" w:rsidP="00632BAA">
      <w:pPr>
        <w:pStyle w:val="ListParagraph"/>
        <w:numPr>
          <w:ilvl w:val="0"/>
          <w:numId w:val="2"/>
        </w:numPr>
        <w:spacing w:before="0"/>
        <w:ind w:left="720" w:right="278" w:firstLine="720"/>
        <w:rPr>
          <w:sz w:val="20"/>
          <w:szCs w:val="20"/>
        </w:rPr>
      </w:pPr>
      <w:r>
        <w:rPr>
          <w:sz w:val="20"/>
          <w:szCs w:val="20"/>
        </w:rPr>
        <w:t>Chile</w:t>
      </w:r>
      <w:r w:rsidR="000D72B4" w:rsidRPr="00632BAA">
        <w:rPr>
          <w:sz w:val="20"/>
          <w:szCs w:val="20"/>
        </w:rPr>
        <w:t xml:space="preserve"> señala que </w:t>
      </w:r>
      <w:r w:rsidR="00C2012F">
        <w:rPr>
          <w:sz w:val="20"/>
          <w:szCs w:val="20"/>
        </w:rPr>
        <w:t>el peticionario</w:t>
      </w:r>
      <w:r w:rsidR="000802B2">
        <w:rPr>
          <w:sz w:val="20"/>
          <w:szCs w:val="20"/>
        </w:rPr>
        <w:t xml:space="preserve"> </w:t>
      </w:r>
      <w:r w:rsidR="000D72B4" w:rsidRPr="00632BAA">
        <w:rPr>
          <w:sz w:val="20"/>
          <w:szCs w:val="20"/>
        </w:rPr>
        <w:t xml:space="preserve">fue </w:t>
      </w:r>
      <w:r w:rsidR="00012201" w:rsidRPr="00632BAA">
        <w:rPr>
          <w:sz w:val="20"/>
          <w:szCs w:val="20"/>
        </w:rPr>
        <w:t>reconocido</w:t>
      </w:r>
      <w:r w:rsidR="000D72B4" w:rsidRPr="00632BAA">
        <w:rPr>
          <w:sz w:val="20"/>
          <w:szCs w:val="20"/>
        </w:rPr>
        <w:t xml:space="preserve"> formalmente como víctima de prisión política y tortura por la Comisión </w:t>
      </w:r>
      <w:proofErr w:type="spellStart"/>
      <w:r w:rsidR="000D72B4" w:rsidRPr="00632BAA">
        <w:rPr>
          <w:sz w:val="20"/>
          <w:szCs w:val="20"/>
        </w:rPr>
        <w:t>Valech</w:t>
      </w:r>
      <w:proofErr w:type="spellEnd"/>
      <w:r>
        <w:rPr>
          <w:sz w:val="20"/>
          <w:szCs w:val="20"/>
        </w:rPr>
        <w:t>, y que</w:t>
      </w:r>
      <w:r w:rsidR="000D72B4" w:rsidRPr="00632BAA">
        <w:rPr>
          <w:sz w:val="20"/>
          <w:szCs w:val="20"/>
        </w:rPr>
        <w:t xml:space="preserve"> por medio de la Ley 19.992 se otorgaron medidas de reparación a todas las personas reconocidas como víctimas</w:t>
      </w:r>
      <w:r>
        <w:rPr>
          <w:sz w:val="20"/>
          <w:szCs w:val="20"/>
        </w:rPr>
        <w:t>,</w:t>
      </w:r>
      <w:r w:rsidR="00A62F6D" w:rsidRPr="00632BAA">
        <w:rPr>
          <w:sz w:val="20"/>
          <w:szCs w:val="20"/>
        </w:rPr>
        <w:t xml:space="preserve"> que incluyeron una pensión anual de reparación, beneficios médicos y educacionales. A lo anterior se sumaron otras medidas adoptadas por el Estado, </w:t>
      </w:r>
      <w:r>
        <w:rPr>
          <w:sz w:val="20"/>
          <w:szCs w:val="20"/>
        </w:rPr>
        <w:t xml:space="preserve">tales </w:t>
      </w:r>
      <w:r w:rsidR="00A62F6D" w:rsidRPr="00632BAA">
        <w:rPr>
          <w:sz w:val="20"/>
          <w:szCs w:val="20"/>
        </w:rPr>
        <w:t xml:space="preserve">como apoyo educacional, pensión por viudez, exención del servicio militar obligatorio, beneficios en vivienda y subvenciones habitacionales, el Programa de Reparación y Asistencia Integral de Salud (PRAIS), </w:t>
      </w:r>
      <w:r>
        <w:rPr>
          <w:sz w:val="20"/>
          <w:szCs w:val="20"/>
        </w:rPr>
        <w:t xml:space="preserve">y </w:t>
      </w:r>
      <w:r w:rsidRPr="00632BAA">
        <w:rPr>
          <w:sz w:val="20"/>
          <w:szCs w:val="20"/>
        </w:rPr>
        <w:t xml:space="preserve">un aporte único, en carácter de reparación parcial, a las personas reconocidas como víctimas por la Comisión </w:t>
      </w:r>
      <w:proofErr w:type="spellStart"/>
      <w:r w:rsidRPr="00632BAA">
        <w:rPr>
          <w:sz w:val="20"/>
          <w:szCs w:val="20"/>
        </w:rPr>
        <w:t>Valech</w:t>
      </w:r>
      <w:proofErr w:type="spellEnd"/>
      <w:r>
        <w:rPr>
          <w:sz w:val="20"/>
          <w:szCs w:val="20"/>
        </w:rPr>
        <w:t>,</w:t>
      </w:r>
      <w:r w:rsidRPr="00632BAA">
        <w:rPr>
          <w:sz w:val="20"/>
          <w:szCs w:val="20"/>
        </w:rPr>
        <w:t xml:space="preserve"> </w:t>
      </w:r>
      <w:r w:rsidR="00A62F6D" w:rsidRPr="00632BAA">
        <w:rPr>
          <w:sz w:val="20"/>
          <w:szCs w:val="20"/>
        </w:rPr>
        <w:t xml:space="preserve">establecido por la Ley 20.874 de 2015. El Estado señala que </w:t>
      </w:r>
      <w:r w:rsidR="005459F7">
        <w:rPr>
          <w:sz w:val="20"/>
          <w:szCs w:val="20"/>
        </w:rPr>
        <w:t xml:space="preserve">el peticionario </w:t>
      </w:r>
      <w:r w:rsidR="00A62F6D" w:rsidRPr="00632BAA">
        <w:rPr>
          <w:sz w:val="20"/>
          <w:szCs w:val="20"/>
        </w:rPr>
        <w:t xml:space="preserve">ha obtenido reparaciones </w:t>
      </w:r>
      <w:r>
        <w:rPr>
          <w:sz w:val="20"/>
          <w:szCs w:val="20"/>
        </w:rPr>
        <w:t xml:space="preserve">en el ámbito </w:t>
      </w:r>
      <w:r w:rsidR="00A62F6D" w:rsidRPr="00632BAA">
        <w:rPr>
          <w:sz w:val="20"/>
          <w:szCs w:val="20"/>
        </w:rPr>
        <w:t>interno a partir de la política desarrollada desde 1990 y</w:t>
      </w:r>
      <w:r>
        <w:rPr>
          <w:sz w:val="20"/>
          <w:szCs w:val="20"/>
        </w:rPr>
        <w:t xml:space="preserve"> que</w:t>
      </w:r>
      <w:r w:rsidR="00A62F6D" w:rsidRPr="00632BAA">
        <w:rPr>
          <w:sz w:val="20"/>
          <w:szCs w:val="20"/>
        </w:rPr>
        <w:t>, por lo tanto, no corres</w:t>
      </w:r>
      <w:r w:rsidR="00CC04A1" w:rsidRPr="00632BAA">
        <w:rPr>
          <w:sz w:val="20"/>
          <w:szCs w:val="20"/>
        </w:rPr>
        <w:t xml:space="preserve">ponde que utilice el </w:t>
      </w:r>
      <w:r>
        <w:rPr>
          <w:sz w:val="20"/>
          <w:szCs w:val="20"/>
        </w:rPr>
        <w:t>s</w:t>
      </w:r>
      <w:r w:rsidR="00CC04A1" w:rsidRPr="00632BAA">
        <w:rPr>
          <w:sz w:val="20"/>
          <w:szCs w:val="20"/>
        </w:rPr>
        <w:t xml:space="preserve">istema </w:t>
      </w:r>
      <w:r>
        <w:rPr>
          <w:sz w:val="20"/>
          <w:szCs w:val="20"/>
        </w:rPr>
        <w:t>i</w:t>
      </w:r>
      <w:r w:rsidR="00CC04A1" w:rsidRPr="00632BAA">
        <w:rPr>
          <w:sz w:val="20"/>
          <w:szCs w:val="20"/>
        </w:rPr>
        <w:t>nteramericano para enriquecerse</w:t>
      </w:r>
      <w:r>
        <w:rPr>
          <w:sz w:val="20"/>
          <w:szCs w:val="20"/>
        </w:rPr>
        <w:t xml:space="preserve"> </w:t>
      </w:r>
      <w:r w:rsidR="005459F7">
        <w:rPr>
          <w:sz w:val="20"/>
          <w:szCs w:val="20"/>
        </w:rPr>
        <w:t>de manera</w:t>
      </w:r>
      <w:r w:rsidR="00CC04A1" w:rsidRPr="00632BAA">
        <w:rPr>
          <w:sz w:val="20"/>
          <w:szCs w:val="20"/>
        </w:rPr>
        <w:t xml:space="preserve"> adicional.</w:t>
      </w:r>
    </w:p>
    <w:p w14:paraId="107E79B1" w14:textId="77777777" w:rsidR="002B106A" w:rsidRDefault="002B106A" w:rsidP="002B106A">
      <w:pPr>
        <w:pStyle w:val="ListParagraph"/>
        <w:spacing w:before="0"/>
        <w:ind w:left="1440" w:right="278" w:firstLine="0"/>
        <w:rPr>
          <w:sz w:val="20"/>
          <w:szCs w:val="20"/>
        </w:rPr>
      </w:pPr>
    </w:p>
    <w:p w14:paraId="18468BEE" w14:textId="77777777" w:rsidR="002B106A" w:rsidRDefault="002B106A" w:rsidP="002B106A">
      <w:pPr>
        <w:pStyle w:val="ListParagraph"/>
        <w:spacing w:before="0"/>
        <w:ind w:left="1440" w:right="278" w:firstLine="0"/>
        <w:rPr>
          <w:sz w:val="20"/>
          <w:szCs w:val="20"/>
        </w:rPr>
      </w:pPr>
    </w:p>
    <w:p w14:paraId="32469879" w14:textId="77777777" w:rsidR="002B106A" w:rsidRDefault="002B106A" w:rsidP="002B106A">
      <w:pPr>
        <w:pStyle w:val="ListParagraph"/>
        <w:spacing w:before="0"/>
        <w:ind w:left="1440" w:right="278" w:firstLine="0"/>
        <w:rPr>
          <w:sz w:val="20"/>
          <w:szCs w:val="20"/>
        </w:rPr>
      </w:pPr>
    </w:p>
    <w:p w14:paraId="480D4168" w14:textId="77777777" w:rsidR="002B106A" w:rsidRPr="00632BAA" w:rsidRDefault="002B106A" w:rsidP="002B106A">
      <w:pPr>
        <w:pStyle w:val="ListParagraph"/>
        <w:spacing w:before="0"/>
        <w:ind w:left="1440" w:right="278" w:firstLine="0"/>
        <w:rPr>
          <w:sz w:val="20"/>
          <w:szCs w:val="20"/>
        </w:rPr>
      </w:pPr>
    </w:p>
    <w:bookmarkEnd w:id="3"/>
    <w:p w14:paraId="660228B6" w14:textId="77777777" w:rsidR="00632BAA" w:rsidRPr="000F2C3D" w:rsidRDefault="00632BAA" w:rsidP="000F2C3D">
      <w:pPr>
        <w:ind w:left="720" w:right="278"/>
        <w:rPr>
          <w:b/>
          <w:bCs/>
          <w:sz w:val="20"/>
          <w:szCs w:val="20"/>
        </w:rPr>
      </w:pPr>
    </w:p>
    <w:p w14:paraId="1EDFBEA1" w14:textId="3E3A84B7" w:rsidR="00C02C7F" w:rsidRPr="00632BAA" w:rsidRDefault="001223F2" w:rsidP="00632BAA">
      <w:pPr>
        <w:pStyle w:val="ListParagraph"/>
        <w:numPr>
          <w:ilvl w:val="0"/>
          <w:numId w:val="3"/>
        </w:numPr>
        <w:spacing w:before="0"/>
        <w:ind w:left="810" w:right="278" w:firstLine="630"/>
        <w:rPr>
          <w:b/>
          <w:bCs/>
          <w:sz w:val="20"/>
          <w:szCs w:val="20"/>
        </w:rPr>
      </w:pPr>
      <w:r w:rsidRPr="00632BAA">
        <w:rPr>
          <w:b/>
          <w:bCs/>
          <w:sz w:val="20"/>
          <w:szCs w:val="20"/>
        </w:rPr>
        <w:t>AGOTAMIENTO DE LOS RECURSOS INTERNOS Y PLAZO DE PRESENTACIÓN</w:t>
      </w:r>
    </w:p>
    <w:p w14:paraId="752DACF3" w14:textId="77777777" w:rsidR="00632BAA" w:rsidRDefault="00632BAA" w:rsidP="00632BAA">
      <w:pPr>
        <w:pStyle w:val="ListParagraph"/>
        <w:spacing w:before="0"/>
        <w:ind w:left="1440" w:right="278" w:firstLine="0"/>
        <w:rPr>
          <w:sz w:val="20"/>
          <w:szCs w:val="20"/>
        </w:rPr>
      </w:pPr>
    </w:p>
    <w:p w14:paraId="0C305978" w14:textId="134236B0" w:rsidR="00BC44EA" w:rsidRPr="00632BAA" w:rsidRDefault="004D58D3" w:rsidP="00632BAA">
      <w:pPr>
        <w:pStyle w:val="ListParagraph"/>
        <w:numPr>
          <w:ilvl w:val="0"/>
          <w:numId w:val="2"/>
        </w:numPr>
        <w:spacing w:before="0"/>
        <w:ind w:left="720" w:right="278" w:firstLine="720"/>
        <w:rPr>
          <w:sz w:val="20"/>
          <w:szCs w:val="20"/>
        </w:rPr>
      </w:pPr>
      <w:r w:rsidRPr="00632BAA">
        <w:rPr>
          <w:sz w:val="20"/>
          <w:szCs w:val="20"/>
        </w:rPr>
        <w:t xml:space="preserve">El </w:t>
      </w:r>
      <w:r w:rsidR="00D95948" w:rsidRPr="00632BAA">
        <w:rPr>
          <w:sz w:val="20"/>
          <w:szCs w:val="20"/>
        </w:rPr>
        <w:t>E</w:t>
      </w:r>
      <w:r w:rsidRPr="00632BAA">
        <w:rPr>
          <w:sz w:val="20"/>
          <w:szCs w:val="20"/>
        </w:rPr>
        <w:t xml:space="preserve">stado sostiene </w:t>
      </w:r>
      <w:r w:rsidR="00D95948" w:rsidRPr="00632BAA">
        <w:rPr>
          <w:sz w:val="20"/>
          <w:szCs w:val="20"/>
        </w:rPr>
        <w:t xml:space="preserve">que </w:t>
      </w:r>
      <w:r w:rsidRPr="00632BAA">
        <w:rPr>
          <w:sz w:val="20"/>
          <w:szCs w:val="20"/>
        </w:rPr>
        <w:t xml:space="preserve">la CIDH carece de competencia </w:t>
      </w:r>
      <w:proofErr w:type="spellStart"/>
      <w:r w:rsidRPr="00632BAA">
        <w:rPr>
          <w:i/>
          <w:iCs/>
          <w:sz w:val="20"/>
          <w:szCs w:val="20"/>
        </w:rPr>
        <w:t>ratione</w:t>
      </w:r>
      <w:proofErr w:type="spellEnd"/>
      <w:r w:rsidRPr="00632BAA">
        <w:rPr>
          <w:i/>
          <w:iCs/>
          <w:sz w:val="20"/>
          <w:szCs w:val="20"/>
        </w:rPr>
        <w:t xml:space="preserve"> </w:t>
      </w:r>
      <w:proofErr w:type="spellStart"/>
      <w:r w:rsidRPr="00632BAA">
        <w:rPr>
          <w:i/>
          <w:iCs/>
          <w:sz w:val="20"/>
          <w:szCs w:val="20"/>
        </w:rPr>
        <w:t>temporis</w:t>
      </w:r>
      <w:proofErr w:type="spellEnd"/>
      <w:r w:rsidRPr="00632BAA">
        <w:rPr>
          <w:sz w:val="20"/>
          <w:szCs w:val="20"/>
        </w:rPr>
        <w:t xml:space="preserve"> para </w:t>
      </w:r>
      <w:r w:rsidR="00D95948" w:rsidRPr="00632BAA">
        <w:rPr>
          <w:sz w:val="20"/>
          <w:szCs w:val="20"/>
        </w:rPr>
        <w:t>los</w:t>
      </w:r>
      <w:r w:rsidRPr="00632BAA">
        <w:rPr>
          <w:sz w:val="20"/>
          <w:szCs w:val="20"/>
        </w:rPr>
        <w:t xml:space="preserve"> hechos </w:t>
      </w:r>
      <w:r w:rsidR="00D95948" w:rsidRPr="00632BAA">
        <w:rPr>
          <w:sz w:val="20"/>
          <w:szCs w:val="20"/>
        </w:rPr>
        <w:t>anteriores a la ratificación de la Convención Americana</w:t>
      </w:r>
      <w:r w:rsidR="005459F7">
        <w:rPr>
          <w:sz w:val="20"/>
          <w:szCs w:val="20"/>
        </w:rPr>
        <w:t>;</w:t>
      </w:r>
      <w:r w:rsidR="00D95948" w:rsidRPr="00632BAA">
        <w:rPr>
          <w:sz w:val="20"/>
          <w:szCs w:val="20"/>
        </w:rPr>
        <w:t xml:space="preserve"> y de competencia </w:t>
      </w:r>
      <w:proofErr w:type="spellStart"/>
      <w:r w:rsidR="00D95948" w:rsidRPr="00632BAA">
        <w:rPr>
          <w:i/>
          <w:iCs/>
          <w:sz w:val="20"/>
          <w:szCs w:val="20"/>
        </w:rPr>
        <w:t>ratione</w:t>
      </w:r>
      <w:proofErr w:type="spellEnd"/>
      <w:r w:rsidR="00D95948" w:rsidRPr="00632BAA">
        <w:rPr>
          <w:i/>
          <w:iCs/>
          <w:sz w:val="20"/>
          <w:szCs w:val="20"/>
        </w:rPr>
        <w:t xml:space="preserve"> </w:t>
      </w:r>
      <w:proofErr w:type="spellStart"/>
      <w:r w:rsidR="00D95948" w:rsidRPr="00632BAA">
        <w:rPr>
          <w:i/>
          <w:iCs/>
          <w:sz w:val="20"/>
          <w:szCs w:val="20"/>
        </w:rPr>
        <w:t>materiae</w:t>
      </w:r>
      <w:proofErr w:type="spellEnd"/>
      <w:r w:rsidR="00D95948" w:rsidRPr="00632BAA">
        <w:rPr>
          <w:sz w:val="20"/>
          <w:szCs w:val="20"/>
        </w:rPr>
        <w:t xml:space="preserve"> para los alegatos referentes a temas laborales y de seguridad social, que no estarían incluidos en </w:t>
      </w:r>
      <w:r w:rsidR="005459F7">
        <w:rPr>
          <w:sz w:val="20"/>
          <w:szCs w:val="20"/>
        </w:rPr>
        <w:t>dicho tratado,</w:t>
      </w:r>
      <w:r w:rsidR="00D95948" w:rsidRPr="00632BAA">
        <w:rPr>
          <w:sz w:val="20"/>
          <w:szCs w:val="20"/>
        </w:rPr>
        <w:t xml:space="preserve"> sino en el Protocolo de San Salvador que </w:t>
      </w:r>
      <w:r w:rsidR="005459F7">
        <w:rPr>
          <w:sz w:val="20"/>
          <w:szCs w:val="20"/>
        </w:rPr>
        <w:t xml:space="preserve">Chile </w:t>
      </w:r>
      <w:r w:rsidR="00D95948" w:rsidRPr="00632BAA">
        <w:rPr>
          <w:sz w:val="20"/>
          <w:szCs w:val="20"/>
        </w:rPr>
        <w:t xml:space="preserve">no ha ratificado. Asimismo, argumenta que </w:t>
      </w:r>
      <w:r w:rsidR="005459F7">
        <w:rPr>
          <w:sz w:val="20"/>
          <w:szCs w:val="20"/>
        </w:rPr>
        <w:t xml:space="preserve">el </w:t>
      </w:r>
      <w:r w:rsidR="00D95948" w:rsidRPr="00632BAA">
        <w:rPr>
          <w:sz w:val="20"/>
          <w:szCs w:val="20"/>
        </w:rPr>
        <w:t>peticionari</w:t>
      </w:r>
      <w:r w:rsidR="005459F7">
        <w:rPr>
          <w:sz w:val="20"/>
          <w:szCs w:val="20"/>
        </w:rPr>
        <w:t>o</w:t>
      </w:r>
      <w:r w:rsidR="00D95948" w:rsidRPr="00632BAA">
        <w:rPr>
          <w:sz w:val="20"/>
          <w:szCs w:val="20"/>
        </w:rPr>
        <w:t xml:space="preserve"> no agotó los recursos internos disponibles</w:t>
      </w:r>
      <w:r w:rsidR="005459F7">
        <w:rPr>
          <w:sz w:val="20"/>
          <w:szCs w:val="20"/>
        </w:rPr>
        <w:t>;</w:t>
      </w:r>
      <w:r w:rsidR="00D95948" w:rsidRPr="00632BAA">
        <w:rPr>
          <w:sz w:val="20"/>
          <w:szCs w:val="20"/>
        </w:rPr>
        <w:t xml:space="preserve"> y que la denuncia es manifiestamente infundada, </w:t>
      </w:r>
      <w:r w:rsidR="005459F7">
        <w:rPr>
          <w:sz w:val="20"/>
          <w:szCs w:val="20"/>
        </w:rPr>
        <w:t xml:space="preserve">ya </w:t>
      </w:r>
      <w:r w:rsidR="00D95948" w:rsidRPr="00632BAA">
        <w:rPr>
          <w:sz w:val="20"/>
          <w:szCs w:val="20"/>
        </w:rPr>
        <w:t xml:space="preserve">que se reconoció </w:t>
      </w:r>
      <w:r w:rsidR="000802B2">
        <w:rPr>
          <w:sz w:val="20"/>
          <w:szCs w:val="20"/>
        </w:rPr>
        <w:t>a</w:t>
      </w:r>
      <w:r w:rsidR="00C2012F">
        <w:rPr>
          <w:sz w:val="20"/>
          <w:szCs w:val="20"/>
        </w:rPr>
        <w:t>l peticionario</w:t>
      </w:r>
      <w:r w:rsidR="000802B2">
        <w:rPr>
          <w:sz w:val="20"/>
          <w:szCs w:val="20"/>
        </w:rPr>
        <w:t xml:space="preserve"> </w:t>
      </w:r>
      <w:r w:rsidR="00D95948" w:rsidRPr="00632BAA">
        <w:rPr>
          <w:sz w:val="20"/>
          <w:szCs w:val="20"/>
        </w:rPr>
        <w:t xml:space="preserve">el carácter de víctima de prisión política y tortura </w:t>
      </w:r>
      <w:r w:rsidR="005459F7">
        <w:rPr>
          <w:sz w:val="20"/>
          <w:szCs w:val="20"/>
        </w:rPr>
        <w:t xml:space="preserve">y se le </w:t>
      </w:r>
      <w:r w:rsidR="00D95948" w:rsidRPr="00632BAA">
        <w:rPr>
          <w:sz w:val="20"/>
          <w:szCs w:val="20"/>
        </w:rPr>
        <w:t>otorg</w:t>
      </w:r>
      <w:r w:rsidR="005459F7">
        <w:rPr>
          <w:sz w:val="20"/>
          <w:szCs w:val="20"/>
        </w:rPr>
        <w:t>ó</w:t>
      </w:r>
      <w:r w:rsidR="00D95948" w:rsidRPr="00632BAA">
        <w:rPr>
          <w:sz w:val="20"/>
          <w:szCs w:val="20"/>
        </w:rPr>
        <w:t xml:space="preserve"> </w:t>
      </w:r>
      <w:r w:rsidR="005459F7">
        <w:rPr>
          <w:sz w:val="20"/>
          <w:szCs w:val="20"/>
        </w:rPr>
        <w:t xml:space="preserve">la respectiva </w:t>
      </w:r>
      <w:r w:rsidR="00D95948" w:rsidRPr="00632BAA">
        <w:rPr>
          <w:sz w:val="20"/>
          <w:szCs w:val="20"/>
        </w:rPr>
        <w:t xml:space="preserve">reparación, </w:t>
      </w:r>
      <w:r w:rsidR="005459F7">
        <w:rPr>
          <w:sz w:val="20"/>
          <w:szCs w:val="20"/>
        </w:rPr>
        <w:t xml:space="preserve">por lo que no hay </w:t>
      </w:r>
      <w:r w:rsidR="00D95948" w:rsidRPr="00632BAA">
        <w:rPr>
          <w:sz w:val="20"/>
          <w:szCs w:val="20"/>
        </w:rPr>
        <w:t xml:space="preserve">motivo jurídico para </w:t>
      </w:r>
      <w:r w:rsidR="005459F7">
        <w:rPr>
          <w:sz w:val="20"/>
          <w:szCs w:val="20"/>
        </w:rPr>
        <w:t xml:space="preserve">reclamos </w:t>
      </w:r>
      <w:r w:rsidR="00D95948" w:rsidRPr="00632BAA">
        <w:rPr>
          <w:sz w:val="20"/>
          <w:szCs w:val="20"/>
        </w:rPr>
        <w:t>adicionales.</w:t>
      </w:r>
    </w:p>
    <w:p w14:paraId="5B3CF5BE" w14:textId="77777777" w:rsidR="00632BAA" w:rsidRPr="005459F7" w:rsidRDefault="00632BAA" w:rsidP="005459F7">
      <w:pPr>
        <w:ind w:left="720" w:right="278"/>
        <w:rPr>
          <w:sz w:val="20"/>
          <w:szCs w:val="20"/>
        </w:rPr>
      </w:pPr>
    </w:p>
    <w:p w14:paraId="5E84E4BF" w14:textId="44267174" w:rsidR="00EF4CDC" w:rsidRPr="00632BAA" w:rsidRDefault="005459F7" w:rsidP="00632BAA">
      <w:pPr>
        <w:pStyle w:val="ListParagraph"/>
        <w:numPr>
          <w:ilvl w:val="0"/>
          <w:numId w:val="2"/>
        </w:numPr>
        <w:spacing w:before="0"/>
        <w:ind w:left="720" w:right="278" w:firstLine="720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r w:rsidR="008373BB" w:rsidRPr="00632BAA">
        <w:rPr>
          <w:sz w:val="20"/>
          <w:szCs w:val="20"/>
        </w:rPr>
        <w:t>peticionari</w:t>
      </w:r>
      <w:r>
        <w:rPr>
          <w:sz w:val="20"/>
          <w:szCs w:val="20"/>
        </w:rPr>
        <w:t>o</w:t>
      </w:r>
      <w:r w:rsidR="008373BB" w:rsidRPr="00632BAA">
        <w:rPr>
          <w:sz w:val="20"/>
          <w:szCs w:val="20"/>
        </w:rPr>
        <w:t xml:space="preserve"> </w:t>
      </w:r>
      <w:r w:rsidR="00A0237F">
        <w:rPr>
          <w:sz w:val="20"/>
          <w:szCs w:val="20"/>
        </w:rPr>
        <w:t xml:space="preserve">invoca </w:t>
      </w:r>
      <w:r w:rsidR="008373BB" w:rsidRPr="00632BAA">
        <w:rPr>
          <w:sz w:val="20"/>
          <w:szCs w:val="20"/>
        </w:rPr>
        <w:t xml:space="preserve">la excepción al previo agotamiento debido a la </w:t>
      </w:r>
      <w:r>
        <w:rPr>
          <w:sz w:val="20"/>
          <w:szCs w:val="20"/>
        </w:rPr>
        <w:t xml:space="preserve">ausencia </w:t>
      </w:r>
      <w:r w:rsidR="008373BB" w:rsidRPr="00632BAA">
        <w:rPr>
          <w:sz w:val="20"/>
          <w:szCs w:val="20"/>
        </w:rPr>
        <w:t>o ineficacia de recursos internos</w:t>
      </w:r>
      <w:r w:rsidR="000E4A13" w:rsidRPr="00632BAA">
        <w:rPr>
          <w:sz w:val="20"/>
          <w:szCs w:val="20"/>
        </w:rPr>
        <w:t xml:space="preserve"> para satisfacer </w:t>
      </w:r>
      <w:r>
        <w:rPr>
          <w:sz w:val="20"/>
          <w:szCs w:val="20"/>
        </w:rPr>
        <w:t xml:space="preserve">sus </w:t>
      </w:r>
      <w:r w:rsidR="000E4A13" w:rsidRPr="00632BAA">
        <w:rPr>
          <w:sz w:val="20"/>
          <w:szCs w:val="20"/>
        </w:rPr>
        <w:t>demandas en materia de verdad, justicia y reparación.</w:t>
      </w:r>
      <w:r w:rsidR="00BC44EA" w:rsidRPr="00632BAA">
        <w:rPr>
          <w:sz w:val="20"/>
          <w:szCs w:val="20"/>
        </w:rPr>
        <w:t xml:space="preserve"> </w:t>
      </w:r>
      <w:r w:rsidR="00A0237F">
        <w:rPr>
          <w:sz w:val="20"/>
          <w:szCs w:val="20"/>
        </w:rPr>
        <w:t>A</w:t>
      </w:r>
      <w:r w:rsidR="00BC44EA" w:rsidRPr="00632BAA">
        <w:rPr>
          <w:sz w:val="20"/>
          <w:szCs w:val="20"/>
        </w:rPr>
        <w:t xml:space="preserve">firma que no </w:t>
      </w:r>
      <w:r w:rsidR="00A0237F">
        <w:rPr>
          <w:sz w:val="20"/>
          <w:szCs w:val="20"/>
        </w:rPr>
        <w:t xml:space="preserve">estaba en </w:t>
      </w:r>
      <w:r w:rsidR="00A0237F" w:rsidRPr="00632BAA">
        <w:rPr>
          <w:sz w:val="20"/>
          <w:szCs w:val="20"/>
        </w:rPr>
        <w:t>condición</w:t>
      </w:r>
      <w:r w:rsidR="00BC44EA" w:rsidRPr="00632BAA">
        <w:rPr>
          <w:sz w:val="20"/>
          <w:szCs w:val="20"/>
        </w:rPr>
        <w:t xml:space="preserve"> </w:t>
      </w:r>
      <w:r w:rsidR="00A0237F" w:rsidRPr="00632BAA">
        <w:rPr>
          <w:sz w:val="20"/>
          <w:szCs w:val="20"/>
        </w:rPr>
        <w:t xml:space="preserve">material, anímica </w:t>
      </w:r>
      <w:r w:rsidR="00A0237F">
        <w:rPr>
          <w:sz w:val="20"/>
          <w:szCs w:val="20"/>
        </w:rPr>
        <w:t xml:space="preserve">ni </w:t>
      </w:r>
      <w:r w:rsidR="00A0237F" w:rsidRPr="00632BAA">
        <w:rPr>
          <w:sz w:val="20"/>
          <w:szCs w:val="20"/>
        </w:rPr>
        <w:t xml:space="preserve">intelectual </w:t>
      </w:r>
      <w:r w:rsidR="00A0237F">
        <w:rPr>
          <w:sz w:val="20"/>
          <w:szCs w:val="20"/>
        </w:rPr>
        <w:t xml:space="preserve">para plantear la </w:t>
      </w:r>
      <w:r w:rsidR="00A0237F" w:rsidRPr="00632BAA">
        <w:rPr>
          <w:sz w:val="20"/>
          <w:szCs w:val="20"/>
        </w:rPr>
        <w:t>querella por apremios ilegítimos respecto a su prisión y tortura</w:t>
      </w:r>
      <w:r w:rsidR="00BC44EA" w:rsidRPr="00632BAA">
        <w:rPr>
          <w:sz w:val="20"/>
          <w:szCs w:val="20"/>
        </w:rPr>
        <w:t xml:space="preserve">, pues temía por represalias hacia </w:t>
      </w:r>
      <w:r w:rsidR="00A0237F">
        <w:rPr>
          <w:sz w:val="20"/>
          <w:szCs w:val="20"/>
        </w:rPr>
        <w:t xml:space="preserve">sí mismo </w:t>
      </w:r>
      <w:r w:rsidR="00BC44EA" w:rsidRPr="00632BAA">
        <w:rPr>
          <w:sz w:val="20"/>
          <w:szCs w:val="20"/>
        </w:rPr>
        <w:t xml:space="preserve">y su familia. </w:t>
      </w:r>
      <w:r w:rsidR="00A0237F">
        <w:rPr>
          <w:sz w:val="20"/>
          <w:szCs w:val="20"/>
        </w:rPr>
        <w:t>R</w:t>
      </w:r>
      <w:r w:rsidR="00BC44EA" w:rsidRPr="00632BAA">
        <w:rPr>
          <w:sz w:val="20"/>
          <w:szCs w:val="20"/>
        </w:rPr>
        <w:t xml:space="preserve">especto </w:t>
      </w:r>
      <w:r w:rsidR="00A0237F">
        <w:rPr>
          <w:sz w:val="20"/>
          <w:szCs w:val="20"/>
        </w:rPr>
        <w:t xml:space="preserve">a la falta de </w:t>
      </w:r>
      <w:r w:rsidR="00BC44EA" w:rsidRPr="00632BAA">
        <w:rPr>
          <w:sz w:val="20"/>
          <w:szCs w:val="20"/>
        </w:rPr>
        <w:t xml:space="preserve">pago del desahucio, afirma que presentó la solicitud durante los primeros meses de 1974 e hizo reclamo a la Contraloría General en noviembre de 1994. En conclusión, </w:t>
      </w:r>
      <w:r w:rsidR="00A0237F">
        <w:rPr>
          <w:sz w:val="20"/>
          <w:szCs w:val="20"/>
        </w:rPr>
        <w:t xml:space="preserve">califica de </w:t>
      </w:r>
      <w:r w:rsidR="00BC44EA" w:rsidRPr="00632BAA">
        <w:rPr>
          <w:sz w:val="20"/>
          <w:szCs w:val="20"/>
        </w:rPr>
        <w:t xml:space="preserve">injuriosa, falsa y mal intencionada la afirmación del Estado de que el objetivo de la denuncia sería generar un enriquecimiento indebido; indica </w:t>
      </w:r>
      <w:r w:rsidR="00A0237F">
        <w:rPr>
          <w:sz w:val="20"/>
          <w:szCs w:val="20"/>
        </w:rPr>
        <w:t xml:space="preserve">que, por el contrario, lo que </w:t>
      </w:r>
      <w:r w:rsidR="00BC44EA" w:rsidRPr="00632BAA">
        <w:rPr>
          <w:sz w:val="20"/>
          <w:szCs w:val="20"/>
        </w:rPr>
        <w:t xml:space="preserve">busca </w:t>
      </w:r>
      <w:r w:rsidR="00A0237F">
        <w:rPr>
          <w:sz w:val="20"/>
          <w:szCs w:val="20"/>
        </w:rPr>
        <w:t xml:space="preserve">es </w:t>
      </w:r>
      <w:r w:rsidR="00BC44EA" w:rsidRPr="00632BAA">
        <w:rPr>
          <w:sz w:val="20"/>
          <w:szCs w:val="20"/>
        </w:rPr>
        <w:t xml:space="preserve">que los daños sufridos finalmente </w:t>
      </w:r>
      <w:r w:rsidR="00A0237F">
        <w:rPr>
          <w:sz w:val="20"/>
          <w:szCs w:val="20"/>
        </w:rPr>
        <w:t xml:space="preserve">sean </w:t>
      </w:r>
      <w:r w:rsidR="00BC44EA" w:rsidRPr="00632BAA">
        <w:rPr>
          <w:sz w:val="20"/>
          <w:szCs w:val="20"/>
        </w:rPr>
        <w:t>integral</w:t>
      </w:r>
      <w:r w:rsidR="00A0237F">
        <w:rPr>
          <w:sz w:val="20"/>
          <w:szCs w:val="20"/>
        </w:rPr>
        <w:t>mente</w:t>
      </w:r>
      <w:r w:rsidR="00BC44EA" w:rsidRPr="00632BAA">
        <w:rPr>
          <w:sz w:val="20"/>
          <w:szCs w:val="20"/>
        </w:rPr>
        <w:t xml:space="preserve"> repara</w:t>
      </w:r>
      <w:r w:rsidR="00A0237F">
        <w:rPr>
          <w:sz w:val="20"/>
          <w:szCs w:val="20"/>
        </w:rPr>
        <w:t>dos</w:t>
      </w:r>
      <w:r w:rsidR="00BC44EA" w:rsidRPr="00632BAA">
        <w:rPr>
          <w:sz w:val="20"/>
          <w:szCs w:val="20"/>
        </w:rPr>
        <w:t>.</w:t>
      </w:r>
    </w:p>
    <w:p w14:paraId="0EDCE020" w14:textId="77777777" w:rsidR="00632BAA" w:rsidRDefault="00632BAA" w:rsidP="00632BAA">
      <w:pPr>
        <w:pStyle w:val="ListParagraph"/>
        <w:spacing w:before="0"/>
        <w:ind w:left="1440" w:right="278" w:firstLine="0"/>
        <w:rPr>
          <w:sz w:val="20"/>
          <w:szCs w:val="20"/>
        </w:rPr>
      </w:pPr>
    </w:p>
    <w:p w14:paraId="11160628" w14:textId="0B1EE937" w:rsidR="00384697" w:rsidRPr="00101AB2" w:rsidRDefault="00C32EED" w:rsidP="002E054E">
      <w:pPr>
        <w:pStyle w:val="ListParagraph"/>
        <w:numPr>
          <w:ilvl w:val="0"/>
          <w:numId w:val="2"/>
        </w:numPr>
        <w:spacing w:before="0"/>
        <w:ind w:left="720" w:right="278" w:firstLine="720"/>
        <w:rPr>
          <w:sz w:val="20"/>
          <w:szCs w:val="20"/>
        </w:rPr>
      </w:pPr>
      <w:r w:rsidRPr="00101AB2">
        <w:rPr>
          <w:sz w:val="20"/>
          <w:szCs w:val="20"/>
        </w:rPr>
        <w:t>La C</w:t>
      </w:r>
      <w:r w:rsidR="00101AB2" w:rsidRPr="00101AB2">
        <w:rPr>
          <w:sz w:val="20"/>
          <w:szCs w:val="20"/>
        </w:rPr>
        <w:t>IDH</w:t>
      </w:r>
      <w:r w:rsidRPr="00101AB2">
        <w:rPr>
          <w:sz w:val="20"/>
          <w:szCs w:val="20"/>
        </w:rPr>
        <w:t xml:space="preserve"> observa</w:t>
      </w:r>
      <w:r w:rsidR="00D435E8" w:rsidRPr="00101AB2">
        <w:rPr>
          <w:sz w:val="20"/>
          <w:szCs w:val="20"/>
        </w:rPr>
        <w:t xml:space="preserve"> </w:t>
      </w:r>
      <w:r w:rsidRPr="00101AB2">
        <w:rPr>
          <w:sz w:val="20"/>
          <w:szCs w:val="20"/>
        </w:rPr>
        <w:t>que</w:t>
      </w:r>
      <w:r w:rsidR="00D435E8" w:rsidRPr="00101AB2">
        <w:rPr>
          <w:sz w:val="20"/>
          <w:szCs w:val="20"/>
        </w:rPr>
        <w:t>,</w:t>
      </w:r>
      <w:r w:rsidRPr="00101AB2">
        <w:rPr>
          <w:sz w:val="20"/>
          <w:szCs w:val="20"/>
        </w:rPr>
        <w:t xml:space="preserve"> </w:t>
      </w:r>
      <w:r w:rsidR="00D435E8" w:rsidRPr="00101AB2">
        <w:rPr>
          <w:sz w:val="20"/>
          <w:szCs w:val="20"/>
        </w:rPr>
        <w:t>entre los hechos alega</w:t>
      </w:r>
      <w:r w:rsidR="00101AB2" w:rsidRPr="00101AB2">
        <w:rPr>
          <w:sz w:val="20"/>
          <w:szCs w:val="20"/>
        </w:rPr>
        <w:t>d</w:t>
      </w:r>
      <w:r w:rsidR="00D435E8" w:rsidRPr="00101AB2">
        <w:rPr>
          <w:sz w:val="20"/>
          <w:szCs w:val="20"/>
        </w:rPr>
        <w:t>os anteriores a</w:t>
      </w:r>
      <w:r w:rsidR="00101AB2" w:rsidRPr="00101AB2">
        <w:rPr>
          <w:sz w:val="20"/>
          <w:szCs w:val="20"/>
        </w:rPr>
        <w:t>l</w:t>
      </w:r>
      <w:r w:rsidR="00D435E8" w:rsidRPr="00101AB2">
        <w:rPr>
          <w:sz w:val="20"/>
          <w:szCs w:val="20"/>
        </w:rPr>
        <w:t xml:space="preserve"> 21 de agosto de 1990</w:t>
      </w:r>
      <w:r w:rsidR="00EF4CDC" w:rsidRPr="00101AB2">
        <w:rPr>
          <w:sz w:val="20"/>
          <w:szCs w:val="20"/>
        </w:rPr>
        <w:t xml:space="preserve"> </w:t>
      </w:r>
      <w:r w:rsidR="00101AB2" w:rsidRPr="00101AB2">
        <w:rPr>
          <w:sz w:val="20"/>
          <w:szCs w:val="20"/>
        </w:rPr>
        <w:t>--</w:t>
      </w:r>
      <w:r w:rsidR="00EF4CDC" w:rsidRPr="00101AB2">
        <w:rPr>
          <w:sz w:val="20"/>
          <w:szCs w:val="20"/>
        </w:rPr>
        <w:t>fecha de depósito del instrumento de ratificación de la Convención Americana por Chile</w:t>
      </w:r>
      <w:r w:rsidR="00101AB2" w:rsidRPr="00101AB2">
        <w:rPr>
          <w:sz w:val="20"/>
          <w:szCs w:val="20"/>
        </w:rPr>
        <w:t>--</w:t>
      </w:r>
      <w:r w:rsidR="00D435E8" w:rsidRPr="00101AB2">
        <w:rPr>
          <w:sz w:val="20"/>
          <w:szCs w:val="20"/>
        </w:rPr>
        <w:t xml:space="preserve"> se incluyen la </w:t>
      </w:r>
      <w:r w:rsidRPr="00101AB2">
        <w:rPr>
          <w:sz w:val="20"/>
          <w:szCs w:val="20"/>
        </w:rPr>
        <w:t>detención arbitraria, agresiones, amenazas</w:t>
      </w:r>
      <w:r w:rsidR="00D435E8" w:rsidRPr="00101AB2">
        <w:rPr>
          <w:sz w:val="20"/>
          <w:szCs w:val="20"/>
        </w:rPr>
        <w:t xml:space="preserve"> y</w:t>
      </w:r>
      <w:r w:rsidRPr="00101AB2">
        <w:rPr>
          <w:sz w:val="20"/>
          <w:szCs w:val="20"/>
        </w:rPr>
        <w:t xml:space="preserve"> tortura</w:t>
      </w:r>
      <w:r w:rsidR="00D435E8" w:rsidRPr="00101AB2">
        <w:rPr>
          <w:sz w:val="20"/>
          <w:szCs w:val="20"/>
        </w:rPr>
        <w:t xml:space="preserve"> del </w:t>
      </w:r>
      <w:r w:rsidR="00101AB2" w:rsidRPr="00101AB2">
        <w:rPr>
          <w:sz w:val="20"/>
          <w:szCs w:val="20"/>
        </w:rPr>
        <w:t>peticionario</w:t>
      </w:r>
      <w:r w:rsidRPr="00101AB2">
        <w:rPr>
          <w:sz w:val="20"/>
          <w:szCs w:val="20"/>
        </w:rPr>
        <w:t>,</w:t>
      </w:r>
      <w:r w:rsidR="00D435E8" w:rsidRPr="00101AB2">
        <w:rPr>
          <w:sz w:val="20"/>
          <w:szCs w:val="20"/>
        </w:rPr>
        <w:t xml:space="preserve"> así como su despido ilegal y la posterior </w:t>
      </w:r>
      <w:r w:rsidR="00101AB2" w:rsidRPr="00101AB2">
        <w:rPr>
          <w:sz w:val="20"/>
          <w:szCs w:val="20"/>
        </w:rPr>
        <w:t xml:space="preserve">persecución laboral, </w:t>
      </w:r>
      <w:r w:rsidR="00D435E8" w:rsidRPr="00101AB2">
        <w:rPr>
          <w:sz w:val="20"/>
          <w:szCs w:val="20"/>
        </w:rPr>
        <w:t xml:space="preserve">ambos conectados a </w:t>
      </w:r>
      <w:r w:rsidR="00101AB2" w:rsidRPr="00101AB2">
        <w:rPr>
          <w:sz w:val="20"/>
          <w:szCs w:val="20"/>
        </w:rPr>
        <w:t xml:space="preserve">la </w:t>
      </w:r>
      <w:r w:rsidR="00D435E8" w:rsidRPr="00101AB2">
        <w:rPr>
          <w:sz w:val="20"/>
          <w:szCs w:val="20"/>
        </w:rPr>
        <w:t>prisión política y tortura</w:t>
      </w:r>
      <w:r w:rsidR="00101AB2" w:rsidRPr="00101AB2">
        <w:rPr>
          <w:sz w:val="20"/>
          <w:szCs w:val="20"/>
        </w:rPr>
        <w:t xml:space="preserve"> reconocidas por la Comisión </w:t>
      </w:r>
      <w:proofErr w:type="spellStart"/>
      <w:r w:rsidR="00101AB2" w:rsidRPr="00101AB2">
        <w:rPr>
          <w:sz w:val="20"/>
          <w:szCs w:val="20"/>
        </w:rPr>
        <w:t>Valech</w:t>
      </w:r>
      <w:proofErr w:type="spellEnd"/>
      <w:r w:rsidR="00D435E8" w:rsidRPr="00101AB2">
        <w:rPr>
          <w:sz w:val="20"/>
          <w:szCs w:val="20"/>
        </w:rPr>
        <w:t xml:space="preserve">. </w:t>
      </w:r>
      <w:r w:rsidR="00101AB2" w:rsidRPr="00101AB2">
        <w:rPr>
          <w:sz w:val="20"/>
          <w:szCs w:val="20"/>
        </w:rPr>
        <w:t>Asimismo, la Comisión Interamericana nota que l</w:t>
      </w:r>
      <w:r w:rsidR="00D435E8" w:rsidRPr="00101AB2">
        <w:rPr>
          <w:sz w:val="20"/>
          <w:szCs w:val="20"/>
        </w:rPr>
        <w:t>os alegatos de la parte peticionaria se refieren a la continua impunidad de estos hechos</w:t>
      </w:r>
      <w:r w:rsidR="00101AB2" w:rsidRPr="00101AB2">
        <w:rPr>
          <w:sz w:val="20"/>
          <w:szCs w:val="20"/>
        </w:rPr>
        <w:t>; por lo tanto, tiene competencia</w:t>
      </w:r>
      <w:r w:rsidR="00E1686D" w:rsidRPr="00101AB2">
        <w:rPr>
          <w:sz w:val="20"/>
          <w:szCs w:val="20"/>
        </w:rPr>
        <w:t xml:space="preserve"> </w:t>
      </w:r>
      <w:proofErr w:type="spellStart"/>
      <w:r w:rsidR="00E1686D" w:rsidRPr="00101AB2">
        <w:rPr>
          <w:i/>
          <w:iCs/>
          <w:sz w:val="20"/>
          <w:szCs w:val="20"/>
        </w:rPr>
        <w:t>ratione</w:t>
      </w:r>
      <w:proofErr w:type="spellEnd"/>
      <w:r w:rsidR="00E1686D" w:rsidRPr="00101AB2">
        <w:rPr>
          <w:i/>
          <w:iCs/>
          <w:sz w:val="20"/>
          <w:szCs w:val="20"/>
        </w:rPr>
        <w:t xml:space="preserve"> </w:t>
      </w:r>
      <w:proofErr w:type="spellStart"/>
      <w:r w:rsidR="00E1686D" w:rsidRPr="00101AB2">
        <w:rPr>
          <w:i/>
          <w:iCs/>
          <w:sz w:val="20"/>
          <w:szCs w:val="20"/>
        </w:rPr>
        <w:t>temporis</w:t>
      </w:r>
      <w:proofErr w:type="spellEnd"/>
      <w:r w:rsidR="00E1686D" w:rsidRPr="00101AB2">
        <w:rPr>
          <w:sz w:val="20"/>
          <w:szCs w:val="20"/>
        </w:rPr>
        <w:t xml:space="preserve"> para evaluar </w:t>
      </w:r>
      <w:r w:rsidR="00101AB2">
        <w:rPr>
          <w:sz w:val="20"/>
          <w:szCs w:val="20"/>
        </w:rPr>
        <w:t xml:space="preserve">tales hechos </w:t>
      </w:r>
      <w:r w:rsidR="002B49D5" w:rsidRPr="00101AB2">
        <w:rPr>
          <w:sz w:val="20"/>
          <w:szCs w:val="20"/>
        </w:rPr>
        <w:t>a la luz de la Declaración Americana</w:t>
      </w:r>
      <w:r w:rsidR="00101AB2">
        <w:rPr>
          <w:sz w:val="20"/>
          <w:szCs w:val="20"/>
        </w:rPr>
        <w:t xml:space="preserve">. </w:t>
      </w:r>
      <w:r w:rsidR="0017086E">
        <w:rPr>
          <w:sz w:val="20"/>
          <w:szCs w:val="20"/>
        </w:rPr>
        <w:t xml:space="preserve">Las </w:t>
      </w:r>
      <w:r w:rsidR="00101AB2">
        <w:rPr>
          <w:sz w:val="20"/>
          <w:szCs w:val="20"/>
        </w:rPr>
        <w:t xml:space="preserve">presuntas </w:t>
      </w:r>
      <w:r w:rsidR="002B49D5" w:rsidRPr="00101AB2">
        <w:rPr>
          <w:sz w:val="20"/>
          <w:szCs w:val="20"/>
        </w:rPr>
        <w:t xml:space="preserve">omisiones de las autoridades judiciales y demás hechos que </w:t>
      </w:r>
      <w:r w:rsidR="0017086E">
        <w:rPr>
          <w:sz w:val="20"/>
          <w:szCs w:val="20"/>
        </w:rPr>
        <w:t xml:space="preserve">habrían tenido </w:t>
      </w:r>
      <w:r w:rsidR="002B49D5" w:rsidRPr="00101AB2">
        <w:rPr>
          <w:sz w:val="20"/>
          <w:szCs w:val="20"/>
        </w:rPr>
        <w:t xml:space="preserve">lugar </w:t>
      </w:r>
      <w:r w:rsidR="0017086E">
        <w:rPr>
          <w:sz w:val="20"/>
          <w:szCs w:val="20"/>
        </w:rPr>
        <w:t>--</w:t>
      </w:r>
      <w:r w:rsidR="0017086E" w:rsidRPr="00101AB2">
        <w:rPr>
          <w:sz w:val="20"/>
          <w:szCs w:val="20"/>
        </w:rPr>
        <w:t xml:space="preserve">o cuyos efectos </w:t>
      </w:r>
      <w:r w:rsidR="0017086E">
        <w:rPr>
          <w:sz w:val="20"/>
          <w:szCs w:val="20"/>
        </w:rPr>
        <w:t xml:space="preserve">hubieran </w:t>
      </w:r>
      <w:r w:rsidR="0017086E" w:rsidRPr="00101AB2">
        <w:rPr>
          <w:sz w:val="20"/>
          <w:szCs w:val="20"/>
        </w:rPr>
        <w:t>continua</w:t>
      </w:r>
      <w:r w:rsidR="0017086E">
        <w:rPr>
          <w:sz w:val="20"/>
          <w:szCs w:val="20"/>
        </w:rPr>
        <w:t>do--</w:t>
      </w:r>
      <w:r w:rsidR="0017086E" w:rsidRPr="00101AB2">
        <w:rPr>
          <w:sz w:val="20"/>
          <w:szCs w:val="20"/>
        </w:rPr>
        <w:t xml:space="preserve"> </w:t>
      </w:r>
      <w:r w:rsidR="002B49D5" w:rsidRPr="00101AB2">
        <w:rPr>
          <w:sz w:val="20"/>
          <w:szCs w:val="20"/>
        </w:rPr>
        <w:t xml:space="preserve">bajo la vigencia de la Convención Americana, </w:t>
      </w:r>
      <w:r w:rsidR="0017086E">
        <w:rPr>
          <w:sz w:val="20"/>
          <w:szCs w:val="20"/>
        </w:rPr>
        <w:t xml:space="preserve">serán analizados </w:t>
      </w:r>
      <w:r w:rsidR="002B49D5" w:rsidRPr="00101AB2">
        <w:rPr>
          <w:sz w:val="20"/>
          <w:szCs w:val="20"/>
        </w:rPr>
        <w:t xml:space="preserve">a la luz de </w:t>
      </w:r>
      <w:r w:rsidR="0017086E">
        <w:rPr>
          <w:sz w:val="20"/>
          <w:szCs w:val="20"/>
        </w:rPr>
        <w:t>dicho tratado</w:t>
      </w:r>
      <w:r w:rsidR="002B49D5" w:rsidRPr="00101AB2">
        <w:rPr>
          <w:sz w:val="20"/>
          <w:szCs w:val="20"/>
        </w:rPr>
        <w:t>.</w:t>
      </w:r>
      <w:r w:rsidR="002B49D5" w:rsidRPr="00632BAA">
        <w:rPr>
          <w:sz w:val="20"/>
          <w:szCs w:val="20"/>
          <w:vertAlign w:val="superscript"/>
        </w:rPr>
        <w:footnoteReference w:id="1"/>
      </w:r>
      <w:r w:rsidR="002B49D5" w:rsidRPr="00101AB2">
        <w:rPr>
          <w:sz w:val="20"/>
          <w:szCs w:val="20"/>
        </w:rPr>
        <w:t xml:space="preserve"> </w:t>
      </w:r>
      <w:r w:rsidR="00A228FD" w:rsidRPr="00101AB2">
        <w:rPr>
          <w:sz w:val="20"/>
          <w:szCs w:val="20"/>
        </w:rPr>
        <w:t xml:space="preserve">Asimismo, la CIDH es competente </w:t>
      </w:r>
      <w:proofErr w:type="spellStart"/>
      <w:r w:rsidR="00A228FD" w:rsidRPr="00101AB2">
        <w:rPr>
          <w:i/>
          <w:iCs/>
          <w:sz w:val="20"/>
          <w:szCs w:val="20"/>
        </w:rPr>
        <w:t>ratione</w:t>
      </w:r>
      <w:proofErr w:type="spellEnd"/>
      <w:r w:rsidR="00A228FD" w:rsidRPr="00101AB2">
        <w:rPr>
          <w:i/>
          <w:iCs/>
          <w:sz w:val="20"/>
          <w:szCs w:val="20"/>
        </w:rPr>
        <w:t xml:space="preserve"> </w:t>
      </w:r>
      <w:proofErr w:type="spellStart"/>
      <w:r w:rsidR="001A3697" w:rsidRPr="00101AB2">
        <w:rPr>
          <w:i/>
          <w:iCs/>
          <w:sz w:val="20"/>
          <w:szCs w:val="20"/>
        </w:rPr>
        <w:t>materiae</w:t>
      </w:r>
      <w:proofErr w:type="spellEnd"/>
      <w:r w:rsidR="00A228FD" w:rsidRPr="00101AB2">
        <w:rPr>
          <w:i/>
          <w:iCs/>
          <w:sz w:val="20"/>
          <w:szCs w:val="20"/>
        </w:rPr>
        <w:t xml:space="preserve"> </w:t>
      </w:r>
      <w:r w:rsidR="00A228FD" w:rsidRPr="00101AB2">
        <w:rPr>
          <w:sz w:val="20"/>
          <w:szCs w:val="20"/>
        </w:rPr>
        <w:t>para evaluar l</w:t>
      </w:r>
      <w:r w:rsidR="0017086E">
        <w:rPr>
          <w:sz w:val="20"/>
          <w:szCs w:val="20"/>
        </w:rPr>
        <w:t xml:space="preserve">as denuncias de violación de derechos </w:t>
      </w:r>
      <w:r w:rsidR="00A228FD" w:rsidRPr="00101AB2">
        <w:rPr>
          <w:sz w:val="20"/>
          <w:szCs w:val="20"/>
        </w:rPr>
        <w:t>laborales y de seguridad social bajo el artículo 26 de la Convención Americana.</w:t>
      </w:r>
      <w:r w:rsidR="00A228FD" w:rsidRPr="00632BAA">
        <w:rPr>
          <w:sz w:val="20"/>
          <w:szCs w:val="20"/>
          <w:vertAlign w:val="superscript"/>
        </w:rPr>
        <w:footnoteReference w:id="2"/>
      </w:r>
    </w:p>
    <w:p w14:paraId="6D10B4EE" w14:textId="77777777" w:rsidR="00632BAA" w:rsidRPr="0017086E" w:rsidRDefault="00632BAA" w:rsidP="0017086E">
      <w:pPr>
        <w:ind w:left="720" w:right="278"/>
        <w:rPr>
          <w:sz w:val="20"/>
          <w:szCs w:val="20"/>
        </w:rPr>
      </w:pPr>
    </w:p>
    <w:p w14:paraId="31B7FFB9" w14:textId="0A3F14F4" w:rsidR="00280994" w:rsidRPr="00632BAA" w:rsidRDefault="009470E8" w:rsidP="00632BAA">
      <w:pPr>
        <w:pStyle w:val="ListParagraph"/>
        <w:numPr>
          <w:ilvl w:val="0"/>
          <w:numId w:val="2"/>
        </w:numPr>
        <w:spacing w:before="0"/>
        <w:ind w:left="720" w:right="278" w:firstLine="720"/>
        <w:rPr>
          <w:sz w:val="20"/>
          <w:szCs w:val="20"/>
        </w:rPr>
      </w:pPr>
      <w:r w:rsidRPr="00632BAA">
        <w:rPr>
          <w:sz w:val="20"/>
          <w:szCs w:val="20"/>
        </w:rPr>
        <w:t>La petición incluye alegatos de violaciones como consecuencia de hechos relacionados a la detención arbitraria, agresiones, amenazas, tortura, despido ilegal y persecución laboral ocurridos durante la dictadura</w:t>
      </w:r>
      <w:r w:rsidR="0017086E">
        <w:rPr>
          <w:sz w:val="20"/>
          <w:szCs w:val="20"/>
        </w:rPr>
        <w:t xml:space="preserve"> militar</w:t>
      </w:r>
      <w:r w:rsidRPr="00632BAA">
        <w:rPr>
          <w:sz w:val="20"/>
          <w:szCs w:val="20"/>
        </w:rPr>
        <w:t xml:space="preserve">, así como </w:t>
      </w:r>
      <w:r w:rsidR="0017086E">
        <w:rPr>
          <w:sz w:val="20"/>
          <w:szCs w:val="20"/>
        </w:rPr>
        <w:t>su</w:t>
      </w:r>
      <w:r w:rsidR="00696FF2" w:rsidRPr="00632BAA">
        <w:rPr>
          <w:sz w:val="20"/>
          <w:szCs w:val="20"/>
        </w:rPr>
        <w:t xml:space="preserve"> </w:t>
      </w:r>
      <w:r w:rsidRPr="00632BAA">
        <w:rPr>
          <w:sz w:val="20"/>
          <w:szCs w:val="20"/>
        </w:rPr>
        <w:t>falta de investigación y reparación integral</w:t>
      </w:r>
      <w:r w:rsidR="00696FF2" w:rsidRPr="00632BAA">
        <w:rPr>
          <w:sz w:val="20"/>
          <w:szCs w:val="20"/>
        </w:rPr>
        <w:t xml:space="preserve">, con consecuencias que incluyen perjuicios </w:t>
      </w:r>
      <w:r w:rsidR="0017086E">
        <w:rPr>
          <w:sz w:val="20"/>
          <w:szCs w:val="20"/>
        </w:rPr>
        <w:t xml:space="preserve">en materia </w:t>
      </w:r>
      <w:r w:rsidR="00696FF2" w:rsidRPr="00632BAA">
        <w:rPr>
          <w:sz w:val="20"/>
          <w:szCs w:val="20"/>
        </w:rPr>
        <w:t>pensi</w:t>
      </w:r>
      <w:r w:rsidR="0017086E">
        <w:rPr>
          <w:sz w:val="20"/>
          <w:szCs w:val="20"/>
        </w:rPr>
        <w:t>onal</w:t>
      </w:r>
      <w:r w:rsidRPr="00632BAA">
        <w:rPr>
          <w:sz w:val="20"/>
          <w:szCs w:val="20"/>
        </w:rPr>
        <w:t xml:space="preserve">. </w:t>
      </w:r>
      <w:r w:rsidR="00FE37AF">
        <w:rPr>
          <w:sz w:val="20"/>
          <w:szCs w:val="20"/>
        </w:rPr>
        <w:t xml:space="preserve">La </w:t>
      </w:r>
      <w:r w:rsidR="00FE37AF" w:rsidRPr="00632BAA">
        <w:rPr>
          <w:sz w:val="20"/>
          <w:szCs w:val="20"/>
        </w:rPr>
        <w:t>C</w:t>
      </w:r>
      <w:r w:rsidR="00FE37AF">
        <w:rPr>
          <w:sz w:val="20"/>
          <w:szCs w:val="20"/>
        </w:rPr>
        <w:t xml:space="preserve">omisión Interamericana </w:t>
      </w:r>
      <w:r w:rsidR="00696FF2" w:rsidRPr="00632BAA">
        <w:rPr>
          <w:sz w:val="20"/>
          <w:szCs w:val="20"/>
        </w:rPr>
        <w:t xml:space="preserve">no </w:t>
      </w:r>
      <w:proofErr w:type="spellStart"/>
      <w:r w:rsidR="00696FF2" w:rsidRPr="00632BAA">
        <w:rPr>
          <w:sz w:val="20"/>
          <w:szCs w:val="20"/>
        </w:rPr>
        <w:t>ha</w:t>
      </w:r>
      <w:r w:rsidR="0017086E">
        <w:rPr>
          <w:sz w:val="20"/>
          <w:szCs w:val="20"/>
        </w:rPr>
        <w:t>lla</w:t>
      </w:r>
      <w:proofErr w:type="spellEnd"/>
      <w:r w:rsidR="00696FF2" w:rsidRPr="00632BAA">
        <w:rPr>
          <w:sz w:val="20"/>
          <w:szCs w:val="20"/>
        </w:rPr>
        <w:t xml:space="preserve"> información concreta </w:t>
      </w:r>
      <w:r w:rsidR="00FE37AF">
        <w:rPr>
          <w:sz w:val="20"/>
          <w:szCs w:val="20"/>
        </w:rPr>
        <w:t xml:space="preserve">en el expediente </w:t>
      </w:r>
      <w:r w:rsidR="00696FF2" w:rsidRPr="00632BAA">
        <w:rPr>
          <w:sz w:val="20"/>
          <w:szCs w:val="20"/>
        </w:rPr>
        <w:t xml:space="preserve">sobre agotamiento </w:t>
      </w:r>
      <w:r w:rsidR="0017086E">
        <w:rPr>
          <w:sz w:val="20"/>
          <w:szCs w:val="20"/>
        </w:rPr>
        <w:t>de recursos internos</w:t>
      </w:r>
      <w:r w:rsidR="00FE37AF">
        <w:rPr>
          <w:sz w:val="20"/>
          <w:szCs w:val="20"/>
        </w:rPr>
        <w:t xml:space="preserve"> respecto a la</w:t>
      </w:r>
      <w:r w:rsidR="00696FF2" w:rsidRPr="00632BAA">
        <w:rPr>
          <w:sz w:val="20"/>
          <w:szCs w:val="20"/>
        </w:rPr>
        <w:t xml:space="preserve"> </w:t>
      </w:r>
      <w:r w:rsidR="0017086E">
        <w:rPr>
          <w:sz w:val="20"/>
          <w:szCs w:val="20"/>
        </w:rPr>
        <w:t xml:space="preserve">presunta </w:t>
      </w:r>
      <w:r w:rsidR="00696FF2" w:rsidRPr="00632BAA">
        <w:rPr>
          <w:sz w:val="20"/>
          <w:szCs w:val="20"/>
        </w:rPr>
        <w:t>tortura</w:t>
      </w:r>
      <w:r w:rsidR="00FE37AF">
        <w:rPr>
          <w:sz w:val="20"/>
          <w:szCs w:val="20"/>
        </w:rPr>
        <w:t>;</w:t>
      </w:r>
      <w:r w:rsidR="00696FF2" w:rsidRPr="00632BAA">
        <w:rPr>
          <w:sz w:val="20"/>
          <w:szCs w:val="20"/>
        </w:rPr>
        <w:t xml:space="preserve"> </w:t>
      </w:r>
      <w:r w:rsidR="00FE37AF">
        <w:rPr>
          <w:sz w:val="20"/>
          <w:szCs w:val="20"/>
        </w:rPr>
        <w:t xml:space="preserve">sin embargo, cabe destacar que en casos de esta naturaleza </w:t>
      </w:r>
      <w:r w:rsidR="00696FF2" w:rsidRPr="00632BAA">
        <w:rPr>
          <w:sz w:val="20"/>
          <w:szCs w:val="20"/>
        </w:rPr>
        <w:t>corresponde al Estado promover e impulsar la debida investigación y procesamiento de los responsables. L</w:t>
      </w:r>
      <w:r w:rsidR="00280994" w:rsidRPr="00632BAA">
        <w:rPr>
          <w:sz w:val="20"/>
          <w:szCs w:val="20"/>
        </w:rPr>
        <w:t>a</w:t>
      </w:r>
      <w:r w:rsidR="004A6717" w:rsidRPr="00632BAA">
        <w:rPr>
          <w:sz w:val="20"/>
          <w:szCs w:val="20"/>
        </w:rPr>
        <w:t xml:space="preserve"> </w:t>
      </w:r>
      <w:r w:rsidR="00280994" w:rsidRPr="00632BAA">
        <w:rPr>
          <w:sz w:val="20"/>
          <w:szCs w:val="20"/>
        </w:rPr>
        <w:t xml:space="preserve">jurisprudencia de la CIDH señala que son esas investigaciones impulsadas por el Estado, las que deben ser consideradas a efecto de determinar la admisibilidad del reclamo. </w:t>
      </w:r>
      <w:r w:rsidR="00FE37AF">
        <w:rPr>
          <w:sz w:val="20"/>
          <w:szCs w:val="20"/>
        </w:rPr>
        <w:t xml:space="preserve">Por lo tanto, </w:t>
      </w:r>
      <w:r w:rsidR="00280994" w:rsidRPr="00632BAA">
        <w:rPr>
          <w:sz w:val="20"/>
          <w:szCs w:val="20"/>
        </w:rPr>
        <w:t xml:space="preserve">la Comisión </w:t>
      </w:r>
      <w:r w:rsidR="00FE37AF">
        <w:rPr>
          <w:sz w:val="20"/>
          <w:szCs w:val="20"/>
        </w:rPr>
        <w:t xml:space="preserve">Interamericana decide aplicar </w:t>
      </w:r>
      <w:r w:rsidR="00696FF2" w:rsidRPr="00632BAA">
        <w:rPr>
          <w:sz w:val="20"/>
          <w:szCs w:val="20"/>
        </w:rPr>
        <w:t>a</w:t>
      </w:r>
      <w:r w:rsidR="00280994" w:rsidRPr="00632BAA">
        <w:rPr>
          <w:sz w:val="20"/>
          <w:szCs w:val="20"/>
        </w:rPr>
        <w:t xml:space="preserve">l presente </w:t>
      </w:r>
      <w:r w:rsidR="00FE37AF">
        <w:rPr>
          <w:sz w:val="20"/>
          <w:szCs w:val="20"/>
        </w:rPr>
        <w:t xml:space="preserve">asunto </w:t>
      </w:r>
      <w:r w:rsidR="00280994" w:rsidRPr="00632BAA">
        <w:rPr>
          <w:sz w:val="20"/>
          <w:szCs w:val="20"/>
        </w:rPr>
        <w:t>la excepción al agotamiento prevista en el artículo 46.2</w:t>
      </w:r>
      <w:r w:rsidR="00FE37AF">
        <w:rPr>
          <w:sz w:val="20"/>
          <w:szCs w:val="20"/>
        </w:rPr>
        <w:t>(</w:t>
      </w:r>
      <w:r w:rsidR="00280994" w:rsidRPr="00632BAA">
        <w:rPr>
          <w:sz w:val="20"/>
          <w:szCs w:val="20"/>
        </w:rPr>
        <w:t>a</w:t>
      </w:r>
      <w:r w:rsidR="00FE37AF">
        <w:rPr>
          <w:sz w:val="20"/>
          <w:szCs w:val="20"/>
        </w:rPr>
        <w:t>)</w:t>
      </w:r>
      <w:r w:rsidR="00280994" w:rsidRPr="00632BAA">
        <w:rPr>
          <w:sz w:val="20"/>
          <w:szCs w:val="20"/>
        </w:rPr>
        <w:t xml:space="preserve"> de la Convención</w:t>
      </w:r>
      <w:r w:rsidR="00FE37AF">
        <w:rPr>
          <w:sz w:val="20"/>
          <w:szCs w:val="20"/>
        </w:rPr>
        <w:t xml:space="preserve"> Americana</w:t>
      </w:r>
      <w:r w:rsidR="00280994" w:rsidRPr="00632BAA">
        <w:rPr>
          <w:sz w:val="20"/>
          <w:szCs w:val="20"/>
        </w:rPr>
        <w:t xml:space="preserve">. En vista del contexto y las características de la </w:t>
      </w:r>
      <w:r w:rsidR="00384697" w:rsidRPr="00632BAA">
        <w:rPr>
          <w:sz w:val="20"/>
          <w:szCs w:val="20"/>
        </w:rPr>
        <w:t>presente denuncia</w:t>
      </w:r>
      <w:r w:rsidR="00280994" w:rsidRPr="00632BAA">
        <w:rPr>
          <w:sz w:val="20"/>
          <w:szCs w:val="20"/>
        </w:rPr>
        <w:t>, la C</w:t>
      </w:r>
      <w:r w:rsidR="00256A31">
        <w:rPr>
          <w:sz w:val="20"/>
          <w:szCs w:val="20"/>
        </w:rPr>
        <w:t>IDH</w:t>
      </w:r>
      <w:r w:rsidR="00280994" w:rsidRPr="00632BAA">
        <w:rPr>
          <w:sz w:val="20"/>
          <w:szCs w:val="20"/>
        </w:rPr>
        <w:t xml:space="preserve"> considera que fue presentada dentro de un plazo razonable y que debe darse por satisfecho el requisito de admisibilidad referente al plazo de presentación.</w:t>
      </w:r>
      <w:r w:rsidR="00384697" w:rsidRPr="00632BAA">
        <w:rPr>
          <w:sz w:val="20"/>
          <w:szCs w:val="20"/>
          <w:vertAlign w:val="superscript"/>
        </w:rPr>
        <w:footnoteReference w:id="3"/>
      </w:r>
    </w:p>
    <w:p w14:paraId="776AA901" w14:textId="77777777" w:rsidR="00632BAA" w:rsidRPr="00256A31" w:rsidRDefault="00632BAA" w:rsidP="00256A31">
      <w:pPr>
        <w:ind w:left="720" w:right="280"/>
        <w:rPr>
          <w:b/>
          <w:bCs/>
          <w:sz w:val="20"/>
          <w:szCs w:val="20"/>
        </w:rPr>
      </w:pPr>
    </w:p>
    <w:p w14:paraId="38F502FD" w14:textId="34FA0A52" w:rsidR="00BD238C" w:rsidRPr="00632BAA" w:rsidRDefault="00BD238C" w:rsidP="00632BAA">
      <w:pPr>
        <w:pStyle w:val="ListParagraph"/>
        <w:numPr>
          <w:ilvl w:val="0"/>
          <w:numId w:val="3"/>
        </w:numPr>
        <w:spacing w:before="0"/>
        <w:ind w:right="280" w:firstLine="270"/>
        <w:rPr>
          <w:b/>
          <w:bCs/>
          <w:sz w:val="20"/>
          <w:szCs w:val="20"/>
        </w:rPr>
      </w:pPr>
      <w:r w:rsidRPr="00632BAA">
        <w:rPr>
          <w:b/>
          <w:bCs/>
          <w:sz w:val="20"/>
          <w:szCs w:val="20"/>
        </w:rPr>
        <w:t>CARACTERIZACIÓN</w:t>
      </w:r>
    </w:p>
    <w:p w14:paraId="779E930C" w14:textId="77777777" w:rsidR="00632BAA" w:rsidRDefault="00632BAA" w:rsidP="00632BAA">
      <w:pPr>
        <w:pStyle w:val="ListParagraph"/>
        <w:spacing w:before="0"/>
        <w:ind w:left="1440" w:right="280" w:firstLine="0"/>
        <w:rPr>
          <w:sz w:val="20"/>
          <w:szCs w:val="20"/>
        </w:rPr>
      </w:pPr>
    </w:p>
    <w:p w14:paraId="5E97CC18" w14:textId="4F08F0C0" w:rsidR="007A5EB7" w:rsidRPr="00632BAA" w:rsidRDefault="00256A31" w:rsidP="00632BAA">
      <w:pPr>
        <w:pStyle w:val="ListParagraph"/>
        <w:numPr>
          <w:ilvl w:val="0"/>
          <w:numId w:val="2"/>
        </w:numPr>
        <w:spacing w:before="0"/>
        <w:ind w:left="720" w:right="280" w:firstLine="720"/>
        <w:rPr>
          <w:sz w:val="20"/>
          <w:szCs w:val="20"/>
        </w:rPr>
      </w:pPr>
      <w:r>
        <w:rPr>
          <w:sz w:val="20"/>
          <w:szCs w:val="20"/>
        </w:rPr>
        <w:t>La</w:t>
      </w:r>
      <w:r w:rsidR="007A5EB7" w:rsidRPr="00632BAA">
        <w:rPr>
          <w:sz w:val="20"/>
          <w:szCs w:val="20"/>
        </w:rPr>
        <w:t xml:space="preserve"> petición incluye alegatos de violaciones como consecuencia de hechos relacionados a la detención arbitraria, agresiones, amenazas, tortura, despido ilegal y persecución laboral</w:t>
      </w:r>
      <w:r w:rsidR="0023152F" w:rsidRPr="00632BAA">
        <w:rPr>
          <w:sz w:val="20"/>
          <w:szCs w:val="20"/>
        </w:rPr>
        <w:t xml:space="preserve"> por razones políticas</w:t>
      </w:r>
      <w:r w:rsidR="007A5EB7" w:rsidRPr="00632BAA">
        <w:rPr>
          <w:sz w:val="20"/>
          <w:szCs w:val="20"/>
        </w:rPr>
        <w:t xml:space="preserve"> ocurridos durante la dictadura, así como la falta de investigación y reparación integral de los hechos</w:t>
      </w:r>
      <w:r>
        <w:rPr>
          <w:sz w:val="20"/>
          <w:szCs w:val="20"/>
        </w:rPr>
        <w:t>,</w:t>
      </w:r>
      <w:r w:rsidR="0023152F" w:rsidRPr="00632BAA">
        <w:rPr>
          <w:sz w:val="20"/>
          <w:szCs w:val="20"/>
        </w:rPr>
        <w:t xml:space="preserve"> </w:t>
      </w:r>
      <w:r w:rsidR="007A5EB7" w:rsidRPr="00632BAA">
        <w:rPr>
          <w:sz w:val="20"/>
          <w:szCs w:val="20"/>
        </w:rPr>
        <w:t xml:space="preserve">con </w:t>
      </w:r>
      <w:r w:rsidR="007A5EB7" w:rsidRPr="00632BAA">
        <w:rPr>
          <w:sz w:val="20"/>
          <w:szCs w:val="20"/>
        </w:rPr>
        <w:lastRenderedPageBreak/>
        <w:t>consecuencias que incluyen p</w:t>
      </w:r>
      <w:r>
        <w:rPr>
          <w:sz w:val="20"/>
          <w:szCs w:val="20"/>
        </w:rPr>
        <w:t>e</w:t>
      </w:r>
      <w:r w:rsidR="007A5EB7" w:rsidRPr="00632BAA">
        <w:rPr>
          <w:sz w:val="20"/>
          <w:szCs w:val="20"/>
        </w:rPr>
        <w:t xml:space="preserve">rjuicios </w:t>
      </w:r>
      <w:r>
        <w:rPr>
          <w:sz w:val="20"/>
          <w:szCs w:val="20"/>
        </w:rPr>
        <w:t xml:space="preserve">en materia </w:t>
      </w:r>
      <w:r w:rsidR="007A5EB7" w:rsidRPr="00632BAA">
        <w:rPr>
          <w:sz w:val="20"/>
          <w:szCs w:val="20"/>
        </w:rPr>
        <w:t>de seguridad social.</w:t>
      </w:r>
    </w:p>
    <w:p w14:paraId="4CA20F55" w14:textId="77777777" w:rsidR="00632BAA" w:rsidRPr="00256A31" w:rsidRDefault="00632BAA" w:rsidP="00256A31">
      <w:pPr>
        <w:ind w:left="720" w:right="280"/>
        <w:rPr>
          <w:sz w:val="20"/>
          <w:szCs w:val="20"/>
        </w:rPr>
      </w:pPr>
    </w:p>
    <w:p w14:paraId="2184E6E1" w14:textId="26BE7A7E" w:rsidR="0023152F" w:rsidRPr="00632BAA" w:rsidRDefault="0023152F" w:rsidP="00632BAA">
      <w:pPr>
        <w:pStyle w:val="ListParagraph"/>
        <w:numPr>
          <w:ilvl w:val="0"/>
          <w:numId w:val="2"/>
        </w:numPr>
        <w:spacing w:before="0"/>
        <w:ind w:left="720" w:right="280" w:firstLine="720"/>
        <w:rPr>
          <w:sz w:val="20"/>
          <w:szCs w:val="20"/>
        </w:rPr>
      </w:pPr>
      <w:r w:rsidRPr="00632BAA">
        <w:rPr>
          <w:sz w:val="20"/>
          <w:szCs w:val="20"/>
        </w:rPr>
        <w:t xml:space="preserve">La </w:t>
      </w:r>
      <w:r w:rsidR="00256A31" w:rsidRPr="00632BAA">
        <w:rPr>
          <w:sz w:val="20"/>
          <w:szCs w:val="20"/>
        </w:rPr>
        <w:t>C</w:t>
      </w:r>
      <w:r w:rsidR="00256A31">
        <w:rPr>
          <w:sz w:val="20"/>
          <w:szCs w:val="20"/>
        </w:rPr>
        <w:t xml:space="preserve">omisión Interamericana </w:t>
      </w:r>
      <w:r w:rsidRPr="00632BAA">
        <w:rPr>
          <w:sz w:val="20"/>
          <w:szCs w:val="20"/>
        </w:rPr>
        <w:t>considera que, de ser probados, los alegatos referentes a la detención arbitraria, agresiones, amenazas, tortura, despido ilegal y persecución laboral ocurridos durante la dictadura podrían c</w:t>
      </w:r>
      <w:r w:rsidR="00256A31">
        <w:rPr>
          <w:sz w:val="20"/>
          <w:szCs w:val="20"/>
        </w:rPr>
        <w:t xml:space="preserve">onstituir </w:t>
      </w:r>
      <w:r w:rsidRPr="00632BAA">
        <w:rPr>
          <w:sz w:val="20"/>
          <w:szCs w:val="20"/>
        </w:rPr>
        <w:t xml:space="preserve">violaciones </w:t>
      </w:r>
      <w:r w:rsidR="00256A31">
        <w:rPr>
          <w:sz w:val="20"/>
          <w:szCs w:val="20"/>
        </w:rPr>
        <w:t>de</w:t>
      </w:r>
      <w:r w:rsidRPr="00632BAA">
        <w:rPr>
          <w:sz w:val="20"/>
          <w:szCs w:val="20"/>
        </w:rPr>
        <w:t xml:space="preserve"> los derechos protegidos en los artículos I (libertad e integridad), XVIII (justicia) </w:t>
      </w:r>
      <w:r w:rsidR="008A1C63" w:rsidRPr="00632BAA">
        <w:rPr>
          <w:sz w:val="20"/>
          <w:szCs w:val="20"/>
        </w:rPr>
        <w:t xml:space="preserve">y XXV (protección contra la detención arbitraria) </w:t>
      </w:r>
      <w:r w:rsidRPr="00632BAA">
        <w:rPr>
          <w:sz w:val="20"/>
          <w:szCs w:val="20"/>
        </w:rPr>
        <w:t>de la Declaración Americana.</w:t>
      </w:r>
    </w:p>
    <w:p w14:paraId="420E3DBF" w14:textId="77777777" w:rsidR="00632BAA" w:rsidRDefault="00632BAA" w:rsidP="00632BAA">
      <w:pPr>
        <w:pStyle w:val="ListParagraph"/>
        <w:spacing w:before="0"/>
        <w:ind w:left="1440" w:right="280" w:firstLine="0"/>
        <w:rPr>
          <w:sz w:val="20"/>
          <w:szCs w:val="20"/>
        </w:rPr>
      </w:pPr>
    </w:p>
    <w:p w14:paraId="310A273F" w14:textId="19F6E26E" w:rsidR="004A6717" w:rsidRPr="00632BAA" w:rsidRDefault="0023152F" w:rsidP="00632BAA">
      <w:pPr>
        <w:pStyle w:val="ListParagraph"/>
        <w:numPr>
          <w:ilvl w:val="0"/>
          <w:numId w:val="2"/>
        </w:numPr>
        <w:spacing w:before="0"/>
        <w:ind w:left="720" w:right="280" w:firstLine="720"/>
        <w:rPr>
          <w:sz w:val="20"/>
          <w:szCs w:val="20"/>
        </w:rPr>
      </w:pPr>
      <w:r w:rsidRPr="00632BAA">
        <w:rPr>
          <w:sz w:val="20"/>
          <w:szCs w:val="20"/>
        </w:rPr>
        <w:t>L</w:t>
      </w:r>
      <w:r w:rsidR="007A5EB7" w:rsidRPr="00632BAA">
        <w:rPr>
          <w:sz w:val="20"/>
          <w:szCs w:val="20"/>
        </w:rPr>
        <w:t xml:space="preserve">a CIDH considera que la </w:t>
      </w:r>
      <w:r w:rsidR="00256A31">
        <w:rPr>
          <w:sz w:val="20"/>
          <w:szCs w:val="20"/>
        </w:rPr>
        <w:t xml:space="preserve">presunta </w:t>
      </w:r>
      <w:r w:rsidR="007A5EB7" w:rsidRPr="00632BAA">
        <w:rPr>
          <w:sz w:val="20"/>
          <w:szCs w:val="20"/>
        </w:rPr>
        <w:t>falta de investigación y persecución de la tortura</w:t>
      </w:r>
      <w:r w:rsidR="00256A31">
        <w:rPr>
          <w:sz w:val="20"/>
          <w:szCs w:val="20"/>
        </w:rPr>
        <w:t>, así como</w:t>
      </w:r>
      <w:r w:rsidR="007A5EB7" w:rsidRPr="00632BAA">
        <w:rPr>
          <w:sz w:val="20"/>
          <w:szCs w:val="20"/>
        </w:rPr>
        <w:t xml:space="preserve"> el presunto daño derivado de la denegación de justicia y adecuada reparación</w:t>
      </w:r>
      <w:r w:rsidR="009F19B4" w:rsidRPr="00632BAA">
        <w:rPr>
          <w:sz w:val="20"/>
          <w:szCs w:val="20"/>
        </w:rPr>
        <w:t xml:space="preserve"> </w:t>
      </w:r>
      <w:r w:rsidR="00256A31">
        <w:rPr>
          <w:sz w:val="20"/>
          <w:szCs w:val="20"/>
        </w:rPr>
        <w:t>--</w:t>
      </w:r>
      <w:r w:rsidR="00D67BD7" w:rsidRPr="00632BAA">
        <w:rPr>
          <w:sz w:val="20"/>
          <w:szCs w:val="20"/>
        </w:rPr>
        <w:t xml:space="preserve">que incluye posibles </w:t>
      </w:r>
      <w:r w:rsidR="009F19B4" w:rsidRPr="00632BAA">
        <w:rPr>
          <w:sz w:val="20"/>
          <w:szCs w:val="20"/>
        </w:rPr>
        <w:t xml:space="preserve">daños </w:t>
      </w:r>
      <w:r w:rsidR="00D67BD7" w:rsidRPr="00632BAA">
        <w:rPr>
          <w:sz w:val="20"/>
          <w:szCs w:val="20"/>
        </w:rPr>
        <w:t xml:space="preserve">sufridos por </w:t>
      </w:r>
      <w:r w:rsidR="00C2012F">
        <w:rPr>
          <w:sz w:val="20"/>
          <w:szCs w:val="20"/>
        </w:rPr>
        <w:t>el peticionario</w:t>
      </w:r>
      <w:r w:rsidR="00632BAA">
        <w:rPr>
          <w:sz w:val="20"/>
          <w:szCs w:val="20"/>
        </w:rPr>
        <w:t xml:space="preserve"> </w:t>
      </w:r>
      <w:r w:rsidR="00D67BD7" w:rsidRPr="00632BAA">
        <w:rPr>
          <w:sz w:val="20"/>
          <w:szCs w:val="20"/>
        </w:rPr>
        <w:t xml:space="preserve">en el desarrollo </w:t>
      </w:r>
      <w:r w:rsidR="009F19B4" w:rsidRPr="00632BAA">
        <w:rPr>
          <w:sz w:val="20"/>
          <w:szCs w:val="20"/>
        </w:rPr>
        <w:t xml:space="preserve">y jubilación </w:t>
      </w:r>
      <w:r w:rsidR="00D67BD7" w:rsidRPr="00632BAA">
        <w:rPr>
          <w:sz w:val="20"/>
          <w:szCs w:val="20"/>
        </w:rPr>
        <w:t>de su vida profesional como consecuencia de la tortura y persecución política</w:t>
      </w:r>
      <w:r w:rsidR="00256A31">
        <w:rPr>
          <w:sz w:val="20"/>
          <w:szCs w:val="20"/>
        </w:rPr>
        <w:t xml:space="preserve">-- </w:t>
      </w:r>
      <w:r w:rsidR="007A5EB7" w:rsidRPr="00632BAA">
        <w:rPr>
          <w:sz w:val="20"/>
          <w:szCs w:val="20"/>
        </w:rPr>
        <w:t>caracteriza</w:t>
      </w:r>
      <w:r w:rsidR="00256A31">
        <w:rPr>
          <w:sz w:val="20"/>
          <w:szCs w:val="20"/>
        </w:rPr>
        <w:t xml:space="preserve">n posibles </w:t>
      </w:r>
      <w:r w:rsidR="007A5EB7" w:rsidRPr="00632BAA">
        <w:rPr>
          <w:sz w:val="20"/>
          <w:szCs w:val="20"/>
        </w:rPr>
        <w:t xml:space="preserve">violaciones </w:t>
      </w:r>
      <w:r w:rsidR="00256A31">
        <w:rPr>
          <w:sz w:val="20"/>
          <w:szCs w:val="20"/>
        </w:rPr>
        <w:t>de</w:t>
      </w:r>
      <w:r w:rsidR="007A5EB7" w:rsidRPr="00632BAA">
        <w:rPr>
          <w:sz w:val="20"/>
          <w:szCs w:val="20"/>
        </w:rPr>
        <w:t xml:space="preserve"> los derechos </w:t>
      </w:r>
      <w:r w:rsidR="00256A31">
        <w:rPr>
          <w:sz w:val="20"/>
          <w:szCs w:val="20"/>
        </w:rPr>
        <w:t xml:space="preserve">reconocidos </w:t>
      </w:r>
      <w:r w:rsidR="007A5EB7" w:rsidRPr="00632BAA">
        <w:rPr>
          <w:sz w:val="20"/>
          <w:szCs w:val="20"/>
        </w:rPr>
        <w:t>en los artículos 5 (integridad personal), 8 (garantías judiciales)</w:t>
      </w:r>
      <w:r w:rsidR="009F19B4" w:rsidRPr="00632BAA">
        <w:rPr>
          <w:sz w:val="20"/>
          <w:szCs w:val="20"/>
        </w:rPr>
        <w:t>,</w:t>
      </w:r>
      <w:r w:rsidR="007A5EB7" w:rsidRPr="00632BAA">
        <w:rPr>
          <w:sz w:val="20"/>
          <w:szCs w:val="20"/>
        </w:rPr>
        <w:t xml:space="preserve"> 25 (protección judicial)</w:t>
      </w:r>
      <w:r w:rsidR="009F19B4" w:rsidRPr="00632BAA">
        <w:rPr>
          <w:sz w:val="20"/>
          <w:szCs w:val="20"/>
        </w:rPr>
        <w:t xml:space="preserve"> y 26 (derechos económicos y sociales)</w:t>
      </w:r>
      <w:r w:rsidR="007A5EB7" w:rsidRPr="00632BAA">
        <w:rPr>
          <w:sz w:val="20"/>
          <w:szCs w:val="20"/>
        </w:rPr>
        <w:t xml:space="preserve"> de la Convención</w:t>
      </w:r>
      <w:r w:rsidR="00256A31">
        <w:rPr>
          <w:sz w:val="20"/>
          <w:szCs w:val="20"/>
        </w:rPr>
        <w:t xml:space="preserve"> Americana</w:t>
      </w:r>
      <w:r w:rsidR="007A5EB7" w:rsidRPr="00632BAA">
        <w:rPr>
          <w:sz w:val="20"/>
          <w:szCs w:val="20"/>
        </w:rPr>
        <w:t xml:space="preserve">, en concordancia con </w:t>
      </w:r>
      <w:r w:rsidR="00256A31">
        <w:rPr>
          <w:sz w:val="20"/>
          <w:szCs w:val="20"/>
        </w:rPr>
        <w:t>sus</w:t>
      </w:r>
      <w:r w:rsidR="007A5EB7" w:rsidRPr="00632BAA">
        <w:rPr>
          <w:sz w:val="20"/>
          <w:szCs w:val="20"/>
        </w:rPr>
        <w:t xml:space="preserve"> artículos 1.1 y </w:t>
      </w:r>
      <w:r w:rsidR="00256A31">
        <w:rPr>
          <w:sz w:val="20"/>
          <w:szCs w:val="20"/>
        </w:rPr>
        <w:t>2</w:t>
      </w:r>
      <w:r w:rsidR="007A5EB7" w:rsidRPr="00632BAA">
        <w:rPr>
          <w:sz w:val="20"/>
          <w:szCs w:val="20"/>
        </w:rPr>
        <w:t>, así como de los artículos 1, 6 y 8 de la Convención Interamericana para Prevenir y Sancionar la Tortura.</w:t>
      </w:r>
      <w:r w:rsidR="00D67BD7" w:rsidRPr="00632BAA">
        <w:rPr>
          <w:sz w:val="20"/>
          <w:szCs w:val="20"/>
        </w:rPr>
        <w:t xml:space="preserve"> </w:t>
      </w:r>
    </w:p>
    <w:p w14:paraId="058CBD09" w14:textId="77777777" w:rsidR="00632BAA" w:rsidRPr="00256A31" w:rsidRDefault="00632BAA" w:rsidP="00256A31">
      <w:pPr>
        <w:ind w:left="720" w:right="280"/>
        <w:rPr>
          <w:b/>
          <w:bCs/>
          <w:sz w:val="20"/>
          <w:szCs w:val="20"/>
        </w:rPr>
      </w:pPr>
    </w:p>
    <w:p w14:paraId="4C0322DB" w14:textId="3763AA65" w:rsidR="00C02C7F" w:rsidRPr="00632BAA" w:rsidRDefault="001223F2" w:rsidP="00632BAA">
      <w:pPr>
        <w:pStyle w:val="ListParagraph"/>
        <w:numPr>
          <w:ilvl w:val="0"/>
          <w:numId w:val="3"/>
        </w:numPr>
        <w:spacing w:before="0"/>
        <w:ind w:right="280" w:firstLine="270"/>
        <w:rPr>
          <w:b/>
          <w:bCs/>
          <w:sz w:val="20"/>
          <w:szCs w:val="20"/>
        </w:rPr>
      </w:pPr>
      <w:r w:rsidRPr="00632BAA">
        <w:rPr>
          <w:b/>
          <w:bCs/>
          <w:sz w:val="20"/>
          <w:szCs w:val="20"/>
        </w:rPr>
        <w:t>DECISIÓN</w:t>
      </w:r>
    </w:p>
    <w:p w14:paraId="4BF847D7" w14:textId="77777777" w:rsidR="00632BAA" w:rsidRPr="00256A31" w:rsidRDefault="00632BAA" w:rsidP="00256A31">
      <w:pPr>
        <w:ind w:right="280"/>
        <w:rPr>
          <w:sz w:val="20"/>
          <w:szCs w:val="20"/>
        </w:rPr>
      </w:pPr>
    </w:p>
    <w:p w14:paraId="2F5D1BBA" w14:textId="21116FD2" w:rsidR="00C02C7F" w:rsidRPr="00632BAA" w:rsidRDefault="001223F2" w:rsidP="00632BAA">
      <w:pPr>
        <w:pStyle w:val="ListParagraph"/>
        <w:numPr>
          <w:ilvl w:val="0"/>
          <w:numId w:val="10"/>
        </w:numPr>
        <w:spacing w:before="0"/>
        <w:ind w:left="720" w:right="280" w:firstLine="720"/>
        <w:rPr>
          <w:sz w:val="20"/>
          <w:szCs w:val="20"/>
        </w:rPr>
      </w:pPr>
      <w:r w:rsidRPr="00632BAA">
        <w:rPr>
          <w:sz w:val="20"/>
          <w:szCs w:val="20"/>
        </w:rPr>
        <w:t>Declarar admisible la presente petición en relación con los artículos</w:t>
      </w:r>
      <w:r w:rsidR="00E91AC4" w:rsidRPr="00632BAA">
        <w:rPr>
          <w:sz w:val="20"/>
          <w:szCs w:val="20"/>
        </w:rPr>
        <w:t xml:space="preserve"> </w:t>
      </w:r>
      <w:r w:rsidR="008A1C63" w:rsidRPr="00632BAA">
        <w:rPr>
          <w:sz w:val="20"/>
          <w:szCs w:val="20"/>
        </w:rPr>
        <w:t>5, 8, 25</w:t>
      </w:r>
      <w:r w:rsidR="009F19B4" w:rsidRPr="00632BAA">
        <w:rPr>
          <w:sz w:val="20"/>
          <w:szCs w:val="20"/>
        </w:rPr>
        <w:t xml:space="preserve"> y 26</w:t>
      </w:r>
      <w:r w:rsidR="008A1C63" w:rsidRPr="00632BAA">
        <w:rPr>
          <w:sz w:val="20"/>
          <w:szCs w:val="20"/>
        </w:rPr>
        <w:t xml:space="preserve"> de la Convención Americana en conexión con sus artículos 1.1 y 2; </w:t>
      </w:r>
      <w:r w:rsidR="00632BAA">
        <w:rPr>
          <w:sz w:val="20"/>
          <w:szCs w:val="20"/>
        </w:rPr>
        <w:t xml:space="preserve">con </w:t>
      </w:r>
      <w:r w:rsidR="008A1C63" w:rsidRPr="00632BAA">
        <w:rPr>
          <w:sz w:val="20"/>
          <w:szCs w:val="20"/>
        </w:rPr>
        <w:t>los artículos 1, 6 y 8 de la Convención Interamericana para Prevenir y Sancionar la Tortura</w:t>
      </w:r>
      <w:r w:rsidR="00632BAA">
        <w:rPr>
          <w:sz w:val="20"/>
          <w:szCs w:val="20"/>
        </w:rPr>
        <w:t>;</w:t>
      </w:r>
      <w:r w:rsidR="00632BAA" w:rsidRPr="00632BAA">
        <w:rPr>
          <w:sz w:val="20"/>
          <w:szCs w:val="20"/>
        </w:rPr>
        <w:t xml:space="preserve"> </w:t>
      </w:r>
      <w:r w:rsidR="00632BAA">
        <w:rPr>
          <w:sz w:val="20"/>
          <w:szCs w:val="20"/>
        </w:rPr>
        <w:t xml:space="preserve">y </w:t>
      </w:r>
      <w:r w:rsidR="00632BAA" w:rsidRPr="00632BAA">
        <w:rPr>
          <w:sz w:val="20"/>
          <w:szCs w:val="20"/>
        </w:rPr>
        <w:t>con los artículos I, XVIII y XXV de la Declaración Americana</w:t>
      </w:r>
      <w:r w:rsidR="004A6907">
        <w:rPr>
          <w:sz w:val="20"/>
          <w:szCs w:val="20"/>
        </w:rPr>
        <w:t>;</w:t>
      </w:r>
    </w:p>
    <w:p w14:paraId="0EDA1CE0" w14:textId="77777777" w:rsidR="00632BAA" w:rsidRDefault="00632BAA" w:rsidP="00632BAA">
      <w:pPr>
        <w:pStyle w:val="ListParagraph"/>
        <w:spacing w:before="0"/>
        <w:ind w:left="1440" w:right="280" w:firstLine="0"/>
        <w:rPr>
          <w:sz w:val="20"/>
          <w:szCs w:val="20"/>
        </w:rPr>
      </w:pPr>
    </w:p>
    <w:p w14:paraId="49E22831" w14:textId="0625CA1C" w:rsidR="008A1C63" w:rsidRPr="00632BAA" w:rsidRDefault="008A1C63" w:rsidP="00632BAA">
      <w:pPr>
        <w:pStyle w:val="ListParagraph"/>
        <w:numPr>
          <w:ilvl w:val="0"/>
          <w:numId w:val="10"/>
        </w:numPr>
        <w:spacing w:before="0"/>
        <w:ind w:left="720" w:right="280" w:firstLine="720"/>
        <w:rPr>
          <w:sz w:val="20"/>
          <w:szCs w:val="20"/>
        </w:rPr>
      </w:pPr>
      <w:r w:rsidRPr="00632BAA">
        <w:rPr>
          <w:sz w:val="20"/>
          <w:szCs w:val="20"/>
        </w:rPr>
        <w:t>Declarar inadmisible la presente petición en relación con los artículos 4, 7, 11, 13, 23</w:t>
      </w:r>
      <w:r w:rsidR="009F19B4" w:rsidRPr="00632BAA">
        <w:rPr>
          <w:sz w:val="20"/>
          <w:szCs w:val="20"/>
        </w:rPr>
        <w:t xml:space="preserve"> y</w:t>
      </w:r>
      <w:r w:rsidRPr="00632BAA">
        <w:rPr>
          <w:sz w:val="20"/>
          <w:szCs w:val="20"/>
        </w:rPr>
        <w:t xml:space="preserve"> 24</w:t>
      </w:r>
      <w:r w:rsidR="009F19B4" w:rsidRPr="00632BAA">
        <w:rPr>
          <w:sz w:val="20"/>
          <w:szCs w:val="20"/>
        </w:rPr>
        <w:t xml:space="preserve"> </w:t>
      </w:r>
      <w:r w:rsidRPr="00632BAA">
        <w:rPr>
          <w:sz w:val="20"/>
          <w:szCs w:val="20"/>
        </w:rPr>
        <w:t>de la Convención Americana</w:t>
      </w:r>
      <w:r w:rsidR="004A6907">
        <w:rPr>
          <w:sz w:val="20"/>
          <w:szCs w:val="20"/>
        </w:rPr>
        <w:t>, y;</w:t>
      </w:r>
    </w:p>
    <w:p w14:paraId="6D39AA47" w14:textId="77777777" w:rsidR="00632BAA" w:rsidRDefault="00632BAA" w:rsidP="00632BAA">
      <w:pPr>
        <w:pStyle w:val="ListParagraph"/>
        <w:spacing w:before="0"/>
        <w:ind w:left="1440" w:right="280" w:firstLine="0"/>
        <w:rPr>
          <w:sz w:val="20"/>
          <w:szCs w:val="20"/>
        </w:rPr>
      </w:pPr>
    </w:p>
    <w:p w14:paraId="15EB5B61" w14:textId="60927259" w:rsidR="00C02C7F" w:rsidRDefault="001223F2" w:rsidP="00632BAA">
      <w:pPr>
        <w:pStyle w:val="ListParagraph"/>
        <w:numPr>
          <w:ilvl w:val="0"/>
          <w:numId w:val="10"/>
        </w:numPr>
        <w:spacing w:before="0"/>
        <w:ind w:left="720" w:right="280" w:firstLine="720"/>
        <w:rPr>
          <w:sz w:val="20"/>
          <w:szCs w:val="20"/>
        </w:rPr>
      </w:pPr>
      <w:r w:rsidRPr="00632BAA">
        <w:rPr>
          <w:sz w:val="20"/>
          <w:szCs w:val="20"/>
        </w:rPr>
        <w:t>Notificar a las partes la presente decisión; continuar con el análisis del fondo de la cuestión; y publicar esta decisión e incluirla en su Informe Anual a la Asamblea General de la Organización de los Estados Americanos.</w:t>
      </w:r>
      <w:bookmarkEnd w:id="1"/>
    </w:p>
    <w:p w14:paraId="638A2C2A" w14:textId="77777777" w:rsidR="004A6907" w:rsidRDefault="004A6907" w:rsidP="004A6907">
      <w:pPr>
        <w:pStyle w:val="ListParagraph"/>
        <w:spacing w:before="0"/>
        <w:ind w:left="1440" w:right="280" w:firstLine="0"/>
        <w:rPr>
          <w:sz w:val="20"/>
          <w:szCs w:val="20"/>
        </w:rPr>
      </w:pPr>
    </w:p>
    <w:p w14:paraId="219967AB" w14:textId="77777777" w:rsidR="004A6907" w:rsidRPr="00A37B82" w:rsidRDefault="004A6907" w:rsidP="008522EB">
      <w:pPr>
        <w:ind w:left="720" w:right="280" w:firstLine="720"/>
        <w:jc w:val="both"/>
        <w:rPr>
          <w:rFonts w:asciiTheme="majorHAnsi" w:hAnsiTheme="majorHAnsi" w:cs="Arial"/>
          <w:noProof/>
          <w:spacing w:val="-2"/>
          <w:sz w:val="20"/>
          <w:szCs w:val="20"/>
          <w:lang w:val="es-CL"/>
        </w:rPr>
      </w:pPr>
      <w:bookmarkStart w:id="4" w:name="_Hlk95209781"/>
      <w:bookmarkStart w:id="5" w:name="_Hlk89320357"/>
      <w:r w:rsidRPr="60BFD022">
        <w:rPr>
          <w:rFonts w:asciiTheme="majorHAnsi" w:hAnsiTheme="majorHAnsi" w:cs="Arial"/>
          <w:noProof/>
          <w:spacing w:val="-2"/>
          <w:sz w:val="20"/>
          <w:szCs w:val="20"/>
          <w:lang w:val="es-CL"/>
        </w:rPr>
        <w:t>Aprobado por la Comisión Interamericana de Derechos Humanos a los 9 días del mes de marzo de 2022.  (Firmado): Julissa Mantilla Falcón, Presidenta; Stuardo Ralón Orellana, Primer Vicepresidente; Esmeralda E. Arosemena Bernal de Troitiño y Joel Hernández, Miembros de la Comisión.</w:t>
      </w:r>
      <w:r w:rsidRPr="60BFD022">
        <w:rPr>
          <w:rFonts w:asciiTheme="majorHAnsi" w:hAnsiTheme="majorHAnsi" w:cs="Arial"/>
          <w:noProof/>
          <w:sz w:val="20"/>
          <w:szCs w:val="20"/>
          <w:lang w:val="es-CL"/>
        </w:rPr>
        <w:t xml:space="preserve"> </w:t>
      </w:r>
      <w:bookmarkEnd w:id="4"/>
    </w:p>
    <w:bookmarkEnd w:id="5"/>
    <w:p w14:paraId="152AC32C" w14:textId="77777777" w:rsidR="004A6907" w:rsidRPr="00A37B82" w:rsidRDefault="004A6907" w:rsidP="008522EB">
      <w:pPr>
        <w:suppressAutoHyphens/>
        <w:ind w:left="720" w:right="280" w:firstLine="720"/>
        <w:jc w:val="both"/>
        <w:rPr>
          <w:rFonts w:asciiTheme="majorHAnsi" w:hAnsiTheme="majorHAnsi" w:cs="Arial"/>
          <w:noProof/>
          <w:spacing w:val="-2"/>
          <w:sz w:val="20"/>
          <w:szCs w:val="20"/>
          <w:lang w:val="es-CL"/>
        </w:rPr>
      </w:pPr>
    </w:p>
    <w:sectPr w:rsidR="004A6907" w:rsidRPr="00A37B82" w:rsidSect="00DA7568">
      <w:footerReference w:type="default" r:id="rId16"/>
      <w:pgSz w:w="12240" w:h="15840"/>
      <w:pgMar w:top="1200" w:right="1200" w:bottom="1180" w:left="680" w:header="823" w:footer="9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2C89" w14:textId="77777777" w:rsidR="006B01F0" w:rsidRDefault="006B01F0">
      <w:r>
        <w:separator/>
      </w:r>
    </w:p>
  </w:endnote>
  <w:endnote w:type="continuationSeparator" w:id="0">
    <w:p w14:paraId="5809A76D" w14:textId="77777777" w:rsidR="006B01F0" w:rsidRDefault="006B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E212" w14:textId="53F9104C" w:rsidR="00371496" w:rsidRDefault="0037149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274240" behindDoc="1" locked="0" layoutInCell="1" allowOverlap="1" wp14:anchorId="22DEC8B2" wp14:editId="2DEC0E9B">
              <wp:simplePos x="0" y="0"/>
              <wp:positionH relativeFrom="page">
                <wp:posOffset>3831590</wp:posOffset>
              </wp:positionH>
              <wp:positionV relativeFrom="page">
                <wp:posOffset>9290050</wp:posOffset>
              </wp:positionV>
              <wp:extent cx="107950" cy="14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200E4" w14:textId="77777777" w:rsidR="00371496" w:rsidRDefault="00371496">
                          <w:pPr>
                            <w:spacing w:before="20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EC8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7pt;margin-top:731.5pt;width:8.5pt;height:11.45pt;z-index:-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" filled="f" stroked="f">
              <v:textbox inset="0,0,0,0">
                <w:txbxContent>
                  <w:p w14:paraId="020200E4" w14:textId="77777777" w:rsidR="00371496" w:rsidRDefault="00371496">
                    <w:pPr>
                      <w:spacing w:before="20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6DFA" w14:textId="77777777" w:rsidR="006B01F0" w:rsidRDefault="006B01F0">
      <w:r>
        <w:separator/>
      </w:r>
    </w:p>
  </w:footnote>
  <w:footnote w:type="continuationSeparator" w:id="0">
    <w:p w14:paraId="41E47522" w14:textId="77777777" w:rsidR="006B01F0" w:rsidRDefault="006B01F0">
      <w:r>
        <w:continuationSeparator/>
      </w:r>
    </w:p>
  </w:footnote>
  <w:footnote w:id="1">
    <w:p w14:paraId="18D98B27" w14:textId="7D921A66" w:rsidR="002B49D5" w:rsidRPr="0068552D" w:rsidRDefault="002B49D5" w:rsidP="00DB2D27">
      <w:pPr>
        <w:pStyle w:val="FootnoteText"/>
        <w:ind w:left="720" w:firstLine="720"/>
        <w:jc w:val="both"/>
        <w:rPr>
          <w:sz w:val="16"/>
          <w:szCs w:val="16"/>
        </w:rPr>
      </w:pPr>
      <w:r w:rsidRPr="0068552D">
        <w:rPr>
          <w:rStyle w:val="FootnoteReference"/>
          <w:sz w:val="16"/>
          <w:szCs w:val="16"/>
        </w:rPr>
        <w:footnoteRef/>
      </w:r>
      <w:r w:rsidRPr="0068552D">
        <w:rPr>
          <w:sz w:val="16"/>
          <w:szCs w:val="16"/>
        </w:rPr>
        <w:t xml:space="preserve"> Cf.</w:t>
      </w:r>
      <w:r>
        <w:rPr>
          <w:sz w:val="16"/>
          <w:szCs w:val="16"/>
        </w:rPr>
        <w:t xml:space="preserve"> </w:t>
      </w:r>
      <w:r w:rsidRPr="00740D91">
        <w:rPr>
          <w:sz w:val="16"/>
          <w:szCs w:val="16"/>
        </w:rPr>
        <w:t xml:space="preserve">CIDH, Informe No. </w:t>
      </w:r>
      <w:r>
        <w:rPr>
          <w:sz w:val="16"/>
          <w:szCs w:val="16"/>
        </w:rPr>
        <w:t>80</w:t>
      </w:r>
      <w:r w:rsidRPr="00740D91">
        <w:rPr>
          <w:sz w:val="16"/>
          <w:szCs w:val="16"/>
        </w:rPr>
        <w:t>/</w:t>
      </w:r>
      <w:r>
        <w:rPr>
          <w:sz w:val="16"/>
          <w:szCs w:val="16"/>
        </w:rPr>
        <w:t>12</w:t>
      </w:r>
      <w:r w:rsidRPr="00740D91">
        <w:rPr>
          <w:sz w:val="16"/>
          <w:szCs w:val="16"/>
        </w:rPr>
        <w:t xml:space="preserve">, Petición </w:t>
      </w:r>
      <w:r>
        <w:rPr>
          <w:sz w:val="16"/>
          <w:szCs w:val="16"/>
        </w:rPr>
        <w:t>859</w:t>
      </w:r>
      <w:r w:rsidRPr="00740D91">
        <w:rPr>
          <w:sz w:val="16"/>
          <w:szCs w:val="16"/>
        </w:rPr>
        <w:t>-0</w:t>
      </w:r>
      <w:r>
        <w:rPr>
          <w:sz w:val="16"/>
          <w:szCs w:val="16"/>
        </w:rPr>
        <w:t>9</w:t>
      </w:r>
      <w:r w:rsidRPr="00740D91">
        <w:rPr>
          <w:sz w:val="16"/>
          <w:szCs w:val="16"/>
        </w:rPr>
        <w:t xml:space="preserve">. </w:t>
      </w:r>
      <w:r>
        <w:rPr>
          <w:sz w:val="16"/>
          <w:szCs w:val="16"/>
        </w:rPr>
        <w:t>A</w:t>
      </w:r>
      <w:r w:rsidRPr="00740D91">
        <w:rPr>
          <w:sz w:val="16"/>
          <w:szCs w:val="16"/>
        </w:rPr>
        <w:t xml:space="preserve">dmisibilidad. </w:t>
      </w:r>
      <w:r>
        <w:rPr>
          <w:sz w:val="16"/>
          <w:szCs w:val="16"/>
        </w:rPr>
        <w:t>Vladimir Herzog y otros</w:t>
      </w:r>
      <w:r w:rsidRPr="00740D91">
        <w:rPr>
          <w:sz w:val="16"/>
          <w:szCs w:val="16"/>
        </w:rPr>
        <w:t xml:space="preserve">. </w:t>
      </w:r>
      <w:r>
        <w:rPr>
          <w:sz w:val="16"/>
          <w:szCs w:val="16"/>
        </w:rPr>
        <w:t>Brasil</w:t>
      </w:r>
      <w:r w:rsidRPr="00740D91">
        <w:rPr>
          <w:sz w:val="16"/>
          <w:szCs w:val="16"/>
        </w:rPr>
        <w:t xml:space="preserve">. </w:t>
      </w:r>
      <w:r>
        <w:rPr>
          <w:sz w:val="16"/>
          <w:szCs w:val="16"/>
        </w:rPr>
        <w:t>8 de noviembre de 2012</w:t>
      </w:r>
      <w:r w:rsidRPr="00740D91">
        <w:rPr>
          <w:sz w:val="16"/>
          <w:szCs w:val="16"/>
        </w:rPr>
        <w:t>, párr. 25</w:t>
      </w:r>
      <w:r>
        <w:rPr>
          <w:sz w:val="16"/>
          <w:szCs w:val="16"/>
        </w:rPr>
        <w:t xml:space="preserve">; </w:t>
      </w:r>
      <w:r w:rsidRPr="00740D91">
        <w:rPr>
          <w:sz w:val="16"/>
          <w:szCs w:val="16"/>
        </w:rPr>
        <w:t xml:space="preserve">CIDH, </w:t>
      </w:r>
      <w:hyperlink r:id="rId1" w:history="1">
        <w:r w:rsidRPr="00D67BD7">
          <w:rPr>
            <w:rStyle w:val="Hyperlink"/>
            <w:sz w:val="16"/>
            <w:szCs w:val="16"/>
          </w:rPr>
          <w:t xml:space="preserve">Informe No. 407/20, Petición 951-10. Admisibilidad. Julio Enrique </w:t>
        </w:r>
        <w:proofErr w:type="spellStart"/>
        <w:r w:rsidRPr="00D67BD7">
          <w:rPr>
            <w:rStyle w:val="Hyperlink"/>
            <w:sz w:val="16"/>
            <w:szCs w:val="16"/>
          </w:rPr>
          <w:t>Gerding</w:t>
        </w:r>
        <w:proofErr w:type="spellEnd"/>
        <w:r w:rsidRPr="00D67BD7">
          <w:rPr>
            <w:rStyle w:val="Hyperlink"/>
            <w:sz w:val="16"/>
            <w:szCs w:val="16"/>
          </w:rPr>
          <w:t xml:space="preserve"> Salas y familiares. Chile</w:t>
        </w:r>
      </w:hyperlink>
      <w:r w:rsidRPr="00740D91">
        <w:rPr>
          <w:sz w:val="16"/>
          <w:szCs w:val="16"/>
        </w:rPr>
        <w:t xml:space="preserve">. </w:t>
      </w:r>
      <w:r>
        <w:rPr>
          <w:sz w:val="16"/>
          <w:szCs w:val="16"/>
        </w:rPr>
        <w:t>10 de diciembre de 2020</w:t>
      </w:r>
      <w:r w:rsidRPr="00740D91">
        <w:rPr>
          <w:sz w:val="16"/>
          <w:szCs w:val="16"/>
        </w:rPr>
        <w:t xml:space="preserve">, párr. </w:t>
      </w:r>
      <w:r>
        <w:rPr>
          <w:sz w:val="16"/>
          <w:szCs w:val="16"/>
        </w:rPr>
        <w:t>14</w:t>
      </w:r>
      <w:r w:rsidRPr="00740D91">
        <w:rPr>
          <w:sz w:val="16"/>
          <w:szCs w:val="16"/>
        </w:rPr>
        <w:t>.</w:t>
      </w:r>
    </w:p>
  </w:footnote>
  <w:footnote w:id="2">
    <w:p w14:paraId="3237B295" w14:textId="137B9B9B" w:rsidR="00A228FD" w:rsidRPr="0068552D" w:rsidRDefault="00A228FD" w:rsidP="00DB2D27">
      <w:pPr>
        <w:pStyle w:val="FootnoteText"/>
        <w:ind w:left="720" w:firstLine="720"/>
        <w:jc w:val="both"/>
        <w:rPr>
          <w:sz w:val="16"/>
          <w:szCs w:val="16"/>
        </w:rPr>
      </w:pPr>
      <w:r w:rsidRPr="0068552D">
        <w:rPr>
          <w:rStyle w:val="FootnoteReference"/>
          <w:sz w:val="16"/>
          <w:szCs w:val="16"/>
        </w:rPr>
        <w:footnoteRef/>
      </w:r>
      <w:r w:rsidRPr="00284413">
        <w:rPr>
          <w:sz w:val="16"/>
          <w:szCs w:val="16"/>
        </w:rPr>
        <w:t xml:space="preserve"> Cf., </w:t>
      </w:r>
      <w:r w:rsidRPr="00284413">
        <w:rPr>
          <w:i/>
          <w:iCs/>
          <w:sz w:val="16"/>
          <w:szCs w:val="16"/>
        </w:rPr>
        <w:t>v.g.</w:t>
      </w:r>
      <w:r w:rsidRPr="00284413">
        <w:rPr>
          <w:sz w:val="16"/>
          <w:szCs w:val="16"/>
        </w:rPr>
        <w:t xml:space="preserve">, CIDH, Informe 239-08. </w:t>
      </w:r>
      <w:r w:rsidRPr="00A228FD">
        <w:rPr>
          <w:sz w:val="16"/>
          <w:szCs w:val="16"/>
        </w:rPr>
        <w:t>Admisibilidad. Asociación Nacional de Magistrados Cesantes y Jubilados del Poder Judicial. Perú. 4 de diciembre de 2018, párr. 11</w:t>
      </w:r>
      <w:r>
        <w:rPr>
          <w:sz w:val="16"/>
          <w:szCs w:val="16"/>
        </w:rPr>
        <w:t>;</w:t>
      </w:r>
      <w:r w:rsidR="005A08F5">
        <w:rPr>
          <w:sz w:val="16"/>
          <w:szCs w:val="16"/>
        </w:rPr>
        <w:t xml:space="preserve"> </w:t>
      </w:r>
      <w:r w:rsidR="005A08F5" w:rsidRPr="005A08F5">
        <w:rPr>
          <w:sz w:val="16"/>
          <w:szCs w:val="16"/>
        </w:rPr>
        <w:t>CIDH, Informe No. 103/18. Petición 703-07. Admisibilidad. Trabajadores de SINTRAISA, SINTRAISAGEN y SINTRACHIVOR. Colombia. 20 de</w:t>
      </w:r>
      <w:r w:rsidR="005A08F5">
        <w:rPr>
          <w:sz w:val="16"/>
          <w:szCs w:val="16"/>
        </w:rPr>
        <w:t xml:space="preserve"> </w:t>
      </w:r>
      <w:r w:rsidR="005A08F5" w:rsidRPr="005A08F5">
        <w:rPr>
          <w:sz w:val="16"/>
          <w:szCs w:val="16"/>
        </w:rPr>
        <w:t>septiembre de 2018, párr. 15.</w:t>
      </w:r>
    </w:p>
  </w:footnote>
  <w:footnote w:id="3">
    <w:p w14:paraId="0929F4F6" w14:textId="6DADAA16" w:rsidR="00384697" w:rsidRPr="0068552D" w:rsidRDefault="00384697" w:rsidP="00DB2D27">
      <w:pPr>
        <w:pStyle w:val="FootnoteText"/>
        <w:ind w:left="720" w:firstLine="720"/>
        <w:jc w:val="both"/>
        <w:rPr>
          <w:sz w:val="16"/>
          <w:szCs w:val="16"/>
        </w:rPr>
      </w:pPr>
      <w:r w:rsidRPr="0068552D">
        <w:rPr>
          <w:rStyle w:val="FootnoteReference"/>
          <w:sz w:val="16"/>
          <w:szCs w:val="16"/>
        </w:rPr>
        <w:footnoteRef/>
      </w:r>
      <w:r w:rsidRPr="00952A89">
        <w:rPr>
          <w:sz w:val="16"/>
          <w:szCs w:val="16"/>
          <w:lang w:val="es-419"/>
        </w:rPr>
        <w:t xml:space="preserve"> Cf., </w:t>
      </w:r>
      <w:r w:rsidRPr="00952A89">
        <w:rPr>
          <w:i/>
          <w:iCs/>
          <w:sz w:val="16"/>
          <w:szCs w:val="16"/>
          <w:lang w:val="es-419"/>
        </w:rPr>
        <w:t>v.g.</w:t>
      </w:r>
      <w:r w:rsidRPr="00952A89">
        <w:rPr>
          <w:sz w:val="16"/>
          <w:szCs w:val="16"/>
          <w:lang w:val="es-419"/>
        </w:rPr>
        <w:t xml:space="preserve">, CIDH, </w:t>
      </w:r>
      <w:hyperlink r:id="rId2" w:history="1">
        <w:r w:rsidRPr="00952A89">
          <w:rPr>
            <w:rStyle w:val="Hyperlink"/>
            <w:sz w:val="16"/>
            <w:szCs w:val="16"/>
            <w:lang w:val="es-419"/>
          </w:rPr>
          <w:t xml:space="preserve">Informe 84-17. </w:t>
        </w:r>
        <w:r w:rsidRPr="00384697">
          <w:rPr>
            <w:rStyle w:val="Hyperlink"/>
            <w:sz w:val="16"/>
            <w:szCs w:val="16"/>
          </w:rPr>
          <w:t>Petición 188-11. Admisibilidad. Marcos Luis Abarca Zamorano y otros. Chile</w:t>
        </w:r>
      </w:hyperlink>
      <w:r w:rsidRPr="00A228FD">
        <w:rPr>
          <w:sz w:val="16"/>
          <w:szCs w:val="16"/>
        </w:rPr>
        <w:t xml:space="preserve">. </w:t>
      </w:r>
      <w:r>
        <w:rPr>
          <w:sz w:val="16"/>
          <w:szCs w:val="16"/>
        </w:rPr>
        <w:t>7 de julio de 2017</w:t>
      </w:r>
      <w:r w:rsidRPr="00A228FD">
        <w:rPr>
          <w:sz w:val="16"/>
          <w:szCs w:val="16"/>
        </w:rPr>
        <w:t>, párr. 1</w:t>
      </w:r>
      <w:r>
        <w:rPr>
          <w:sz w:val="16"/>
          <w:szCs w:val="16"/>
        </w:rPr>
        <w:t>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24D1" w14:textId="4A3669D3" w:rsidR="00906EFD" w:rsidRDefault="006B42D8" w:rsidP="004458D2">
    <w:pPr>
      <w:pStyle w:val="Header"/>
      <w:tabs>
        <w:tab w:val="clear" w:pos="4252"/>
        <w:tab w:val="center" w:pos="5040"/>
      </w:tabs>
      <w:jc w:val="center"/>
    </w:pPr>
    <w:r>
      <w:t xml:space="preserve">    </w:t>
    </w:r>
    <w:r w:rsidR="00906EFD">
      <w:rPr>
        <w:noProof/>
      </w:rPr>
      <w:drawing>
        <wp:inline distT="0" distB="0" distL="0" distR="0" wp14:anchorId="4F0F289F" wp14:editId="13964E41">
          <wp:extent cx="1972237" cy="104775"/>
          <wp:effectExtent l="0" t="0" r="9525" b="0"/>
          <wp:docPr id="16" name="Picture 16" descr="C:\Users\mfontana\Documents\Eva Fontana\GRAFICA CIDH\cartas\logos\cidh-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ontana\Documents\Eva Fontana\GRAFICA CIDH\cartas\logos\cidh-pe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237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C2464A" w14:textId="0975705F" w:rsidR="00906EFD" w:rsidRPr="00EC7D62" w:rsidRDefault="006B01F0" w:rsidP="00685A47">
    <w:pPr>
      <w:pStyle w:val="Header"/>
      <w:ind w:left="360"/>
      <w:jc w:val="center"/>
    </w:pPr>
    <w:r>
      <w:pict w14:anchorId="12900A3B">
        <v:rect id="_x0000_i1025" style="width:492.1pt;height:1.85pt" o:hrpct="95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B5D"/>
    <w:multiLevelType w:val="hybridMultilevel"/>
    <w:tmpl w:val="90081536"/>
    <w:lvl w:ilvl="0" w:tplc="4DFE5B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5C6"/>
    <w:multiLevelType w:val="hybridMultilevel"/>
    <w:tmpl w:val="E65E2B94"/>
    <w:lvl w:ilvl="0" w:tplc="581E13C0">
      <w:start w:val="15"/>
      <w:numFmt w:val="upperRoman"/>
      <w:lvlText w:val="%1."/>
      <w:lvlJc w:val="left"/>
      <w:pPr>
        <w:ind w:left="1170" w:hanging="720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38CB"/>
    <w:multiLevelType w:val="hybridMultilevel"/>
    <w:tmpl w:val="08F89648"/>
    <w:lvl w:ilvl="0" w:tplc="D0FCE410">
      <w:start w:val="1"/>
      <w:numFmt w:val="decimal"/>
      <w:lvlText w:val="%1."/>
      <w:lvlJc w:val="left"/>
      <w:pPr>
        <w:ind w:left="760" w:hanging="72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DA801E7C">
      <w:numFmt w:val="bullet"/>
      <w:lvlText w:val="•"/>
      <w:lvlJc w:val="left"/>
      <w:pPr>
        <w:ind w:left="1720" w:hanging="720"/>
      </w:pPr>
      <w:rPr>
        <w:rFonts w:hint="default"/>
        <w:lang w:val="es-ES" w:eastAsia="es-ES" w:bidi="es-ES"/>
      </w:rPr>
    </w:lvl>
    <w:lvl w:ilvl="2" w:tplc="F84C39F6">
      <w:numFmt w:val="bullet"/>
      <w:lvlText w:val="•"/>
      <w:lvlJc w:val="left"/>
      <w:pPr>
        <w:ind w:left="2680" w:hanging="720"/>
      </w:pPr>
      <w:rPr>
        <w:rFonts w:hint="default"/>
        <w:lang w:val="es-ES" w:eastAsia="es-ES" w:bidi="es-ES"/>
      </w:rPr>
    </w:lvl>
    <w:lvl w:ilvl="3" w:tplc="E7CC33BC">
      <w:numFmt w:val="bullet"/>
      <w:lvlText w:val="•"/>
      <w:lvlJc w:val="left"/>
      <w:pPr>
        <w:ind w:left="3640" w:hanging="720"/>
      </w:pPr>
      <w:rPr>
        <w:rFonts w:hint="default"/>
        <w:lang w:val="es-ES" w:eastAsia="es-ES" w:bidi="es-ES"/>
      </w:rPr>
    </w:lvl>
    <w:lvl w:ilvl="4" w:tplc="0E4234B4">
      <w:numFmt w:val="bullet"/>
      <w:lvlText w:val="•"/>
      <w:lvlJc w:val="left"/>
      <w:pPr>
        <w:ind w:left="4600" w:hanging="720"/>
      </w:pPr>
      <w:rPr>
        <w:rFonts w:hint="default"/>
        <w:lang w:val="es-ES" w:eastAsia="es-ES" w:bidi="es-ES"/>
      </w:rPr>
    </w:lvl>
    <w:lvl w:ilvl="5" w:tplc="4E04560C">
      <w:numFmt w:val="bullet"/>
      <w:lvlText w:val="•"/>
      <w:lvlJc w:val="left"/>
      <w:pPr>
        <w:ind w:left="5560" w:hanging="720"/>
      </w:pPr>
      <w:rPr>
        <w:rFonts w:hint="default"/>
        <w:lang w:val="es-ES" w:eastAsia="es-ES" w:bidi="es-ES"/>
      </w:rPr>
    </w:lvl>
    <w:lvl w:ilvl="6" w:tplc="5AA013D0">
      <w:numFmt w:val="bullet"/>
      <w:lvlText w:val="•"/>
      <w:lvlJc w:val="left"/>
      <w:pPr>
        <w:ind w:left="6520" w:hanging="720"/>
      </w:pPr>
      <w:rPr>
        <w:rFonts w:hint="default"/>
        <w:lang w:val="es-ES" w:eastAsia="es-ES" w:bidi="es-ES"/>
      </w:rPr>
    </w:lvl>
    <w:lvl w:ilvl="7" w:tplc="53544870">
      <w:numFmt w:val="bullet"/>
      <w:lvlText w:val="•"/>
      <w:lvlJc w:val="left"/>
      <w:pPr>
        <w:ind w:left="7480" w:hanging="720"/>
      </w:pPr>
      <w:rPr>
        <w:rFonts w:hint="default"/>
        <w:lang w:val="es-ES" w:eastAsia="es-ES" w:bidi="es-ES"/>
      </w:rPr>
    </w:lvl>
    <w:lvl w:ilvl="8" w:tplc="4AEE12A0">
      <w:numFmt w:val="bullet"/>
      <w:lvlText w:val="•"/>
      <w:lvlJc w:val="left"/>
      <w:pPr>
        <w:ind w:left="8440" w:hanging="720"/>
      </w:pPr>
      <w:rPr>
        <w:rFonts w:hint="default"/>
        <w:lang w:val="es-ES" w:eastAsia="es-ES" w:bidi="es-ES"/>
      </w:rPr>
    </w:lvl>
  </w:abstractNum>
  <w:abstractNum w:abstractNumId="3" w15:restartNumberingAfterBreak="0">
    <w:nsid w:val="1AA60F95"/>
    <w:multiLevelType w:val="hybridMultilevel"/>
    <w:tmpl w:val="0C6E3040"/>
    <w:lvl w:ilvl="0" w:tplc="535E9C72">
      <w:start w:val="1"/>
      <w:numFmt w:val="decimal"/>
      <w:lvlText w:val="%1."/>
      <w:lvlJc w:val="left"/>
      <w:pPr>
        <w:ind w:left="759" w:hanging="720"/>
      </w:pPr>
      <w:rPr>
        <w:rFonts w:hint="default"/>
        <w:w w:val="99"/>
        <w:lang w:val="es-ES" w:eastAsia="es-ES" w:bidi="es-ES"/>
      </w:rPr>
    </w:lvl>
    <w:lvl w:ilvl="1" w:tplc="5DA4F3E2">
      <w:numFmt w:val="bullet"/>
      <w:lvlText w:val="•"/>
      <w:lvlJc w:val="left"/>
      <w:pPr>
        <w:ind w:left="1726" w:hanging="720"/>
      </w:pPr>
      <w:rPr>
        <w:rFonts w:hint="default"/>
        <w:lang w:val="es-ES" w:eastAsia="es-ES" w:bidi="es-ES"/>
      </w:rPr>
    </w:lvl>
    <w:lvl w:ilvl="2" w:tplc="CB9EF8D2">
      <w:numFmt w:val="bullet"/>
      <w:lvlText w:val="•"/>
      <w:lvlJc w:val="left"/>
      <w:pPr>
        <w:ind w:left="2692" w:hanging="720"/>
      </w:pPr>
      <w:rPr>
        <w:rFonts w:hint="default"/>
        <w:lang w:val="es-ES" w:eastAsia="es-ES" w:bidi="es-ES"/>
      </w:rPr>
    </w:lvl>
    <w:lvl w:ilvl="3" w:tplc="2C04E2E8">
      <w:numFmt w:val="bullet"/>
      <w:lvlText w:val="•"/>
      <w:lvlJc w:val="left"/>
      <w:pPr>
        <w:ind w:left="3658" w:hanging="720"/>
      </w:pPr>
      <w:rPr>
        <w:rFonts w:hint="default"/>
        <w:lang w:val="es-ES" w:eastAsia="es-ES" w:bidi="es-ES"/>
      </w:rPr>
    </w:lvl>
    <w:lvl w:ilvl="4" w:tplc="84D8DBA4">
      <w:numFmt w:val="bullet"/>
      <w:lvlText w:val="•"/>
      <w:lvlJc w:val="left"/>
      <w:pPr>
        <w:ind w:left="4624" w:hanging="720"/>
      </w:pPr>
      <w:rPr>
        <w:rFonts w:hint="default"/>
        <w:lang w:val="es-ES" w:eastAsia="es-ES" w:bidi="es-ES"/>
      </w:rPr>
    </w:lvl>
    <w:lvl w:ilvl="5" w:tplc="D890C6F6">
      <w:numFmt w:val="bullet"/>
      <w:lvlText w:val="•"/>
      <w:lvlJc w:val="left"/>
      <w:pPr>
        <w:ind w:left="5590" w:hanging="720"/>
      </w:pPr>
      <w:rPr>
        <w:rFonts w:hint="default"/>
        <w:lang w:val="es-ES" w:eastAsia="es-ES" w:bidi="es-ES"/>
      </w:rPr>
    </w:lvl>
    <w:lvl w:ilvl="6" w:tplc="49885676">
      <w:numFmt w:val="bullet"/>
      <w:lvlText w:val="•"/>
      <w:lvlJc w:val="left"/>
      <w:pPr>
        <w:ind w:left="6556" w:hanging="720"/>
      </w:pPr>
      <w:rPr>
        <w:rFonts w:hint="default"/>
        <w:lang w:val="es-ES" w:eastAsia="es-ES" w:bidi="es-ES"/>
      </w:rPr>
    </w:lvl>
    <w:lvl w:ilvl="7" w:tplc="8132EC28">
      <w:numFmt w:val="bullet"/>
      <w:lvlText w:val="•"/>
      <w:lvlJc w:val="left"/>
      <w:pPr>
        <w:ind w:left="7522" w:hanging="720"/>
      </w:pPr>
      <w:rPr>
        <w:rFonts w:hint="default"/>
        <w:lang w:val="es-ES" w:eastAsia="es-ES" w:bidi="es-ES"/>
      </w:rPr>
    </w:lvl>
    <w:lvl w:ilvl="8" w:tplc="6A825AF6">
      <w:numFmt w:val="bullet"/>
      <w:lvlText w:val="•"/>
      <w:lvlJc w:val="left"/>
      <w:pPr>
        <w:ind w:left="8488" w:hanging="720"/>
      </w:pPr>
      <w:rPr>
        <w:rFonts w:hint="default"/>
        <w:lang w:val="es-ES" w:eastAsia="es-ES" w:bidi="es-ES"/>
      </w:rPr>
    </w:lvl>
  </w:abstractNum>
  <w:abstractNum w:abstractNumId="4" w15:restartNumberingAfterBreak="0">
    <w:nsid w:val="1BEF6253"/>
    <w:multiLevelType w:val="hybridMultilevel"/>
    <w:tmpl w:val="92F40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3AAA"/>
    <w:multiLevelType w:val="hybridMultilevel"/>
    <w:tmpl w:val="039E1F7C"/>
    <w:lvl w:ilvl="0" w:tplc="FFFFFFFF">
      <w:start w:val="1"/>
      <w:numFmt w:val="decimal"/>
      <w:lvlText w:val="%1."/>
      <w:lvlJc w:val="left"/>
      <w:pPr>
        <w:ind w:left="758" w:hanging="720"/>
      </w:pPr>
      <w:rPr>
        <w:rFonts w:ascii="Cambria" w:eastAsia="Cambria" w:hAnsi="Cambria" w:cs="Cambria" w:hint="default"/>
        <w:w w:val="99"/>
        <w:sz w:val="20"/>
        <w:szCs w:val="20"/>
        <w:vertAlign w:val="baseline"/>
        <w:lang w:val="es-ES" w:eastAsia="es-ES" w:bidi="es-ES"/>
      </w:rPr>
    </w:lvl>
    <w:lvl w:ilvl="1" w:tplc="FFFFFFFF">
      <w:numFmt w:val="bullet"/>
      <w:lvlText w:val="•"/>
      <w:lvlJc w:val="left"/>
      <w:pPr>
        <w:ind w:left="1720" w:hanging="720"/>
      </w:pPr>
      <w:rPr>
        <w:rFonts w:hint="default"/>
        <w:lang w:val="es-ES" w:eastAsia="es-ES" w:bidi="es-ES"/>
      </w:rPr>
    </w:lvl>
    <w:lvl w:ilvl="2" w:tplc="FFFFFFFF">
      <w:numFmt w:val="bullet"/>
      <w:lvlText w:val="•"/>
      <w:lvlJc w:val="left"/>
      <w:pPr>
        <w:ind w:left="2680" w:hanging="720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3640" w:hanging="720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4600" w:hanging="720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5560" w:hanging="720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6520" w:hanging="720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7480" w:hanging="720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8440" w:hanging="720"/>
      </w:pPr>
      <w:rPr>
        <w:rFonts w:hint="default"/>
        <w:lang w:val="es-ES" w:eastAsia="es-ES" w:bidi="es-ES"/>
      </w:rPr>
    </w:lvl>
  </w:abstractNum>
  <w:abstractNum w:abstractNumId="6" w15:restartNumberingAfterBreak="0">
    <w:nsid w:val="54E467AF"/>
    <w:multiLevelType w:val="hybridMultilevel"/>
    <w:tmpl w:val="ADD8CD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21CDB"/>
    <w:multiLevelType w:val="hybridMultilevel"/>
    <w:tmpl w:val="7BA620FC"/>
    <w:lvl w:ilvl="0" w:tplc="C93C930E">
      <w:start w:val="1"/>
      <w:numFmt w:val="upperRoman"/>
      <w:lvlText w:val="%1."/>
      <w:lvlJc w:val="left"/>
      <w:pPr>
        <w:ind w:left="1170" w:hanging="720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FCEEE25A">
      <w:numFmt w:val="bullet"/>
      <w:lvlText w:val="•"/>
      <w:lvlJc w:val="left"/>
      <w:pPr>
        <w:ind w:left="3016" w:hanging="720"/>
      </w:pPr>
      <w:rPr>
        <w:rFonts w:hint="default"/>
        <w:lang w:val="es-ES" w:eastAsia="es-ES" w:bidi="es-ES"/>
      </w:rPr>
    </w:lvl>
    <w:lvl w:ilvl="2" w:tplc="28E43294">
      <w:numFmt w:val="bullet"/>
      <w:lvlText w:val="•"/>
      <w:lvlJc w:val="left"/>
      <w:pPr>
        <w:ind w:left="3832" w:hanging="720"/>
      </w:pPr>
      <w:rPr>
        <w:rFonts w:hint="default"/>
        <w:lang w:val="es-ES" w:eastAsia="es-ES" w:bidi="es-ES"/>
      </w:rPr>
    </w:lvl>
    <w:lvl w:ilvl="3" w:tplc="C1883A34">
      <w:numFmt w:val="bullet"/>
      <w:lvlText w:val="•"/>
      <w:lvlJc w:val="left"/>
      <w:pPr>
        <w:ind w:left="4648" w:hanging="720"/>
      </w:pPr>
      <w:rPr>
        <w:rFonts w:hint="default"/>
        <w:lang w:val="es-ES" w:eastAsia="es-ES" w:bidi="es-ES"/>
      </w:rPr>
    </w:lvl>
    <w:lvl w:ilvl="4" w:tplc="374CD504">
      <w:numFmt w:val="bullet"/>
      <w:lvlText w:val="•"/>
      <w:lvlJc w:val="left"/>
      <w:pPr>
        <w:ind w:left="5464" w:hanging="720"/>
      </w:pPr>
      <w:rPr>
        <w:rFonts w:hint="default"/>
        <w:lang w:val="es-ES" w:eastAsia="es-ES" w:bidi="es-ES"/>
      </w:rPr>
    </w:lvl>
    <w:lvl w:ilvl="5" w:tplc="8440FFAE">
      <w:numFmt w:val="bullet"/>
      <w:lvlText w:val="•"/>
      <w:lvlJc w:val="left"/>
      <w:pPr>
        <w:ind w:left="6280" w:hanging="720"/>
      </w:pPr>
      <w:rPr>
        <w:rFonts w:hint="default"/>
        <w:lang w:val="es-ES" w:eastAsia="es-ES" w:bidi="es-ES"/>
      </w:rPr>
    </w:lvl>
    <w:lvl w:ilvl="6" w:tplc="8594E89A">
      <w:numFmt w:val="bullet"/>
      <w:lvlText w:val="•"/>
      <w:lvlJc w:val="left"/>
      <w:pPr>
        <w:ind w:left="7096" w:hanging="720"/>
      </w:pPr>
      <w:rPr>
        <w:rFonts w:hint="default"/>
        <w:lang w:val="es-ES" w:eastAsia="es-ES" w:bidi="es-ES"/>
      </w:rPr>
    </w:lvl>
    <w:lvl w:ilvl="7" w:tplc="DEA4D726">
      <w:numFmt w:val="bullet"/>
      <w:lvlText w:val="•"/>
      <w:lvlJc w:val="left"/>
      <w:pPr>
        <w:ind w:left="7912" w:hanging="720"/>
      </w:pPr>
      <w:rPr>
        <w:rFonts w:hint="default"/>
        <w:lang w:val="es-ES" w:eastAsia="es-ES" w:bidi="es-ES"/>
      </w:rPr>
    </w:lvl>
    <w:lvl w:ilvl="8" w:tplc="6302BC82">
      <w:numFmt w:val="bullet"/>
      <w:lvlText w:val="•"/>
      <w:lvlJc w:val="left"/>
      <w:pPr>
        <w:ind w:left="8728" w:hanging="720"/>
      </w:pPr>
      <w:rPr>
        <w:rFonts w:hint="default"/>
        <w:lang w:val="es-ES" w:eastAsia="es-ES" w:bidi="es-ES"/>
      </w:rPr>
    </w:lvl>
  </w:abstractNum>
  <w:abstractNum w:abstractNumId="8" w15:restartNumberingAfterBreak="0">
    <w:nsid w:val="64486C16"/>
    <w:multiLevelType w:val="hybridMultilevel"/>
    <w:tmpl w:val="16FE85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01150"/>
    <w:multiLevelType w:val="hybridMultilevel"/>
    <w:tmpl w:val="039E1F7C"/>
    <w:lvl w:ilvl="0" w:tplc="2C40F55E">
      <w:start w:val="1"/>
      <w:numFmt w:val="decimal"/>
      <w:lvlText w:val="%1."/>
      <w:lvlJc w:val="left"/>
      <w:pPr>
        <w:ind w:left="758" w:hanging="720"/>
      </w:pPr>
      <w:rPr>
        <w:rFonts w:ascii="Cambria" w:eastAsia="Cambria" w:hAnsi="Cambria" w:cs="Cambria" w:hint="default"/>
        <w:w w:val="99"/>
        <w:sz w:val="20"/>
        <w:szCs w:val="20"/>
        <w:vertAlign w:val="baseline"/>
        <w:lang w:val="es-ES" w:eastAsia="es-ES" w:bidi="es-ES"/>
      </w:rPr>
    </w:lvl>
    <w:lvl w:ilvl="1" w:tplc="2DCC392C">
      <w:numFmt w:val="bullet"/>
      <w:lvlText w:val="•"/>
      <w:lvlJc w:val="left"/>
      <w:pPr>
        <w:ind w:left="1720" w:hanging="720"/>
      </w:pPr>
      <w:rPr>
        <w:rFonts w:hint="default"/>
        <w:lang w:val="es-ES" w:eastAsia="es-ES" w:bidi="es-ES"/>
      </w:rPr>
    </w:lvl>
    <w:lvl w:ilvl="2" w:tplc="BC0A4154">
      <w:numFmt w:val="bullet"/>
      <w:lvlText w:val="•"/>
      <w:lvlJc w:val="left"/>
      <w:pPr>
        <w:ind w:left="2680" w:hanging="720"/>
      </w:pPr>
      <w:rPr>
        <w:rFonts w:hint="default"/>
        <w:lang w:val="es-ES" w:eastAsia="es-ES" w:bidi="es-ES"/>
      </w:rPr>
    </w:lvl>
    <w:lvl w:ilvl="3" w:tplc="B0AE9C12">
      <w:numFmt w:val="bullet"/>
      <w:lvlText w:val="•"/>
      <w:lvlJc w:val="left"/>
      <w:pPr>
        <w:ind w:left="3640" w:hanging="720"/>
      </w:pPr>
      <w:rPr>
        <w:rFonts w:hint="default"/>
        <w:lang w:val="es-ES" w:eastAsia="es-ES" w:bidi="es-ES"/>
      </w:rPr>
    </w:lvl>
    <w:lvl w:ilvl="4" w:tplc="CD3C2C16">
      <w:numFmt w:val="bullet"/>
      <w:lvlText w:val="•"/>
      <w:lvlJc w:val="left"/>
      <w:pPr>
        <w:ind w:left="4600" w:hanging="720"/>
      </w:pPr>
      <w:rPr>
        <w:rFonts w:hint="default"/>
        <w:lang w:val="es-ES" w:eastAsia="es-ES" w:bidi="es-ES"/>
      </w:rPr>
    </w:lvl>
    <w:lvl w:ilvl="5" w:tplc="9C224F7A">
      <w:numFmt w:val="bullet"/>
      <w:lvlText w:val="•"/>
      <w:lvlJc w:val="left"/>
      <w:pPr>
        <w:ind w:left="5560" w:hanging="720"/>
      </w:pPr>
      <w:rPr>
        <w:rFonts w:hint="default"/>
        <w:lang w:val="es-ES" w:eastAsia="es-ES" w:bidi="es-ES"/>
      </w:rPr>
    </w:lvl>
    <w:lvl w:ilvl="6" w:tplc="6AD2521C">
      <w:numFmt w:val="bullet"/>
      <w:lvlText w:val="•"/>
      <w:lvlJc w:val="left"/>
      <w:pPr>
        <w:ind w:left="6520" w:hanging="720"/>
      </w:pPr>
      <w:rPr>
        <w:rFonts w:hint="default"/>
        <w:lang w:val="es-ES" w:eastAsia="es-ES" w:bidi="es-ES"/>
      </w:rPr>
    </w:lvl>
    <w:lvl w:ilvl="7" w:tplc="8F9CD5E6">
      <w:numFmt w:val="bullet"/>
      <w:lvlText w:val="•"/>
      <w:lvlJc w:val="left"/>
      <w:pPr>
        <w:ind w:left="7480" w:hanging="720"/>
      </w:pPr>
      <w:rPr>
        <w:rFonts w:hint="default"/>
        <w:lang w:val="es-ES" w:eastAsia="es-ES" w:bidi="es-ES"/>
      </w:rPr>
    </w:lvl>
    <w:lvl w:ilvl="8" w:tplc="7CB0D4FE">
      <w:numFmt w:val="bullet"/>
      <w:lvlText w:val="•"/>
      <w:lvlJc w:val="left"/>
      <w:pPr>
        <w:ind w:left="8440" w:hanging="720"/>
      </w:pPr>
      <w:rPr>
        <w:rFonts w:hint="default"/>
        <w:lang w:val="es-ES" w:eastAsia="es-ES" w:bidi="es-ES"/>
      </w:rPr>
    </w:lvl>
  </w:abstractNum>
  <w:num w:numId="1" w16cid:durableId="445662575">
    <w:abstractNumId w:val="2"/>
  </w:num>
  <w:num w:numId="2" w16cid:durableId="1414938948">
    <w:abstractNumId w:val="9"/>
  </w:num>
  <w:num w:numId="3" w16cid:durableId="1210385951">
    <w:abstractNumId w:val="7"/>
  </w:num>
  <w:num w:numId="4" w16cid:durableId="1488008956">
    <w:abstractNumId w:val="8"/>
  </w:num>
  <w:num w:numId="5" w16cid:durableId="770010756">
    <w:abstractNumId w:val="3"/>
  </w:num>
  <w:num w:numId="6" w16cid:durableId="1224871988">
    <w:abstractNumId w:val="4"/>
  </w:num>
  <w:num w:numId="7" w16cid:durableId="650448332">
    <w:abstractNumId w:val="0"/>
  </w:num>
  <w:num w:numId="8" w16cid:durableId="667706604">
    <w:abstractNumId w:val="1"/>
  </w:num>
  <w:num w:numId="9" w16cid:durableId="857545510">
    <w:abstractNumId w:val="6"/>
  </w:num>
  <w:num w:numId="10" w16cid:durableId="1762605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7F"/>
    <w:rsid w:val="00001ECC"/>
    <w:rsid w:val="00012201"/>
    <w:rsid w:val="00022A0F"/>
    <w:rsid w:val="00035FF1"/>
    <w:rsid w:val="00044C57"/>
    <w:rsid w:val="000802B2"/>
    <w:rsid w:val="00085CAD"/>
    <w:rsid w:val="000B0EA8"/>
    <w:rsid w:val="000C372A"/>
    <w:rsid w:val="000D72B4"/>
    <w:rsid w:val="000D7C43"/>
    <w:rsid w:val="000E4A13"/>
    <w:rsid w:val="000E5323"/>
    <w:rsid w:val="000F1EF6"/>
    <w:rsid w:val="000F2C3D"/>
    <w:rsid w:val="000F61B8"/>
    <w:rsid w:val="00101AB2"/>
    <w:rsid w:val="0010455A"/>
    <w:rsid w:val="00112A05"/>
    <w:rsid w:val="00113C4F"/>
    <w:rsid w:val="00116B0C"/>
    <w:rsid w:val="001223F2"/>
    <w:rsid w:val="001365D7"/>
    <w:rsid w:val="001446AE"/>
    <w:rsid w:val="00156031"/>
    <w:rsid w:val="0017086E"/>
    <w:rsid w:val="001732A9"/>
    <w:rsid w:val="00182D26"/>
    <w:rsid w:val="00187FC4"/>
    <w:rsid w:val="001A3697"/>
    <w:rsid w:val="001B6F60"/>
    <w:rsid w:val="001C678C"/>
    <w:rsid w:val="001D06C9"/>
    <w:rsid w:val="001E152B"/>
    <w:rsid w:val="001E71D5"/>
    <w:rsid w:val="001E7929"/>
    <w:rsid w:val="001F2D7F"/>
    <w:rsid w:val="002126CD"/>
    <w:rsid w:val="00220FFB"/>
    <w:rsid w:val="0023152F"/>
    <w:rsid w:val="0024047D"/>
    <w:rsid w:val="002569D9"/>
    <w:rsid w:val="00256A31"/>
    <w:rsid w:val="0026444C"/>
    <w:rsid w:val="0026469F"/>
    <w:rsid w:val="002656BF"/>
    <w:rsid w:val="002750C4"/>
    <w:rsid w:val="00280994"/>
    <w:rsid w:val="00284413"/>
    <w:rsid w:val="002B106A"/>
    <w:rsid w:val="002B20F1"/>
    <w:rsid w:val="002B49D5"/>
    <w:rsid w:val="002D63E7"/>
    <w:rsid w:val="002E3ABF"/>
    <w:rsid w:val="002E6E9E"/>
    <w:rsid w:val="00301B59"/>
    <w:rsid w:val="0031450D"/>
    <w:rsid w:val="003217D2"/>
    <w:rsid w:val="0032337A"/>
    <w:rsid w:val="00327A12"/>
    <w:rsid w:val="00333914"/>
    <w:rsid w:val="003411B6"/>
    <w:rsid w:val="00342746"/>
    <w:rsid w:val="00344681"/>
    <w:rsid w:val="00350045"/>
    <w:rsid w:val="00356753"/>
    <w:rsid w:val="00362ADC"/>
    <w:rsid w:val="003679D0"/>
    <w:rsid w:val="00371496"/>
    <w:rsid w:val="00373BFD"/>
    <w:rsid w:val="00382EBB"/>
    <w:rsid w:val="00384195"/>
    <w:rsid w:val="00384697"/>
    <w:rsid w:val="0039606D"/>
    <w:rsid w:val="003A096C"/>
    <w:rsid w:val="003B0E17"/>
    <w:rsid w:val="003B548D"/>
    <w:rsid w:val="003D3B9E"/>
    <w:rsid w:val="003F2DC7"/>
    <w:rsid w:val="0042609C"/>
    <w:rsid w:val="0042620A"/>
    <w:rsid w:val="0043732C"/>
    <w:rsid w:val="004458D2"/>
    <w:rsid w:val="00452EE6"/>
    <w:rsid w:val="00480AD1"/>
    <w:rsid w:val="00484D2D"/>
    <w:rsid w:val="00486513"/>
    <w:rsid w:val="004A4F3A"/>
    <w:rsid w:val="004A6717"/>
    <w:rsid w:val="004A6907"/>
    <w:rsid w:val="004A6D26"/>
    <w:rsid w:val="004D58D3"/>
    <w:rsid w:val="004E22EB"/>
    <w:rsid w:val="004E27B7"/>
    <w:rsid w:val="004E61BD"/>
    <w:rsid w:val="0053334E"/>
    <w:rsid w:val="00536852"/>
    <w:rsid w:val="0054166D"/>
    <w:rsid w:val="0054336E"/>
    <w:rsid w:val="005459F7"/>
    <w:rsid w:val="00564824"/>
    <w:rsid w:val="00575793"/>
    <w:rsid w:val="005906B2"/>
    <w:rsid w:val="005A08F5"/>
    <w:rsid w:val="005A23E7"/>
    <w:rsid w:val="005A605B"/>
    <w:rsid w:val="005E4037"/>
    <w:rsid w:val="005E59AB"/>
    <w:rsid w:val="005F5DC3"/>
    <w:rsid w:val="00600166"/>
    <w:rsid w:val="00627DE1"/>
    <w:rsid w:val="00632BAA"/>
    <w:rsid w:val="0064504C"/>
    <w:rsid w:val="00652350"/>
    <w:rsid w:val="00653AE5"/>
    <w:rsid w:val="00664365"/>
    <w:rsid w:val="006832C4"/>
    <w:rsid w:val="006844C1"/>
    <w:rsid w:val="0068552D"/>
    <w:rsid w:val="006856C3"/>
    <w:rsid w:val="00685A47"/>
    <w:rsid w:val="00696FF2"/>
    <w:rsid w:val="006B01F0"/>
    <w:rsid w:val="006B42D8"/>
    <w:rsid w:val="006C32F9"/>
    <w:rsid w:val="006C7155"/>
    <w:rsid w:val="006D0A03"/>
    <w:rsid w:val="0071323A"/>
    <w:rsid w:val="007206F8"/>
    <w:rsid w:val="00726DAC"/>
    <w:rsid w:val="0073451E"/>
    <w:rsid w:val="00740D91"/>
    <w:rsid w:val="0075545F"/>
    <w:rsid w:val="007829B8"/>
    <w:rsid w:val="007A336B"/>
    <w:rsid w:val="007A5EB7"/>
    <w:rsid w:val="007C701B"/>
    <w:rsid w:val="007D4CB4"/>
    <w:rsid w:val="007E5BC2"/>
    <w:rsid w:val="007E7632"/>
    <w:rsid w:val="0080195B"/>
    <w:rsid w:val="00807BF6"/>
    <w:rsid w:val="00812B49"/>
    <w:rsid w:val="008313CB"/>
    <w:rsid w:val="008373BB"/>
    <w:rsid w:val="008522EB"/>
    <w:rsid w:val="008818E3"/>
    <w:rsid w:val="00892869"/>
    <w:rsid w:val="00895E89"/>
    <w:rsid w:val="008A1C63"/>
    <w:rsid w:val="008B2A7C"/>
    <w:rsid w:val="008D0910"/>
    <w:rsid w:val="008D5132"/>
    <w:rsid w:val="008F6616"/>
    <w:rsid w:val="0090139E"/>
    <w:rsid w:val="00904A45"/>
    <w:rsid w:val="00906EFD"/>
    <w:rsid w:val="00910A7B"/>
    <w:rsid w:val="0091162B"/>
    <w:rsid w:val="00916D1F"/>
    <w:rsid w:val="009176FC"/>
    <w:rsid w:val="00920309"/>
    <w:rsid w:val="00925902"/>
    <w:rsid w:val="00926AA5"/>
    <w:rsid w:val="009470E8"/>
    <w:rsid w:val="00952A89"/>
    <w:rsid w:val="00955EF1"/>
    <w:rsid w:val="00974C2D"/>
    <w:rsid w:val="009861D1"/>
    <w:rsid w:val="00987AEF"/>
    <w:rsid w:val="009A3D5B"/>
    <w:rsid w:val="009A7017"/>
    <w:rsid w:val="009A77EF"/>
    <w:rsid w:val="009B2EA2"/>
    <w:rsid w:val="009C4491"/>
    <w:rsid w:val="009D1656"/>
    <w:rsid w:val="009E39F2"/>
    <w:rsid w:val="009F19B4"/>
    <w:rsid w:val="009F23B2"/>
    <w:rsid w:val="00A0237F"/>
    <w:rsid w:val="00A11353"/>
    <w:rsid w:val="00A228FD"/>
    <w:rsid w:val="00A30CFC"/>
    <w:rsid w:val="00A407A3"/>
    <w:rsid w:val="00A54733"/>
    <w:rsid w:val="00A62F6D"/>
    <w:rsid w:val="00A65F54"/>
    <w:rsid w:val="00A660B6"/>
    <w:rsid w:val="00A71D96"/>
    <w:rsid w:val="00A86810"/>
    <w:rsid w:val="00A917ED"/>
    <w:rsid w:val="00AD64AA"/>
    <w:rsid w:val="00AE33A2"/>
    <w:rsid w:val="00AE6BA9"/>
    <w:rsid w:val="00B26D9D"/>
    <w:rsid w:val="00B40AED"/>
    <w:rsid w:val="00B459C6"/>
    <w:rsid w:val="00B47795"/>
    <w:rsid w:val="00B610FB"/>
    <w:rsid w:val="00B805EB"/>
    <w:rsid w:val="00BA6930"/>
    <w:rsid w:val="00BB0A0E"/>
    <w:rsid w:val="00BB561C"/>
    <w:rsid w:val="00BC44EA"/>
    <w:rsid w:val="00BD1E48"/>
    <w:rsid w:val="00BD238C"/>
    <w:rsid w:val="00BD68A8"/>
    <w:rsid w:val="00BE5630"/>
    <w:rsid w:val="00C02C7F"/>
    <w:rsid w:val="00C047D8"/>
    <w:rsid w:val="00C2012F"/>
    <w:rsid w:val="00C32EED"/>
    <w:rsid w:val="00C42F6F"/>
    <w:rsid w:val="00C63D9F"/>
    <w:rsid w:val="00C7562F"/>
    <w:rsid w:val="00C76963"/>
    <w:rsid w:val="00C93CAD"/>
    <w:rsid w:val="00CA4FB9"/>
    <w:rsid w:val="00CC04A1"/>
    <w:rsid w:val="00CD00E9"/>
    <w:rsid w:val="00CE19C2"/>
    <w:rsid w:val="00CE2971"/>
    <w:rsid w:val="00CE6AF3"/>
    <w:rsid w:val="00CF138C"/>
    <w:rsid w:val="00CF2A97"/>
    <w:rsid w:val="00CF6E5B"/>
    <w:rsid w:val="00D07F20"/>
    <w:rsid w:val="00D15F36"/>
    <w:rsid w:val="00D36EB2"/>
    <w:rsid w:val="00D3793D"/>
    <w:rsid w:val="00D406D7"/>
    <w:rsid w:val="00D435E8"/>
    <w:rsid w:val="00D45647"/>
    <w:rsid w:val="00D460BB"/>
    <w:rsid w:val="00D6321C"/>
    <w:rsid w:val="00D67BD7"/>
    <w:rsid w:val="00D805E4"/>
    <w:rsid w:val="00D82C50"/>
    <w:rsid w:val="00D95948"/>
    <w:rsid w:val="00DA7568"/>
    <w:rsid w:val="00DB2D27"/>
    <w:rsid w:val="00DD1A15"/>
    <w:rsid w:val="00DD7D3D"/>
    <w:rsid w:val="00DE582E"/>
    <w:rsid w:val="00E05DC5"/>
    <w:rsid w:val="00E13DB9"/>
    <w:rsid w:val="00E1686D"/>
    <w:rsid w:val="00E54756"/>
    <w:rsid w:val="00E7382B"/>
    <w:rsid w:val="00E7546C"/>
    <w:rsid w:val="00E80E1F"/>
    <w:rsid w:val="00E818F9"/>
    <w:rsid w:val="00E8638A"/>
    <w:rsid w:val="00E86A6E"/>
    <w:rsid w:val="00E91AC4"/>
    <w:rsid w:val="00E967F5"/>
    <w:rsid w:val="00EC0904"/>
    <w:rsid w:val="00ED2C9A"/>
    <w:rsid w:val="00ED5706"/>
    <w:rsid w:val="00EE7BDA"/>
    <w:rsid w:val="00EF4CDC"/>
    <w:rsid w:val="00F05A65"/>
    <w:rsid w:val="00F14654"/>
    <w:rsid w:val="00F167E1"/>
    <w:rsid w:val="00F42355"/>
    <w:rsid w:val="00F579FA"/>
    <w:rsid w:val="00F64563"/>
    <w:rsid w:val="00F75FF5"/>
    <w:rsid w:val="00F764B0"/>
    <w:rsid w:val="00F77600"/>
    <w:rsid w:val="00F8328C"/>
    <w:rsid w:val="00FE37AF"/>
    <w:rsid w:val="00FE595D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06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 w:eastAsia="es-ES" w:bidi="es-ES"/>
    </w:rPr>
  </w:style>
  <w:style w:type="paragraph" w:styleId="Heading1">
    <w:name w:val="heading 1"/>
    <w:basedOn w:val="Normal"/>
    <w:uiPriority w:val="9"/>
    <w:qFormat/>
    <w:pPr>
      <w:ind w:left="304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2199" w:hanging="72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1"/>
      <w:ind w:left="758" w:hanging="7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105"/>
    </w:pPr>
  </w:style>
  <w:style w:type="paragraph" w:styleId="Header">
    <w:name w:val="header"/>
    <w:aliases w:val="encabezado"/>
    <w:basedOn w:val="Normal"/>
    <w:link w:val="HeaderChar"/>
    <w:unhideWhenUsed/>
    <w:rsid w:val="00035FF1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encabezado Char"/>
    <w:basedOn w:val="DefaultParagraphFont"/>
    <w:link w:val="Header"/>
    <w:rsid w:val="00035FF1"/>
    <w:rPr>
      <w:rFonts w:ascii="Cambria" w:eastAsia="Cambria" w:hAnsi="Cambria" w:cs="Cambria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035FF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FF1"/>
    <w:rPr>
      <w:rFonts w:ascii="Cambria" w:eastAsia="Cambria" w:hAnsi="Cambria" w:cs="Cambria"/>
      <w:lang w:val="es-ES" w:eastAsia="es-ES" w:bidi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8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852"/>
    <w:rPr>
      <w:rFonts w:ascii="Cambria" w:eastAsia="Cambria" w:hAnsi="Cambria" w:cs="Cambria"/>
      <w:sz w:val="20"/>
      <w:szCs w:val="20"/>
      <w:lang w:val="es-ES" w:eastAsia="es-ES" w:bidi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53685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643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365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09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0904"/>
    <w:rPr>
      <w:rFonts w:ascii="Cambria" w:eastAsia="Cambria" w:hAnsi="Cambria" w:cs="Cambri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dh.org/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dh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as.org/es/cidh/decisiones/2017/CHAD188-11ES.pdf" TargetMode="External"/><Relationship Id="rId1" Type="http://schemas.openxmlformats.org/officeDocument/2006/relationships/hyperlink" Target="https://www.oas.org/es/cidh/decisiones/2020/CHAD951-10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79E75-A8FC-480C-A74F-B4B2B3DD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2245</Words>
  <Characters>11879</Characters>
  <Application>Microsoft Office Word</Application>
  <DocSecurity>0</DocSecurity>
  <Lines>232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No. 27/22</dc:title>
  <dc:creator/>
  <cp:lastModifiedBy/>
  <cp:revision>1</cp:revision>
  <dcterms:created xsi:type="dcterms:W3CDTF">2022-04-26T17:37:00Z</dcterms:created>
  <dcterms:modified xsi:type="dcterms:W3CDTF">2022-04-26T17:37:00Z</dcterms:modified>
</cp:coreProperties>
</file>