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B678EF" w:rsidRDefault="00D306D1" w:rsidP="00627C9F">
      <w:pPr>
        <w:jc w:val="both"/>
        <w:rPr>
          <w:rFonts w:asciiTheme="majorHAnsi" w:hAnsiTheme="majorHAnsi" w:cs="Univers"/>
          <w:b/>
          <w:bCs/>
          <w:sz w:val="22"/>
          <w:szCs w:val="22"/>
          <w:lang w:val="es-ES"/>
        </w:rPr>
      </w:pPr>
      <w:r w:rsidRPr="00B678EF">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3FA2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B678EF">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B678EF"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B678EF"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B678EF" w:rsidRDefault="005128E4" w:rsidP="00040C3A">
      <w:pPr>
        <w:tabs>
          <w:tab w:val="center" w:pos="5400"/>
        </w:tabs>
        <w:suppressAutoHyphens/>
        <w:rPr>
          <w:rFonts w:asciiTheme="majorHAnsi" w:hAnsiTheme="majorHAnsi"/>
          <w:sz w:val="22"/>
          <w:szCs w:val="22"/>
          <w:lang w:val="es-ES"/>
        </w:rPr>
      </w:pPr>
    </w:p>
    <w:p w14:paraId="12A36B24" w14:textId="77777777" w:rsidR="005128E4" w:rsidRPr="00B678EF" w:rsidRDefault="005128E4" w:rsidP="00040C3A">
      <w:pPr>
        <w:tabs>
          <w:tab w:val="center" w:pos="5400"/>
        </w:tabs>
        <w:suppressAutoHyphens/>
        <w:rPr>
          <w:rFonts w:asciiTheme="majorHAnsi" w:hAnsiTheme="majorHAnsi"/>
          <w:sz w:val="22"/>
          <w:szCs w:val="22"/>
          <w:lang w:val="es-ES"/>
        </w:rPr>
      </w:pPr>
    </w:p>
    <w:p w14:paraId="2252093D" w14:textId="77777777" w:rsidR="005128E4" w:rsidRPr="00B678EF" w:rsidRDefault="005128E4" w:rsidP="00040C3A">
      <w:pPr>
        <w:tabs>
          <w:tab w:val="center" w:pos="5400"/>
        </w:tabs>
        <w:suppressAutoHyphens/>
        <w:rPr>
          <w:rFonts w:asciiTheme="majorHAnsi" w:hAnsiTheme="majorHAnsi"/>
          <w:sz w:val="22"/>
          <w:szCs w:val="22"/>
          <w:lang w:val="es-ES"/>
        </w:rPr>
      </w:pPr>
    </w:p>
    <w:p w14:paraId="403935BD" w14:textId="77777777" w:rsidR="00040C3A" w:rsidRPr="00B678EF"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B678EF"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B678EF"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B678EF"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B678EF"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B678EF"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B678EF"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B678EF" w:rsidRDefault="003D3BC2" w:rsidP="00040C3A">
      <w:pPr>
        <w:tabs>
          <w:tab w:val="center" w:pos="5400"/>
        </w:tabs>
        <w:suppressAutoHyphens/>
        <w:jc w:val="center"/>
        <w:rPr>
          <w:rFonts w:asciiTheme="majorHAnsi" w:hAnsiTheme="majorHAnsi"/>
          <w:sz w:val="22"/>
          <w:szCs w:val="22"/>
          <w:lang w:val="es-ES"/>
        </w:rPr>
      </w:pPr>
      <w:r w:rsidRPr="00B678EF">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0AEE1BE5">
                <wp:simplePos x="0" y="0"/>
                <wp:positionH relativeFrom="column">
                  <wp:posOffset>1352550</wp:posOffset>
                </wp:positionH>
                <wp:positionV relativeFrom="paragraph">
                  <wp:posOffset>106045</wp:posOffset>
                </wp:positionV>
                <wp:extent cx="496570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96570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2C3E48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E75CD">
                              <w:rPr>
                                <w:rFonts w:asciiTheme="majorHAnsi" w:hAnsiTheme="majorHAnsi" w:cs="Arial"/>
                                <w:b/>
                                <w:bCs/>
                                <w:color w:val="0D0D0D" w:themeColor="text1" w:themeTint="F2"/>
                                <w:sz w:val="36"/>
                                <w:szCs w:val="22"/>
                                <w:lang w:val="es-ES_tradnl"/>
                              </w:rPr>
                              <w:t>26</w:t>
                            </w:r>
                            <w:r w:rsidR="007B05C4">
                              <w:rPr>
                                <w:rFonts w:asciiTheme="majorHAnsi" w:hAnsiTheme="majorHAnsi" w:cs="Arial"/>
                                <w:b/>
                                <w:bCs/>
                                <w:color w:val="0D0D0D" w:themeColor="text1" w:themeTint="F2"/>
                                <w:sz w:val="36"/>
                                <w:szCs w:val="22"/>
                                <w:lang w:val="es-ES_tradnl"/>
                              </w:rPr>
                              <w:t>/</w:t>
                            </w:r>
                            <w:r w:rsidR="0094720E">
                              <w:rPr>
                                <w:rFonts w:asciiTheme="majorHAnsi" w:hAnsiTheme="majorHAnsi" w:cs="Arial"/>
                                <w:b/>
                                <w:bCs/>
                                <w:color w:val="0D0D0D" w:themeColor="text1" w:themeTint="F2"/>
                                <w:sz w:val="36"/>
                                <w:szCs w:val="22"/>
                                <w:lang w:val="es-ES_tradnl"/>
                              </w:rPr>
                              <w:t>22</w:t>
                            </w:r>
                          </w:p>
                          <w:p w14:paraId="09C54AB3" w14:textId="314612A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C498F">
                              <w:rPr>
                                <w:rFonts w:asciiTheme="majorHAnsi" w:hAnsiTheme="majorHAnsi" w:cs="Arial"/>
                                <w:b/>
                                <w:color w:val="0D0D0D" w:themeColor="text1" w:themeTint="F2"/>
                                <w:sz w:val="36"/>
                                <w:szCs w:val="22"/>
                                <w:lang w:val="es-ES_tradnl"/>
                              </w:rPr>
                              <w:t>949-07</w:t>
                            </w:r>
                            <w:r w:rsidR="00246D1F" w:rsidRPr="004E2649">
                              <w:rPr>
                                <w:rFonts w:asciiTheme="majorHAnsi" w:hAnsiTheme="majorHAnsi" w:cs="Arial"/>
                                <w:b/>
                                <w:color w:val="0D0D0D" w:themeColor="text1" w:themeTint="F2"/>
                                <w:sz w:val="36"/>
                                <w:szCs w:val="22"/>
                                <w:lang w:val="es-ES_tradnl"/>
                              </w:rPr>
                              <w:t xml:space="preserve"> </w:t>
                            </w:r>
                          </w:p>
                          <w:p w14:paraId="70CF6833" w14:textId="650313D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39DEC4F4" w:rsidR="005B52B0" w:rsidRPr="0010736F" w:rsidRDefault="00AC795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EDUARDO ELÍAS CERDA ÁNGEL, MARÍA ISABEL GUTIÉRREZ Y FAMILIAS</w:t>
                            </w:r>
                          </w:p>
                          <w:bookmarkEnd w:id="0"/>
                          <w:p w14:paraId="35068D0D" w14:textId="5D1B7F55" w:rsidR="005B52B0" w:rsidRPr="0010736F" w:rsidRDefault="00A76C1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Default="005B52B0" w:rsidP="007A5817">
                            <w:pPr>
                              <w:rPr>
                                <w:color w:val="0D0D0D" w:themeColor="text1" w:themeTint="F2"/>
                                <w:lang w:val="es-ES_tradnl"/>
                              </w:rPr>
                            </w:pPr>
                          </w:p>
                          <w:p w14:paraId="767466AE" w14:textId="32369C9C" w:rsidR="00AC7953" w:rsidRPr="00AE5488" w:rsidRDefault="00AC7953"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35pt;width:391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" filled="f" stroked="f" strokeweight=".5pt">
                <v:textbox>
                  <w:txbxContent>
                    <w:p w14:paraId="4D9FE29C" w14:textId="32C3E48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E75CD">
                        <w:rPr>
                          <w:rFonts w:asciiTheme="majorHAnsi" w:hAnsiTheme="majorHAnsi" w:cs="Arial"/>
                          <w:b/>
                          <w:bCs/>
                          <w:color w:val="0D0D0D" w:themeColor="text1" w:themeTint="F2"/>
                          <w:sz w:val="36"/>
                          <w:szCs w:val="22"/>
                          <w:lang w:val="es-ES_tradnl"/>
                        </w:rPr>
                        <w:t>26</w:t>
                      </w:r>
                      <w:r w:rsidR="007B05C4">
                        <w:rPr>
                          <w:rFonts w:asciiTheme="majorHAnsi" w:hAnsiTheme="majorHAnsi" w:cs="Arial"/>
                          <w:b/>
                          <w:bCs/>
                          <w:color w:val="0D0D0D" w:themeColor="text1" w:themeTint="F2"/>
                          <w:sz w:val="36"/>
                          <w:szCs w:val="22"/>
                          <w:lang w:val="es-ES_tradnl"/>
                        </w:rPr>
                        <w:t>/</w:t>
                      </w:r>
                      <w:r w:rsidR="0094720E">
                        <w:rPr>
                          <w:rFonts w:asciiTheme="majorHAnsi" w:hAnsiTheme="majorHAnsi" w:cs="Arial"/>
                          <w:b/>
                          <w:bCs/>
                          <w:color w:val="0D0D0D" w:themeColor="text1" w:themeTint="F2"/>
                          <w:sz w:val="36"/>
                          <w:szCs w:val="22"/>
                          <w:lang w:val="es-ES_tradnl"/>
                        </w:rPr>
                        <w:t>22</w:t>
                      </w:r>
                    </w:p>
                    <w:p w14:paraId="09C54AB3" w14:textId="314612A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C498F">
                        <w:rPr>
                          <w:rFonts w:asciiTheme="majorHAnsi" w:hAnsiTheme="majorHAnsi" w:cs="Arial"/>
                          <w:b/>
                          <w:color w:val="0D0D0D" w:themeColor="text1" w:themeTint="F2"/>
                          <w:sz w:val="36"/>
                          <w:szCs w:val="22"/>
                          <w:lang w:val="es-ES_tradnl"/>
                        </w:rPr>
                        <w:t>949-07</w:t>
                      </w:r>
                      <w:r w:rsidR="00246D1F" w:rsidRPr="004E2649">
                        <w:rPr>
                          <w:rFonts w:asciiTheme="majorHAnsi" w:hAnsiTheme="majorHAnsi" w:cs="Arial"/>
                          <w:b/>
                          <w:color w:val="0D0D0D" w:themeColor="text1" w:themeTint="F2"/>
                          <w:sz w:val="36"/>
                          <w:szCs w:val="22"/>
                          <w:lang w:val="es-ES_tradnl"/>
                        </w:rPr>
                        <w:t xml:space="preserve"> </w:t>
                      </w:r>
                    </w:p>
                    <w:p w14:paraId="70CF6833" w14:textId="650313D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39DEC4F4" w:rsidR="005B52B0" w:rsidRPr="0010736F" w:rsidRDefault="00AC795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EDUARDO ELÍAS CERDA ÁNGEL, MARÍA ISABEL GUTIÉRREZ Y FAMILIAS</w:t>
                      </w:r>
                    </w:p>
                    <w:bookmarkEnd w:id="1"/>
                    <w:p w14:paraId="35068D0D" w14:textId="5D1B7F55" w:rsidR="005B52B0" w:rsidRPr="0010736F" w:rsidRDefault="00A76C1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Default="005B52B0" w:rsidP="007A5817">
                      <w:pPr>
                        <w:rPr>
                          <w:color w:val="0D0D0D" w:themeColor="text1" w:themeTint="F2"/>
                          <w:lang w:val="es-ES_tradnl"/>
                        </w:rPr>
                      </w:pPr>
                    </w:p>
                    <w:p w14:paraId="767466AE" w14:textId="32369C9C" w:rsidR="00AC7953" w:rsidRPr="00AE5488" w:rsidRDefault="00AC7953" w:rsidP="007A5817">
                      <w:pPr>
                        <w:rPr>
                          <w:color w:val="0D0D0D" w:themeColor="text1" w:themeTint="F2"/>
                          <w:lang w:val="es-ES_tradnl"/>
                        </w:rPr>
                      </w:pPr>
                    </w:p>
                  </w:txbxContent>
                </v:textbox>
              </v:shape>
            </w:pict>
          </mc:Fallback>
        </mc:AlternateContent>
      </w:r>
      <w:r w:rsidR="004E2649" w:rsidRPr="00B678EF">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DC3271B" w:rsidR="00627C9F" w:rsidRPr="002D71DA" w:rsidRDefault="00834D49" w:rsidP="007A5817">
                            <w:pPr>
                              <w:spacing w:line="276" w:lineRule="auto"/>
                              <w:jc w:val="right"/>
                              <w:rPr>
                                <w:rFonts w:asciiTheme="minorHAnsi" w:hAnsiTheme="minorHAnsi"/>
                                <w:color w:val="FFFFFF" w:themeColor="background1"/>
                                <w:sz w:val="22"/>
                                <w:lang w:val="es-419"/>
                              </w:rPr>
                            </w:pPr>
                            <w:r w:rsidRPr="002D71DA">
                              <w:rPr>
                                <w:rFonts w:asciiTheme="minorHAnsi" w:hAnsiTheme="minorHAnsi"/>
                                <w:color w:val="FFFFFF" w:themeColor="background1"/>
                                <w:sz w:val="22"/>
                                <w:lang w:val="es-419"/>
                              </w:rPr>
                              <w:t>OEA/Ser.L/V/II</w:t>
                            </w:r>
                          </w:p>
                          <w:p w14:paraId="6A41611B" w14:textId="49620595" w:rsidR="00627C9F" w:rsidRPr="002D71DA" w:rsidRDefault="00627C9F" w:rsidP="007A5817">
                            <w:pPr>
                              <w:spacing w:line="276" w:lineRule="auto"/>
                              <w:jc w:val="right"/>
                              <w:rPr>
                                <w:rFonts w:asciiTheme="minorHAnsi" w:hAnsiTheme="minorHAnsi"/>
                                <w:color w:val="FFFFFF" w:themeColor="background1"/>
                                <w:sz w:val="22"/>
                                <w:lang w:val="es-419"/>
                              </w:rPr>
                            </w:pPr>
                            <w:r w:rsidRPr="002D71DA">
                              <w:rPr>
                                <w:rFonts w:asciiTheme="minorHAnsi" w:hAnsiTheme="minorHAnsi"/>
                                <w:color w:val="FFFFFF" w:themeColor="background1"/>
                                <w:sz w:val="22"/>
                                <w:lang w:val="es-419"/>
                              </w:rPr>
                              <w:t xml:space="preserve">Doc. </w:t>
                            </w:r>
                            <w:r w:rsidR="008E75CD" w:rsidRPr="002D71DA">
                              <w:rPr>
                                <w:rFonts w:asciiTheme="minorHAnsi" w:hAnsiTheme="minorHAnsi"/>
                                <w:color w:val="FFFFFF" w:themeColor="background1"/>
                                <w:sz w:val="22"/>
                                <w:lang w:val="es-419"/>
                              </w:rPr>
                              <w:t>28</w:t>
                            </w:r>
                          </w:p>
                          <w:p w14:paraId="69373ED2" w14:textId="183B2DE9" w:rsidR="00627C9F" w:rsidRPr="00247C61" w:rsidRDefault="008E75CD"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5</w:t>
                            </w:r>
                            <w:r w:rsidR="00627C9F" w:rsidRPr="00247C61">
                              <w:rPr>
                                <w:rFonts w:asciiTheme="minorHAnsi" w:hAnsiTheme="minorHAnsi"/>
                                <w:color w:val="FFFFFF" w:themeColor="background1"/>
                                <w:sz w:val="22"/>
                                <w:lang w:val="es-MX"/>
                              </w:rPr>
                              <w:t xml:space="preserve"> </w:t>
                            </w:r>
                            <w:r w:rsidR="007B05C4" w:rsidRPr="00247C61">
                              <w:rPr>
                                <w:rFonts w:asciiTheme="minorHAnsi" w:hAnsiTheme="minorHAnsi"/>
                                <w:color w:val="FFFFFF" w:themeColor="background1"/>
                                <w:sz w:val="22"/>
                                <w:lang w:val="es-MX"/>
                              </w:rPr>
                              <w:t>m</w:t>
                            </w:r>
                            <w:r>
                              <w:rPr>
                                <w:rFonts w:asciiTheme="minorHAnsi" w:hAnsiTheme="minorHAnsi"/>
                                <w:color w:val="FFFFFF" w:themeColor="background1"/>
                                <w:sz w:val="22"/>
                                <w:lang w:val="es-MX"/>
                              </w:rPr>
                              <w:t>arzo</w:t>
                            </w:r>
                            <w:r w:rsidR="007B05C4" w:rsidRPr="00247C61">
                              <w:rPr>
                                <w:rFonts w:asciiTheme="minorHAnsi" w:hAnsiTheme="minorHAnsi"/>
                                <w:color w:val="FFFFFF" w:themeColor="background1"/>
                                <w:sz w:val="22"/>
                                <w:lang w:val="es-MX"/>
                              </w:rPr>
                              <w:t xml:space="preserve"> </w:t>
                            </w:r>
                            <w:r w:rsidR="00627C9F" w:rsidRPr="00247C61">
                              <w:rPr>
                                <w:rFonts w:asciiTheme="minorHAnsi" w:hAnsiTheme="minorHAnsi"/>
                                <w:color w:val="FFFFFF" w:themeColor="background1"/>
                                <w:sz w:val="22"/>
                                <w:lang w:val="es-MX"/>
                              </w:rPr>
                              <w:t>20</w:t>
                            </w:r>
                            <w:r w:rsidR="0094720E">
                              <w:rPr>
                                <w:rFonts w:asciiTheme="minorHAnsi" w:hAnsiTheme="minorHAnsi"/>
                                <w:color w:val="FFFFFF" w:themeColor="background1"/>
                                <w:sz w:val="22"/>
                                <w:lang w:val="es-MX"/>
                              </w:rPr>
                              <w:t>22</w:t>
                            </w:r>
                          </w:p>
                          <w:p w14:paraId="0771DB5B" w14:textId="77777777" w:rsidR="00627C9F" w:rsidRPr="00247C61" w:rsidRDefault="00E0340B" w:rsidP="007A5817">
                            <w:pPr>
                              <w:spacing w:line="276" w:lineRule="auto"/>
                              <w:jc w:val="right"/>
                              <w:rPr>
                                <w:rFonts w:asciiTheme="minorHAnsi" w:hAnsiTheme="minorHAnsi"/>
                                <w:color w:val="FFFFFF" w:themeColor="background1"/>
                                <w:sz w:val="22"/>
                                <w:lang w:val="es-MX"/>
                              </w:rPr>
                            </w:pPr>
                            <w:r w:rsidRPr="00247C61">
                              <w:rPr>
                                <w:rFonts w:asciiTheme="minorHAnsi" w:hAnsiTheme="minorHAnsi"/>
                                <w:color w:val="FFFFFF" w:themeColor="background1"/>
                                <w:sz w:val="22"/>
                                <w:lang w:val="es-MX"/>
                              </w:rPr>
                              <w:t xml:space="preserve">Original: </w:t>
                            </w:r>
                            <w:r w:rsidR="008B12F5" w:rsidRPr="00247C61">
                              <w:rPr>
                                <w:rFonts w:asciiTheme="minorHAnsi" w:hAnsiTheme="minorHAnsi"/>
                                <w:color w:val="FFFFFF" w:themeColor="background1"/>
                                <w:sz w:val="22"/>
                                <w:lang w:val="es-MX"/>
                              </w:rPr>
                              <w:t>e</w:t>
                            </w:r>
                            <w:r w:rsidR="00627C9F" w:rsidRPr="00247C61">
                              <w:rPr>
                                <w:rFonts w:asciiTheme="minorHAnsi" w:hAnsiTheme="minorHAnsi"/>
                                <w:color w:val="FFFFFF" w:themeColor="background1"/>
                                <w:sz w:val="22"/>
                                <w:lang w:val="es-MX"/>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E5919"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6DC3271B" w:rsidR="00627C9F" w:rsidRPr="002D71DA" w:rsidRDefault="00834D49" w:rsidP="007A5817">
                      <w:pPr>
                        <w:spacing w:line="276" w:lineRule="auto"/>
                        <w:jc w:val="right"/>
                        <w:rPr>
                          <w:rFonts w:asciiTheme="minorHAnsi" w:hAnsiTheme="minorHAnsi"/>
                          <w:color w:val="FFFFFF" w:themeColor="background1"/>
                          <w:sz w:val="22"/>
                          <w:lang w:val="es-419"/>
                        </w:rPr>
                      </w:pPr>
                      <w:r w:rsidRPr="002D71DA">
                        <w:rPr>
                          <w:rFonts w:asciiTheme="minorHAnsi" w:hAnsiTheme="minorHAnsi"/>
                          <w:color w:val="FFFFFF" w:themeColor="background1"/>
                          <w:sz w:val="22"/>
                          <w:lang w:val="es-419"/>
                        </w:rPr>
                        <w:t>OEA/Ser.L/V/II</w:t>
                      </w:r>
                    </w:p>
                    <w:p w14:paraId="6A41611B" w14:textId="49620595" w:rsidR="00627C9F" w:rsidRPr="002D71DA" w:rsidRDefault="00627C9F" w:rsidP="007A5817">
                      <w:pPr>
                        <w:spacing w:line="276" w:lineRule="auto"/>
                        <w:jc w:val="right"/>
                        <w:rPr>
                          <w:rFonts w:asciiTheme="minorHAnsi" w:hAnsiTheme="minorHAnsi"/>
                          <w:color w:val="FFFFFF" w:themeColor="background1"/>
                          <w:sz w:val="22"/>
                          <w:lang w:val="es-419"/>
                        </w:rPr>
                      </w:pPr>
                      <w:r w:rsidRPr="002D71DA">
                        <w:rPr>
                          <w:rFonts w:asciiTheme="minorHAnsi" w:hAnsiTheme="minorHAnsi"/>
                          <w:color w:val="FFFFFF" w:themeColor="background1"/>
                          <w:sz w:val="22"/>
                          <w:lang w:val="es-419"/>
                        </w:rPr>
                        <w:t xml:space="preserve">Doc. </w:t>
                      </w:r>
                      <w:r w:rsidR="008E75CD" w:rsidRPr="002D71DA">
                        <w:rPr>
                          <w:rFonts w:asciiTheme="minorHAnsi" w:hAnsiTheme="minorHAnsi"/>
                          <w:color w:val="FFFFFF" w:themeColor="background1"/>
                          <w:sz w:val="22"/>
                          <w:lang w:val="es-419"/>
                        </w:rPr>
                        <w:t>28</w:t>
                      </w:r>
                    </w:p>
                    <w:p w14:paraId="69373ED2" w14:textId="183B2DE9" w:rsidR="00627C9F" w:rsidRPr="00247C61" w:rsidRDefault="008E75CD"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5</w:t>
                      </w:r>
                      <w:r w:rsidR="00627C9F" w:rsidRPr="00247C61">
                        <w:rPr>
                          <w:rFonts w:asciiTheme="minorHAnsi" w:hAnsiTheme="minorHAnsi"/>
                          <w:color w:val="FFFFFF" w:themeColor="background1"/>
                          <w:sz w:val="22"/>
                          <w:lang w:val="es-MX"/>
                        </w:rPr>
                        <w:t xml:space="preserve"> </w:t>
                      </w:r>
                      <w:r w:rsidR="007B05C4" w:rsidRPr="00247C61">
                        <w:rPr>
                          <w:rFonts w:asciiTheme="minorHAnsi" w:hAnsiTheme="minorHAnsi"/>
                          <w:color w:val="FFFFFF" w:themeColor="background1"/>
                          <w:sz w:val="22"/>
                          <w:lang w:val="es-MX"/>
                        </w:rPr>
                        <w:t>m</w:t>
                      </w:r>
                      <w:r>
                        <w:rPr>
                          <w:rFonts w:asciiTheme="minorHAnsi" w:hAnsiTheme="minorHAnsi"/>
                          <w:color w:val="FFFFFF" w:themeColor="background1"/>
                          <w:sz w:val="22"/>
                          <w:lang w:val="es-MX"/>
                        </w:rPr>
                        <w:t>arzo</w:t>
                      </w:r>
                      <w:r w:rsidR="007B05C4" w:rsidRPr="00247C61">
                        <w:rPr>
                          <w:rFonts w:asciiTheme="minorHAnsi" w:hAnsiTheme="minorHAnsi"/>
                          <w:color w:val="FFFFFF" w:themeColor="background1"/>
                          <w:sz w:val="22"/>
                          <w:lang w:val="es-MX"/>
                        </w:rPr>
                        <w:t xml:space="preserve"> </w:t>
                      </w:r>
                      <w:r w:rsidR="00627C9F" w:rsidRPr="00247C61">
                        <w:rPr>
                          <w:rFonts w:asciiTheme="minorHAnsi" w:hAnsiTheme="minorHAnsi"/>
                          <w:color w:val="FFFFFF" w:themeColor="background1"/>
                          <w:sz w:val="22"/>
                          <w:lang w:val="es-MX"/>
                        </w:rPr>
                        <w:t>20</w:t>
                      </w:r>
                      <w:r w:rsidR="0094720E">
                        <w:rPr>
                          <w:rFonts w:asciiTheme="minorHAnsi" w:hAnsiTheme="minorHAnsi"/>
                          <w:color w:val="FFFFFF" w:themeColor="background1"/>
                          <w:sz w:val="22"/>
                          <w:lang w:val="es-MX"/>
                        </w:rPr>
                        <w:t>22</w:t>
                      </w:r>
                    </w:p>
                    <w:p w14:paraId="0771DB5B" w14:textId="77777777" w:rsidR="00627C9F" w:rsidRPr="00247C61" w:rsidRDefault="00E0340B" w:rsidP="007A5817">
                      <w:pPr>
                        <w:spacing w:line="276" w:lineRule="auto"/>
                        <w:jc w:val="right"/>
                        <w:rPr>
                          <w:rFonts w:asciiTheme="minorHAnsi" w:hAnsiTheme="minorHAnsi"/>
                          <w:color w:val="FFFFFF" w:themeColor="background1"/>
                          <w:sz w:val="22"/>
                          <w:lang w:val="es-MX"/>
                        </w:rPr>
                      </w:pPr>
                      <w:r w:rsidRPr="00247C61">
                        <w:rPr>
                          <w:rFonts w:asciiTheme="minorHAnsi" w:hAnsiTheme="minorHAnsi"/>
                          <w:color w:val="FFFFFF" w:themeColor="background1"/>
                          <w:sz w:val="22"/>
                          <w:lang w:val="es-MX"/>
                        </w:rPr>
                        <w:t xml:space="preserve">Original: </w:t>
                      </w:r>
                      <w:r w:rsidR="008B12F5" w:rsidRPr="00247C61">
                        <w:rPr>
                          <w:rFonts w:asciiTheme="minorHAnsi" w:hAnsiTheme="minorHAnsi"/>
                          <w:color w:val="FFFFFF" w:themeColor="background1"/>
                          <w:sz w:val="22"/>
                          <w:lang w:val="es-MX"/>
                        </w:rPr>
                        <w:t>e</w:t>
                      </w:r>
                      <w:r w:rsidR="00627C9F" w:rsidRPr="00247C61">
                        <w:rPr>
                          <w:rFonts w:asciiTheme="minorHAnsi" w:hAnsiTheme="minorHAnsi"/>
                          <w:color w:val="FFFFFF" w:themeColor="background1"/>
                          <w:sz w:val="22"/>
                          <w:lang w:val="es-MX"/>
                        </w:rPr>
                        <w:t>spañol</w:t>
                      </w:r>
                    </w:p>
                  </w:txbxContent>
                </v:textbox>
              </v:shape>
            </w:pict>
          </mc:Fallback>
        </mc:AlternateContent>
      </w:r>
    </w:p>
    <w:p w14:paraId="155B0536" w14:textId="77777777" w:rsidR="00040C3A" w:rsidRPr="00B678EF"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B678EF"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B678EF"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B678EF"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B678EF"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B678EF"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B678EF"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B678EF"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B678EF"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B678EF"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B678EF"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B678EF"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B678EF"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B678EF"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B678EF"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B678EF"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B678EF"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B678EF"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B678EF"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B678EF"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B678EF"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B678EF"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B678EF"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B678EF"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B678EF"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B678EF"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B678EF"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B678EF"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B678EF" w:rsidRDefault="0090270B" w:rsidP="00040C3A">
      <w:pPr>
        <w:tabs>
          <w:tab w:val="center" w:pos="5400"/>
        </w:tabs>
        <w:suppressAutoHyphens/>
        <w:jc w:val="center"/>
        <w:rPr>
          <w:rFonts w:asciiTheme="majorHAnsi" w:hAnsiTheme="majorHAnsi"/>
          <w:sz w:val="18"/>
          <w:szCs w:val="22"/>
          <w:lang w:val="es-ES"/>
        </w:rPr>
      </w:pPr>
      <w:r w:rsidRPr="00B678EF">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BA3C86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8E75CD">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8E75CD">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94720E">
                              <w:rPr>
                                <w:rFonts w:asciiTheme="majorHAnsi" w:hAnsiTheme="majorHAnsi"/>
                                <w:color w:val="0D0D0D" w:themeColor="text1" w:themeTint="F2"/>
                                <w:sz w:val="18"/>
                                <w:szCs w:val="22"/>
                                <w:lang w:val="es-ES"/>
                              </w:rPr>
                              <w:t>2</w:t>
                            </w:r>
                            <w:r w:rsidR="00C41CDB">
                              <w:rPr>
                                <w:rFonts w:asciiTheme="majorHAnsi" w:hAnsiTheme="majorHAnsi"/>
                                <w:color w:val="0D0D0D" w:themeColor="text1" w:themeTint="F2"/>
                                <w:sz w:val="18"/>
                                <w:szCs w:val="22"/>
                                <w:lang w:val="es-ES"/>
                              </w:rPr>
                              <w:t>2</w:t>
                            </w:r>
                            <w:r w:rsidR="003525DD">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6BA3C86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8E75CD">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8E75CD">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94720E">
                        <w:rPr>
                          <w:rFonts w:asciiTheme="majorHAnsi" w:hAnsiTheme="majorHAnsi"/>
                          <w:color w:val="0D0D0D" w:themeColor="text1" w:themeTint="F2"/>
                          <w:sz w:val="18"/>
                          <w:szCs w:val="22"/>
                          <w:lang w:val="es-ES"/>
                        </w:rPr>
                        <w:t>2</w:t>
                      </w:r>
                      <w:r w:rsidR="00C41CDB">
                        <w:rPr>
                          <w:rFonts w:asciiTheme="majorHAnsi" w:hAnsiTheme="majorHAnsi"/>
                          <w:color w:val="0D0D0D" w:themeColor="text1" w:themeTint="F2"/>
                          <w:sz w:val="18"/>
                          <w:szCs w:val="22"/>
                          <w:lang w:val="es-ES"/>
                        </w:rPr>
                        <w:t>2</w:t>
                      </w:r>
                      <w:r w:rsidR="003525DD">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B678EF"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B678EF"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B678EF"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B678EF"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B678EF" w:rsidRDefault="0090270B" w:rsidP="00040C3A">
      <w:pPr>
        <w:tabs>
          <w:tab w:val="center" w:pos="5400"/>
        </w:tabs>
        <w:suppressAutoHyphens/>
        <w:jc w:val="center"/>
        <w:rPr>
          <w:rFonts w:asciiTheme="majorHAnsi" w:hAnsiTheme="majorHAnsi"/>
          <w:sz w:val="18"/>
          <w:szCs w:val="22"/>
          <w:lang w:val="es-ES"/>
        </w:rPr>
      </w:pPr>
      <w:r w:rsidRPr="00B678EF">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36AD36E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41CDB" w:rsidRPr="00C41CDB">
                              <w:rPr>
                                <w:rFonts w:asciiTheme="majorHAnsi" w:hAnsiTheme="majorHAnsi"/>
                                <w:color w:val="595959" w:themeColor="text1" w:themeTint="A6"/>
                                <w:sz w:val="18"/>
                                <w:szCs w:val="18"/>
                                <w:lang w:val="pt-BR"/>
                              </w:rPr>
                              <w:t>26</w:t>
                            </w:r>
                            <w:r w:rsidR="007B05C4" w:rsidRPr="00C41CDB">
                              <w:rPr>
                                <w:rFonts w:asciiTheme="majorHAnsi" w:hAnsiTheme="majorHAnsi"/>
                                <w:color w:val="595959" w:themeColor="text1" w:themeTint="A6"/>
                                <w:sz w:val="18"/>
                                <w:szCs w:val="18"/>
                                <w:lang w:val="pt-BR"/>
                              </w:rPr>
                              <w:t>/</w:t>
                            </w:r>
                            <w:r w:rsidR="00C41CDB" w:rsidRPr="00C41CDB">
                              <w:rPr>
                                <w:rFonts w:asciiTheme="majorHAnsi" w:hAnsiTheme="majorHAnsi"/>
                                <w:color w:val="595959" w:themeColor="text1" w:themeTint="A6"/>
                                <w:sz w:val="18"/>
                                <w:szCs w:val="18"/>
                                <w:lang w:val="pt-BR"/>
                              </w:rPr>
                              <w:t>22</w:t>
                            </w:r>
                            <w:r w:rsidRPr="00C41CDB">
                              <w:rPr>
                                <w:rFonts w:asciiTheme="majorHAnsi" w:hAnsiTheme="majorHAnsi"/>
                                <w:color w:val="595959" w:themeColor="text1" w:themeTint="A6"/>
                                <w:sz w:val="18"/>
                                <w:szCs w:val="18"/>
                                <w:lang w:val="pt-BR"/>
                              </w:rPr>
                              <w:t xml:space="preserve">. </w:t>
                            </w:r>
                            <w:r w:rsidR="00E619AB">
                              <w:rPr>
                                <w:rFonts w:asciiTheme="majorHAnsi" w:hAnsiTheme="majorHAnsi"/>
                                <w:color w:val="595959" w:themeColor="text1" w:themeTint="A6"/>
                                <w:sz w:val="18"/>
                                <w:szCs w:val="18"/>
                                <w:lang w:val="pt-BR"/>
                              </w:rPr>
                              <w:t xml:space="preserve">Petición </w:t>
                            </w:r>
                            <w:r w:rsidR="00B678EF" w:rsidRPr="007D75FE">
                              <w:rPr>
                                <w:rFonts w:asciiTheme="majorHAnsi" w:hAnsiTheme="majorHAnsi"/>
                                <w:color w:val="595959" w:themeColor="text1" w:themeTint="A6"/>
                                <w:sz w:val="18"/>
                                <w:szCs w:val="18"/>
                                <w:lang w:val="es-ES_tradnl"/>
                              </w:rPr>
                              <w:t>P-</w:t>
                            </w:r>
                            <w:r w:rsidR="00AC7953" w:rsidRPr="007D75FE">
                              <w:rPr>
                                <w:rFonts w:asciiTheme="majorHAnsi" w:hAnsiTheme="majorHAnsi"/>
                                <w:color w:val="595959" w:themeColor="text1" w:themeTint="A6"/>
                                <w:sz w:val="18"/>
                                <w:szCs w:val="18"/>
                                <w:lang w:val="es-ES_tradnl"/>
                              </w:rPr>
                              <w:t>949-07</w:t>
                            </w:r>
                            <w:r w:rsidR="001E7DF4" w:rsidRPr="007D75FE">
                              <w:rPr>
                                <w:rFonts w:asciiTheme="majorHAnsi" w:hAnsiTheme="majorHAnsi"/>
                                <w:color w:val="595959" w:themeColor="text1" w:themeTint="A6"/>
                                <w:sz w:val="18"/>
                                <w:szCs w:val="18"/>
                                <w:lang w:val="es-ES_tradnl"/>
                              </w:rPr>
                              <w:t xml:space="preserve">. </w:t>
                            </w:r>
                            <w:r w:rsidRPr="007D75FE">
                              <w:rPr>
                                <w:rFonts w:asciiTheme="majorHAnsi" w:hAnsiTheme="majorHAnsi"/>
                                <w:color w:val="595959" w:themeColor="text1" w:themeTint="A6"/>
                                <w:sz w:val="18"/>
                                <w:szCs w:val="18"/>
                                <w:lang w:val="es-ES_tradnl"/>
                              </w:rPr>
                              <w:t xml:space="preserve">Admisibilidad. </w:t>
                            </w:r>
                            <w:r w:rsidR="00A87F9E" w:rsidRPr="007D75FE">
                              <w:rPr>
                                <w:rFonts w:asciiTheme="majorHAnsi" w:hAnsiTheme="majorHAnsi"/>
                                <w:color w:val="595959" w:themeColor="text1" w:themeTint="A6"/>
                                <w:sz w:val="18"/>
                                <w:szCs w:val="18"/>
                                <w:lang w:val="es-ES_tradnl"/>
                              </w:rPr>
                              <w:t>Eduardo Elías Cerda Ángel, María Isabel Gutiérrez Martínez y familias</w:t>
                            </w:r>
                            <w:r w:rsidRPr="007D75FE">
                              <w:rPr>
                                <w:rFonts w:asciiTheme="majorHAnsi" w:hAnsiTheme="majorHAnsi"/>
                                <w:color w:val="595959" w:themeColor="text1" w:themeTint="A6"/>
                                <w:sz w:val="18"/>
                                <w:szCs w:val="18"/>
                                <w:lang w:val="es-ES_tradnl"/>
                              </w:rPr>
                              <w:t xml:space="preserve">. </w:t>
                            </w:r>
                            <w:r w:rsidR="00B678EF" w:rsidRPr="007D75FE">
                              <w:rPr>
                                <w:rFonts w:asciiTheme="majorHAnsi" w:hAnsiTheme="majorHAnsi"/>
                                <w:color w:val="595959" w:themeColor="text1" w:themeTint="A6"/>
                                <w:sz w:val="18"/>
                                <w:szCs w:val="18"/>
                                <w:lang w:val="es-ES_tradnl"/>
                              </w:rPr>
                              <w:t>Chile</w:t>
                            </w:r>
                            <w:r w:rsidRPr="007D75FE">
                              <w:rPr>
                                <w:rFonts w:asciiTheme="majorHAnsi" w:hAnsiTheme="majorHAnsi"/>
                                <w:color w:val="595959" w:themeColor="text1" w:themeTint="A6"/>
                                <w:sz w:val="18"/>
                                <w:szCs w:val="18"/>
                                <w:lang w:val="es-ES_tradnl"/>
                              </w:rPr>
                              <w:t xml:space="preserve">. </w:t>
                            </w:r>
                            <w:r w:rsidR="00C41CDB">
                              <w:rPr>
                                <w:rFonts w:asciiTheme="majorHAnsi" w:hAnsiTheme="majorHAnsi"/>
                                <w:color w:val="595959" w:themeColor="text1" w:themeTint="A6"/>
                                <w:sz w:val="18"/>
                                <w:szCs w:val="18"/>
                                <w:lang w:val="es-ES"/>
                              </w:rPr>
                              <w:t>5 de marzo de 2022</w:t>
                            </w:r>
                            <w:r w:rsidRPr="007D75FE">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98ABC"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36AD36E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41CDB" w:rsidRPr="00C41CDB">
                        <w:rPr>
                          <w:rFonts w:asciiTheme="majorHAnsi" w:hAnsiTheme="majorHAnsi"/>
                          <w:color w:val="595959" w:themeColor="text1" w:themeTint="A6"/>
                          <w:sz w:val="18"/>
                          <w:szCs w:val="18"/>
                          <w:lang w:val="pt-BR"/>
                        </w:rPr>
                        <w:t>26</w:t>
                      </w:r>
                      <w:r w:rsidR="007B05C4" w:rsidRPr="00C41CDB">
                        <w:rPr>
                          <w:rFonts w:asciiTheme="majorHAnsi" w:hAnsiTheme="majorHAnsi"/>
                          <w:color w:val="595959" w:themeColor="text1" w:themeTint="A6"/>
                          <w:sz w:val="18"/>
                          <w:szCs w:val="18"/>
                          <w:lang w:val="pt-BR"/>
                        </w:rPr>
                        <w:t>/</w:t>
                      </w:r>
                      <w:r w:rsidR="00C41CDB" w:rsidRPr="00C41CDB">
                        <w:rPr>
                          <w:rFonts w:asciiTheme="majorHAnsi" w:hAnsiTheme="majorHAnsi"/>
                          <w:color w:val="595959" w:themeColor="text1" w:themeTint="A6"/>
                          <w:sz w:val="18"/>
                          <w:szCs w:val="18"/>
                          <w:lang w:val="pt-BR"/>
                        </w:rPr>
                        <w:t>22</w:t>
                      </w:r>
                      <w:r w:rsidRPr="00C41CDB">
                        <w:rPr>
                          <w:rFonts w:asciiTheme="majorHAnsi" w:hAnsiTheme="majorHAnsi"/>
                          <w:color w:val="595959" w:themeColor="text1" w:themeTint="A6"/>
                          <w:sz w:val="18"/>
                          <w:szCs w:val="18"/>
                          <w:lang w:val="pt-BR"/>
                        </w:rPr>
                        <w:t xml:space="preserve">. </w:t>
                      </w:r>
                      <w:r w:rsidR="00E619AB">
                        <w:rPr>
                          <w:rFonts w:asciiTheme="majorHAnsi" w:hAnsiTheme="majorHAnsi"/>
                          <w:color w:val="595959" w:themeColor="text1" w:themeTint="A6"/>
                          <w:sz w:val="18"/>
                          <w:szCs w:val="18"/>
                          <w:lang w:val="pt-BR"/>
                        </w:rPr>
                        <w:t xml:space="preserve">Petición </w:t>
                      </w:r>
                      <w:r w:rsidR="00B678EF" w:rsidRPr="007D75FE">
                        <w:rPr>
                          <w:rFonts w:asciiTheme="majorHAnsi" w:hAnsiTheme="majorHAnsi"/>
                          <w:color w:val="595959" w:themeColor="text1" w:themeTint="A6"/>
                          <w:sz w:val="18"/>
                          <w:szCs w:val="18"/>
                          <w:lang w:val="es-ES_tradnl"/>
                        </w:rPr>
                        <w:t>P-</w:t>
                      </w:r>
                      <w:r w:rsidR="00AC7953" w:rsidRPr="007D75FE">
                        <w:rPr>
                          <w:rFonts w:asciiTheme="majorHAnsi" w:hAnsiTheme="majorHAnsi"/>
                          <w:color w:val="595959" w:themeColor="text1" w:themeTint="A6"/>
                          <w:sz w:val="18"/>
                          <w:szCs w:val="18"/>
                          <w:lang w:val="es-ES_tradnl"/>
                        </w:rPr>
                        <w:t>949-07</w:t>
                      </w:r>
                      <w:r w:rsidR="001E7DF4" w:rsidRPr="007D75FE">
                        <w:rPr>
                          <w:rFonts w:asciiTheme="majorHAnsi" w:hAnsiTheme="majorHAnsi"/>
                          <w:color w:val="595959" w:themeColor="text1" w:themeTint="A6"/>
                          <w:sz w:val="18"/>
                          <w:szCs w:val="18"/>
                          <w:lang w:val="es-ES_tradnl"/>
                        </w:rPr>
                        <w:t xml:space="preserve">. </w:t>
                      </w:r>
                      <w:r w:rsidRPr="007D75FE">
                        <w:rPr>
                          <w:rFonts w:asciiTheme="majorHAnsi" w:hAnsiTheme="majorHAnsi"/>
                          <w:color w:val="595959" w:themeColor="text1" w:themeTint="A6"/>
                          <w:sz w:val="18"/>
                          <w:szCs w:val="18"/>
                          <w:lang w:val="es-ES_tradnl"/>
                        </w:rPr>
                        <w:t xml:space="preserve">Admisibilidad. </w:t>
                      </w:r>
                      <w:r w:rsidR="00A87F9E" w:rsidRPr="007D75FE">
                        <w:rPr>
                          <w:rFonts w:asciiTheme="majorHAnsi" w:hAnsiTheme="majorHAnsi"/>
                          <w:color w:val="595959" w:themeColor="text1" w:themeTint="A6"/>
                          <w:sz w:val="18"/>
                          <w:szCs w:val="18"/>
                          <w:lang w:val="es-ES_tradnl"/>
                        </w:rPr>
                        <w:t>Eduardo Elías Cerda Ángel, María Isabel Gutiérrez Martínez y familias</w:t>
                      </w:r>
                      <w:r w:rsidRPr="007D75FE">
                        <w:rPr>
                          <w:rFonts w:asciiTheme="majorHAnsi" w:hAnsiTheme="majorHAnsi"/>
                          <w:color w:val="595959" w:themeColor="text1" w:themeTint="A6"/>
                          <w:sz w:val="18"/>
                          <w:szCs w:val="18"/>
                          <w:lang w:val="es-ES_tradnl"/>
                        </w:rPr>
                        <w:t xml:space="preserve">. </w:t>
                      </w:r>
                      <w:r w:rsidR="00B678EF" w:rsidRPr="007D75FE">
                        <w:rPr>
                          <w:rFonts w:asciiTheme="majorHAnsi" w:hAnsiTheme="majorHAnsi"/>
                          <w:color w:val="595959" w:themeColor="text1" w:themeTint="A6"/>
                          <w:sz w:val="18"/>
                          <w:szCs w:val="18"/>
                          <w:lang w:val="es-ES_tradnl"/>
                        </w:rPr>
                        <w:t>Chile</w:t>
                      </w:r>
                      <w:r w:rsidRPr="007D75FE">
                        <w:rPr>
                          <w:rFonts w:asciiTheme="majorHAnsi" w:hAnsiTheme="majorHAnsi"/>
                          <w:color w:val="595959" w:themeColor="text1" w:themeTint="A6"/>
                          <w:sz w:val="18"/>
                          <w:szCs w:val="18"/>
                          <w:lang w:val="es-ES_tradnl"/>
                        </w:rPr>
                        <w:t xml:space="preserve">. </w:t>
                      </w:r>
                      <w:r w:rsidR="00C41CDB">
                        <w:rPr>
                          <w:rFonts w:asciiTheme="majorHAnsi" w:hAnsiTheme="majorHAnsi"/>
                          <w:color w:val="595959" w:themeColor="text1" w:themeTint="A6"/>
                          <w:sz w:val="18"/>
                          <w:szCs w:val="18"/>
                          <w:lang w:val="es-ES"/>
                        </w:rPr>
                        <w:t>5 de marzo de 2022</w:t>
                      </w:r>
                      <w:r w:rsidRPr="007D75FE">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B678EF" w:rsidRDefault="00A50FCF" w:rsidP="00040C3A">
      <w:pPr>
        <w:tabs>
          <w:tab w:val="center" w:pos="5400"/>
        </w:tabs>
        <w:suppressAutoHyphens/>
        <w:jc w:val="center"/>
        <w:rPr>
          <w:rFonts w:asciiTheme="majorHAnsi" w:hAnsiTheme="majorHAnsi"/>
          <w:sz w:val="18"/>
          <w:szCs w:val="22"/>
          <w:lang w:val="es-ES"/>
        </w:rPr>
      </w:pPr>
    </w:p>
    <w:p w14:paraId="1DA07629" w14:textId="6AB3FB42" w:rsidR="0090270B" w:rsidRPr="00B678EF" w:rsidRDefault="00D306D1" w:rsidP="005516A1">
      <w:pPr>
        <w:tabs>
          <w:tab w:val="center" w:pos="5400"/>
        </w:tabs>
        <w:suppressAutoHyphens/>
        <w:jc w:val="center"/>
        <w:rPr>
          <w:rFonts w:asciiTheme="majorHAnsi" w:hAnsiTheme="majorHAnsi"/>
          <w:b/>
          <w:sz w:val="20"/>
          <w:lang w:val="es-ES"/>
        </w:rPr>
      </w:pPr>
      <w:r w:rsidRPr="00B678EF">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3F9D39C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15BAF031" w:rsidR="0070697F" w:rsidRPr="00B678EF" w:rsidRDefault="00DE6AED" w:rsidP="005516A1">
      <w:pPr>
        <w:tabs>
          <w:tab w:val="center" w:pos="5400"/>
        </w:tabs>
        <w:suppressAutoHyphens/>
        <w:jc w:val="center"/>
        <w:rPr>
          <w:rFonts w:asciiTheme="majorHAnsi" w:hAnsiTheme="majorHAnsi"/>
          <w:b/>
          <w:sz w:val="20"/>
          <w:lang w:val="es-ES"/>
        </w:rPr>
        <w:sectPr w:rsidR="0070697F" w:rsidRPr="00B678E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B678EF">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2EBD76D9">
                <wp:simplePos x="0" y="0"/>
                <wp:positionH relativeFrom="column">
                  <wp:posOffset>1329690</wp:posOffset>
                </wp:positionH>
                <wp:positionV relativeFrom="paragraph">
                  <wp:posOffset>584200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37439CA2" w:rsidR="00D72DC6" w:rsidRPr="00D72DC6" w:rsidRDefault="00DE6AED" w:rsidP="00F02AD1">
                            <w:pPr>
                              <w:rPr>
                                <w:color w:val="FFFFFF" w:themeColor="background1"/>
                                <w14:textFill>
                                  <w14:noFill/>
                                </w14:textFill>
                              </w:rPr>
                            </w:pPr>
                            <w:r>
                              <w:rPr>
                                <w:noProof/>
                                <w:color w:val="FFFFFF" w:themeColor="background1"/>
                              </w:rPr>
                              <w:drawing>
                                <wp:inline distT="0" distB="0" distL="0" distR="0" wp14:anchorId="37DCBD2E" wp14:editId="2A526EBF">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7pt;margin-top:46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" fillcolor="white [3201]" stroked="f" strokeweight=".5pt">
                <v:textbox>
                  <w:txbxContent>
                    <w:p w14:paraId="2A1ECD3C" w14:textId="37439CA2" w:rsidR="00D72DC6" w:rsidRPr="00D72DC6" w:rsidRDefault="00DE6AED" w:rsidP="00F02AD1">
                      <w:pPr>
                        <w:rPr>
                          <w:color w:val="FFFFFF" w:themeColor="background1"/>
                          <w14:textFill>
                            <w14:noFill/>
                          </w14:textFill>
                        </w:rPr>
                      </w:pPr>
                      <w:r>
                        <w:rPr>
                          <w:noProof/>
                          <w:color w:val="FFFFFF" w:themeColor="background1"/>
                        </w:rPr>
                        <w:drawing>
                          <wp:inline distT="0" distB="0" distL="0" distR="0" wp14:anchorId="37DCBD2E" wp14:editId="2A526EBF">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B678EF">
        <w:rPr>
          <w:rFonts w:asciiTheme="majorHAnsi" w:hAnsiTheme="majorHAnsi"/>
          <w:b/>
          <w:sz w:val="20"/>
          <w:lang w:val="es-ES"/>
        </w:rPr>
        <w:tab/>
      </w:r>
    </w:p>
    <w:p w14:paraId="376DDC8B" w14:textId="77777777" w:rsidR="003239B8" w:rsidRPr="00B678EF" w:rsidRDefault="003239B8" w:rsidP="007C402A">
      <w:pPr>
        <w:spacing w:after="120"/>
        <w:ind w:firstLine="720"/>
        <w:jc w:val="both"/>
        <w:rPr>
          <w:rFonts w:asciiTheme="majorHAnsi" w:hAnsiTheme="majorHAnsi"/>
          <w:b/>
          <w:bCs/>
          <w:sz w:val="20"/>
          <w:szCs w:val="20"/>
          <w:lang w:val="es-ES"/>
        </w:rPr>
      </w:pPr>
      <w:r w:rsidRPr="00B678EF">
        <w:rPr>
          <w:rFonts w:asciiTheme="majorHAnsi" w:hAnsiTheme="majorHAnsi"/>
          <w:b/>
          <w:bCs/>
          <w:sz w:val="20"/>
          <w:szCs w:val="20"/>
          <w:lang w:val="es-ES"/>
        </w:rPr>
        <w:lastRenderedPageBreak/>
        <w:t>I.</w:t>
      </w:r>
      <w:r w:rsidRPr="00B678EF">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B678EF" w:rsidRPr="00B678EF"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3E4E03" w:rsidRDefault="00D77503" w:rsidP="008D2290">
            <w:pPr>
              <w:jc w:val="center"/>
              <w:rPr>
                <w:rFonts w:ascii="Cambria" w:hAnsi="Cambria"/>
                <w:b/>
                <w:color w:val="FFFFFF" w:themeColor="background1"/>
                <w:sz w:val="19"/>
                <w:szCs w:val="19"/>
                <w:lang w:val="es-ES"/>
              </w:rPr>
            </w:pPr>
            <w:r w:rsidRPr="003E4E03">
              <w:rPr>
                <w:rFonts w:ascii="Cambria" w:hAnsi="Cambria"/>
                <w:b/>
                <w:color w:val="FFFFFF" w:themeColor="background1"/>
                <w:sz w:val="19"/>
                <w:szCs w:val="19"/>
                <w:lang w:val="es-ES"/>
              </w:rPr>
              <w:t>Parte peticionaria</w:t>
            </w:r>
          </w:p>
        </w:tc>
        <w:tc>
          <w:tcPr>
            <w:tcW w:w="6570" w:type="dxa"/>
            <w:vAlign w:val="center"/>
          </w:tcPr>
          <w:p w14:paraId="3C5315D8" w14:textId="5A8BDEF1" w:rsidR="003239B8" w:rsidRPr="00B678EF" w:rsidRDefault="00A76C1D" w:rsidP="008A3CCB">
            <w:pPr>
              <w:jc w:val="both"/>
              <w:rPr>
                <w:rFonts w:ascii="Cambria" w:hAnsi="Cambria"/>
                <w:bCs/>
                <w:sz w:val="19"/>
                <w:szCs w:val="19"/>
                <w:lang w:val="es-ES"/>
              </w:rPr>
            </w:pPr>
            <w:r w:rsidRPr="00B678EF">
              <w:rPr>
                <w:rFonts w:ascii="Cambria" w:hAnsi="Cambria"/>
                <w:bCs/>
                <w:sz w:val="19"/>
                <w:szCs w:val="19"/>
                <w:lang w:val="es-ES"/>
              </w:rPr>
              <w:t>Nelson Caucoto Pereira</w:t>
            </w:r>
          </w:p>
        </w:tc>
      </w:tr>
      <w:tr w:rsidR="00B678EF" w:rsidRPr="001075D1"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07F33939" w:rsidR="003239B8" w:rsidRPr="003E4E03" w:rsidRDefault="00ED6905" w:rsidP="008D2290">
            <w:pPr>
              <w:jc w:val="center"/>
              <w:rPr>
                <w:rFonts w:ascii="Cambria" w:hAnsi="Cambria"/>
                <w:b/>
                <w:color w:val="FFFFFF" w:themeColor="background1"/>
                <w:sz w:val="19"/>
                <w:szCs w:val="19"/>
                <w:lang w:val="es-ES"/>
              </w:rPr>
            </w:pPr>
            <w:sdt>
              <w:sdtPr>
                <w:rPr>
                  <w:rFonts w:ascii="Cambria" w:hAnsi="Cambria"/>
                  <w:b/>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3E4E03">
                  <w:rPr>
                    <w:rFonts w:ascii="Cambria" w:hAnsi="Cambria"/>
                    <w:b/>
                    <w:color w:val="FFFFFF" w:themeColor="background1"/>
                    <w:sz w:val="19"/>
                    <w:szCs w:val="19"/>
                    <w:lang w:val="es-ES"/>
                  </w:rPr>
                  <w:t>Presunta víctima</w:t>
                </w:r>
              </w:sdtContent>
            </w:sdt>
          </w:p>
        </w:tc>
        <w:tc>
          <w:tcPr>
            <w:tcW w:w="6570" w:type="dxa"/>
            <w:vAlign w:val="center"/>
          </w:tcPr>
          <w:p w14:paraId="4AEBF59E" w14:textId="59363499" w:rsidR="003239B8" w:rsidRPr="00B678EF" w:rsidRDefault="002C498F" w:rsidP="00A87F9E">
            <w:pPr>
              <w:jc w:val="both"/>
              <w:rPr>
                <w:rFonts w:ascii="Cambria" w:hAnsi="Cambria"/>
                <w:bCs/>
                <w:sz w:val="19"/>
                <w:szCs w:val="19"/>
                <w:lang w:val="es-ES"/>
              </w:rPr>
            </w:pPr>
            <w:r w:rsidRPr="007D75FE">
              <w:rPr>
                <w:rFonts w:ascii="Cambria" w:hAnsi="Cambria"/>
                <w:bCs/>
                <w:sz w:val="19"/>
                <w:szCs w:val="19"/>
                <w:lang w:val="es-ES"/>
              </w:rPr>
              <w:t xml:space="preserve">Eduardo </w:t>
            </w:r>
            <w:r w:rsidR="003240B6" w:rsidRPr="007D75FE">
              <w:rPr>
                <w:rFonts w:ascii="Cambria" w:hAnsi="Cambria"/>
                <w:bCs/>
                <w:sz w:val="19"/>
                <w:szCs w:val="19"/>
                <w:lang w:val="es-ES"/>
              </w:rPr>
              <w:t>Elías</w:t>
            </w:r>
            <w:r w:rsidRPr="007D75FE">
              <w:rPr>
                <w:rFonts w:ascii="Cambria" w:hAnsi="Cambria"/>
                <w:bCs/>
                <w:sz w:val="19"/>
                <w:szCs w:val="19"/>
                <w:lang w:val="es-ES"/>
              </w:rPr>
              <w:t xml:space="preserve"> Cerda Ángel</w:t>
            </w:r>
            <w:r w:rsidR="003240B6" w:rsidRPr="007D75FE">
              <w:rPr>
                <w:rFonts w:ascii="Cambria" w:hAnsi="Cambria"/>
                <w:bCs/>
                <w:sz w:val="19"/>
                <w:szCs w:val="19"/>
                <w:lang w:val="es-ES"/>
              </w:rPr>
              <w:t xml:space="preserve">, María Isabel Gutiérrez Martínez y </w:t>
            </w:r>
            <w:r w:rsidR="00A87F9E" w:rsidRPr="007D75FE">
              <w:rPr>
                <w:rFonts w:ascii="Cambria" w:hAnsi="Cambria"/>
                <w:bCs/>
                <w:sz w:val="19"/>
                <w:szCs w:val="19"/>
                <w:lang w:val="es-ES"/>
              </w:rPr>
              <w:t>familias</w:t>
            </w:r>
            <w:r w:rsidR="00FD372A" w:rsidRPr="00B678EF">
              <w:rPr>
                <w:rStyle w:val="FootnoteReference"/>
                <w:rFonts w:ascii="Cambria" w:hAnsi="Cambria"/>
                <w:bCs/>
                <w:sz w:val="19"/>
                <w:szCs w:val="19"/>
                <w:lang w:val="es-ES"/>
              </w:rPr>
              <w:footnoteReference w:id="2"/>
            </w:r>
          </w:p>
        </w:tc>
      </w:tr>
      <w:tr w:rsidR="00B678EF" w:rsidRPr="00B678EF"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3E4E03" w:rsidRDefault="00D77503" w:rsidP="008D2290">
            <w:pPr>
              <w:jc w:val="center"/>
              <w:rPr>
                <w:rFonts w:ascii="Cambria" w:hAnsi="Cambria"/>
                <w:b/>
                <w:color w:val="FFFFFF" w:themeColor="background1"/>
                <w:sz w:val="19"/>
                <w:szCs w:val="19"/>
                <w:lang w:val="es-ES"/>
              </w:rPr>
            </w:pPr>
            <w:r w:rsidRPr="003E4E03">
              <w:rPr>
                <w:rFonts w:ascii="Cambria" w:hAnsi="Cambria"/>
                <w:b/>
                <w:color w:val="FFFFFF" w:themeColor="background1"/>
                <w:sz w:val="19"/>
                <w:szCs w:val="19"/>
                <w:lang w:val="es-ES"/>
              </w:rPr>
              <w:t>Estado denunciado</w:t>
            </w:r>
          </w:p>
        </w:tc>
        <w:tc>
          <w:tcPr>
            <w:tcW w:w="6570" w:type="dxa"/>
            <w:vAlign w:val="center"/>
          </w:tcPr>
          <w:p w14:paraId="274C8A50" w14:textId="3DF773B5" w:rsidR="003239B8" w:rsidRPr="00B678EF" w:rsidRDefault="007D26EF" w:rsidP="008D2290">
            <w:pPr>
              <w:jc w:val="both"/>
              <w:rPr>
                <w:rFonts w:ascii="Cambria" w:hAnsi="Cambria"/>
                <w:bCs/>
                <w:sz w:val="19"/>
                <w:szCs w:val="19"/>
                <w:lang w:val="es-ES"/>
              </w:rPr>
            </w:pPr>
            <w:r w:rsidRPr="00B678EF">
              <w:rPr>
                <w:rFonts w:ascii="Cambria" w:hAnsi="Cambria"/>
                <w:bCs/>
                <w:sz w:val="19"/>
                <w:szCs w:val="19"/>
                <w:lang w:val="es-ES"/>
              </w:rPr>
              <w:t>Chile</w:t>
            </w:r>
          </w:p>
        </w:tc>
      </w:tr>
      <w:tr w:rsidR="00B678EF" w:rsidRPr="001075D1"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3E4E03" w:rsidRDefault="001B3A00" w:rsidP="00E4118C">
            <w:pPr>
              <w:jc w:val="center"/>
              <w:rPr>
                <w:rFonts w:ascii="Cambria" w:hAnsi="Cambria"/>
                <w:b/>
                <w:color w:val="FFFFFF" w:themeColor="background1"/>
                <w:sz w:val="19"/>
                <w:szCs w:val="19"/>
                <w:lang w:val="es-ES"/>
              </w:rPr>
            </w:pPr>
            <w:r w:rsidRPr="003E4E03">
              <w:rPr>
                <w:rFonts w:ascii="Cambria" w:hAnsi="Cambria"/>
                <w:b/>
                <w:color w:val="FFFFFF" w:themeColor="background1"/>
                <w:sz w:val="19"/>
                <w:szCs w:val="19"/>
                <w:lang w:val="es-ES"/>
              </w:rPr>
              <w:t xml:space="preserve">Derechos </w:t>
            </w:r>
            <w:r w:rsidR="00E4118C" w:rsidRPr="003E4E03">
              <w:rPr>
                <w:rFonts w:ascii="Cambria" w:hAnsi="Cambria"/>
                <w:b/>
                <w:color w:val="FFFFFF" w:themeColor="background1"/>
                <w:sz w:val="19"/>
                <w:szCs w:val="19"/>
                <w:lang w:val="es-ES"/>
              </w:rPr>
              <w:t>invocados</w:t>
            </w:r>
          </w:p>
        </w:tc>
        <w:tc>
          <w:tcPr>
            <w:tcW w:w="6570" w:type="dxa"/>
            <w:vAlign w:val="center"/>
          </w:tcPr>
          <w:p w14:paraId="6DEE1EEB" w14:textId="4EE1D5DC" w:rsidR="00223A29" w:rsidRPr="00B678EF" w:rsidRDefault="00BF514A" w:rsidP="00EA304A">
            <w:pPr>
              <w:jc w:val="both"/>
              <w:rPr>
                <w:rFonts w:ascii="Cambria" w:hAnsi="Cambria"/>
                <w:bCs/>
                <w:sz w:val="19"/>
                <w:szCs w:val="19"/>
                <w:lang w:val="es-ES"/>
              </w:rPr>
            </w:pPr>
            <w:r w:rsidRPr="00B678EF">
              <w:rPr>
                <w:rFonts w:ascii="Cambria" w:hAnsi="Cambria"/>
                <w:bCs/>
                <w:sz w:val="19"/>
                <w:szCs w:val="19"/>
                <w:lang w:val="es-ES"/>
              </w:rPr>
              <w:t xml:space="preserve">Artículos </w:t>
            </w:r>
            <w:r w:rsidR="007D26EF" w:rsidRPr="00B678EF">
              <w:rPr>
                <w:rFonts w:ascii="Cambria" w:hAnsi="Cambria"/>
                <w:bCs/>
                <w:sz w:val="19"/>
                <w:szCs w:val="19"/>
                <w:lang w:val="es-ES"/>
              </w:rPr>
              <w:t>8 (garantías judiciales) y 25 (protección judicial)</w:t>
            </w:r>
            <w:r w:rsidRPr="00B678EF">
              <w:rPr>
                <w:rFonts w:ascii="Cambria" w:hAnsi="Cambria"/>
                <w:bCs/>
                <w:sz w:val="19"/>
                <w:szCs w:val="19"/>
                <w:lang w:val="es-ES"/>
              </w:rPr>
              <w:t xml:space="preserve"> de la Convención Americana sobre Derechos Humanos</w:t>
            </w:r>
            <w:r w:rsidRPr="00B678EF">
              <w:rPr>
                <w:rStyle w:val="FootnoteReference"/>
                <w:rFonts w:ascii="Cambria" w:hAnsi="Cambria"/>
                <w:bCs/>
                <w:sz w:val="19"/>
                <w:szCs w:val="19"/>
                <w:lang w:val="es-ES"/>
              </w:rPr>
              <w:footnoteReference w:id="3"/>
            </w:r>
            <w:r w:rsidR="007D26EF" w:rsidRPr="00B678EF">
              <w:rPr>
                <w:rFonts w:ascii="Cambria" w:hAnsi="Cambria"/>
                <w:bCs/>
                <w:sz w:val="19"/>
                <w:szCs w:val="19"/>
                <w:lang w:val="es-ES"/>
              </w:rPr>
              <w:t>, en relación con sus artículos 1.1 (obligación de respetar los derechos) y 2 (deber de adoptar disposiciones de derecho interno)</w:t>
            </w:r>
          </w:p>
        </w:tc>
      </w:tr>
    </w:tbl>
    <w:p w14:paraId="20263696" w14:textId="77777777" w:rsidR="003239B8" w:rsidRPr="00B678EF" w:rsidRDefault="003239B8" w:rsidP="007C402A">
      <w:pPr>
        <w:spacing w:before="120" w:after="120"/>
        <w:ind w:firstLine="720"/>
        <w:jc w:val="both"/>
        <w:rPr>
          <w:rFonts w:asciiTheme="majorHAnsi" w:hAnsiTheme="majorHAnsi"/>
          <w:b/>
          <w:bCs/>
          <w:sz w:val="20"/>
          <w:szCs w:val="20"/>
          <w:lang w:val="es-ES"/>
        </w:rPr>
      </w:pPr>
      <w:r w:rsidRPr="00B678EF">
        <w:rPr>
          <w:rFonts w:asciiTheme="majorHAnsi" w:hAnsiTheme="majorHAnsi"/>
          <w:b/>
          <w:bCs/>
          <w:sz w:val="20"/>
          <w:szCs w:val="20"/>
          <w:lang w:val="es-ES"/>
        </w:rPr>
        <w:t>II.</w:t>
      </w:r>
      <w:r w:rsidRPr="00B678EF">
        <w:rPr>
          <w:rFonts w:asciiTheme="majorHAnsi" w:hAnsiTheme="majorHAnsi"/>
          <w:b/>
          <w:bCs/>
          <w:sz w:val="20"/>
          <w:szCs w:val="20"/>
          <w:lang w:val="es-ES"/>
        </w:rPr>
        <w:tab/>
        <w:t>TRÁMITE ANTE LA CIDH</w:t>
      </w:r>
      <w:r w:rsidR="008E3BFE" w:rsidRPr="00B678EF">
        <w:rPr>
          <w:rStyle w:val="FootnoteReference"/>
          <w:rFonts w:ascii="Cambria" w:hAnsi="Cambria"/>
          <w:b/>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B678EF" w:rsidRPr="00B678EF"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3E4E03" w:rsidRDefault="000C1C69" w:rsidP="004A6A54">
            <w:pPr>
              <w:jc w:val="center"/>
              <w:rPr>
                <w:rFonts w:ascii="Cambria" w:hAnsi="Cambria"/>
                <w:b/>
                <w:color w:val="FFFFFF" w:themeColor="background1"/>
                <w:sz w:val="19"/>
                <w:szCs w:val="19"/>
                <w:lang w:val="es-ES"/>
              </w:rPr>
            </w:pPr>
            <w:r w:rsidRPr="003E4E03">
              <w:rPr>
                <w:rFonts w:ascii="Cambria" w:hAnsi="Cambria"/>
                <w:b/>
                <w:color w:val="FFFFFF" w:themeColor="background1"/>
                <w:sz w:val="19"/>
                <w:szCs w:val="19"/>
                <w:lang w:val="es-ES"/>
              </w:rPr>
              <w:t>Recepción</w:t>
            </w:r>
            <w:r w:rsidR="00D77503" w:rsidRPr="003E4E03">
              <w:rPr>
                <w:rFonts w:ascii="Cambria" w:hAnsi="Cambria"/>
                <w:b/>
                <w:color w:val="FFFFFF" w:themeColor="background1"/>
                <w:sz w:val="19"/>
                <w:szCs w:val="19"/>
                <w:lang w:val="es-ES"/>
              </w:rPr>
              <w:t xml:space="preserve"> de la petición</w:t>
            </w:r>
          </w:p>
        </w:tc>
        <w:tc>
          <w:tcPr>
            <w:tcW w:w="6570" w:type="dxa"/>
            <w:vAlign w:val="center"/>
          </w:tcPr>
          <w:p w14:paraId="6E579153" w14:textId="7213CD4C" w:rsidR="004C2312" w:rsidRPr="00B678EF" w:rsidRDefault="008A3CCB" w:rsidP="002625EA">
            <w:pPr>
              <w:jc w:val="both"/>
              <w:rPr>
                <w:rFonts w:ascii="Cambria" w:hAnsi="Cambria"/>
                <w:bCs/>
                <w:sz w:val="19"/>
                <w:szCs w:val="19"/>
                <w:lang w:val="es-ES"/>
              </w:rPr>
            </w:pPr>
            <w:r>
              <w:rPr>
                <w:rFonts w:ascii="Cambria" w:hAnsi="Cambria"/>
                <w:bCs/>
                <w:sz w:val="19"/>
                <w:szCs w:val="19"/>
                <w:lang w:val="es-ES"/>
              </w:rPr>
              <w:t>24 de julio de 2007</w:t>
            </w:r>
          </w:p>
        </w:tc>
      </w:tr>
      <w:tr w:rsidR="00B678EF" w:rsidRPr="00B678EF"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3E4E03" w:rsidRDefault="004A6A54" w:rsidP="000C1C69">
            <w:pPr>
              <w:jc w:val="center"/>
              <w:rPr>
                <w:rFonts w:ascii="Cambria" w:hAnsi="Cambria"/>
                <w:b/>
                <w:color w:val="FFFFFF" w:themeColor="background1"/>
                <w:sz w:val="19"/>
                <w:szCs w:val="19"/>
                <w:lang w:val="es-ES"/>
              </w:rPr>
            </w:pPr>
            <w:r w:rsidRPr="003E4E03">
              <w:rPr>
                <w:rFonts w:ascii="Cambria" w:hAnsi="Cambria"/>
                <w:b/>
                <w:color w:val="FFFFFF" w:themeColor="background1"/>
                <w:sz w:val="19"/>
                <w:szCs w:val="19"/>
                <w:lang w:val="es-ES"/>
              </w:rPr>
              <w:t>N</w:t>
            </w:r>
            <w:r w:rsidR="004C2312" w:rsidRPr="003E4E03">
              <w:rPr>
                <w:rFonts w:ascii="Cambria" w:hAnsi="Cambria"/>
                <w:b/>
                <w:color w:val="FFFFFF" w:themeColor="background1"/>
                <w:sz w:val="19"/>
                <w:szCs w:val="19"/>
                <w:lang w:val="es-ES"/>
              </w:rPr>
              <w:t>otificación de la petición</w:t>
            </w:r>
          </w:p>
        </w:tc>
        <w:tc>
          <w:tcPr>
            <w:tcW w:w="6570" w:type="dxa"/>
            <w:vAlign w:val="center"/>
          </w:tcPr>
          <w:p w14:paraId="1519DA6A" w14:textId="046B873B" w:rsidR="004C2312" w:rsidRPr="00B678EF" w:rsidRDefault="00E87CAD" w:rsidP="008D2290">
            <w:pPr>
              <w:jc w:val="both"/>
              <w:rPr>
                <w:rFonts w:ascii="Cambria" w:hAnsi="Cambria"/>
                <w:bCs/>
                <w:sz w:val="19"/>
                <w:szCs w:val="19"/>
                <w:lang w:val="es-ES"/>
              </w:rPr>
            </w:pPr>
            <w:r>
              <w:rPr>
                <w:rFonts w:ascii="Cambria" w:hAnsi="Cambria"/>
                <w:bCs/>
                <w:sz w:val="19"/>
                <w:szCs w:val="19"/>
                <w:lang w:val="es-ES"/>
              </w:rPr>
              <w:t>13 de octubre de 2011</w:t>
            </w:r>
          </w:p>
        </w:tc>
      </w:tr>
      <w:tr w:rsidR="00B678EF" w:rsidRPr="00B678EF"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3E4E03" w:rsidRDefault="00D77503" w:rsidP="00F06354">
            <w:pPr>
              <w:jc w:val="center"/>
              <w:rPr>
                <w:rFonts w:ascii="Cambria" w:hAnsi="Cambria"/>
                <w:b/>
                <w:color w:val="FFFFFF" w:themeColor="background1"/>
                <w:sz w:val="19"/>
                <w:szCs w:val="19"/>
                <w:lang w:val="es-ES"/>
              </w:rPr>
            </w:pPr>
            <w:r w:rsidRPr="003E4E03">
              <w:rPr>
                <w:rFonts w:ascii="Cambria" w:hAnsi="Cambria"/>
                <w:b/>
                <w:color w:val="FFFFFF" w:themeColor="background1"/>
                <w:sz w:val="19"/>
                <w:szCs w:val="19"/>
                <w:lang w:val="es-ES"/>
              </w:rPr>
              <w:t>Primera respuesta del Estado</w:t>
            </w:r>
          </w:p>
        </w:tc>
        <w:tc>
          <w:tcPr>
            <w:tcW w:w="6570" w:type="dxa"/>
            <w:vAlign w:val="center"/>
          </w:tcPr>
          <w:p w14:paraId="1972B99E" w14:textId="20DDDA89" w:rsidR="00F06354" w:rsidRPr="00B678EF" w:rsidRDefault="00DF42F6" w:rsidP="00F06354">
            <w:pPr>
              <w:jc w:val="both"/>
              <w:rPr>
                <w:rFonts w:ascii="Cambria" w:hAnsi="Cambria"/>
                <w:bCs/>
                <w:sz w:val="19"/>
                <w:szCs w:val="19"/>
                <w:lang w:val="es-ES"/>
              </w:rPr>
            </w:pPr>
            <w:r>
              <w:rPr>
                <w:rFonts w:ascii="Cambria" w:hAnsi="Cambria"/>
                <w:bCs/>
                <w:sz w:val="19"/>
                <w:szCs w:val="19"/>
                <w:lang w:val="es-ES"/>
              </w:rPr>
              <w:t>12 de abril de 2013</w:t>
            </w:r>
          </w:p>
        </w:tc>
      </w:tr>
      <w:tr w:rsidR="00B678EF" w:rsidRPr="00B678EF"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3E4E03" w:rsidRDefault="00F06354" w:rsidP="00F06354">
            <w:pPr>
              <w:jc w:val="center"/>
              <w:rPr>
                <w:rFonts w:ascii="Cambria" w:hAnsi="Cambria"/>
                <w:b/>
                <w:color w:val="FFFFFF" w:themeColor="background1"/>
                <w:sz w:val="19"/>
                <w:szCs w:val="19"/>
                <w:lang w:val="es-ES"/>
              </w:rPr>
            </w:pPr>
            <w:r w:rsidRPr="003E4E03">
              <w:rPr>
                <w:rFonts w:ascii="Cambria" w:hAnsi="Cambria"/>
                <w:b/>
                <w:color w:val="FFFFFF" w:themeColor="background1"/>
                <w:sz w:val="19"/>
                <w:szCs w:val="19"/>
                <w:lang w:val="es-ES"/>
              </w:rPr>
              <w:t>Observaciones adicionales de</w:t>
            </w:r>
            <w:r w:rsidR="00D77503" w:rsidRPr="003E4E03">
              <w:rPr>
                <w:rFonts w:ascii="Cambria" w:hAnsi="Cambria"/>
                <w:b/>
                <w:color w:val="FFFFFF" w:themeColor="background1"/>
                <w:sz w:val="19"/>
                <w:szCs w:val="19"/>
                <w:lang w:val="es-ES"/>
              </w:rPr>
              <w:t xml:space="preserve"> la parte peticionaria</w:t>
            </w:r>
          </w:p>
        </w:tc>
        <w:tc>
          <w:tcPr>
            <w:tcW w:w="6570" w:type="dxa"/>
            <w:vAlign w:val="center"/>
          </w:tcPr>
          <w:p w14:paraId="41D8B862" w14:textId="7A158E23" w:rsidR="00F06354" w:rsidRPr="00B678EF" w:rsidRDefault="00DF42F6" w:rsidP="00D77503">
            <w:pPr>
              <w:jc w:val="both"/>
              <w:rPr>
                <w:rFonts w:ascii="Cambria" w:hAnsi="Cambria"/>
                <w:bCs/>
                <w:sz w:val="19"/>
                <w:szCs w:val="19"/>
                <w:lang w:val="es-ES"/>
              </w:rPr>
            </w:pPr>
            <w:r>
              <w:rPr>
                <w:rFonts w:ascii="Cambria" w:hAnsi="Cambria"/>
                <w:bCs/>
                <w:sz w:val="19"/>
                <w:szCs w:val="19"/>
                <w:lang w:val="es-ES"/>
              </w:rPr>
              <w:t>28 de agosto de 2019</w:t>
            </w:r>
          </w:p>
        </w:tc>
      </w:tr>
      <w:tr w:rsidR="000158BB" w:rsidRPr="00006B74" w14:paraId="7105CBC4" w14:textId="77777777" w:rsidTr="00AB636C">
        <w:tc>
          <w:tcPr>
            <w:tcW w:w="2790" w:type="dxa"/>
            <w:tcBorders>
              <w:top w:val="single" w:sz="6" w:space="0" w:color="auto"/>
              <w:bottom w:val="single" w:sz="6" w:space="0" w:color="auto"/>
            </w:tcBorders>
            <w:shd w:val="clear" w:color="auto" w:fill="386294"/>
            <w:vAlign w:val="center"/>
          </w:tcPr>
          <w:p w14:paraId="584A915B" w14:textId="77777777" w:rsidR="000158BB" w:rsidRPr="003E4E03" w:rsidRDefault="000158BB" w:rsidP="00AB636C">
            <w:pPr>
              <w:jc w:val="center"/>
              <w:rPr>
                <w:rFonts w:ascii="Cambria" w:hAnsi="Cambria"/>
                <w:b/>
                <w:color w:val="FFFFFF" w:themeColor="background1"/>
                <w:sz w:val="19"/>
                <w:szCs w:val="19"/>
                <w:lang w:val="es-ES"/>
              </w:rPr>
            </w:pPr>
            <w:r w:rsidRPr="003E4E03">
              <w:rPr>
                <w:rFonts w:ascii="Cambria" w:hAnsi="Cambria"/>
                <w:b/>
                <w:color w:val="FFFFFF" w:themeColor="background1"/>
                <w:sz w:val="19"/>
                <w:szCs w:val="19"/>
                <w:lang w:val="es-ES"/>
              </w:rPr>
              <w:t>Advertencia sobre posible archivo</w:t>
            </w:r>
          </w:p>
        </w:tc>
        <w:tc>
          <w:tcPr>
            <w:tcW w:w="6570" w:type="dxa"/>
            <w:vAlign w:val="center"/>
          </w:tcPr>
          <w:p w14:paraId="3FB72B52" w14:textId="25BE6C31" w:rsidR="000158BB" w:rsidRPr="00432064" w:rsidRDefault="000158BB" w:rsidP="00AB636C">
            <w:pPr>
              <w:jc w:val="both"/>
              <w:rPr>
                <w:rFonts w:ascii="Cambria" w:hAnsi="Cambria"/>
                <w:bCs/>
                <w:sz w:val="19"/>
                <w:szCs w:val="19"/>
                <w:lang w:val="es-ES"/>
              </w:rPr>
            </w:pPr>
            <w:r>
              <w:rPr>
                <w:rFonts w:ascii="Cambria" w:hAnsi="Cambria"/>
                <w:bCs/>
                <w:sz w:val="19"/>
                <w:szCs w:val="19"/>
                <w:lang w:val="es-ES"/>
              </w:rPr>
              <w:t>4 de abril de 2017</w:t>
            </w:r>
          </w:p>
        </w:tc>
      </w:tr>
      <w:tr w:rsidR="000158BB" w:rsidRPr="0059015A" w14:paraId="1469097C" w14:textId="77777777" w:rsidTr="00AB636C">
        <w:tc>
          <w:tcPr>
            <w:tcW w:w="2790" w:type="dxa"/>
            <w:tcBorders>
              <w:top w:val="single" w:sz="6" w:space="0" w:color="auto"/>
              <w:bottom w:val="single" w:sz="6" w:space="0" w:color="auto"/>
            </w:tcBorders>
            <w:shd w:val="clear" w:color="auto" w:fill="386294"/>
            <w:vAlign w:val="center"/>
          </w:tcPr>
          <w:p w14:paraId="06671C63" w14:textId="77777777" w:rsidR="000158BB" w:rsidRPr="003E4E03" w:rsidRDefault="000158BB" w:rsidP="00AB636C">
            <w:pPr>
              <w:jc w:val="center"/>
              <w:rPr>
                <w:rFonts w:ascii="Cambria" w:hAnsi="Cambria"/>
                <w:b/>
                <w:color w:val="FFFFFF" w:themeColor="background1"/>
                <w:sz w:val="19"/>
                <w:szCs w:val="19"/>
                <w:lang w:val="es-ES"/>
              </w:rPr>
            </w:pPr>
            <w:r w:rsidRPr="003E4E03">
              <w:rPr>
                <w:rFonts w:ascii="Cambria" w:hAnsi="Cambria"/>
                <w:b/>
                <w:color w:val="FFFFFF" w:themeColor="background1"/>
                <w:sz w:val="19"/>
                <w:szCs w:val="19"/>
                <w:lang w:val="es-ES"/>
              </w:rPr>
              <w:t>Respuesta de la parte peticionaria ante advertencia de posible archivo</w:t>
            </w:r>
          </w:p>
        </w:tc>
        <w:tc>
          <w:tcPr>
            <w:tcW w:w="6570" w:type="dxa"/>
            <w:vAlign w:val="center"/>
          </w:tcPr>
          <w:p w14:paraId="3CB8B0F2" w14:textId="538DDD31" w:rsidR="000158BB" w:rsidRPr="00432064" w:rsidRDefault="00E87CAD" w:rsidP="00AB636C">
            <w:pPr>
              <w:jc w:val="both"/>
              <w:rPr>
                <w:rFonts w:ascii="Cambria" w:hAnsi="Cambria"/>
                <w:bCs/>
                <w:sz w:val="19"/>
                <w:szCs w:val="19"/>
                <w:lang w:val="es-ES"/>
              </w:rPr>
            </w:pPr>
            <w:r>
              <w:rPr>
                <w:rFonts w:ascii="Cambria" w:hAnsi="Cambria"/>
                <w:bCs/>
                <w:sz w:val="19"/>
                <w:szCs w:val="19"/>
                <w:lang w:val="es-ES"/>
              </w:rPr>
              <w:t>24 de mayo de 2019</w:t>
            </w:r>
          </w:p>
        </w:tc>
      </w:tr>
      <w:tr w:rsidR="00584F54" w:rsidRPr="0059015A" w14:paraId="46FC3F36" w14:textId="77777777" w:rsidTr="00AB636C">
        <w:tc>
          <w:tcPr>
            <w:tcW w:w="2790" w:type="dxa"/>
            <w:tcBorders>
              <w:top w:val="single" w:sz="6" w:space="0" w:color="auto"/>
              <w:bottom w:val="single" w:sz="6" w:space="0" w:color="auto"/>
            </w:tcBorders>
            <w:shd w:val="clear" w:color="auto" w:fill="386294"/>
            <w:vAlign w:val="center"/>
          </w:tcPr>
          <w:p w14:paraId="50ACA987" w14:textId="3E3B3A52" w:rsidR="00584F54" w:rsidRPr="003E4E03" w:rsidRDefault="00584F54" w:rsidP="00AB636C">
            <w:pPr>
              <w:jc w:val="center"/>
              <w:rPr>
                <w:rFonts w:ascii="Cambria" w:hAnsi="Cambria"/>
                <w:b/>
                <w:color w:val="FFFFFF" w:themeColor="background1"/>
                <w:sz w:val="19"/>
                <w:szCs w:val="19"/>
                <w:lang w:val="es-ES"/>
              </w:rPr>
            </w:pPr>
            <w:r w:rsidRPr="003E4E03">
              <w:rPr>
                <w:rFonts w:ascii="Cambria" w:hAnsi="Cambria"/>
                <w:b/>
                <w:color w:val="FFFFFF" w:themeColor="background1"/>
                <w:sz w:val="19"/>
                <w:szCs w:val="19"/>
                <w:lang w:val="es-ES"/>
              </w:rPr>
              <w:t>Observaciones adicionales del Estado</w:t>
            </w:r>
          </w:p>
        </w:tc>
        <w:tc>
          <w:tcPr>
            <w:tcW w:w="6570" w:type="dxa"/>
            <w:vAlign w:val="center"/>
          </w:tcPr>
          <w:p w14:paraId="0AF07D1C" w14:textId="177586D5" w:rsidR="00584F54" w:rsidRDefault="00584F54" w:rsidP="00AB636C">
            <w:pPr>
              <w:jc w:val="both"/>
              <w:rPr>
                <w:rFonts w:ascii="Cambria" w:hAnsi="Cambria"/>
                <w:bCs/>
                <w:sz w:val="19"/>
                <w:szCs w:val="19"/>
                <w:lang w:val="es-ES"/>
              </w:rPr>
            </w:pPr>
            <w:r>
              <w:rPr>
                <w:rFonts w:ascii="Cambria" w:hAnsi="Cambria"/>
                <w:bCs/>
                <w:sz w:val="19"/>
                <w:szCs w:val="19"/>
                <w:lang w:val="es-ES"/>
              </w:rPr>
              <w:t>28 de mayo de 2021</w:t>
            </w:r>
          </w:p>
        </w:tc>
      </w:tr>
    </w:tbl>
    <w:p w14:paraId="21DAA666" w14:textId="5065046E" w:rsidR="003239B8" w:rsidRPr="00B678EF" w:rsidRDefault="003239B8" w:rsidP="007C402A">
      <w:pPr>
        <w:spacing w:before="120" w:after="120"/>
        <w:ind w:firstLine="720"/>
        <w:jc w:val="both"/>
        <w:rPr>
          <w:rFonts w:asciiTheme="majorHAnsi" w:hAnsiTheme="majorHAnsi"/>
          <w:b/>
          <w:bCs/>
          <w:sz w:val="20"/>
          <w:szCs w:val="20"/>
          <w:lang w:val="es-ES"/>
        </w:rPr>
      </w:pPr>
      <w:r w:rsidRPr="00B678EF">
        <w:rPr>
          <w:rFonts w:asciiTheme="majorHAnsi" w:hAnsiTheme="majorHAnsi"/>
          <w:b/>
          <w:bCs/>
          <w:sz w:val="20"/>
          <w:szCs w:val="20"/>
          <w:lang w:val="es-ES"/>
        </w:rPr>
        <w:t xml:space="preserve">III. </w:t>
      </w:r>
      <w:r w:rsidRPr="00B678EF">
        <w:rPr>
          <w:rFonts w:asciiTheme="majorHAnsi" w:hAnsiTheme="majorHAnsi"/>
          <w:b/>
          <w:bCs/>
          <w:sz w:val="20"/>
          <w:szCs w:val="20"/>
          <w:lang w:val="es-ES"/>
        </w:rPr>
        <w:tab/>
        <w:t>COMPETENCIA</w:t>
      </w:r>
      <w:r w:rsidR="00EE00E9" w:rsidRPr="00B678EF">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59"/>
        <w:gridCol w:w="6483"/>
      </w:tblGrid>
      <w:tr w:rsidR="00B678EF" w:rsidRPr="00B678EF"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3E4E03" w:rsidRDefault="00D77503" w:rsidP="008D2290">
            <w:pPr>
              <w:jc w:val="center"/>
              <w:rPr>
                <w:rFonts w:ascii="Cambria" w:hAnsi="Cambria"/>
                <w:b/>
                <w:i/>
                <w:color w:val="FFFFFF" w:themeColor="background1"/>
                <w:sz w:val="19"/>
                <w:szCs w:val="19"/>
                <w:lang w:val="es-ES"/>
              </w:rPr>
            </w:pPr>
            <w:r w:rsidRPr="003E4E03">
              <w:rPr>
                <w:rFonts w:ascii="Cambria" w:hAnsi="Cambria"/>
                <w:b/>
                <w:i/>
                <w:color w:val="FFFFFF" w:themeColor="background1"/>
                <w:sz w:val="19"/>
                <w:szCs w:val="19"/>
                <w:lang w:val="es-ES"/>
              </w:rPr>
              <w:t>Ratione personae</w:t>
            </w:r>
          </w:p>
        </w:tc>
        <w:tc>
          <w:tcPr>
            <w:tcW w:w="6570" w:type="dxa"/>
            <w:vAlign w:val="center"/>
          </w:tcPr>
          <w:p w14:paraId="7707F3E9" w14:textId="036F84A2" w:rsidR="003239B8" w:rsidRPr="00B678EF" w:rsidRDefault="005E295B" w:rsidP="008D2290">
            <w:pPr>
              <w:rPr>
                <w:rFonts w:ascii="Cambria" w:hAnsi="Cambria"/>
                <w:bCs/>
                <w:sz w:val="19"/>
                <w:szCs w:val="19"/>
                <w:lang w:val="es-ES"/>
              </w:rPr>
            </w:pPr>
            <w:r w:rsidRPr="00B678EF">
              <w:rPr>
                <w:rFonts w:ascii="Cambria" w:hAnsi="Cambria"/>
                <w:bCs/>
                <w:sz w:val="19"/>
                <w:szCs w:val="19"/>
                <w:lang w:val="es-ES"/>
              </w:rPr>
              <w:t>Sí</w:t>
            </w:r>
          </w:p>
        </w:tc>
      </w:tr>
      <w:tr w:rsidR="00B678EF" w:rsidRPr="00B678EF"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3E4E03" w:rsidRDefault="003239B8" w:rsidP="00D77503">
            <w:pPr>
              <w:jc w:val="center"/>
              <w:rPr>
                <w:rFonts w:ascii="Cambria" w:hAnsi="Cambria"/>
                <w:b/>
                <w:color w:val="FFFFFF" w:themeColor="background1"/>
                <w:sz w:val="19"/>
                <w:szCs w:val="19"/>
                <w:lang w:val="es-ES"/>
              </w:rPr>
            </w:pPr>
            <w:r w:rsidRPr="003E4E03">
              <w:rPr>
                <w:rFonts w:ascii="Cambria" w:hAnsi="Cambria"/>
                <w:b/>
                <w:i/>
                <w:color w:val="FFFFFF" w:themeColor="background1"/>
                <w:sz w:val="19"/>
                <w:szCs w:val="19"/>
                <w:lang w:val="es-ES"/>
              </w:rPr>
              <w:t>Ratione loci</w:t>
            </w:r>
          </w:p>
        </w:tc>
        <w:tc>
          <w:tcPr>
            <w:tcW w:w="6570" w:type="dxa"/>
            <w:vAlign w:val="center"/>
          </w:tcPr>
          <w:p w14:paraId="12C931CB" w14:textId="79B7C663" w:rsidR="003239B8" w:rsidRPr="00B678EF" w:rsidRDefault="005E295B" w:rsidP="008D2290">
            <w:pPr>
              <w:rPr>
                <w:rFonts w:ascii="Cambria" w:hAnsi="Cambria"/>
                <w:bCs/>
                <w:sz w:val="19"/>
                <w:szCs w:val="19"/>
                <w:lang w:val="es-ES"/>
              </w:rPr>
            </w:pPr>
            <w:r w:rsidRPr="00B678EF">
              <w:rPr>
                <w:rFonts w:ascii="Cambria" w:hAnsi="Cambria"/>
                <w:bCs/>
                <w:sz w:val="19"/>
                <w:szCs w:val="19"/>
                <w:lang w:val="es-ES"/>
              </w:rPr>
              <w:t>Sí</w:t>
            </w:r>
          </w:p>
        </w:tc>
      </w:tr>
      <w:tr w:rsidR="00B678EF" w:rsidRPr="00B678EF"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3E4E03" w:rsidRDefault="003239B8" w:rsidP="008D2290">
            <w:pPr>
              <w:jc w:val="center"/>
              <w:rPr>
                <w:rFonts w:ascii="Cambria" w:hAnsi="Cambria"/>
                <w:b/>
                <w:color w:val="FFFFFF" w:themeColor="background1"/>
                <w:sz w:val="19"/>
                <w:szCs w:val="19"/>
                <w:lang w:val="es-ES"/>
              </w:rPr>
            </w:pPr>
            <w:r w:rsidRPr="003E4E03">
              <w:rPr>
                <w:rFonts w:ascii="Cambria" w:hAnsi="Cambria"/>
                <w:b/>
                <w:i/>
                <w:color w:val="FFFFFF" w:themeColor="background1"/>
                <w:sz w:val="19"/>
                <w:szCs w:val="19"/>
                <w:lang w:val="es-ES"/>
              </w:rPr>
              <w:t>Ratione temporis</w:t>
            </w:r>
          </w:p>
        </w:tc>
        <w:tc>
          <w:tcPr>
            <w:tcW w:w="6570" w:type="dxa"/>
            <w:vAlign w:val="center"/>
          </w:tcPr>
          <w:p w14:paraId="6F8B059B" w14:textId="0FB428A1" w:rsidR="003239B8" w:rsidRPr="00B678EF" w:rsidRDefault="005E295B" w:rsidP="008D2290">
            <w:pPr>
              <w:rPr>
                <w:rFonts w:ascii="Cambria" w:hAnsi="Cambria"/>
                <w:bCs/>
                <w:sz w:val="19"/>
                <w:szCs w:val="19"/>
                <w:lang w:val="es-ES"/>
              </w:rPr>
            </w:pPr>
            <w:r w:rsidRPr="00B678EF">
              <w:rPr>
                <w:rFonts w:ascii="Cambria" w:hAnsi="Cambria"/>
                <w:bCs/>
                <w:sz w:val="19"/>
                <w:szCs w:val="19"/>
                <w:lang w:val="es-ES"/>
              </w:rPr>
              <w:t>Sí</w:t>
            </w:r>
          </w:p>
        </w:tc>
      </w:tr>
      <w:tr w:rsidR="00B678EF" w:rsidRPr="001075D1"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3E4E03" w:rsidRDefault="003239B8" w:rsidP="008D2290">
            <w:pPr>
              <w:jc w:val="center"/>
              <w:rPr>
                <w:rFonts w:ascii="Cambria" w:hAnsi="Cambria"/>
                <w:b/>
                <w:color w:val="FFFFFF" w:themeColor="background1"/>
                <w:sz w:val="19"/>
                <w:szCs w:val="19"/>
                <w:lang w:val="es-ES"/>
              </w:rPr>
            </w:pPr>
            <w:r w:rsidRPr="003E4E03">
              <w:rPr>
                <w:rFonts w:ascii="Cambria" w:hAnsi="Cambria"/>
                <w:b/>
                <w:i/>
                <w:color w:val="FFFFFF" w:themeColor="background1"/>
                <w:sz w:val="19"/>
                <w:szCs w:val="19"/>
                <w:lang w:val="es-ES"/>
              </w:rPr>
              <w:t>Ratione materia</w:t>
            </w:r>
            <w:r w:rsidR="00EE00E9" w:rsidRPr="003E4E03">
              <w:rPr>
                <w:rFonts w:ascii="Cambria" w:hAnsi="Cambria"/>
                <w:b/>
                <w:i/>
                <w:color w:val="FFFFFF" w:themeColor="background1"/>
                <w:sz w:val="19"/>
                <w:szCs w:val="19"/>
                <w:lang w:val="es-ES"/>
              </w:rPr>
              <w:t>e</w:t>
            </w:r>
          </w:p>
        </w:tc>
        <w:tc>
          <w:tcPr>
            <w:tcW w:w="6570" w:type="dxa"/>
            <w:vAlign w:val="center"/>
          </w:tcPr>
          <w:p w14:paraId="0C122F44" w14:textId="21DE1E66" w:rsidR="003239B8" w:rsidRPr="00B678EF" w:rsidRDefault="001E0412" w:rsidP="008D2290">
            <w:pPr>
              <w:jc w:val="both"/>
              <w:rPr>
                <w:rFonts w:ascii="Cambria" w:hAnsi="Cambria"/>
                <w:bCs/>
                <w:sz w:val="19"/>
                <w:szCs w:val="19"/>
                <w:lang w:val="es-ES"/>
              </w:rPr>
            </w:pPr>
            <w:r w:rsidRPr="00D62F26">
              <w:rPr>
                <w:rFonts w:asciiTheme="majorHAnsi" w:hAnsiTheme="majorHAnsi"/>
                <w:bCs/>
                <w:sz w:val="19"/>
                <w:szCs w:val="19"/>
                <w:lang w:val="es-ES"/>
              </w:rPr>
              <w:t xml:space="preserve">Sí, </w:t>
            </w:r>
            <w:r w:rsidRPr="00BA4EC5">
              <w:rPr>
                <w:rFonts w:asciiTheme="majorHAnsi" w:hAnsiTheme="majorHAnsi"/>
                <w:bCs/>
                <w:sz w:val="19"/>
                <w:szCs w:val="19"/>
                <w:lang w:val="es-ES"/>
              </w:rPr>
              <w:t>Declaración Americana de los Derechos y Deberes del Hombre</w:t>
            </w:r>
            <w:r>
              <w:rPr>
                <w:rStyle w:val="FootnoteReference"/>
                <w:rFonts w:asciiTheme="majorHAnsi" w:hAnsiTheme="majorHAnsi"/>
                <w:bCs/>
                <w:sz w:val="19"/>
                <w:szCs w:val="19"/>
                <w:lang w:val="es-ES"/>
              </w:rPr>
              <w:footnoteReference w:id="5"/>
            </w:r>
            <w:r w:rsidRPr="00BA4EC5">
              <w:rPr>
                <w:rFonts w:asciiTheme="majorHAnsi" w:hAnsiTheme="majorHAnsi"/>
                <w:bCs/>
                <w:sz w:val="19"/>
                <w:szCs w:val="19"/>
                <w:lang w:val="es-ES"/>
              </w:rPr>
              <w:t xml:space="preserve">  (ratificación de la Carta de la OEA el 5 de junio de 1953); Convención Americana (depósito de</w:t>
            </w:r>
            <w:r>
              <w:rPr>
                <w:rFonts w:asciiTheme="majorHAnsi" w:hAnsiTheme="majorHAnsi"/>
                <w:bCs/>
                <w:sz w:val="19"/>
                <w:szCs w:val="19"/>
                <w:lang w:val="es-ES"/>
              </w:rPr>
              <w:t>l</w:t>
            </w:r>
            <w:r w:rsidRPr="00BA4EC5">
              <w:rPr>
                <w:rFonts w:asciiTheme="majorHAnsi" w:hAnsiTheme="majorHAnsi"/>
                <w:bCs/>
                <w:sz w:val="19"/>
                <w:szCs w:val="19"/>
                <w:lang w:val="es-ES"/>
              </w:rPr>
              <w:t xml:space="preserve"> instrumento</w:t>
            </w:r>
            <w:r>
              <w:rPr>
                <w:rFonts w:asciiTheme="majorHAnsi" w:hAnsiTheme="majorHAnsi"/>
                <w:bCs/>
                <w:sz w:val="19"/>
                <w:szCs w:val="19"/>
                <w:lang w:val="es-ES"/>
              </w:rPr>
              <w:t xml:space="preserve"> de ratificación</w:t>
            </w:r>
            <w:r w:rsidRPr="00BA4EC5">
              <w:rPr>
                <w:rFonts w:asciiTheme="majorHAnsi" w:hAnsiTheme="majorHAnsi"/>
                <w:bCs/>
                <w:sz w:val="19"/>
                <w:szCs w:val="19"/>
                <w:lang w:val="es-ES"/>
              </w:rPr>
              <w:t xml:space="preserve"> realizado el 21 de agosto de 1990); y Convención Interamericana sobre Desaparición Forzada de Personas (depósito de</w:t>
            </w:r>
            <w:r>
              <w:rPr>
                <w:rFonts w:asciiTheme="majorHAnsi" w:hAnsiTheme="majorHAnsi"/>
                <w:bCs/>
                <w:sz w:val="19"/>
                <w:szCs w:val="19"/>
                <w:lang w:val="es-ES"/>
              </w:rPr>
              <w:t>l</w:t>
            </w:r>
            <w:r w:rsidRPr="00BA4EC5">
              <w:rPr>
                <w:rFonts w:asciiTheme="majorHAnsi" w:hAnsiTheme="majorHAnsi"/>
                <w:bCs/>
                <w:sz w:val="19"/>
                <w:szCs w:val="19"/>
                <w:lang w:val="es-ES"/>
              </w:rPr>
              <w:t xml:space="preserve"> instrumento</w:t>
            </w:r>
            <w:r>
              <w:rPr>
                <w:rFonts w:asciiTheme="majorHAnsi" w:hAnsiTheme="majorHAnsi"/>
                <w:bCs/>
                <w:sz w:val="19"/>
                <w:szCs w:val="19"/>
                <w:lang w:val="es-ES"/>
              </w:rPr>
              <w:t xml:space="preserve"> de ratificación</w:t>
            </w:r>
            <w:r w:rsidRPr="00BA4EC5">
              <w:rPr>
                <w:rFonts w:asciiTheme="majorHAnsi" w:hAnsiTheme="majorHAnsi"/>
                <w:bCs/>
                <w:sz w:val="19"/>
                <w:szCs w:val="19"/>
                <w:lang w:val="es-ES"/>
              </w:rPr>
              <w:t xml:space="preserve"> realizado el 26 de enero de 2010)</w:t>
            </w:r>
          </w:p>
        </w:tc>
      </w:tr>
    </w:tbl>
    <w:p w14:paraId="4E92C444" w14:textId="2AE47CA6" w:rsidR="003239B8" w:rsidRPr="00B678EF" w:rsidRDefault="003239B8" w:rsidP="007C402A">
      <w:pPr>
        <w:spacing w:before="120" w:after="120"/>
        <w:ind w:firstLine="720"/>
        <w:jc w:val="both"/>
        <w:rPr>
          <w:rFonts w:asciiTheme="majorHAnsi" w:hAnsiTheme="majorHAnsi"/>
          <w:b/>
          <w:bCs/>
          <w:sz w:val="20"/>
          <w:szCs w:val="20"/>
          <w:lang w:val="es-ES"/>
        </w:rPr>
      </w:pPr>
      <w:r w:rsidRPr="00B678EF">
        <w:rPr>
          <w:rFonts w:asciiTheme="majorHAnsi" w:hAnsiTheme="majorHAnsi"/>
          <w:b/>
          <w:bCs/>
          <w:sz w:val="20"/>
          <w:szCs w:val="20"/>
          <w:lang w:val="es-ES"/>
        </w:rPr>
        <w:t xml:space="preserve">IV. </w:t>
      </w:r>
      <w:r w:rsidRPr="00B678EF">
        <w:rPr>
          <w:rFonts w:asciiTheme="majorHAnsi" w:hAnsiTheme="majorHAnsi"/>
          <w:b/>
          <w:bCs/>
          <w:sz w:val="20"/>
          <w:szCs w:val="20"/>
          <w:lang w:val="es-ES"/>
        </w:rPr>
        <w:tab/>
      </w:r>
      <w:r w:rsidR="00EE00E9" w:rsidRPr="00B678EF">
        <w:rPr>
          <w:rFonts w:asciiTheme="majorHAnsi" w:hAnsiTheme="majorHAnsi"/>
          <w:b/>
          <w:bCs/>
          <w:sz w:val="20"/>
          <w:szCs w:val="20"/>
          <w:lang w:val="es-ES"/>
        </w:rPr>
        <w:t>DUPLICACIÓN DE PROCEDIMIENTOS Y COSA JUZGADA</w:t>
      </w:r>
      <w:r w:rsidR="00EE00E9" w:rsidRPr="00B678EF">
        <w:rPr>
          <w:rFonts w:asciiTheme="majorHAnsi" w:hAnsiTheme="majorHAnsi"/>
          <w:b/>
          <w:bCs/>
          <w:i/>
          <w:sz w:val="20"/>
          <w:szCs w:val="20"/>
          <w:lang w:val="es-ES"/>
        </w:rPr>
        <w:t xml:space="preserve"> </w:t>
      </w:r>
      <w:r w:rsidR="002F7FAE" w:rsidRPr="00B678EF">
        <w:rPr>
          <w:rFonts w:asciiTheme="majorHAnsi" w:hAnsiTheme="majorHAnsi"/>
          <w:b/>
          <w:bCs/>
          <w:sz w:val="20"/>
          <w:szCs w:val="20"/>
          <w:lang w:val="es-ES"/>
        </w:rPr>
        <w:t>INTERNACIONAL, CARACTERIZACIÓN</w:t>
      </w:r>
      <w:r w:rsidRPr="00B678EF">
        <w:rPr>
          <w:rFonts w:asciiTheme="majorHAnsi" w:hAnsiTheme="majorHAnsi"/>
          <w:b/>
          <w:bCs/>
          <w:sz w:val="20"/>
          <w:szCs w:val="20"/>
          <w:lang w:val="es-ES"/>
        </w:rPr>
        <w:t xml:space="preserve">, </w:t>
      </w:r>
      <w:r w:rsidRPr="00B678EF">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B678EF" w:rsidRPr="00B678EF"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3E4E03" w:rsidRDefault="00EE00E9" w:rsidP="00954B82">
            <w:pPr>
              <w:jc w:val="center"/>
              <w:rPr>
                <w:rFonts w:ascii="Cambria" w:hAnsi="Cambria"/>
                <w:b/>
                <w:color w:val="FFFFFF" w:themeColor="background1"/>
                <w:sz w:val="19"/>
                <w:szCs w:val="19"/>
                <w:lang w:val="es-ES"/>
              </w:rPr>
            </w:pPr>
            <w:r w:rsidRPr="003E4E03">
              <w:rPr>
                <w:rFonts w:ascii="Cambria" w:hAnsi="Cambria"/>
                <w:b/>
                <w:color w:val="FFFFFF" w:themeColor="background1"/>
                <w:sz w:val="19"/>
                <w:szCs w:val="19"/>
                <w:lang w:val="es-ES"/>
              </w:rPr>
              <w:t xml:space="preserve">Duplicación </w:t>
            </w:r>
            <w:r w:rsidR="00D77503" w:rsidRPr="003E4E03">
              <w:rPr>
                <w:rFonts w:ascii="Cambria" w:hAnsi="Cambria"/>
                <w:b/>
                <w:color w:val="FFFFFF" w:themeColor="background1"/>
                <w:sz w:val="19"/>
                <w:szCs w:val="19"/>
                <w:lang w:val="es-ES"/>
              </w:rPr>
              <w:t>y cosa juzgada internacional</w:t>
            </w:r>
          </w:p>
        </w:tc>
        <w:tc>
          <w:tcPr>
            <w:tcW w:w="6570" w:type="dxa"/>
            <w:vAlign w:val="center"/>
          </w:tcPr>
          <w:p w14:paraId="240941E6" w14:textId="4D5D8E6A" w:rsidR="00EE00E9" w:rsidRPr="00B678EF" w:rsidRDefault="005E295B" w:rsidP="008D2290">
            <w:pPr>
              <w:jc w:val="both"/>
              <w:rPr>
                <w:rFonts w:ascii="Cambria" w:hAnsi="Cambria"/>
                <w:bCs/>
                <w:sz w:val="19"/>
                <w:szCs w:val="19"/>
                <w:lang w:val="es-ES"/>
              </w:rPr>
            </w:pPr>
            <w:r w:rsidRPr="00B678EF">
              <w:rPr>
                <w:rFonts w:ascii="Cambria" w:hAnsi="Cambria"/>
                <w:bCs/>
                <w:sz w:val="19"/>
                <w:szCs w:val="19"/>
                <w:lang w:val="es-ES"/>
              </w:rPr>
              <w:t>No</w:t>
            </w:r>
          </w:p>
        </w:tc>
      </w:tr>
      <w:tr w:rsidR="00B678EF" w:rsidRPr="001075D1"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3E4E03" w:rsidRDefault="003239B8" w:rsidP="00954B82">
            <w:pPr>
              <w:jc w:val="center"/>
              <w:rPr>
                <w:rFonts w:ascii="Cambria" w:hAnsi="Cambria"/>
                <w:b/>
                <w:i/>
                <w:color w:val="FFFFFF" w:themeColor="background1"/>
                <w:sz w:val="19"/>
                <w:szCs w:val="19"/>
                <w:lang w:val="es-ES"/>
              </w:rPr>
            </w:pPr>
            <w:r w:rsidRPr="003E4E03">
              <w:rPr>
                <w:rFonts w:ascii="Cambria" w:hAnsi="Cambria"/>
                <w:b/>
                <w:color w:val="FFFFFF" w:themeColor="background1"/>
                <w:sz w:val="19"/>
                <w:szCs w:val="19"/>
                <w:lang w:val="es-ES"/>
              </w:rPr>
              <w:t>Derechos admi</w:t>
            </w:r>
            <w:r w:rsidR="00954B82" w:rsidRPr="003E4E03">
              <w:rPr>
                <w:rFonts w:ascii="Cambria" w:hAnsi="Cambria"/>
                <w:b/>
                <w:color w:val="FFFFFF" w:themeColor="background1"/>
                <w:sz w:val="19"/>
                <w:szCs w:val="19"/>
                <w:lang w:val="es-ES"/>
              </w:rPr>
              <w:t>tidos</w:t>
            </w:r>
          </w:p>
        </w:tc>
        <w:tc>
          <w:tcPr>
            <w:tcW w:w="6570" w:type="dxa"/>
            <w:vAlign w:val="center"/>
          </w:tcPr>
          <w:p w14:paraId="6310C8F7" w14:textId="45EA87EA" w:rsidR="003239B8" w:rsidRPr="00B678EF" w:rsidRDefault="001E0412" w:rsidP="001479C0">
            <w:pPr>
              <w:jc w:val="both"/>
              <w:rPr>
                <w:rFonts w:ascii="Cambria" w:hAnsi="Cambria"/>
                <w:bCs/>
                <w:sz w:val="19"/>
                <w:szCs w:val="19"/>
                <w:lang w:val="es-ES"/>
              </w:rPr>
            </w:pPr>
            <w:r w:rsidRPr="00276996">
              <w:rPr>
                <w:rFonts w:ascii="Cambria" w:hAnsi="Cambria"/>
                <w:bCs/>
                <w:sz w:val="19"/>
                <w:szCs w:val="19"/>
                <w:lang w:val="es-ES"/>
              </w:rPr>
              <w:t>Artículos 3 (personalidad jurídica), 4 (vida), 5 (integridad personal), 7 (libertad persona</w:t>
            </w:r>
            <w:r w:rsidR="00EA304A">
              <w:rPr>
                <w:rFonts w:ascii="Cambria" w:hAnsi="Cambria"/>
                <w:bCs/>
                <w:sz w:val="19"/>
                <w:szCs w:val="19"/>
                <w:lang w:val="es-ES"/>
              </w:rPr>
              <w:t>l</w:t>
            </w:r>
            <w:r w:rsidRPr="00276996">
              <w:rPr>
                <w:rFonts w:ascii="Cambria" w:hAnsi="Cambria"/>
                <w:bCs/>
                <w:sz w:val="19"/>
                <w:szCs w:val="19"/>
                <w:lang w:val="es-ES"/>
              </w:rPr>
              <w:t>),</w:t>
            </w:r>
            <w:r>
              <w:rPr>
                <w:rFonts w:ascii="Cambria" w:hAnsi="Cambria"/>
                <w:bCs/>
                <w:sz w:val="19"/>
                <w:szCs w:val="19"/>
                <w:lang w:val="es-ES"/>
              </w:rPr>
              <w:t xml:space="preserve"> </w:t>
            </w:r>
            <w:r w:rsidRPr="00276996">
              <w:rPr>
                <w:rFonts w:ascii="Cambria" w:hAnsi="Cambria"/>
                <w:bCs/>
                <w:sz w:val="19"/>
                <w:szCs w:val="19"/>
                <w:lang w:val="es-ES"/>
              </w:rPr>
              <w:t>8 (garantías judiciales) y 25 (protección judicial) de la Convención Americana, en relación con los artículos 1</w:t>
            </w:r>
            <w:r>
              <w:rPr>
                <w:rFonts w:ascii="Cambria" w:hAnsi="Cambria"/>
                <w:bCs/>
                <w:sz w:val="19"/>
                <w:szCs w:val="19"/>
                <w:lang w:val="es-ES"/>
              </w:rPr>
              <w:t>.1</w:t>
            </w:r>
            <w:r w:rsidRPr="00276996">
              <w:rPr>
                <w:rFonts w:ascii="Cambria" w:hAnsi="Cambria"/>
                <w:bCs/>
                <w:sz w:val="19"/>
                <w:szCs w:val="19"/>
                <w:lang w:val="es-ES"/>
              </w:rPr>
              <w:t xml:space="preserve"> (obligación de respetar los derechos) y 2 (deber de adoptar </w:t>
            </w:r>
            <w:r w:rsidRPr="00D62F26">
              <w:rPr>
                <w:rFonts w:asciiTheme="majorHAnsi" w:hAnsiTheme="majorHAnsi"/>
                <w:bCs/>
                <w:sz w:val="19"/>
                <w:szCs w:val="19"/>
                <w:lang w:val="es-CO"/>
              </w:rPr>
              <w:t>disposiciones de derecho interno</w:t>
            </w:r>
            <w:r w:rsidRPr="00276996">
              <w:rPr>
                <w:rFonts w:ascii="Cambria" w:hAnsi="Cambria"/>
                <w:bCs/>
                <w:sz w:val="19"/>
                <w:szCs w:val="19"/>
                <w:lang w:val="es-ES"/>
              </w:rPr>
              <w:t xml:space="preserve">) del mismo cuerpo normativo; </w:t>
            </w:r>
            <w:r w:rsidRPr="00A227AC">
              <w:rPr>
                <w:rFonts w:ascii="Cambria" w:hAnsi="Cambria"/>
                <w:bCs/>
                <w:sz w:val="19"/>
                <w:szCs w:val="19"/>
                <w:lang w:val="es-ES"/>
              </w:rPr>
              <w:t>artículos I (vida, libertad, seguridad e integridad de la persona), XVII (reconocimiento de la personalidad jurídica y derechos civiles), XVIII (justicia) y XXV (protección contra la detención arbitraria) de la Declaración Americana</w:t>
            </w:r>
            <w:r>
              <w:rPr>
                <w:rFonts w:ascii="Cambria" w:hAnsi="Cambria"/>
                <w:bCs/>
                <w:sz w:val="19"/>
                <w:szCs w:val="19"/>
                <w:lang w:val="es-ES"/>
              </w:rPr>
              <w:t xml:space="preserve">; </w:t>
            </w:r>
            <w:r w:rsidRPr="00A227AC">
              <w:rPr>
                <w:rFonts w:ascii="Cambria" w:hAnsi="Cambria"/>
                <w:bCs/>
                <w:sz w:val="19"/>
                <w:szCs w:val="19"/>
                <w:lang w:val="es-ES"/>
              </w:rPr>
              <w:t>y artículo I de la Convención Interamericana sobre Desaparición Forzada de Personas</w:t>
            </w:r>
          </w:p>
        </w:tc>
      </w:tr>
      <w:tr w:rsidR="00B678EF" w:rsidRPr="001075D1"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11DC3DBE" w:rsidR="003239B8" w:rsidRPr="003E4E03" w:rsidRDefault="003239B8" w:rsidP="00D77503">
            <w:pPr>
              <w:jc w:val="center"/>
              <w:rPr>
                <w:rFonts w:ascii="Cambria" w:hAnsi="Cambria"/>
                <w:b/>
                <w:color w:val="FFFFFF" w:themeColor="background1"/>
                <w:sz w:val="19"/>
                <w:szCs w:val="19"/>
                <w:lang w:val="es-ES"/>
              </w:rPr>
            </w:pPr>
            <w:r w:rsidRPr="003E4E03">
              <w:rPr>
                <w:rFonts w:ascii="Cambria" w:hAnsi="Cambria"/>
                <w:b/>
                <w:color w:val="FFFFFF" w:themeColor="background1"/>
                <w:sz w:val="19"/>
                <w:szCs w:val="19"/>
                <w:lang w:val="es-ES"/>
              </w:rPr>
              <w:lastRenderedPageBreak/>
              <w:t xml:space="preserve">Agotamiento de recursos </w:t>
            </w:r>
            <w:r w:rsidR="00D77503" w:rsidRPr="003E4E03">
              <w:rPr>
                <w:rFonts w:ascii="Cambria" w:hAnsi="Cambria"/>
                <w:b/>
                <w:color w:val="FFFFFF" w:themeColor="background1"/>
                <w:sz w:val="19"/>
                <w:szCs w:val="19"/>
                <w:lang w:val="es-ES"/>
              </w:rPr>
              <w:t>o procedencia de una excepción</w:t>
            </w:r>
          </w:p>
        </w:tc>
        <w:tc>
          <w:tcPr>
            <w:tcW w:w="6570" w:type="dxa"/>
            <w:vAlign w:val="center"/>
          </w:tcPr>
          <w:p w14:paraId="69C53E8A" w14:textId="08FCBC04" w:rsidR="003239B8" w:rsidRPr="00B678EF" w:rsidRDefault="005E295B" w:rsidP="002F7FAE">
            <w:pPr>
              <w:rPr>
                <w:rFonts w:ascii="Cambria" w:hAnsi="Cambria"/>
                <w:bCs/>
                <w:sz w:val="19"/>
                <w:szCs w:val="19"/>
                <w:lang w:val="es-ES"/>
              </w:rPr>
            </w:pPr>
            <w:r w:rsidRPr="00B678EF">
              <w:rPr>
                <w:rFonts w:ascii="Cambria" w:hAnsi="Cambria"/>
                <w:bCs/>
                <w:sz w:val="19"/>
                <w:szCs w:val="19"/>
                <w:lang w:val="es-ES"/>
              </w:rPr>
              <w:t xml:space="preserve">Sí, </w:t>
            </w:r>
            <w:r w:rsidR="002F7FAE">
              <w:rPr>
                <w:rFonts w:ascii="Cambria" w:hAnsi="Cambria"/>
                <w:bCs/>
                <w:sz w:val="19"/>
                <w:szCs w:val="19"/>
                <w:lang w:val="es-ES"/>
              </w:rPr>
              <w:t>en términos de la sección VI</w:t>
            </w:r>
          </w:p>
        </w:tc>
      </w:tr>
      <w:tr w:rsidR="00B678EF" w:rsidRPr="001075D1"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3E4E03" w:rsidRDefault="00D77503" w:rsidP="008D2290">
            <w:pPr>
              <w:jc w:val="center"/>
              <w:rPr>
                <w:rFonts w:ascii="Cambria" w:hAnsi="Cambria"/>
                <w:b/>
                <w:color w:val="FFFFFF" w:themeColor="background1"/>
                <w:sz w:val="19"/>
                <w:szCs w:val="19"/>
                <w:lang w:val="es-ES"/>
              </w:rPr>
            </w:pPr>
            <w:r w:rsidRPr="003E4E03">
              <w:rPr>
                <w:rFonts w:ascii="Cambria" w:hAnsi="Cambria"/>
                <w:b/>
                <w:color w:val="FFFFFF" w:themeColor="background1"/>
                <w:sz w:val="19"/>
                <w:szCs w:val="19"/>
                <w:lang w:val="es-ES"/>
              </w:rPr>
              <w:t>Presentación dentro de plazo</w:t>
            </w:r>
          </w:p>
        </w:tc>
        <w:tc>
          <w:tcPr>
            <w:tcW w:w="6570" w:type="dxa"/>
            <w:vAlign w:val="center"/>
          </w:tcPr>
          <w:p w14:paraId="4A2A4569" w14:textId="685E4E15" w:rsidR="003239B8" w:rsidRPr="003E4E03" w:rsidRDefault="005E295B" w:rsidP="002F7FAE">
            <w:pPr>
              <w:rPr>
                <w:rFonts w:ascii="Cambria" w:hAnsi="Cambria"/>
                <w:bCs/>
                <w:sz w:val="19"/>
                <w:szCs w:val="19"/>
                <w:lang w:val="es-ES"/>
              </w:rPr>
            </w:pPr>
            <w:r w:rsidRPr="003E4E03">
              <w:rPr>
                <w:rFonts w:ascii="Cambria" w:hAnsi="Cambria"/>
                <w:bCs/>
                <w:sz w:val="19"/>
                <w:szCs w:val="19"/>
                <w:lang w:val="es-ES"/>
              </w:rPr>
              <w:t xml:space="preserve">Sí, </w:t>
            </w:r>
            <w:r w:rsidR="002F7FAE" w:rsidRPr="003E4E03">
              <w:rPr>
                <w:rFonts w:ascii="Cambria" w:hAnsi="Cambria"/>
                <w:bCs/>
                <w:sz w:val="19"/>
                <w:szCs w:val="19"/>
                <w:lang w:val="es-ES"/>
              </w:rPr>
              <w:t>en términos de la sección VI</w:t>
            </w:r>
          </w:p>
        </w:tc>
      </w:tr>
    </w:tbl>
    <w:p w14:paraId="7DCE4480" w14:textId="77777777" w:rsidR="006603F7" w:rsidRDefault="006603F7" w:rsidP="006603F7">
      <w:pPr>
        <w:ind w:firstLine="720"/>
        <w:jc w:val="both"/>
        <w:rPr>
          <w:rFonts w:asciiTheme="majorHAnsi" w:hAnsiTheme="majorHAnsi"/>
          <w:b/>
          <w:sz w:val="20"/>
          <w:szCs w:val="20"/>
          <w:lang w:val="es-ES"/>
        </w:rPr>
      </w:pPr>
    </w:p>
    <w:p w14:paraId="18E6423B" w14:textId="1E92B8F5" w:rsidR="003239B8" w:rsidRPr="005F2408" w:rsidRDefault="00223A29" w:rsidP="006603F7">
      <w:pPr>
        <w:ind w:firstLine="720"/>
        <w:jc w:val="both"/>
        <w:rPr>
          <w:rFonts w:asciiTheme="majorHAnsi" w:hAnsiTheme="majorHAnsi"/>
          <w:b/>
          <w:sz w:val="20"/>
          <w:szCs w:val="20"/>
          <w:lang w:val="es-ES"/>
        </w:rPr>
      </w:pPr>
      <w:r w:rsidRPr="005F2408">
        <w:rPr>
          <w:rFonts w:asciiTheme="majorHAnsi" w:hAnsiTheme="majorHAnsi"/>
          <w:b/>
          <w:sz w:val="20"/>
          <w:szCs w:val="20"/>
          <w:lang w:val="es-ES"/>
        </w:rPr>
        <w:t xml:space="preserve">V. </w:t>
      </w:r>
      <w:r w:rsidRPr="005F2408">
        <w:rPr>
          <w:rFonts w:asciiTheme="majorHAnsi" w:hAnsiTheme="majorHAnsi"/>
          <w:b/>
          <w:sz w:val="20"/>
          <w:szCs w:val="20"/>
          <w:lang w:val="es-ES"/>
        </w:rPr>
        <w:tab/>
      </w:r>
      <w:r w:rsidR="0034224A" w:rsidRPr="005F2408">
        <w:rPr>
          <w:rFonts w:asciiTheme="majorHAnsi" w:hAnsiTheme="majorHAnsi"/>
          <w:b/>
          <w:sz w:val="20"/>
          <w:szCs w:val="20"/>
          <w:lang w:val="es-ES"/>
        </w:rPr>
        <w:t>RESUMEN DE LOS HECHOS ALEGADOS</w:t>
      </w:r>
    </w:p>
    <w:p w14:paraId="060DB993" w14:textId="77777777" w:rsidR="006603F7" w:rsidRDefault="006603F7" w:rsidP="006603F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0D652EF5" w14:textId="6D26D6DC" w:rsidR="005D5A24" w:rsidRPr="005F2408" w:rsidRDefault="00EA304A" w:rsidP="006603F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 xml:space="preserve">El </w:t>
      </w:r>
      <w:r w:rsidR="007D7033" w:rsidRPr="005F2408">
        <w:rPr>
          <w:rFonts w:ascii="Cambria" w:hAnsi="Cambria"/>
          <w:sz w:val="20"/>
          <w:szCs w:val="20"/>
          <w:lang w:val="es-ES"/>
        </w:rPr>
        <w:t>peticionari</w:t>
      </w:r>
      <w:r>
        <w:rPr>
          <w:rFonts w:ascii="Cambria" w:hAnsi="Cambria"/>
          <w:sz w:val="20"/>
          <w:szCs w:val="20"/>
          <w:lang w:val="es-ES"/>
        </w:rPr>
        <w:t>o</w:t>
      </w:r>
      <w:r w:rsidR="007D7033" w:rsidRPr="005F2408">
        <w:rPr>
          <w:rFonts w:ascii="Cambria" w:hAnsi="Cambria"/>
          <w:sz w:val="20"/>
          <w:szCs w:val="20"/>
          <w:lang w:val="es-ES"/>
        </w:rPr>
        <w:t xml:space="preserve"> denuncia la</w:t>
      </w:r>
      <w:r w:rsidR="005D5A24" w:rsidRPr="005F2408">
        <w:rPr>
          <w:rFonts w:ascii="Cambria" w:hAnsi="Cambria"/>
          <w:sz w:val="20"/>
          <w:szCs w:val="20"/>
          <w:lang w:val="es-ES"/>
        </w:rPr>
        <w:t xml:space="preserve"> muerte </w:t>
      </w:r>
      <w:r>
        <w:rPr>
          <w:rFonts w:ascii="Cambria" w:hAnsi="Cambria"/>
          <w:sz w:val="20"/>
          <w:szCs w:val="20"/>
          <w:lang w:val="es-ES"/>
        </w:rPr>
        <w:t xml:space="preserve">de </w:t>
      </w:r>
      <w:r w:rsidR="005D5A24" w:rsidRPr="005F2408">
        <w:rPr>
          <w:rFonts w:ascii="Cambria" w:hAnsi="Cambria"/>
          <w:sz w:val="20"/>
          <w:szCs w:val="20"/>
          <w:lang w:val="es-ES"/>
        </w:rPr>
        <w:t xml:space="preserve">Eduardo </w:t>
      </w:r>
      <w:r w:rsidRPr="005F2408">
        <w:rPr>
          <w:rFonts w:ascii="Cambria" w:hAnsi="Cambria"/>
          <w:sz w:val="20"/>
          <w:szCs w:val="20"/>
          <w:lang w:val="es-ES"/>
        </w:rPr>
        <w:t>Elías</w:t>
      </w:r>
      <w:r w:rsidR="005D5A24" w:rsidRPr="005F2408">
        <w:rPr>
          <w:rFonts w:ascii="Cambria" w:hAnsi="Cambria"/>
          <w:sz w:val="20"/>
          <w:szCs w:val="20"/>
          <w:lang w:val="es-ES"/>
        </w:rPr>
        <w:t xml:space="preserve"> Cerda Ángel, de 8 años al momento de los hechos, así como la detención extrajudicial y posterior desaparición forzada</w:t>
      </w:r>
      <w:r w:rsidR="002652BA">
        <w:rPr>
          <w:rFonts w:ascii="Cambria" w:hAnsi="Cambria"/>
          <w:sz w:val="20"/>
          <w:szCs w:val="20"/>
          <w:lang w:val="es-ES"/>
        </w:rPr>
        <w:t xml:space="preserve"> de Maria Isabel Gutiérrez Martí</w:t>
      </w:r>
      <w:r w:rsidR="005D5A24" w:rsidRPr="005F2408">
        <w:rPr>
          <w:rFonts w:ascii="Cambria" w:hAnsi="Cambria"/>
          <w:sz w:val="20"/>
          <w:szCs w:val="20"/>
          <w:lang w:val="es-ES"/>
        </w:rPr>
        <w:t>nez, en el contexto del golpe militar en Chile</w:t>
      </w:r>
      <w:r>
        <w:rPr>
          <w:rFonts w:ascii="Cambria" w:hAnsi="Cambria"/>
          <w:sz w:val="20"/>
          <w:szCs w:val="20"/>
          <w:lang w:val="es-ES"/>
        </w:rPr>
        <w:t>.</w:t>
      </w:r>
      <w:r w:rsidR="005D5A24" w:rsidRPr="005F2408">
        <w:rPr>
          <w:rFonts w:ascii="Cambria" w:hAnsi="Cambria"/>
          <w:sz w:val="20"/>
          <w:szCs w:val="20"/>
          <w:lang w:val="es-ES"/>
        </w:rPr>
        <w:t xml:space="preserve"> </w:t>
      </w:r>
      <w:r>
        <w:rPr>
          <w:rFonts w:ascii="Cambria" w:hAnsi="Cambria"/>
          <w:sz w:val="20"/>
          <w:szCs w:val="20"/>
          <w:lang w:val="es-ES"/>
        </w:rPr>
        <w:t xml:space="preserve">Los alegatos anteriores se plantean </w:t>
      </w:r>
      <w:r w:rsidR="00430489">
        <w:rPr>
          <w:rFonts w:ascii="Cambria" w:hAnsi="Cambria"/>
          <w:sz w:val="20"/>
          <w:szCs w:val="20"/>
          <w:lang w:val="es-ES"/>
        </w:rPr>
        <w:t>en conjunto con</w:t>
      </w:r>
      <w:r w:rsidR="005D5A24" w:rsidRPr="005F2408">
        <w:rPr>
          <w:rFonts w:ascii="Cambria" w:hAnsi="Cambria"/>
          <w:sz w:val="20"/>
          <w:szCs w:val="20"/>
          <w:lang w:val="es-ES"/>
        </w:rPr>
        <w:t xml:space="preserve"> </w:t>
      </w:r>
      <w:r>
        <w:rPr>
          <w:rFonts w:ascii="Cambria" w:hAnsi="Cambria"/>
          <w:sz w:val="20"/>
          <w:szCs w:val="20"/>
          <w:lang w:val="es-ES"/>
        </w:rPr>
        <w:t>los de</w:t>
      </w:r>
      <w:r w:rsidR="005D5A24" w:rsidRPr="005F2408">
        <w:rPr>
          <w:rFonts w:ascii="Cambria" w:hAnsi="Cambria"/>
          <w:sz w:val="20"/>
          <w:szCs w:val="20"/>
          <w:lang w:val="es-ES"/>
        </w:rPr>
        <w:t xml:space="preserve"> </w:t>
      </w:r>
      <w:r w:rsidR="0017214E" w:rsidRPr="0017214E">
        <w:rPr>
          <w:rFonts w:ascii="Cambria" w:hAnsi="Cambria"/>
          <w:sz w:val="20"/>
          <w:szCs w:val="20"/>
          <w:lang w:val="es-ES"/>
        </w:rPr>
        <w:t xml:space="preserve">negación sistemática de toda reparación judicial a los familiares directos de las </w:t>
      </w:r>
      <w:r w:rsidR="0017214E">
        <w:rPr>
          <w:rFonts w:ascii="Cambria" w:hAnsi="Cambria"/>
          <w:sz w:val="20"/>
          <w:szCs w:val="20"/>
          <w:lang w:val="es-ES"/>
        </w:rPr>
        <w:t xml:space="preserve">presuntas </w:t>
      </w:r>
      <w:r w:rsidR="0017214E" w:rsidRPr="0017214E">
        <w:rPr>
          <w:rFonts w:ascii="Cambria" w:hAnsi="Cambria"/>
          <w:sz w:val="20"/>
          <w:szCs w:val="20"/>
          <w:lang w:val="es-ES"/>
        </w:rPr>
        <w:t>víctimas</w:t>
      </w:r>
      <w:r w:rsidR="00430489">
        <w:rPr>
          <w:rFonts w:ascii="Cambria" w:hAnsi="Cambria"/>
          <w:sz w:val="20"/>
          <w:szCs w:val="20"/>
          <w:lang w:val="es-ES"/>
        </w:rPr>
        <w:t xml:space="preserve"> por los daños causados</w:t>
      </w:r>
      <w:r w:rsidR="0017214E">
        <w:rPr>
          <w:rFonts w:ascii="Cambria" w:hAnsi="Cambria"/>
          <w:sz w:val="20"/>
          <w:szCs w:val="20"/>
          <w:lang w:val="es-ES"/>
        </w:rPr>
        <w:t>,</w:t>
      </w:r>
      <w:r w:rsidR="005D5A24" w:rsidRPr="005F2408">
        <w:rPr>
          <w:rFonts w:ascii="Cambria" w:hAnsi="Cambria"/>
          <w:sz w:val="20"/>
          <w:szCs w:val="20"/>
          <w:lang w:val="es-ES"/>
        </w:rPr>
        <w:t xml:space="preserve"> </w:t>
      </w:r>
      <w:r w:rsidR="00430489">
        <w:rPr>
          <w:rFonts w:ascii="Cambria" w:hAnsi="Cambria"/>
          <w:sz w:val="20"/>
          <w:szCs w:val="20"/>
          <w:lang w:val="es-ES"/>
        </w:rPr>
        <w:t>en violación de</w:t>
      </w:r>
      <w:r w:rsidR="005D5A24" w:rsidRPr="005F2408">
        <w:rPr>
          <w:rFonts w:ascii="Cambria" w:hAnsi="Cambria"/>
          <w:sz w:val="20"/>
          <w:szCs w:val="20"/>
          <w:lang w:val="es-ES"/>
        </w:rPr>
        <w:t xml:space="preserve"> las garantías judici</w:t>
      </w:r>
      <w:r w:rsidR="00430489">
        <w:rPr>
          <w:rFonts w:ascii="Cambria" w:hAnsi="Cambria"/>
          <w:sz w:val="20"/>
          <w:szCs w:val="20"/>
          <w:lang w:val="es-ES"/>
        </w:rPr>
        <w:t>ales y de</w:t>
      </w:r>
      <w:r w:rsidR="005D5A24" w:rsidRPr="005F2408">
        <w:rPr>
          <w:rFonts w:ascii="Cambria" w:hAnsi="Cambria"/>
          <w:sz w:val="20"/>
          <w:szCs w:val="20"/>
          <w:lang w:val="es-ES"/>
        </w:rPr>
        <w:t>l derecho a la protección judicial.</w:t>
      </w:r>
    </w:p>
    <w:p w14:paraId="089812D8" w14:textId="77777777" w:rsidR="006603F7" w:rsidRDefault="006603F7" w:rsidP="006603F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4F28A2DE" w14:textId="21D45B72" w:rsidR="00BE1A33" w:rsidRDefault="005342CE" w:rsidP="006603F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 xml:space="preserve">Según </w:t>
      </w:r>
      <w:r w:rsidR="00EA304A">
        <w:rPr>
          <w:rFonts w:ascii="Cambria" w:hAnsi="Cambria"/>
          <w:sz w:val="20"/>
          <w:szCs w:val="20"/>
          <w:lang w:val="es-ES"/>
        </w:rPr>
        <w:t>el peticionario</w:t>
      </w:r>
      <w:r>
        <w:rPr>
          <w:rFonts w:ascii="Cambria" w:hAnsi="Cambria"/>
          <w:sz w:val="20"/>
          <w:szCs w:val="20"/>
          <w:lang w:val="es-ES"/>
        </w:rPr>
        <w:t>,</w:t>
      </w:r>
      <w:r w:rsidR="00EA304A">
        <w:rPr>
          <w:rFonts w:ascii="Cambria" w:hAnsi="Cambria"/>
          <w:sz w:val="20"/>
          <w:szCs w:val="20"/>
          <w:lang w:val="es-ES"/>
        </w:rPr>
        <w:t xml:space="preserve"> el</w:t>
      </w:r>
      <w:r w:rsidR="00CE705F">
        <w:rPr>
          <w:rFonts w:ascii="Cambria" w:hAnsi="Cambria"/>
          <w:sz w:val="20"/>
          <w:szCs w:val="20"/>
          <w:lang w:val="es-ES"/>
        </w:rPr>
        <w:t xml:space="preserve"> 12 de octubre de 1973 </w:t>
      </w:r>
      <w:r w:rsidR="00EA304A">
        <w:rPr>
          <w:rFonts w:ascii="Cambria" w:hAnsi="Cambria"/>
          <w:sz w:val="20"/>
          <w:szCs w:val="20"/>
          <w:lang w:val="es-ES"/>
        </w:rPr>
        <w:t xml:space="preserve">la presunta víctima Gutiérrez Martínez </w:t>
      </w:r>
      <w:r w:rsidR="00CE705F">
        <w:rPr>
          <w:rFonts w:ascii="Cambria" w:hAnsi="Cambria"/>
          <w:sz w:val="20"/>
          <w:szCs w:val="20"/>
          <w:lang w:val="es-ES"/>
        </w:rPr>
        <w:t>escuch</w:t>
      </w:r>
      <w:r w:rsidR="00EA304A">
        <w:rPr>
          <w:rFonts w:ascii="Cambria" w:hAnsi="Cambria"/>
          <w:sz w:val="20"/>
          <w:szCs w:val="20"/>
          <w:lang w:val="es-ES"/>
        </w:rPr>
        <w:t>ó</w:t>
      </w:r>
      <w:r w:rsidR="00CE705F">
        <w:rPr>
          <w:rFonts w:ascii="Cambria" w:hAnsi="Cambria"/>
          <w:sz w:val="20"/>
          <w:szCs w:val="20"/>
          <w:lang w:val="es-ES"/>
        </w:rPr>
        <w:t xml:space="preserve"> disparos en las cercanías de la casa donde se encontraba </w:t>
      </w:r>
      <w:r w:rsidR="007B6478">
        <w:rPr>
          <w:rFonts w:ascii="Cambria" w:hAnsi="Cambria"/>
          <w:sz w:val="20"/>
          <w:szCs w:val="20"/>
          <w:lang w:val="es-ES"/>
        </w:rPr>
        <w:t>el niño</w:t>
      </w:r>
      <w:r w:rsidR="007C2B8C">
        <w:rPr>
          <w:rFonts w:ascii="Cambria" w:hAnsi="Cambria"/>
          <w:sz w:val="20"/>
          <w:szCs w:val="20"/>
          <w:lang w:val="es-ES"/>
        </w:rPr>
        <w:t xml:space="preserve"> Cerda Ángel</w:t>
      </w:r>
      <w:r w:rsidR="00EA304A">
        <w:rPr>
          <w:rFonts w:ascii="Cambria" w:hAnsi="Cambria"/>
          <w:sz w:val="20"/>
          <w:szCs w:val="20"/>
          <w:lang w:val="es-ES"/>
        </w:rPr>
        <w:t>;</w:t>
      </w:r>
      <w:r w:rsidR="00CE705F">
        <w:rPr>
          <w:rFonts w:ascii="Cambria" w:hAnsi="Cambria"/>
          <w:sz w:val="20"/>
          <w:szCs w:val="20"/>
          <w:lang w:val="es-ES"/>
        </w:rPr>
        <w:t xml:space="preserve"> </w:t>
      </w:r>
      <w:r w:rsidR="00EA304A">
        <w:rPr>
          <w:rFonts w:ascii="Cambria" w:hAnsi="Cambria"/>
          <w:sz w:val="20"/>
          <w:szCs w:val="20"/>
          <w:lang w:val="es-ES"/>
        </w:rPr>
        <w:t>aqu</w:t>
      </w:r>
      <w:r w:rsidR="00CE705F">
        <w:rPr>
          <w:rFonts w:ascii="Cambria" w:hAnsi="Cambria"/>
          <w:sz w:val="20"/>
          <w:szCs w:val="20"/>
          <w:lang w:val="es-ES"/>
        </w:rPr>
        <w:t xml:space="preserve">ella abrió la puerta y salió a la calle, donde recibió un impacto de bala en el tórax, proyectil que también hirió a una </w:t>
      </w:r>
      <w:r w:rsidR="00EA304A">
        <w:rPr>
          <w:rFonts w:ascii="Cambria" w:hAnsi="Cambria"/>
          <w:sz w:val="20"/>
          <w:szCs w:val="20"/>
          <w:lang w:val="es-ES"/>
        </w:rPr>
        <w:t xml:space="preserve">de sus </w:t>
      </w:r>
      <w:r w:rsidR="00CE705F">
        <w:rPr>
          <w:rFonts w:ascii="Cambria" w:hAnsi="Cambria"/>
          <w:sz w:val="20"/>
          <w:szCs w:val="20"/>
          <w:lang w:val="es-ES"/>
        </w:rPr>
        <w:t>hermana</w:t>
      </w:r>
      <w:r w:rsidR="00EA304A">
        <w:rPr>
          <w:rFonts w:ascii="Cambria" w:hAnsi="Cambria"/>
          <w:sz w:val="20"/>
          <w:szCs w:val="20"/>
          <w:lang w:val="es-ES"/>
        </w:rPr>
        <w:t>s</w:t>
      </w:r>
      <w:r w:rsidR="00CE705F">
        <w:rPr>
          <w:rFonts w:ascii="Cambria" w:hAnsi="Cambria"/>
          <w:sz w:val="20"/>
          <w:szCs w:val="20"/>
          <w:lang w:val="es-ES"/>
        </w:rPr>
        <w:t>.</w:t>
      </w:r>
      <w:r w:rsidR="00610308">
        <w:rPr>
          <w:rFonts w:ascii="Cambria" w:hAnsi="Cambria"/>
          <w:sz w:val="20"/>
          <w:szCs w:val="20"/>
          <w:lang w:val="es-ES"/>
        </w:rPr>
        <w:t xml:space="preserve"> Aduce que el hermano may</w:t>
      </w:r>
      <w:r w:rsidR="007B6478">
        <w:rPr>
          <w:rFonts w:ascii="Cambria" w:hAnsi="Cambria"/>
          <w:sz w:val="20"/>
          <w:szCs w:val="20"/>
          <w:lang w:val="es-ES"/>
        </w:rPr>
        <w:t xml:space="preserve">or del niño </w:t>
      </w:r>
      <w:r w:rsidR="00610308">
        <w:rPr>
          <w:rFonts w:ascii="Cambria" w:hAnsi="Cambria"/>
          <w:sz w:val="20"/>
          <w:szCs w:val="20"/>
          <w:lang w:val="es-ES"/>
        </w:rPr>
        <w:t>tomó su cuerpo y s</w:t>
      </w:r>
      <w:r w:rsidR="002652BA">
        <w:rPr>
          <w:rFonts w:ascii="Cambria" w:hAnsi="Cambria"/>
          <w:sz w:val="20"/>
          <w:szCs w:val="20"/>
          <w:lang w:val="es-ES"/>
        </w:rPr>
        <w:t>iguió</w:t>
      </w:r>
      <w:r w:rsidR="00610308">
        <w:rPr>
          <w:rFonts w:ascii="Cambria" w:hAnsi="Cambria"/>
          <w:sz w:val="20"/>
          <w:szCs w:val="20"/>
          <w:lang w:val="es-ES"/>
        </w:rPr>
        <w:t xml:space="preserve"> a la patrulla militar que había efectu</w:t>
      </w:r>
      <w:r w:rsidR="002652BA">
        <w:rPr>
          <w:rFonts w:ascii="Cambria" w:hAnsi="Cambria"/>
          <w:sz w:val="20"/>
          <w:szCs w:val="20"/>
          <w:lang w:val="es-ES"/>
        </w:rPr>
        <w:t>ado los disparos;</w:t>
      </w:r>
      <w:r w:rsidR="00430489">
        <w:rPr>
          <w:rFonts w:ascii="Cambria" w:hAnsi="Cambria"/>
          <w:sz w:val="20"/>
          <w:szCs w:val="20"/>
          <w:lang w:val="es-ES"/>
        </w:rPr>
        <w:t xml:space="preserve"> </w:t>
      </w:r>
      <w:r w:rsidR="002652BA">
        <w:rPr>
          <w:rFonts w:ascii="Cambria" w:hAnsi="Cambria"/>
          <w:sz w:val="20"/>
          <w:szCs w:val="20"/>
          <w:lang w:val="es-ES"/>
        </w:rPr>
        <w:t>luego</w:t>
      </w:r>
      <w:r w:rsidR="00430489">
        <w:rPr>
          <w:rFonts w:ascii="Cambria" w:hAnsi="Cambria"/>
          <w:sz w:val="20"/>
          <w:szCs w:val="20"/>
          <w:lang w:val="es-ES"/>
        </w:rPr>
        <w:t xml:space="preserve"> logró que lo</w:t>
      </w:r>
      <w:r w:rsidR="007B6478">
        <w:rPr>
          <w:rFonts w:ascii="Cambria" w:hAnsi="Cambria"/>
          <w:sz w:val="20"/>
          <w:szCs w:val="20"/>
          <w:lang w:val="es-ES"/>
        </w:rPr>
        <w:t xml:space="preserve"> llevara</w:t>
      </w:r>
      <w:r w:rsidR="00610308">
        <w:rPr>
          <w:rFonts w:ascii="Cambria" w:hAnsi="Cambria"/>
          <w:sz w:val="20"/>
          <w:szCs w:val="20"/>
          <w:lang w:val="es-ES"/>
        </w:rPr>
        <w:t>n a</w:t>
      </w:r>
      <w:r w:rsidR="002652BA">
        <w:rPr>
          <w:rFonts w:ascii="Cambria" w:hAnsi="Cambria"/>
          <w:sz w:val="20"/>
          <w:szCs w:val="20"/>
          <w:lang w:val="es-ES"/>
        </w:rPr>
        <w:t>l</w:t>
      </w:r>
      <w:r w:rsidR="00610308">
        <w:rPr>
          <w:rFonts w:ascii="Cambria" w:hAnsi="Cambria"/>
          <w:sz w:val="20"/>
          <w:szCs w:val="20"/>
          <w:lang w:val="es-ES"/>
        </w:rPr>
        <w:t xml:space="preserve"> Hospital </w:t>
      </w:r>
      <w:r w:rsidR="002652BA">
        <w:rPr>
          <w:rFonts w:ascii="Cambria" w:hAnsi="Cambria"/>
          <w:sz w:val="20"/>
          <w:szCs w:val="20"/>
          <w:lang w:val="es-ES"/>
        </w:rPr>
        <w:t>S</w:t>
      </w:r>
      <w:r w:rsidR="00610308">
        <w:rPr>
          <w:rFonts w:ascii="Cambria" w:hAnsi="Cambria"/>
          <w:sz w:val="20"/>
          <w:szCs w:val="20"/>
          <w:lang w:val="es-ES"/>
        </w:rPr>
        <w:t xml:space="preserve">an Juan de Dios, </w:t>
      </w:r>
      <w:r w:rsidR="002652BA">
        <w:rPr>
          <w:rFonts w:ascii="Cambria" w:hAnsi="Cambria"/>
          <w:sz w:val="20"/>
          <w:szCs w:val="20"/>
          <w:lang w:val="es-ES"/>
        </w:rPr>
        <w:t xml:space="preserve">pero que </w:t>
      </w:r>
      <w:r w:rsidR="007B6478">
        <w:rPr>
          <w:rFonts w:ascii="Cambria" w:hAnsi="Cambria"/>
          <w:sz w:val="20"/>
          <w:szCs w:val="20"/>
          <w:lang w:val="es-ES"/>
        </w:rPr>
        <w:t>llegó sin vida</w:t>
      </w:r>
      <w:r w:rsidR="00610308">
        <w:rPr>
          <w:rFonts w:ascii="Cambria" w:hAnsi="Cambria"/>
          <w:sz w:val="20"/>
          <w:szCs w:val="20"/>
          <w:lang w:val="es-ES"/>
        </w:rPr>
        <w:t>.</w:t>
      </w:r>
      <w:r w:rsidR="000B4E15">
        <w:rPr>
          <w:rFonts w:ascii="Cambria" w:hAnsi="Cambria"/>
          <w:sz w:val="20"/>
          <w:szCs w:val="20"/>
          <w:lang w:val="es-ES"/>
        </w:rPr>
        <w:t xml:space="preserve"> De acuerdo a lo señalado en el certificado de defunción,</w:t>
      </w:r>
      <w:r w:rsidR="00665D6B">
        <w:rPr>
          <w:rFonts w:ascii="Cambria" w:hAnsi="Cambria"/>
          <w:sz w:val="20"/>
          <w:szCs w:val="20"/>
          <w:lang w:val="es-ES"/>
        </w:rPr>
        <w:t xml:space="preserve"> el niño </w:t>
      </w:r>
      <w:r w:rsidR="000B4E15">
        <w:rPr>
          <w:rFonts w:ascii="Cambria" w:hAnsi="Cambria"/>
          <w:sz w:val="20"/>
          <w:szCs w:val="20"/>
          <w:lang w:val="es-ES"/>
        </w:rPr>
        <w:t xml:space="preserve">falleció a </w:t>
      </w:r>
      <w:r w:rsidR="007B6478">
        <w:rPr>
          <w:rFonts w:ascii="Cambria" w:hAnsi="Cambria"/>
          <w:sz w:val="20"/>
          <w:szCs w:val="20"/>
          <w:lang w:val="es-ES"/>
        </w:rPr>
        <w:t>causa de una herida a bala toráx</w:t>
      </w:r>
      <w:r w:rsidR="000B4E15">
        <w:rPr>
          <w:rFonts w:ascii="Cambria" w:hAnsi="Cambria"/>
          <w:sz w:val="20"/>
          <w:szCs w:val="20"/>
          <w:lang w:val="es-ES"/>
        </w:rPr>
        <w:t xml:space="preserve">ica. </w:t>
      </w:r>
      <w:r w:rsidR="005500BC">
        <w:rPr>
          <w:rFonts w:ascii="Cambria" w:hAnsi="Cambria"/>
          <w:sz w:val="20"/>
          <w:szCs w:val="20"/>
          <w:lang w:val="es-ES"/>
        </w:rPr>
        <w:t xml:space="preserve">El peticionario indica que </w:t>
      </w:r>
      <w:r>
        <w:rPr>
          <w:rFonts w:ascii="Cambria" w:hAnsi="Cambria"/>
          <w:sz w:val="20"/>
          <w:szCs w:val="20"/>
          <w:lang w:val="es-ES"/>
        </w:rPr>
        <w:t xml:space="preserve">en el informe de </w:t>
      </w:r>
      <w:r w:rsidR="002652BA">
        <w:rPr>
          <w:rFonts w:ascii="Cambria" w:hAnsi="Cambria"/>
          <w:sz w:val="20"/>
          <w:szCs w:val="20"/>
          <w:lang w:val="es-ES"/>
        </w:rPr>
        <w:t xml:space="preserve">la Comisión Nacional de Verdad </w:t>
      </w:r>
      <w:r w:rsidR="002652BA" w:rsidRPr="00546D56">
        <w:rPr>
          <w:rFonts w:ascii="Cambria" w:hAnsi="Cambria"/>
          <w:sz w:val="20"/>
          <w:szCs w:val="20"/>
          <w:lang w:val="es-ES"/>
        </w:rPr>
        <w:t>y Reconciliación (“Informe Rettig”)</w:t>
      </w:r>
      <w:r w:rsidR="002652BA">
        <w:rPr>
          <w:rFonts w:ascii="Cambria" w:hAnsi="Cambria"/>
          <w:sz w:val="20"/>
          <w:szCs w:val="20"/>
          <w:lang w:val="es-ES"/>
        </w:rPr>
        <w:t xml:space="preserve"> se </w:t>
      </w:r>
      <w:r>
        <w:rPr>
          <w:rFonts w:ascii="Cambria" w:hAnsi="Cambria"/>
          <w:sz w:val="20"/>
          <w:szCs w:val="20"/>
          <w:lang w:val="es-ES"/>
        </w:rPr>
        <w:t xml:space="preserve">tomaron en cuenta </w:t>
      </w:r>
      <w:r w:rsidR="000B4E15">
        <w:rPr>
          <w:rFonts w:ascii="Cambria" w:hAnsi="Cambria"/>
          <w:sz w:val="20"/>
          <w:szCs w:val="20"/>
          <w:lang w:val="es-ES"/>
        </w:rPr>
        <w:t xml:space="preserve">el relato de testigos y </w:t>
      </w:r>
      <w:r w:rsidR="002652BA">
        <w:rPr>
          <w:rFonts w:ascii="Cambria" w:hAnsi="Cambria"/>
          <w:sz w:val="20"/>
          <w:szCs w:val="20"/>
          <w:lang w:val="es-ES"/>
        </w:rPr>
        <w:t xml:space="preserve">el hecho de que la muerte estaba </w:t>
      </w:r>
      <w:r w:rsidR="000B4E15">
        <w:rPr>
          <w:rFonts w:ascii="Cambria" w:hAnsi="Cambria"/>
          <w:sz w:val="20"/>
          <w:szCs w:val="20"/>
          <w:lang w:val="es-ES"/>
        </w:rPr>
        <w:t xml:space="preserve">acreditada, </w:t>
      </w:r>
      <w:r w:rsidR="002652BA">
        <w:rPr>
          <w:rFonts w:ascii="Cambria" w:hAnsi="Cambria"/>
          <w:sz w:val="20"/>
          <w:szCs w:val="20"/>
          <w:lang w:val="es-ES"/>
        </w:rPr>
        <w:t>p</w:t>
      </w:r>
      <w:r>
        <w:rPr>
          <w:rFonts w:ascii="Cambria" w:hAnsi="Cambria"/>
          <w:sz w:val="20"/>
          <w:szCs w:val="20"/>
          <w:lang w:val="es-ES"/>
        </w:rPr>
        <w:t xml:space="preserve">ara concluir </w:t>
      </w:r>
      <w:r w:rsidR="005500BC">
        <w:rPr>
          <w:rFonts w:ascii="Cambria" w:hAnsi="Cambria"/>
          <w:sz w:val="20"/>
          <w:szCs w:val="20"/>
          <w:lang w:val="es-ES"/>
        </w:rPr>
        <w:t xml:space="preserve">que la presunta víctima </w:t>
      </w:r>
      <w:r w:rsidR="002652BA">
        <w:rPr>
          <w:rFonts w:ascii="Cambria" w:hAnsi="Cambria"/>
          <w:sz w:val="20"/>
          <w:szCs w:val="20"/>
          <w:lang w:val="es-ES"/>
        </w:rPr>
        <w:t xml:space="preserve">había </w:t>
      </w:r>
      <w:r w:rsidR="005500BC">
        <w:rPr>
          <w:rFonts w:ascii="Cambria" w:hAnsi="Cambria"/>
          <w:sz w:val="20"/>
          <w:szCs w:val="20"/>
          <w:lang w:val="es-ES"/>
        </w:rPr>
        <w:t>falleci</w:t>
      </w:r>
      <w:r w:rsidR="002652BA">
        <w:rPr>
          <w:rFonts w:ascii="Cambria" w:hAnsi="Cambria"/>
          <w:sz w:val="20"/>
          <w:szCs w:val="20"/>
          <w:lang w:val="es-ES"/>
        </w:rPr>
        <w:t>do</w:t>
      </w:r>
      <w:r w:rsidR="005500BC">
        <w:rPr>
          <w:rFonts w:ascii="Cambria" w:hAnsi="Cambria"/>
          <w:sz w:val="20"/>
          <w:szCs w:val="20"/>
          <w:lang w:val="es-ES"/>
        </w:rPr>
        <w:t xml:space="preserve"> como consecuencia de un uso indiscriminado de la fuerza por parte del Estado.</w:t>
      </w:r>
    </w:p>
    <w:p w14:paraId="1DFFE200" w14:textId="77777777" w:rsidR="006603F7" w:rsidRDefault="006603F7" w:rsidP="006603F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2732BC2C" w14:textId="6BE49B61" w:rsidR="00743F89" w:rsidRDefault="00762920" w:rsidP="006603F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 xml:space="preserve">Los familiares de la presunta víctima </w:t>
      </w:r>
      <w:r w:rsidR="00505D35">
        <w:rPr>
          <w:rFonts w:ascii="Cambria" w:hAnsi="Cambria"/>
          <w:sz w:val="20"/>
          <w:szCs w:val="20"/>
          <w:lang w:val="es-ES"/>
        </w:rPr>
        <w:t xml:space="preserve">Cerda </w:t>
      </w:r>
      <w:r w:rsidR="00FD0DAB">
        <w:rPr>
          <w:rFonts w:ascii="Cambria" w:hAnsi="Cambria"/>
          <w:sz w:val="20"/>
          <w:szCs w:val="20"/>
          <w:lang w:val="es-ES"/>
        </w:rPr>
        <w:t xml:space="preserve">Ángel </w:t>
      </w:r>
      <w:r>
        <w:rPr>
          <w:rFonts w:ascii="Cambria" w:hAnsi="Cambria"/>
          <w:sz w:val="20"/>
          <w:szCs w:val="20"/>
          <w:lang w:val="es-ES"/>
        </w:rPr>
        <w:t>p</w:t>
      </w:r>
      <w:r w:rsidR="00DE08D9">
        <w:rPr>
          <w:rFonts w:ascii="Cambria" w:hAnsi="Cambria"/>
          <w:sz w:val="20"/>
          <w:szCs w:val="20"/>
          <w:lang w:val="es-ES"/>
        </w:rPr>
        <w:t xml:space="preserve">resentaron una demanda </w:t>
      </w:r>
      <w:r>
        <w:rPr>
          <w:rFonts w:ascii="Cambria" w:hAnsi="Cambria"/>
          <w:sz w:val="20"/>
          <w:szCs w:val="20"/>
          <w:lang w:val="es-ES"/>
        </w:rPr>
        <w:t>ante el 13</w:t>
      </w:r>
      <w:r>
        <w:rPr>
          <w:rFonts w:ascii="Cambria" w:hAnsi="Cambria"/>
          <w:sz w:val="20"/>
          <w:szCs w:val="20"/>
          <w:vertAlign w:val="superscript"/>
          <w:lang w:val="es-ES"/>
        </w:rPr>
        <w:t>o</w:t>
      </w:r>
      <w:r>
        <w:rPr>
          <w:rFonts w:ascii="Cambria" w:hAnsi="Cambria"/>
          <w:sz w:val="20"/>
          <w:szCs w:val="20"/>
          <w:lang w:val="es-ES"/>
        </w:rPr>
        <w:t xml:space="preserve"> Juzgado Civil de Santiago, </w:t>
      </w:r>
      <w:r w:rsidR="005342CE">
        <w:rPr>
          <w:rFonts w:ascii="Cambria" w:hAnsi="Cambria"/>
          <w:sz w:val="20"/>
          <w:szCs w:val="20"/>
          <w:lang w:val="es-ES"/>
        </w:rPr>
        <w:t xml:space="preserve">que </w:t>
      </w:r>
      <w:r w:rsidR="00670D0E">
        <w:rPr>
          <w:rFonts w:ascii="Cambria" w:hAnsi="Cambria"/>
          <w:sz w:val="20"/>
          <w:szCs w:val="20"/>
          <w:lang w:val="es-ES"/>
        </w:rPr>
        <w:t xml:space="preserve">aplicó la prescripción civil y </w:t>
      </w:r>
      <w:r>
        <w:rPr>
          <w:rFonts w:ascii="Cambria" w:hAnsi="Cambria"/>
          <w:sz w:val="20"/>
          <w:szCs w:val="20"/>
          <w:lang w:val="es-ES"/>
        </w:rPr>
        <w:t>rechaz</w:t>
      </w:r>
      <w:r w:rsidR="00670D0E">
        <w:rPr>
          <w:rFonts w:ascii="Cambria" w:hAnsi="Cambria"/>
          <w:sz w:val="20"/>
          <w:szCs w:val="20"/>
          <w:lang w:val="es-ES"/>
        </w:rPr>
        <w:t>ó</w:t>
      </w:r>
      <w:r>
        <w:rPr>
          <w:rFonts w:ascii="Cambria" w:hAnsi="Cambria"/>
          <w:sz w:val="20"/>
          <w:szCs w:val="20"/>
          <w:lang w:val="es-ES"/>
        </w:rPr>
        <w:t xml:space="preserve"> </w:t>
      </w:r>
      <w:r w:rsidR="00670D0E">
        <w:rPr>
          <w:rFonts w:ascii="Cambria" w:hAnsi="Cambria"/>
          <w:sz w:val="20"/>
          <w:szCs w:val="20"/>
          <w:lang w:val="es-ES"/>
        </w:rPr>
        <w:t>el recurso en su</w:t>
      </w:r>
      <w:r w:rsidR="0069228C">
        <w:rPr>
          <w:rFonts w:ascii="Cambria" w:hAnsi="Cambria"/>
          <w:sz w:val="20"/>
          <w:szCs w:val="20"/>
          <w:lang w:val="es-ES"/>
        </w:rPr>
        <w:t xml:space="preserve"> </w:t>
      </w:r>
      <w:r w:rsidR="005342CE">
        <w:rPr>
          <w:rFonts w:ascii="Cambria" w:hAnsi="Cambria"/>
          <w:sz w:val="20"/>
          <w:szCs w:val="20"/>
          <w:lang w:val="es-ES"/>
        </w:rPr>
        <w:t>sentencia de 14 de septiembre de 2001</w:t>
      </w:r>
      <w:r>
        <w:rPr>
          <w:rFonts w:ascii="Cambria" w:hAnsi="Cambria"/>
          <w:sz w:val="20"/>
          <w:szCs w:val="20"/>
          <w:lang w:val="es-ES"/>
        </w:rPr>
        <w:t xml:space="preserve">. Los demandantes </w:t>
      </w:r>
      <w:r w:rsidR="005342CE">
        <w:rPr>
          <w:rFonts w:ascii="Cambria" w:hAnsi="Cambria"/>
          <w:sz w:val="20"/>
          <w:szCs w:val="20"/>
          <w:lang w:val="es-ES"/>
        </w:rPr>
        <w:t xml:space="preserve">recurrieron </w:t>
      </w:r>
      <w:r>
        <w:rPr>
          <w:rFonts w:ascii="Cambria" w:hAnsi="Cambria"/>
          <w:sz w:val="20"/>
          <w:szCs w:val="20"/>
          <w:lang w:val="es-ES"/>
        </w:rPr>
        <w:t xml:space="preserve">ante la Corte de Apelaciones de Santiago, </w:t>
      </w:r>
      <w:r w:rsidR="005342CE">
        <w:rPr>
          <w:rFonts w:ascii="Cambria" w:hAnsi="Cambria"/>
          <w:sz w:val="20"/>
          <w:szCs w:val="20"/>
          <w:lang w:val="es-ES"/>
        </w:rPr>
        <w:t>que</w:t>
      </w:r>
      <w:r>
        <w:rPr>
          <w:rFonts w:ascii="Cambria" w:hAnsi="Cambria"/>
          <w:sz w:val="20"/>
          <w:szCs w:val="20"/>
          <w:lang w:val="es-ES"/>
        </w:rPr>
        <w:t xml:space="preserve"> </w:t>
      </w:r>
      <w:r w:rsidRPr="00FC15CA">
        <w:rPr>
          <w:rFonts w:ascii="Cambria" w:hAnsi="Cambria"/>
          <w:sz w:val="20"/>
          <w:szCs w:val="20"/>
          <w:lang w:val="es-ES"/>
        </w:rPr>
        <w:t>con fecha 23 de marzo de 2007 confirmó la sentencia de primera instancia</w:t>
      </w:r>
      <w:r w:rsidR="008416C6">
        <w:rPr>
          <w:rFonts w:ascii="Cambria" w:hAnsi="Cambria"/>
          <w:sz w:val="20"/>
          <w:szCs w:val="20"/>
          <w:lang w:val="es-ES"/>
        </w:rPr>
        <w:t>; el</w:t>
      </w:r>
      <w:r w:rsidRPr="00FC15CA">
        <w:rPr>
          <w:rFonts w:ascii="Cambria" w:hAnsi="Cambria"/>
          <w:sz w:val="20"/>
          <w:szCs w:val="20"/>
          <w:lang w:val="es-ES"/>
        </w:rPr>
        <w:t xml:space="preserve"> 19 de abril de 2007 el </w:t>
      </w:r>
      <w:r w:rsidR="00670D0E">
        <w:rPr>
          <w:rFonts w:ascii="Cambria" w:hAnsi="Cambria"/>
          <w:sz w:val="20"/>
          <w:szCs w:val="20"/>
          <w:lang w:val="es-ES"/>
        </w:rPr>
        <w:t xml:space="preserve">juzgado </w:t>
      </w:r>
      <w:r w:rsidRPr="00FC15CA">
        <w:rPr>
          <w:rFonts w:ascii="Cambria" w:hAnsi="Cambria"/>
          <w:sz w:val="20"/>
          <w:szCs w:val="20"/>
          <w:lang w:val="es-ES"/>
        </w:rPr>
        <w:t xml:space="preserve">de primera instancia dictó </w:t>
      </w:r>
      <w:r w:rsidR="00670D0E">
        <w:rPr>
          <w:rFonts w:ascii="Cambria" w:hAnsi="Cambria"/>
          <w:sz w:val="20"/>
          <w:szCs w:val="20"/>
          <w:lang w:val="es-ES"/>
        </w:rPr>
        <w:t xml:space="preserve">el </w:t>
      </w:r>
      <w:r w:rsidRPr="00FC15CA">
        <w:rPr>
          <w:rFonts w:ascii="Cambria" w:hAnsi="Cambria"/>
          <w:sz w:val="20"/>
          <w:szCs w:val="20"/>
          <w:lang w:val="es-ES"/>
        </w:rPr>
        <w:t xml:space="preserve">auto de </w:t>
      </w:r>
      <w:r w:rsidR="00670D0E">
        <w:rPr>
          <w:rFonts w:ascii="Cambria" w:hAnsi="Cambria"/>
          <w:sz w:val="20"/>
          <w:szCs w:val="20"/>
          <w:lang w:val="es-ES"/>
        </w:rPr>
        <w:t>“</w:t>
      </w:r>
      <w:r w:rsidRPr="00FC15CA">
        <w:rPr>
          <w:rFonts w:ascii="Cambria" w:hAnsi="Cambria"/>
          <w:sz w:val="20"/>
          <w:szCs w:val="20"/>
          <w:lang w:val="es-ES"/>
        </w:rPr>
        <w:t>cúmplase</w:t>
      </w:r>
      <w:r w:rsidR="00670D0E">
        <w:rPr>
          <w:rFonts w:ascii="Cambria" w:hAnsi="Cambria"/>
          <w:sz w:val="20"/>
          <w:szCs w:val="20"/>
          <w:lang w:val="es-ES"/>
        </w:rPr>
        <w:t>”</w:t>
      </w:r>
      <w:r w:rsidR="00562D98" w:rsidRPr="00FC15CA">
        <w:rPr>
          <w:rFonts w:ascii="Cambria" w:hAnsi="Cambria"/>
          <w:sz w:val="20"/>
          <w:szCs w:val="20"/>
          <w:lang w:val="es-ES"/>
        </w:rPr>
        <w:t xml:space="preserve">, </w:t>
      </w:r>
      <w:r w:rsidR="00670D0E">
        <w:rPr>
          <w:rFonts w:ascii="Cambria" w:hAnsi="Cambria"/>
          <w:sz w:val="20"/>
          <w:szCs w:val="20"/>
          <w:lang w:val="es-ES"/>
        </w:rPr>
        <w:t xml:space="preserve">lo que </w:t>
      </w:r>
      <w:r w:rsidR="00562D98" w:rsidRPr="00FC15CA">
        <w:rPr>
          <w:rFonts w:ascii="Cambria" w:hAnsi="Cambria"/>
          <w:sz w:val="20"/>
          <w:szCs w:val="20"/>
          <w:lang w:val="es-ES"/>
        </w:rPr>
        <w:t>produ</w:t>
      </w:r>
      <w:r w:rsidR="00670D0E">
        <w:rPr>
          <w:rFonts w:ascii="Cambria" w:hAnsi="Cambria"/>
          <w:sz w:val="20"/>
          <w:szCs w:val="20"/>
          <w:lang w:val="es-ES"/>
        </w:rPr>
        <w:t xml:space="preserve">jo </w:t>
      </w:r>
      <w:r w:rsidR="00562D98" w:rsidRPr="00FC15CA">
        <w:rPr>
          <w:rFonts w:ascii="Cambria" w:hAnsi="Cambria"/>
          <w:sz w:val="20"/>
          <w:szCs w:val="20"/>
          <w:lang w:val="es-ES"/>
        </w:rPr>
        <w:t>efecto de cosa juzgada</w:t>
      </w:r>
      <w:r w:rsidRPr="00FC15CA">
        <w:rPr>
          <w:rFonts w:ascii="Cambria" w:hAnsi="Cambria"/>
          <w:sz w:val="20"/>
          <w:szCs w:val="20"/>
          <w:lang w:val="es-ES"/>
        </w:rPr>
        <w:t>.</w:t>
      </w:r>
      <w:r w:rsidR="00536680" w:rsidRPr="00FC15CA">
        <w:rPr>
          <w:rFonts w:ascii="Cambria" w:hAnsi="Cambria"/>
          <w:sz w:val="20"/>
          <w:szCs w:val="20"/>
          <w:lang w:val="es-ES"/>
        </w:rPr>
        <w:t xml:space="preserve"> </w:t>
      </w:r>
      <w:r w:rsidR="00670D0E">
        <w:rPr>
          <w:rFonts w:ascii="Cambria" w:hAnsi="Cambria"/>
          <w:sz w:val="20"/>
          <w:szCs w:val="20"/>
          <w:lang w:val="es-ES"/>
        </w:rPr>
        <w:t>El peticionario a</w:t>
      </w:r>
      <w:r w:rsidR="00FC15CA" w:rsidRPr="00FC15CA">
        <w:rPr>
          <w:rFonts w:ascii="Cambria" w:hAnsi="Cambria"/>
          <w:sz w:val="20"/>
          <w:szCs w:val="20"/>
          <w:lang w:val="es-ES"/>
        </w:rPr>
        <w:t>lega</w:t>
      </w:r>
      <w:r w:rsidR="00562D98" w:rsidRPr="00FC15CA">
        <w:rPr>
          <w:rFonts w:ascii="Cambria" w:hAnsi="Cambria"/>
          <w:sz w:val="20"/>
          <w:szCs w:val="20"/>
          <w:lang w:val="es-ES"/>
        </w:rPr>
        <w:t xml:space="preserve"> que carecía de sentido </w:t>
      </w:r>
      <w:r w:rsidR="00670D0E">
        <w:rPr>
          <w:rFonts w:ascii="Cambria" w:hAnsi="Cambria"/>
          <w:sz w:val="20"/>
          <w:szCs w:val="20"/>
          <w:lang w:val="es-ES"/>
        </w:rPr>
        <w:t>intentar</w:t>
      </w:r>
      <w:r w:rsidR="00562D98" w:rsidRPr="00FC15CA">
        <w:rPr>
          <w:rFonts w:ascii="Cambria" w:hAnsi="Cambria"/>
          <w:sz w:val="20"/>
          <w:szCs w:val="20"/>
          <w:lang w:val="es-ES"/>
        </w:rPr>
        <w:t xml:space="preserve"> un recurso de casación civil </w:t>
      </w:r>
      <w:r w:rsidR="00670D0E">
        <w:rPr>
          <w:rFonts w:ascii="Cambria" w:hAnsi="Cambria"/>
          <w:sz w:val="20"/>
          <w:szCs w:val="20"/>
          <w:lang w:val="es-ES"/>
        </w:rPr>
        <w:t xml:space="preserve">para buscar la revocación de </w:t>
      </w:r>
      <w:r w:rsidR="00562D98" w:rsidRPr="00FC15CA">
        <w:rPr>
          <w:rFonts w:ascii="Cambria" w:hAnsi="Cambria"/>
          <w:sz w:val="20"/>
          <w:szCs w:val="20"/>
          <w:lang w:val="es-ES"/>
        </w:rPr>
        <w:t>los dos fallos que rechaza</w:t>
      </w:r>
      <w:r w:rsidR="00670D0E">
        <w:rPr>
          <w:rFonts w:ascii="Cambria" w:hAnsi="Cambria"/>
          <w:sz w:val="20"/>
          <w:szCs w:val="20"/>
          <w:lang w:val="es-ES"/>
        </w:rPr>
        <w:t>ron</w:t>
      </w:r>
      <w:r w:rsidR="00562D98" w:rsidRPr="00FC15CA">
        <w:rPr>
          <w:rFonts w:ascii="Cambria" w:hAnsi="Cambria"/>
          <w:sz w:val="20"/>
          <w:szCs w:val="20"/>
          <w:lang w:val="es-ES"/>
        </w:rPr>
        <w:t xml:space="preserve"> la acción reparatoria invocada por los demandantes</w:t>
      </w:r>
      <w:r w:rsidR="008416C6">
        <w:rPr>
          <w:rFonts w:ascii="Cambria" w:hAnsi="Cambria"/>
          <w:sz w:val="20"/>
          <w:szCs w:val="20"/>
          <w:lang w:val="es-ES"/>
        </w:rPr>
        <w:t>, pues</w:t>
      </w:r>
      <w:r w:rsidR="00562D98" w:rsidRPr="00FC15CA">
        <w:rPr>
          <w:rFonts w:ascii="Cambria" w:hAnsi="Cambria"/>
          <w:sz w:val="20"/>
          <w:szCs w:val="20"/>
          <w:lang w:val="es-ES"/>
        </w:rPr>
        <w:t xml:space="preserve"> </w:t>
      </w:r>
      <w:r w:rsidR="00670D0E">
        <w:rPr>
          <w:rFonts w:ascii="Cambria" w:hAnsi="Cambria"/>
          <w:sz w:val="20"/>
          <w:szCs w:val="20"/>
          <w:lang w:val="es-ES"/>
        </w:rPr>
        <w:t xml:space="preserve">ello significaría </w:t>
      </w:r>
      <w:r w:rsidR="00670D0E" w:rsidRPr="00FC15CA">
        <w:rPr>
          <w:rFonts w:ascii="Cambria" w:hAnsi="Cambria"/>
          <w:sz w:val="20"/>
          <w:szCs w:val="20"/>
          <w:lang w:val="es-ES"/>
        </w:rPr>
        <w:t xml:space="preserve">por lo menos dos a tres años de espera </w:t>
      </w:r>
      <w:r w:rsidR="008416C6">
        <w:rPr>
          <w:rFonts w:ascii="Cambria" w:hAnsi="Cambria"/>
          <w:sz w:val="20"/>
          <w:szCs w:val="20"/>
          <w:lang w:val="es-ES"/>
        </w:rPr>
        <w:t xml:space="preserve">para lograr </w:t>
      </w:r>
      <w:r w:rsidR="00670D0E">
        <w:rPr>
          <w:rFonts w:ascii="Cambria" w:hAnsi="Cambria"/>
          <w:sz w:val="20"/>
          <w:szCs w:val="20"/>
          <w:lang w:val="es-ES"/>
        </w:rPr>
        <w:t xml:space="preserve">la decisión de la </w:t>
      </w:r>
      <w:r w:rsidR="00562D98" w:rsidRPr="00FC15CA">
        <w:rPr>
          <w:rFonts w:ascii="Cambria" w:hAnsi="Cambria"/>
          <w:sz w:val="20"/>
          <w:szCs w:val="20"/>
          <w:lang w:val="es-ES"/>
        </w:rPr>
        <w:t>Corte Suprema. Agrega que l</w:t>
      </w:r>
      <w:r w:rsidR="00FD0DAB">
        <w:rPr>
          <w:rFonts w:ascii="Cambria" w:hAnsi="Cambria"/>
          <w:sz w:val="20"/>
          <w:szCs w:val="20"/>
          <w:lang w:val="es-ES"/>
        </w:rPr>
        <w:t>a</w:t>
      </w:r>
      <w:r w:rsidR="00562D98" w:rsidRPr="00FC15CA">
        <w:rPr>
          <w:rFonts w:ascii="Cambria" w:hAnsi="Cambria"/>
          <w:sz w:val="20"/>
          <w:szCs w:val="20"/>
          <w:lang w:val="es-ES"/>
        </w:rPr>
        <w:t xml:space="preserve"> familia </w:t>
      </w:r>
      <w:r w:rsidR="00FD0DAB">
        <w:rPr>
          <w:rFonts w:ascii="Cambria" w:hAnsi="Cambria"/>
          <w:sz w:val="20"/>
          <w:szCs w:val="20"/>
          <w:lang w:val="es-ES"/>
        </w:rPr>
        <w:t xml:space="preserve">Cerda Ángel </w:t>
      </w:r>
      <w:r w:rsidR="00562D98" w:rsidRPr="00FC15CA">
        <w:rPr>
          <w:rFonts w:ascii="Cambria" w:hAnsi="Cambria"/>
          <w:sz w:val="20"/>
          <w:szCs w:val="20"/>
          <w:lang w:val="es-ES"/>
        </w:rPr>
        <w:t xml:space="preserve">ya </w:t>
      </w:r>
      <w:r w:rsidR="00FC15CA" w:rsidRPr="00FC15CA">
        <w:rPr>
          <w:rFonts w:ascii="Cambria" w:hAnsi="Cambria"/>
          <w:sz w:val="20"/>
          <w:szCs w:val="20"/>
          <w:lang w:val="es-ES"/>
        </w:rPr>
        <w:t>había</w:t>
      </w:r>
      <w:r w:rsidR="00562D98" w:rsidRPr="00FC15CA">
        <w:rPr>
          <w:rFonts w:ascii="Cambria" w:hAnsi="Cambria"/>
          <w:sz w:val="20"/>
          <w:szCs w:val="20"/>
          <w:lang w:val="es-ES"/>
        </w:rPr>
        <w:t xml:space="preserve"> experimentado un retardo injustificado en la decisión de sus recursos, </w:t>
      </w:r>
      <w:r w:rsidR="008416C6">
        <w:rPr>
          <w:rFonts w:ascii="Cambria" w:hAnsi="Cambria"/>
          <w:sz w:val="20"/>
          <w:szCs w:val="20"/>
          <w:lang w:val="es-ES"/>
        </w:rPr>
        <w:t xml:space="preserve">que </w:t>
      </w:r>
      <w:r w:rsidR="00562D98" w:rsidRPr="00FC15CA">
        <w:rPr>
          <w:rFonts w:ascii="Cambria" w:hAnsi="Cambria"/>
          <w:sz w:val="20"/>
          <w:szCs w:val="20"/>
          <w:lang w:val="es-ES"/>
        </w:rPr>
        <w:t>tard</w:t>
      </w:r>
      <w:r w:rsidR="008416C6">
        <w:rPr>
          <w:rFonts w:ascii="Cambria" w:hAnsi="Cambria"/>
          <w:sz w:val="20"/>
          <w:szCs w:val="20"/>
          <w:lang w:val="es-ES"/>
        </w:rPr>
        <w:t>aron</w:t>
      </w:r>
      <w:r w:rsidR="00562D98" w:rsidRPr="00FC15CA">
        <w:rPr>
          <w:rFonts w:ascii="Cambria" w:hAnsi="Cambria"/>
          <w:sz w:val="20"/>
          <w:szCs w:val="20"/>
          <w:lang w:val="es-ES"/>
        </w:rPr>
        <w:t xml:space="preserve"> 5 años entre la interposición y </w:t>
      </w:r>
      <w:r w:rsidR="008416C6">
        <w:rPr>
          <w:rFonts w:ascii="Cambria" w:hAnsi="Cambria"/>
          <w:sz w:val="20"/>
          <w:szCs w:val="20"/>
          <w:lang w:val="es-ES"/>
        </w:rPr>
        <w:t>la</w:t>
      </w:r>
      <w:r w:rsidR="00562D98" w:rsidRPr="00FC15CA">
        <w:rPr>
          <w:rFonts w:ascii="Cambria" w:hAnsi="Cambria"/>
          <w:sz w:val="20"/>
          <w:szCs w:val="20"/>
          <w:lang w:val="es-ES"/>
        </w:rPr>
        <w:t xml:space="preserve"> resolución. </w:t>
      </w:r>
      <w:r w:rsidR="008416C6">
        <w:rPr>
          <w:rFonts w:ascii="Cambria" w:hAnsi="Cambria"/>
          <w:sz w:val="20"/>
          <w:szCs w:val="20"/>
          <w:lang w:val="es-ES"/>
        </w:rPr>
        <w:t>Finalmente, el peticionario</w:t>
      </w:r>
      <w:r w:rsidR="00FC15CA" w:rsidRPr="00FC15CA">
        <w:rPr>
          <w:rFonts w:ascii="Cambria" w:hAnsi="Cambria"/>
          <w:sz w:val="20"/>
          <w:szCs w:val="20"/>
          <w:lang w:val="es-ES"/>
        </w:rPr>
        <w:t xml:space="preserve"> d</w:t>
      </w:r>
      <w:r w:rsidR="00562D98" w:rsidRPr="00FC15CA">
        <w:rPr>
          <w:rFonts w:ascii="Cambria" w:hAnsi="Cambria"/>
          <w:sz w:val="20"/>
          <w:szCs w:val="20"/>
          <w:lang w:val="es-ES"/>
        </w:rPr>
        <w:t>enuncia</w:t>
      </w:r>
      <w:r w:rsidR="00743F89" w:rsidRPr="00FC15CA">
        <w:rPr>
          <w:rFonts w:ascii="Cambria" w:hAnsi="Cambria"/>
          <w:sz w:val="20"/>
          <w:szCs w:val="20"/>
          <w:lang w:val="es-ES"/>
        </w:rPr>
        <w:t xml:space="preserve"> la negación sistemática de toda reparación judicial a los familiares directos de las víctimas, </w:t>
      </w:r>
      <w:r w:rsidR="008416C6">
        <w:rPr>
          <w:rFonts w:ascii="Cambria" w:hAnsi="Cambria"/>
          <w:sz w:val="20"/>
          <w:szCs w:val="20"/>
          <w:lang w:val="es-ES"/>
        </w:rPr>
        <w:t xml:space="preserve">a pesar de </w:t>
      </w:r>
      <w:r w:rsidR="00743F89" w:rsidRPr="00FC15CA">
        <w:rPr>
          <w:rFonts w:ascii="Cambria" w:hAnsi="Cambria"/>
          <w:sz w:val="20"/>
          <w:szCs w:val="20"/>
          <w:lang w:val="es-ES"/>
        </w:rPr>
        <w:t>la comprobación de los hechos ilícitos que fundan las demandas</w:t>
      </w:r>
      <w:r w:rsidR="008416C6">
        <w:rPr>
          <w:rFonts w:ascii="Cambria" w:hAnsi="Cambria"/>
          <w:sz w:val="20"/>
          <w:szCs w:val="20"/>
          <w:lang w:val="es-ES"/>
        </w:rPr>
        <w:t>;</w:t>
      </w:r>
      <w:r w:rsidR="000A2030" w:rsidRPr="00FC15CA">
        <w:rPr>
          <w:rFonts w:ascii="Cambria" w:hAnsi="Cambria"/>
          <w:sz w:val="20"/>
          <w:szCs w:val="20"/>
          <w:lang w:val="es-ES"/>
        </w:rPr>
        <w:t xml:space="preserve"> </w:t>
      </w:r>
      <w:r w:rsidR="008416C6">
        <w:rPr>
          <w:rFonts w:ascii="Cambria" w:hAnsi="Cambria"/>
          <w:sz w:val="20"/>
          <w:szCs w:val="20"/>
          <w:lang w:val="es-ES"/>
        </w:rPr>
        <w:t xml:space="preserve">afirma que se trató de una </w:t>
      </w:r>
      <w:r w:rsidR="000A2030" w:rsidRPr="00FC15CA">
        <w:rPr>
          <w:rFonts w:ascii="Cambria" w:hAnsi="Cambria"/>
          <w:sz w:val="20"/>
          <w:szCs w:val="20"/>
          <w:lang w:val="es-ES"/>
        </w:rPr>
        <w:t xml:space="preserve">aplicación estricta del derecho civil para resolver conflictos sobre violación de derechos </w:t>
      </w:r>
      <w:r w:rsidR="008416C6" w:rsidRPr="00FC15CA">
        <w:rPr>
          <w:rFonts w:ascii="Cambria" w:hAnsi="Cambria"/>
          <w:sz w:val="20"/>
          <w:szCs w:val="20"/>
          <w:lang w:val="es-ES"/>
        </w:rPr>
        <w:t>humanos</w:t>
      </w:r>
      <w:r w:rsidR="000A2030" w:rsidRPr="00FC15CA">
        <w:rPr>
          <w:rFonts w:ascii="Cambria" w:hAnsi="Cambria"/>
          <w:sz w:val="20"/>
          <w:szCs w:val="20"/>
          <w:lang w:val="es-ES"/>
        </w:rPr>
        <w:t>, sin tomar en cuenta las normas, principios ni jurisprudencia propios del derecho internacional</w:t>
      </w:r>
      <w:r w:rsidR="008416C6">
        <w:rPr>
          <w:rFonts w:ascii="Cambria" w:hAnsi="Cambria"/>
          <w:sz w:val="20"/>
          <w:szCs w:val="20"/>
          <w:lang w:val="es-ES"/>
        </w:rPr>
        <w:t xml:space="preserve"> en la materia</w:t>
      </w:r>
      <w:r w:rsidR="00743F89" w:rsidRPr="00FC15CA">
        <w:rPr>
          <w:rFonts w:ascii="Cambria" w:hAnsi="Cambria"/>
          <w:sz w:val="20"/>
          <w:szCs w:val="20"/>
          <w:lang w:val="es-ES"/>
        </w:rPr>
        <w:t>.</w:t>
      </w:r>
    </w:p>
    <w:p w14:paraId="3C29D0A6" w14:textId="77777777" w:rsidR="006603F7" w:rsidRPr="00932A86" w:rsidRDefault="006603F7" w:rsidP="006603F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6FE46936" w14:textId="2B364640" w:rsidR="007C2B8C" w:rsidRDefault="007C2B8C" w:rsidP="006603F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7C2B8C">
        <w:rPr>
          <w:rFonts w:ascii="Cambria" w:hAnsi="Cambria"/>
          <w:sz w:val="20"/>
          <w:szCs w:val="20"/>
          <w:lang w:val="es-ES"/>
        </w:rPr>
        <w:t>E</w:t>
      </w:r>
      <w:r w:rsidR="00D91CA8">
        <w:rPr>
          <w:rFonts w:ascii="Cambria" w:hAnsi="Cambria"/>
          <w:sz w:val="20"/>
          <w:szCs w:val="20"/>
          <w:lang w:val="es-ES"/>
        </w:rPr>
        <w:t>l</w:t>
      </w:r>
      <w:r w:rsidRPr="007C2B8C">
        <w:rPr>
          <w:rFonts w:ascii="Cambria" w:hAnsi="Cambria"/>
          <w:sz w:val="20"/>
          <w:szCs w:val="20"/>
          <w:lang w:val="es-ES"/>
        </w:rPr>
        <w:t xml:space="preserve"> </w:t>
      </w:r>
      <w:r w:rsidR="00D91CA8" w:rsidRPr="007C2B8C">
        <w:rPr>
          <w:rFonts w:ascii="Cambria" w:hAnsi="Cambria"/>
          <w:sz w:val="20"/>
          <w:szCs w:val="20"/>
          <w:lang w:val="es-ES"/>
        </w:rPr>
        <w:t xml:space="preserve">peticionario alega </w:t>
      </w:r>
      <w:r w:rsidR="00D91CA8">
        <w:rPr>
          <w:rFonts w:ascii="Cambria" w:hAnsi="Cambria"/>
          <w:sz w:val="20"/>
          <w:szCs w:val="20"/>
          <w:lang w:val="es-ES"/>
        </w:rPr>
        <w:t xml:space="preserve">por otra parte que </w:t>
      </w:r>
      <w:r w:rsidRPr="007C2B8C">
        <w:rPr>
          <w:rFonts w:ascii="Cambria" w:hAnsi="Cambria"/>
          <w:sz w:val="20"/>
          <w:szCs w:val="20"/>
          <w:lang w:val="es-ES"/>
        </w:rPr>
        <w:t xml:space="preserve">la presunta víctima </w:t>
      </w:r>
      <w:r w:rsidR="00797F59" w:rsidRPr="007C2B8C">
        <w:rPr>
          <w:rFonts w:ascii="Cambria" w:hAnsi="Cambria"/>
          <w:sz w:val="20"/>
          <w:szCs w:val="20"/>
          <w:lang w:val="es-ES"/>
        </w:rPr>
        <w:t>Gutiérrez</w:t>
      </w:r>
      <w:r w:rsidR="00797F59">
        <w:rPr>
          <w:rFonts w:ascii="Cambria" w:hAnsi="Cambria"/>
          <w:sz w:val="20"/>
          <w:szCs w:val="20"/>
          <w:lang w:val="es-ES"/>
        </w:rPr>
        <w:t xml:space="preserve"> Martinez</w:t>
      </w:r>
      <w:r w:rsidRPr="007C2B8C">
        <w:rPr>
          <w:rFonts w:ascii="Cambria" w:hAnsi="Cambria"/>
          <w:sz w:val="20"/>
          <w:szCs w:val="20"/>
          <w:lang w:val="es-ES"/>
        </w:rPr>
        <w:t xml:space="preserve">, militante del </w:t>
      </w:r>
      <w:r w:rsidR="00D91CA8">
        <w:rPr>
          <w:rFonts w:ascii="Cambria" w:hAnsi="Cambria"/>
          <w:sz w:val="20"/>
          <w:szCs w:val="20"/>
          <w:lang w:val="es-ES"/>
        </w:rPr>
        <w:t>Movimiento de Izquierda Revolucionaria (</w:t>
      </w:r>
      <w:r w:rsidRPr="007C2B8C">
        <w:rPr>
          <w:rFonts w:ascii="Cambria" w:hAnsi="Cambria"/>
          <w:sz w:val="20"/>
          <w:szCs w:val="20"/>
          <w:lang w:val="es-ES"/>
        </w:rPr>
        <w:t>MIR</w:t>
      </w:r>
      <w:r w:rsidR="00D91CA8">
        <w:rPr>
          <w:rFonts w:ascii="Cambria" w:hAnsi="Cambria"/>
          <w:sz w:val="20"/>
          <w:szCs w:val="20"/>
          <w:lang w:val="es-ES"/>
        </w:rPr>
        <w:t>)</w:t>
      </w:r>
      <w:r w:rsidRPr="007C2B8C">
        <w:rPr>
          <w:rFonts w:ascii="Cambria" w:hAnsi="Cambria"/>
          <w:sz w:val="20"/>
          <w:szCs w:val="20"/>
          <w:lang w:val="es-ES"/>
        </w:rPr>
        <w:t xml:space="preserve">, fue detenida </w:t>
      </w:r>
      <w:r w:rsidR="00D91CA8" w:rsidRPr="007C2B8C">
        <w:rPr>
          <w:rFonts w:ascii="Cambria" w:hAnsi="Cambria"/>
          <w:sz w:val="20"/>
          <w:szCs w:val="20"/>
          <w:lang w:val="es-ES"/>
        </w:rPr>
        <w:t>el 24 de enero de 1975</w:t>
      </w:r>
      <w:r w:rsidR="00D91CA8">
        <w:rPr>
          <w:rFonts w:ascii="Cambria" w:hAnsi="Cambria"/>
          <w:sz w:val="20"/>
          <w:szCs w:val="20"/>
          <w:lang w:val="es-ES"/>
        </w:rPr>
        <w:t xml:space="preserve"> </w:t>
      </w:r>
      <w:r w:rsidRPr="007C2B8C">
        <w:rPr>
          <w:rFonts w:ascii="Cambria" w:hAnsi="Cambria"/>
          <w:sz w:val="20"/>
          <w:szCs w:val="20"/>
          <w:lang w:val="es-ES"/>
        </w:rPr>
        <w:t xml:space="preserve">por agentes de la </w:t>
      </w:r>
      <w:r w:rsidR="00D91CA8" w:rsidRPr="00187839">
        <w:rPr>
          <w:rFonts w:ascii="Cambria" w:hAnsi="Cambria"/>
          <w:sz w:val="20"/>
          <w:szCs w:val="20"/>
          <w:lang w:val="es-ES"/>
        </w:rPr>
        <w:t>Dirección de Inteligencia Nacional</w:t>
      </w:r>
      <w:r w:rsidR="00D91CA8" w:rsidRPr="007C2B8C">
        <w:rPr>
          <w:rFonts w:ascii="Cambria" w:hAnsi="Cambria"/>
          <w:sz w:val="20"/>
          <w:szCs w:val="20"/>
          <w:lang w:val="es-ES"/>
        </w:rPr>
        <w:t xml:space="preserve"> </w:t>
      </w:r>
      <w:r w:rsidRPr="007C2B8C">
        <w:rPr>
          <w:rFonts w:ascii="Cambria" w:hAnsi="Cambria"/>
          <w:sz w:val="20"/>
          <w:szCs w:val="20"/>
          <w:lang w:val="es-ES"/>
        </w:rPr>
        <w:t>(</w:t>
      </w:r>
      <w:r w:rsidR="00D91CA8" w:rsidRPr="007C2B8C">
        <w:rPr>
          <w:rFonts w:ascii="Cambria" w:hAnsi="Cambria"/>
          <w:sz w:val="20"/>
          <w:szCs w:val="20"/>
          <w:lang w:val="es-ES"/>
        </w:rPr>
        <w:t>DINA</w:t>
      </w:r>
      <w:r w:rsidRPr="007C2B8C">
        <w:rPr>
          <w:rFonts w:ascii="Cambria" w:hAnsi="Cambria"/>
          <w:sz w:val="20"/>
          <w:szCs w:val="20"/>
          <w:lang w:val="es-ES"/>
        </w:rPr>
        <w:t>) y conducida al Regimiento Maipo</w:t>
      </w:r>
      <w:r w:rsidR="00D91CA8">
        <w:rPr>
          <w:rFonts w:ascii="Cambria" w:hAnsi="Cambria"/>
          <w:sz w:val="20"/>
          <w:szCs w:val="20"/>
          <w:lang w:val="es-ES"/>
        </w:rPr>
        <w:t>;</w:t>
      </w:r>
      <w:r w:rsidRPr="007C2B8C">
        <w:rPr>
          <w:rFonts w:ascii="Cambria" w:hAnsi="Cambria"/>
          <w:sz w:val="20"/>
          <w:szCs w:val="20"/>
          <w:lang w:val="es-ES"/>
        </w:rPr>
        <w:t xml:space="preserve"> y </w:t>
      </w:r>
      <w:r w:rsidR="00D91CA8">
        <w:rPr>
          <w:rFonts w:ascii="Cambria" w:hAnsi="Cambria"/>
          <w:sz w:val="20"/>
          <w:szCs w:val="20"/>
          <w:lang w:val="es-ES"/>
        </w:rPr>
        <w:t xml:space="preserve">que </w:t>
      </w:r>
      <w:r w:rsidRPr="007C2B8C">
        <w:rPr>
          <w:rFonts w:ascii="Cambria" w:hAnsi="Cambria"/>
          <w:sz w:val="20"/>
          <w:szCs w:val="20"/>
          <w:lang w:val="es-ES"/>
        </w:rPr>
        <w:t xml:space="preserve">luego </w:t>
      </w:r>
      <w:r w:rsidR="00D91CA8">
        <w:rPr>
          <w:rFonts w:ascii="Cambria" w:hAnsi="Cambria"/>
          <w:sz w:val="20"/>
          <w:szCs w:val="20"/>
          <w:lang w:val="es-ES"/>
        </w:rPr>
        <w:t xml:space="preserve">fue </w:t>
      </w:r>
      <w:r w:rsidRPr="007C2B8C">
        <w:rPr>
          <w:rFonts w:ascii="Cambria" w:hAnsi="Cambria"/>
          <w:sz w:val="20"/>
          <w:szCs w:val="20"/>
          <w:lang w:val="es-ES"/>
        </w:rPr>
        <w:t xml:space="preserve">trasladada </w:t>
      </w:r>
      <w:r w:rsidR="00D91CA8">
        <w:rPr>
          <w:rFonts w:ascii="Cambria" w:hAnsi="Cambria"/>
          <w:sz w:val="20"/>
          <w:szCs w:val="20"/>
          <w:lang w:val="es-ES"/>
        </w:rPr>
        <w:t>con otros veinte detenidos</w:t>
      </w:r>
      <w:r w:rsidR="00D91CA8" w:rsidRPr="007C2B8C">
        <w:rPr>
          <w:rFonts w:ascii="Cambria" w:hAnsi="Cambria"/>
          <w:sz w:val="20"/>
          <w:szCs w:val="20"/>
          <w:lang w:val="es-ES"/>
        </w:rPr>
        <w:t xml:space="preserve"> </w:t>
      </w:r>
      <w:r w:rsidRPr="007C2B8C">
        <w:rPr>
          <w:rFonts w:ascii="Cambria" w:hAnsi="Cambria"/>
          <w:sz w:val="20"/>
          <w:szCs w:val="20"/>
          <w:lang w:val="es-ES"/>
        </w:rPr>
        <w:t>a Villa Grimaldi</w:t>
      </w:r>
      <w:r w:rsidR="00061041">
        <w:rPr>
          <w:rFonts w:ascii="Cambria" w:hAnsi="Cambria"/>
          <w:sz w:val="20"/>
          <w:szCs w:val="20"/>
          <w:lang w:val="es-ES"/>
        </w:rPr>
        <w:t>,</w:t>
      </w:r>
      <w:r w:rsidR="00D91CA8">
        <w:rPr>
          <w:rFonts w:ascii="Cambria" w:hAnsi="Cambria"/>
          <w:sz w:val="20"/>
          <w:szCs w:val="20"/>
          <w:lang w:val="es-ES"/>
        </w:rPr>
        <w:t xml:space="preserve"> </w:t>
      </w:r>
      <w:r w:rsidR="00D91CA8" w:rsidRPr="00D91CA8">
        <w:rPr>
          <w:rFonts w:ascii="Cambria" w:hAnsi="Cambria"/>
          <w:sz w:val="20"/>
          <w:szCs w:val="20"/>
          <w:lang w:val="es-ES"/>
        </w:rPr>
        <w:t xml:space="preserve"> uno de los </w:t>
      </w:r>
      <w:r w:rsidR="00D91CA8">
        <w:rPr>
          <w:rFonts w:ascii="Cambria" w:hAnsi="Cambria"/>
          <w:sz w:val="20"/>
          <w:szCs w:val="20"/>
          <w:lang w:val="es-ES"/>
        </w:rPr>
        <w:t>principales</w:t>
      </w:r>
      <w:r w:rsidR="00D91CA8" w:rsidRPr="00D91CA8">
        <w:rPr>
          <w:rFonts w:ascii="Cambria" w:hAnsi="Cambria"/>
          <w:sz w:val="20"/>
          <w:szCs w:val="20"/>
          <w:lang w:val="es-ES"/>
        </w:rPr>
        <w:t xml:space="preserve"> centros de detención y tortura durante la </w:t>
      </w:r>
      <w:hyperlink r:id="rId19" w:tooltip="Dictadura militar" w:history="1">
        <w:r w:rsidR="00D91CA8" w:rsidRPr="00D91CA8">
          <w:rPr>
            <w:rFonts w:ascii="Cambria" w:hAnsi="Cambria"/>
            <w:sz w:val="20"/>
            <w:szCs w:val="20"/>
            <w:lang w:val="es-ES"/>
          </w:rPr>
          <w:t>dictadura militar</w:t>
        </w:r>
      </w:hyperlink>
      <w:r w:rsidR="00D91CA8" w:rsidRPr="00D91CA8">
        <w:rPr>
          <w:rFonts w:ascii="Cambria" w:hAnsi="Cambria"/>
          <w:sz w:val="20"/>
          <w:szCs w:val="20"/>
          <w:lang w:val="es-ES"/>
        </w:rPr>
        <w:t> </w:t>
      </w:r>
      <w:r w:rsidR="00D91CA8">
        <w:rPr>
          <w:rFonts w:ascii="Cambria" w:hAnsi="Cambria"/>
          <w:sz w:val="20"/>
          <w:szCs w:val="20"/>
          <w:lang w:val="es-ES"/>
        </w:rPr>
        <w:t>de</w:t>
      </w:r>
      <w:r w:rsidR="00D91CA8" w:rsidRPr="00D91CA8">
        <w:rPr>
          <w:rFonts w:ascii="Cambria" w:hAnsi="Cambria"/>
          <w:sz w:val="20"/>
          <w:szCs w:val="20"/>
          <w:lang w:val="es-ES"/>
        </w:rPr>
        <w:t> </w:t>
      </w:r>
      <w:hyperlink r:id="rId20" w:tooltip="Augusto Pinochet" w:history="1">
        <w:r w:rsidR="00D91CA8" w:rsidRPr="00D91CA8">
          <w:rPr>
            <w:rFonts w:ascii="Cambria" w:hAnsi="Cambria"/>
            <w:sz w:val="20"/>
            <w:szCs w:val="20"/>
            <w:lang w:val="es-ES"/>
          </w:rPr>
          <w:t>Augusto Pinochet</w:t>
        </w:r>
      </w:hyperlink>
      <w:r w:rsidRPr="007C2B8C">
        <w:rPr>
          <w:rFonts w:ascii="Cambria" w:hAnsi="Cambria"/>
          <w:sz w:val="20"/>
          <w:szCs w:val="20"/>
          <w:lang w:val="es-ES"/>
        </w:rPr>
        <w:t xml:space="preserve">. </w:t>
      </w:r>
      <w:r w:rsidR="00D91CA8">
        <w:rPr>
          <w:rFonts w:ascii="Cambria" w:hAnsi="Cambria"/>
          <w:sz w:val="20"/>
          <w:szCs w:val="20"/>
          <w:lang w:val="es-ES"/>
        </w:rPr>
        <w:t>S</w:t>
      </w:r>
      <w:r w:rsidR="00B041B5">
        <w:rPr>
          <w:rFonts w:ascii="Cambria" w:hAnsi="Cambria"/>
          <w:sz w:val="20"/>
          <w:szCs w:val="20"/>
          <w:lang w:val="es-ES"/>
        </w:rPr>
        <w:t xml:space="preserve">egún testimonios de otros detenidos, la presunta víctima </w:t>
      </w:r>
      <w:r w:rsidRPr="007C2B8C">
        <w:rPr>
          <w:rFonts w:ascii="Cambria" w:hAnsi="Cambria"/>
          <w:sz w:val="20"/>
          <w:szCs w:val="20"/>
          <w:lang w:val="es-ES"/>
        </w:rPr>
        <w:t>fue traslada</w:t>
      </w:r>
      <w:r w:rsidR="00D91CA8">
        <w:rPr>
          <w:rFonts w:ascii="Cambria" w:hAnsi="Cambria"/>
          <w:sz w:val="20"/>
          <w:szCs w:val="20"/>
          <w:lang w:val="es-ES"/>
        </w:rPr>
        <w:t>da</w:t>
      </w:r>
      <w:r w:rsidRPr="007C2B8C">
        <w:rPr>
          <w:rFonts w:ascii="Cambria" w:hAnsi="Cambria"/>
          <w:sz w:val="20"/>
          <w:szCs w:val="20"/>
          <w:lang w:val="es-ES"/>
        </w:rPr>
        <w:t xml:space="preserve"> </w:t>
      </w:r>
      <w:r w:rsidR="00D91CA8" w:rsidRPr="007C2B8C">
        <w:rPr>
          <w:rFonts w:ascii="Cambria" w:hAnsi="Cambria"/>
          <w:sz w:val="20"/>
          <w:szCs w:val="20"/>
          <w:lang w:val="es-ES"/>
        </w:rPr>
        <w:t>el 8 de febrero de 1975</w:t>
      </w:r>
      <w:r w:rsidR="00D91CA8">
        <w:rPr>
          <w:rFonts w:ascii="Cambria" w:hAnsi="Cambria"/>
          <w:sz w:val="20"/>
          <w:szCs w:val="20"/>
          <w:lang w:val="es-ES"/>
        </w:rPr>
        <w:t xml:space="preserve"> </w:t>
      </w:r>
      <w:r w:rsidRPr="007C2B8C">
        <w:rPr>
          <w:rFonts w:ascii="Cambria" w:hAnsi="Cambria"/>
          <w:sz w:val="20"/>
          <w:szCs w:val="20"/>
          <w:lang w:val="es-ES"/>
        </w:rPr>
        <w:t>junto a otr</w:t>
      </w:r>
      <w:r w:rsidR="00D91CA8">
        <w:rPr>
          <w:rFonts w:ascii="Cambria" w:hAnsi="Cambria"/>
          <w:sz w:val="20"/>
          <w:szCs w:val="20"/>
          <w:lang w:val="es-ES"/>
        </w:rPr>
        <w:t xml:space="preserve">as personas a otro </w:t>
      </w:r>
      <w:r w:rsidRPr="007C2B8C">
        <w:rPr>
          <w:rFonts w:ascii="Cambria" w:hAnsi="Cambria"/>
          <w:sz w:val="20"/>
          <w:szCs w:val="20"/>
          <w:lang w:val="es-ES"/>
        </w:rPr>
        <w:t xml:space="preserve">centro </w:t>
      </w:r>
      <w:r w:rsidR="00D91CA8">
        <w:rPr>
          <w:rFonts w:ascii="Cambria" w:hAnsi="Cambria"/>
          <w:sz w:val="20"/>
          <w:szCs w:val="20"/>
          <w:lang w:val="es-ES"/>
        </w:rPr>
        <w:t xml:space="preserve">de detención </w:t>
      </w:r>
      <w:r w:rsidRPr="007C2B8C">
        <w:rPr>
          <w:rFonts w:ascii="Cambria" w:hAnsi="Cambria"/>
          <w:sz w:val="20"/>
          <w:szCs w:val="20"/>
          <w:lang w:val="es-ES"/>
        </w:rPr>
        <w:t>llamado Cuatro Álamos</w:t>
      </w:r>
      <w:r w:rsidR="00D91CA8">
        <w:rPr>
          <w:rFonts w:ascii="Cambria" w:hAnsi="Cambria"/>
          <w:sz w:val="20"/>
          <w:szCs w:val="20"/>
          <w:lang w:val="es-ES"/>
        </w:rPr>
        <w:t>;</w:t>
      </w:r>
      <w:r w:rsidRPr="007C2B8C">
        <w:rPr>
          <w:rFonts w:ascii="Cambria" w:hAnsi="Cambria"/>
          <w:sz w:val="20"/>
          <w:szCs w:val="20"/>
          <w:lang w:val="es-ES"/>
        </w:rPr>
        <w:t xml:space="preserve"> y el 20 de febrero de 1975 </w:t>
      </w:r>
      <w:r w:rsidR="00D91CA8">
        <w:rPr>
          <w:rFonts w:ascii="Cambria" w:hAnsi="Cambria"/>
          <w:sz w:val="20"/>
          <w:szCs w:val="20"/>
          <w:lang w:val="es-ES"/>
        </w:rPr>
        <w:t xml:space="preserve">fue nuevamente </w:t>
      </w:r>
      <w:r w:rsidRPr="007C2B8C">
        <w:rPr>
          <w:rFonts w:ascii="Cambria" w:hAnsi="Cambria"/>
          <w:sz w:val="20"/>
          <w:szCs w:val="20"/>
          <w:lang w:val="es-ES"/>
        </w:rPr>
        <w:t xml:space="preserve">trasladada </w:t>
      </w:r>
      <w:r w:rsidR="00D91CA8">
        <w:rPr>
          <w:rFonts w:ascii="Cambria" w:hAnsi="Cambria"/>
          <w:sz w:val="20"/>
          <w:szCs w:val="20"/>
          <w:lang w:val="es-ES"/>
        </w:rPr>
        <w:t xml:space="preserve">con otras 7 personas detenidas, pero esta vez </w:t>
      </w:r>
      <w:r w:rsidRPr="007C2B8C">
        <w:rPr>
          <w:rFonts w:ascii="Cambria" w:hAnsi="Cambria"/>
          <w:sz w:val="20"/>
          <w:szCs w:val="20"/>
          <w:lang w:val="es-ES"/>
        </w:rPr>
        <w:t>con destino desconocido</w:t>
      </w:r>
      <w:r w:rsidR="00F917B5">
        <w:rPr>
          <w:rFonts w:ascii="Cambria" w:hAnsi="Cambria"/>
          <w:sz w:val="20"/>
          <w:szCs w:val="20"/>
          <w:lang w:val="es-ES"/>
        </w:rPr>
        <w:t xml:space="preserve">. Según el Informe </w:t>
      </w:r>
      <w:r w:rsidR="0052006D">
        <w:rPr>
          <w:rFonts w:ascii="Cambria" w:hAnsi="Cambria"/>
          <w:sz w:val="20"/>
          <w:szCs w:val="20"/>
          <w:lang w:val="es-ES"/>
        </w:rPr>
        <w:t>Rettig</w:t>
      </w:r>
      <w:r w:rsidRPr="007C2B8C">
        <w:rPr>
          <w:rFonts w:ascii="Cambria" w:hAnsi="Cambria"/>
          <w:sz w:val="20"/>
          <w:szCs w:val="20"/>
          <w:lang w:val="es-ES"/>
        </w:rPr>
        <w:t xml:space="preserve">, </w:t>
      </w:r>
      <w:r w:rsidR="00D91CA8">
        <w:rPr>
          <w:rFonts w:ascii="Cambria" w:hAnsi="Cambria"/>
          <w:sz w:val="20"/>
          <w:szCs w:val="20"/>
          <w:lang w:val="es-ES"/>
        </w:rPr>
        <w:t>la</w:t>
      </w:r>
      <w:r w:rsidRPr="007C2B8C">
        <w:rPr>
          <w:rFonts w:ascii="Cambria" w:hAnsi="Cambria"/>
          <w:sz w:val="20"/>
          <w:szCs w:val="20"/>
          <w:lang w:val="es-ES"/>
        </w:rPr>
        <w:t xml:space="preserve"> desaparición </w:t>
      </w:r>
      <w:r w:rsidR="00D91CA8">
        <w:rPr>
          <w:rFonts w:ascii="Cambria" w:hAnsi="Cambria"/>
          <w:sz w:val="20"/>
          <w:szCs w:val="20"/>
          <w:lang w:val="es-ES"/>
        </w:rPr>
        <w:t xml:space="preserve">de la presunta víctima </w:t>
      </w:r>
      <w:r w:rsidRPr="007C2B8C">
        <w:rPr>
          <w:rFonts w:ascii="Cambria" w:hAnsi="Cambria"/>
          <w:sz w:val="20"/>
          <w:szCs w:val="20"/>
          <w:lang w:val="es-ES"/>
        </w:rPr>
        <w:t xml:space="preserve">fue </w:t>
      </w:r>
      <w:r w:rsidR="00D91CA8">
        <w:rPr>
          <w:rFonts w:ascii="Cambria" w:hAnsi="Cambria"/>
          <w:sz w:val="20"/>
          <w:szCs w:val="20"/>
          <w:lang w:val="es-ES"/>
        </w:rPr>
        <w:t xml:space="preserve">perpetrada por </w:t>
      </w:r>
      <w:r w:rsidRPr="007C2B8C">
        <w:rPr>
          <w:rFonts w:ascii="Cambria" w:hAnsi="Cambria"/>
          <w:sz w:val="20"/>
          <w:szCs w:val="20"/>
          <w:lang w:val="es-ES"/>
        </w:rPr>
        <w:t>agentes del Estado</w:t>
      </w:r>
      <w:r>
        <w:rPr>
          <w:rFonts w:ascii="Cambria" w:hAnsi="Cambria"/>
          <w:sz w:val="20"/>
          <w:szCs w:val="20"/>
          <w:lang w:val="es-ES"/>
        </w:rPr>
        <w:t>.</w:t>
      </w:r>
      <w:r w:rsidR="00061041">
        <w:rPr>
          <w:rFonts w:ascii="Cambria" w:hAnsi="Cambria"/>
          <w:sz w:val="20"/>
          <w:szCs w:val="20"/>
          <w:lang w:val="es-ES"/>
        </w:rPr>
        <w:t xml:space="preserve"> El peticionario indica que </w:t>
      </w:r>
      <w:r w:rsidR="00D91CA8">
        <w:rPr>
          <w:rFonts w:ascii="Cambria" w:hAnsi="Cambria"/>
          <w:sz w:val="20"/>
          <w:szCs w:val="20"/>
          <w:lang w:val="es-ES"/>
        </w:rPr>
        <w:t xml:space="preserve">fue </w:t>
      </w:r>
      <w:r w:rsidR="00061041">
        <w:rPr>
          <w:rFonts w:ascii="Cambria" w:hAnsi="Cambria"/>
          <w:sz w:val="20"/>
          <w:szCs w:val="20"/>
          <w:lang w:val="es-ES"/>
        </w:rPr>
        <w:t xml:space="preserve">en el trámite de </w:t>
      </w:r>
      <w:r w:rsidR="00D91CA8">
        <w:rPr>
          <w:rFonts w:ascii="Cambria" w:hAnsi="Cambria"/>
          <w:sz w:val="20"/>
          <w:szCs w:val="20"/>
          <w:lang w:val="es-ES"/>
        </w:rPr>
        <w:t xml:space="preserve">los </w:t>
      </w:r>
      <w:r w:rsidR="00061041">
        <w:rPr>
          <w:rFonts w:ascii="Cambria" w:hAnsi="Cambria"/>
          <w:sz w:val="20"/>
          <w:szCs w:val="20"/>
          <w:lang w:val="es-ES"/>
        </w:rPr>
        <w:t xml:space="preserve">recursos de amparo presentados </w:t>
      </w:r>
      <w:r w:rsidR="00D91CA8">
        <w:rPr>
          <w:rFonts w:ascii="Cambria" w:hAnsi="Cambria"/>
          <w:sz w:val="20"/>
          <w:szCs w:val="20"/>
          <w:lang w:val="es-ES"/>
        </w:rPr>
        <w:t xml:space="preserve">a favor de las </w:t>
      </w:r>
      <w:r w:rsidR="00B041B5">
        <w:rPr>
          <w:rFonts w:ascii="Cambria" w:hAnsi="Cambria"/>
          <w:sz w:val="20"/>
          <w:szCs w:val="20"/>
          <w:lang w:val="es-ES"/>
        </w:rPr>
        <w:t xml:space="preserve">8 </w:t>
      </w:r>
      <w:r w:rsidR="00D91CA8">
        <w:rPr>
          <w:rFonts w:ascii="Cambria" w:hAnsi="Cambria"/>
          <w:sz w:val="20"/>
          <w:szCs w:val="20"/>
          <w:lang w:val="es-ES"/>
        </w:rPr>
        <w:t xml:space="preserve">personas </w:t>
      </w:r>
      <w:r w:rsidR="00B041B5">
        <w:rPr>
          <w:rFonts w:ascii="Cambria" w:hAnsi="Cambria"/>
          <w:sz w:val="20"/>
          <w:szCs w:val="20"/>
          <w:lang w:val="es-ES"/>
        </w:rPr>
        <w:t>desaparecid</w:t>
      </w:r>
      <w:r w:rsidR="00D91CA8">
        <w:rPr>
          <w:rFonts w:ascii="Cambria" w:hAnsi="Cambria"/>
          <w:sz w:val="20"/>
          <w:szCs w:val="20"/>
          <w:lang w:val="es-ES"/>
        </w:rPr>
        <w:t>a</w:t>
      </w:r>
      <w:r w:rsidR="00B041B5">
        <w:rPr>
          <w:rFonts w:ascii="Cambria" w:hAnsi="Cambria"/>
          <w:sz w:val="20"/>
          <w:szCs w:val="20"/>
          <w:lang w:val="es-ES"/>
        </w:rPr>
        <w:t>s</w:t>
      </w:r>
      <w:r w:rsidR="00D91CA8">
        <w:rPr>
          <w:rFonts w:ascii="Cambria" w:hAnsi="Cambria"/>
          <w:sz w:val="20"/>
          <w:szCs w:val="20"/>
          <w:lang w:val="es-ES"/>
        </w:rPr>
        <w:t xml:space="preserve"> que</w:t>
      </w:r>
      <w:r w:rsidR="00B041B5">
        <w:rPr>
          <w:rFonts w:ascii="Cambria" w:hAnsi="Cambria"/>
          <w:sz w:val="20"/>
          <w:szCs w:val="20"/>
          <w:lang w:val="es-ES"/>
        </w:rPr>
        <w:t xml:space="preserve"> la DINA reconoció por primera vez la detención de la presunta víctima, </w:t>
      </w:r>
      <w:r w:rsidR="00D91CA8">
        <w:rPr>
          <w:rFonts w:ascii="Cambria" w:hAnsi="Cambria"/>
          <w:sz w:val="20"/>
          <w:szCs w:val="20"/>
          <w:lang w:val="es-ES"/>
        </w:rPr>
        <w:t xml:space="preserve">pero </w:t>
      </w:r>
      <w:r w:rsidR="00B041B5">
        <w:rPr>
          <w:rFonts w:ascii="Cambria" w:hAnsi="Cambria"/>
          <w:sz w:val="20"/>
          <w:szCs w:val="20"/>
          <w:lang w:val="es-ES"/>
        </w:rPr>
        <w:t>afirm</w:t>
      </w:r>
      <w:r w:rsidR="00D91CA8">
        <w:rPr>
          <w:rFonts w:ascii="Cambria" w:hAnsi="Cambria"/>
          <w:sz w:val="20"/>
          <w:szCs w:val="20"/>
          <w:lang w:val="es-ES"/>
        </w:rPr>
        <w:t>ó</w:t>
      </w:r>
      <w:r w:rsidR="00B041B5">
        <w:rPr>
          <w:rFonts w:ascii="Cambria" w:hAnsi="Cambria"/>
          <w:sz w:val="20"/>
          <w:szCs w:val="20"/>
          <w:lang w:val="es-ES"/>
        </w:rPr>
        <w:t xml:space="preserve"> que había quedado </w:t>
      </w:r>
      <w:r w:rsidR="00D91CA8">
        <w:rPr>
          <w:rFonts w:ascii="Cambria" w:hAnsi="Cambria"/>
          <w:sz w:val="20"/>
          <w:szCs w:val="20"/>
          <w:lang w:val="es-ES"/>
        </w:rPr>
        <w:t xml:space="preserve">luego </w:t>
      </w:r>
      <w:r w:rsidR="00B041B5">
        <w:rPr>
          <w:rFonts w:ascii="Cambria" w:hAnsi="Cambria"/>
          <w:sz w:val="20"/>
          <w:szCs w:val="20"/>
          <w:lang w:val="es-ES"/>
        </w:rPr>
        <w:t xml:space="preserve">en libertad. </w:t>
      </w:r>
    </w:p>
    <w:p w14:paraId="5C31C5D6" w14:textId="77777777" w:rsidR="006603F7" w:rsidRPr="007C2B8C" w:rsidRDefault="006603F7" w:rsidP="006603F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43F022AA" w14:textId="2CBDE166" w:rsidR="00E92C96" w:rsidRDefault="00F57DA0" w:rsidP="006603F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5F18A3">
        <w:rPr>
          <w:rFonts w:ascii="Cambria" w:hAnsi="Cambria"/>
          <w:sz w:val="20"/>
          <w:szCs w:val="20"/>
          <w:lang w:val="es-ES"/>
        </w:rPr>
        <w:t xml:space="preserve">El peticionario informa que </w:t>
      </w:r>
      <w:r w:rsidR="006603F7" w:rsidRPr="005F18A3">
        <w:rPr>
          <w:rFonts w:ascii="Cambria" w:hAnsi="Cambria"/>
          <w:sz w:val="20"/>
          <w:szCs w:val="20"/>
          <w:lang w:val="es-ES"/>
        </w:rPr>
        <w:t>l</w:t>
      </w:r>
      <w:r w:rsidR="006603F7">
        <w:rPr>
          <w:rFonts w:ascii="Cambria" w:hAnsi="Cambria"/>
          <w:sz w:val="20"/>
          <w:szCs w:val="20"/>
          <w:lang w:val="es-ES"/>
        </w:rPr>
        <w:t>o</w:t>
      </w:r>
      <w:r w:rsidR="006603F7" w:rsidRPr="005F18A3">
        <w:rPr>
          <w:rFonts w:ascii="Cambria" w:hAnsi="Cambria"/>
          <w:sz w:val="20"/>
          <w:szCs w:val="20"/>
          <w:lang w:val="es-ES"/>
        </w:rPr>
        <w:t>s</w:t>
      </w:r>
      <w:r w:rsidRPr="005F18A3">
        <w:rPr>
          <w:rFonts w:ascii="Cambria" w:hAnsi="Cambria"/>
          <w:sz w:val="20"/>
          <w:szCs w:val="20"/>
          <w:lang w:val="es-ES"/>
        </w:rPr>
        <w:t xml:space="preserve"> familiares de la presunta víctima </w:t>
      </w:r>
      <w:r w:rsidR="002D1E1E" w:rsidRPr="007C2B8C">
        <w:rPr>
          <w:rFonts w:ascii="Cambria" w:hAnsi="Cambria"/>
          <w:sz w:val="20"/>
          <w:szCs w:val="20"/>
          <w:lang w:val="es-ES"/>
        </w:rPr>
        <w:t>Gutiérrez</w:t>
      </w:r>
      <w:r w:rsidR="002D1E1E">
        <w:rPr>
          <w:rFonts w:ascii="Cambria" w:hAnsi="Cambria"/>
          <w:sz w:val="20"/>
          <w:szCs w:val="20"/>
          <w:lang w:val="es-ES"/>
        </w:rPr>
        <w:t xml:space="preserve"> Martinez</w:t>
      </w:r>
      <w:r w:rsidR="002D1E1E" w:rsidRPr="005F18A3">
        <w:rPr>
          <w:rFonts w:ascii="Cambria" w:hAnsi="Cambria"/>
          <w:sz w:val="20"/>
          <w:szCs w:val="20"/>
          <w:lang w:val="es-ES"/>
        </w:rPr>
        <w:t xml:space="preserve"> </w:t>
      </w:r>
      <w:r w:rsidRPr="005F18A3">
        <w:rPr>
          <w:rFonts w:ascii="Cambria" w:hAnsi="Cambria"/>
          <w:sz w:val="20"/>
          <w:szCs w:val="20"/>
          <w:lang w:val="es-ES"/>
        </w:rPr>
        <w:t xml:space="preserve">interpusieron </w:t>
      </w:r>
      <w:r w:rsidR="00A816F3" w:rsidRPr="005F18A3">
        <w:rPr>
          <w:rFonts w:ascii="Cambria" w:hAnsi="Cambria"/>
          <w:sz w:val="20"/>
          <w:szCs w:val="20"/>
          <w:lang w:val="es-ES"/>
        </w:rPr>
        <w:t xml:space="preserve">sin éxito </w:t>
      </w:r>
      <w:r w:rsidRPr="005F18A3">
        <w:rPr>
          <w:rFonts w:ascii="Cambria" w:hAnsi="Cambria"/>
          <w:sz w:val="20"/>
          <w:szCs w:val="20"/>
          <w:lang w:val="es-ES"/>
        </w:rPr>
        <w:t>diversos recursos de amparo.</w:t>
      </w:r>
      <w:r w:rsidR="00061041" w:rsidRPr="005F18A3">
        <w:rPr>
          <w:rFonts w:ascii="Cambria" w:hAnsi="Cambria"/>
          <w:sz w:val="20"/>
          <w:szCs w:val="20"/>
          <w:lang w:val="es-ES"/>
        </w:rPr>
        <w:t xml:space="preserve"> En agosto de 1975 interpusieron una querella por presunta desgracia ante el 4° Juzgado del Crimen de Valparaíso. </w:t>
      </w:r>
      <w:r w:rsidR="00B041B5" w:rsidRPr="005F18A3">
        <w:rPr>
          <w:rFonts w:ascii="Cambria" w:hAnsi="Cambria"/>
          <w:sz w:val="20"/>
          <w:szCs w:val="20"/>
          <w:lang w:val="es-ES"/>
        </w:rPr>
        <w:t>La causa fue traslada al Ministro en visita para que continúe la investigación; e</w:t>
      </w:r>
      <w:r w:rsidR="00061041" w:rsidRPr="005F18A3">
        <w:rPr>
          <w:rFonts w:ascii="Cambria" w:hAnsi="Cambria"/>
          <w:sz w:val="20"/>
          <w:szCs w:val="20"/>
          <w:lang w:val="es-ES"/>
        </w:rPr>
        <w:t xml:space="preserve">n enero de 1977 </w:t>
      </w:r>
      <w:r w:rsidR="00A816F3">
        <w:rPr>
          <w:rFonts w:ascii="Cambria" w:hAnsi="Cambria"/>
          <w:sz w:val="20"/>
          <w:szCs w:val="20"/>
          <w:lang w:val="es-ES"/>
        </w:rPr>
        <w:t xml:space="preserve">éste </w:t>
      </w:r>
      <w:r w:rsidR="00061041" w:rsidRPr="005F18A3">
        <w:rPr>
          <w:rFonts w:ascii="Cambria" w:hAnsi="Cambria"/>
          <w:sz w:val="20"/>
          <w:szCs w:val="20"/>
          <w:lang w:val="es-ES"/>
        </w:rPr>
        <w:t>se declaró incompetente,</w:t>
      </w:r>
      <w:r w:rsidR="00A816F3">
        <w:rPr>
          <w:rFonts w:ascii="Cambria" w:hAnsi="Cambria"/>
          <w:sz w:val="20"/>
          <w:szCs w:val="20"/>
          <w:lang w:val="es-ES"/>
        </w:rPr>
        <w:t xml:space="preserve"> por lo que</w:t>
      </w:r>
      <w:r w:rsidR="00061041" w:rsidRPr="005F18A3">
        <w:rPr>
          <w:rFonts w:ascii="Cambria" w:hAnsi="Cambria"/>
          <w:sz w:val="20"/>
          <w:szCs w:val="20"/>
          <w:lang w:val="es-ES"/>
        </w:rPr>
        <w:t xml:space="preserve"> la causa pasó a la </w:t>
      </w:r>
      <w:r w:rsidR="00061041" w:rsidRPr="005F18A3">
        <w:rPr>
          <w:rFonts w:ascii="Cambria" w:hAnsi="Cambria"/>
          <w:sz w:val="20"/>
          <w:szCs w:val="20"/>
          <w:lang w:val="es-ES"/>
        </w:rPr>
        <w:lastRenderedPageBreak/>
        <w:t xml:space="preserve">Justicia Militar. Sin embargo, el 11 de </w:t>
      </w:r>
      <w:r w:rsidR="00061041" w:rsidRPr="007B2CB4">
        <w:rPr>
          <w:rFonts w:ascii="Cambria" w:hAnsi="Cambria"/>
          <w:sz w:val="20"/>
          <w:szCs w:val="20"/>
          <w:lang w:val="es-ES"/>
        </w:rPr>
        <w:t xml:space="preserve">agosto de 1983 se cerró el sumario y en noviembre </w:t>
      </w:r>
      <w:r w:rsidR="00A816F3">
        <w:rPr>
          <w:rFonts w:ascii="Cambria" w:hAnsi="Cambria"/>
          <w:sz w:val="20"/>
          <w:szCs w:val="20"/>
          <w:lang w:val="es-ES"/>
        </w:rPr>
        <w:t xml:space="preserve">del mismo año </w:t>
      </w:r>
      <w:r w:rsidR="00061041" w:rsidRPr="007B2CB4">
        <w:rPr>
          <w:rFonts w:ascii="Cambria" w:hAnsi="Cambria"/>
          <w:sz w:val="20"/>
          <w:szCs w:val="20"/>
          <w:lang w:val="es-ES"/>
        </w:rPr>
        <w:t xml:space="preserve">se sobreseyó definitivamente la causa </w:t>
      </w:r>
      <w:r w:rsidR="00A816F3">
        <w:rPr>
          <w:rFonts w:ascii="Cambria" w:hAnsi="Cambria"/>
          <w:sz w:val="20"/>
          <w:szCs w:val="20"/>
          <w:lang w:val="es-ES"/>
        </w:rPr>
        <w:t>por aplicación del Decreto-</w:t>
      </w:r>
      <w:r w:rsidR="00061041" w:rsidRPr="007B2CB4">
        <w:rPr>
          <w:rFonts w:ascii="Cambria" w:hAnsi="Cambria"/>
          <w:sz w:val="20"/>
          <w:szCs w:val="20"/>
          <w:lang w:val="es-ES"/>
        </w:rPr>
        <w:t xml:space="preserve">Ley </w:t>
      </w:r>
      <w:r w:rsidR="00A816F3">
        <w:rPr>
          <w:rFonts w:ascii="Cambria" w:hAnsi="Cambria"/>
          <w:sz w:val="20"/>
          <w:szCs w:val="20"/>
          <w:lang w:val="es-ES"/>
        </w:rPr>
        <w:t xml:space="preserve">2191 de 1978, conocido como “Ley </w:t>
      </w:r>
      <w:r w:rsidR="00061041" w:rsidRPr="007B2CB4">
        <w:rPr>
          <w:rFonts w:ascii="Cambria" w:hAnsi="Cambria"/>
          <w:sz w:val="20"/>
          <w:szCs w:val="20"/>
          <w:lang w:val="es-ES"/>
        </w:rPr>
        <w:t>de Amnistía</w:t>
      </w:r>
      <w:r w:rsidR="00A816F3">
        <w:rPr>
          <w:rFonts w:ascii="Cambria" w:hAnsi="Cambria"/>
          <w:sz w:val="20"/>
          <w:szCs w:val="20"/>
          <w:lang w:val="es-ES"/>
        </w:rPr>
        <w:t>”</w:t>
      </w:r>
      <w:r w:rsidR="00061041" w:rsidRPr="007B2CB4">
        <w:rPr>
          <w:rFonts w:ascii="Cambria" w:hAnsi="Cambria"/>
          <w:sz w:val="20"/>
          <w:szCs w:val="20"/>
          <w:lang w:val="es-ES"/>
        </w:rPr>
        <w:t xml:space="preserve">. En 1989, la Corte Marcial confirmó la resolución, </w:t>
      </w:r>
      <w:r w:rsidR="00A816F3">
        <w:rPr>
          <w:rFonts w:ascii="Cambria" w:hAnsi="Cambria"/>
          <w:sz w:val="20"/>
          <w:szCs w:val="20"/>
          <w:lang w:val="es-ES"/>
        </w:rPr>
        <w:t xml:space="preserve">que </w:t>
      </w:r>
      <w:r w:rsidR="00061041" w:rsidRPr="007B2CB4">
        <w:rPr>
          <w:rFonts w:ascii="Cambria" w:hAnsi="Cambria"/>
          <w:sz w:val="20"/>
          <w:szCs w:val="20"/>
          <w:lang w:val="es-ES"/>
        </w:rPr>
        <w:t>fue apelad</w:t>
      </w:r>
      <w:r w:rsidR="00A816F3">
        <w:rPr>
          <w:rFonts w:ascii="Cambria" w:hAnsi="Cambria"/>
          <w:sz w:val="20"/>
          <w:szCs w:val="20"/>
          <w:lang w:val="es-ES"/>
        </w:rPr>
        <w:t>a</w:t>
      </w:r>
      <w:r w:rsidR="00061041" w:rsidRPr="007B2CB4">
        <w:rPr>
          <w:rFonts w:ascii="Cambria" w:hAnsi="Cambria"/>
          <w:sz w:val="20"/>
          <w:szCs w:val="20"/>
          <w:lang w:val="es-ES"/>
        </w:rPr>
        <w:t xml:space="preserve"> ante la Corte Suprema</w:t>
      </w:r>
      <w:r w:rsidR="00A816F3">
        <w:rPr>
          <w:rFonts w:ascii="Cambria" w:hAnsi="Cambria"/>
          <w:sz w:val="20"/>
          <w:szCs w:val="20"/>
          <w:lang w:val="es-ES"/>
        </w:rPr>
        <w:t>; s</w:t>
      </w:r>
      <w:r w:rsidR="00061041" w:rsidRPr="007B2CB4">
        <w:rPr>
          <w:rFonts w:ascii="Cambria" w:hAnsi="Cambria"/>
          <w:sz w:val="20"/>
          <w:szCs w:val="20"/>
          <w:lang w:val="es-ES"/>
        </w:rPr>
        <w:t>e desconoce el resultado final de dich</w:t>
      </w:r>
      <w:r w:rsidR="00A816F3">
        <w:rPr>
          <w:rFonts w:ascii="Cambria" w:hAnsi="Cambria"/>
          <w:sz w:val="20"/>
          <w:szCs w:val="20"/>
          <w:lang w:val="es-ES"/>
        </w:rPr>
        <w:t>o recurso</w:t>
      </w:r>
      <w:r w:rsidR="005F18A3" w:rsidRPr="007B2CB4">
        <w:rPr>
          <w:rFonts w:ascii="Cambria" w:hAnsi="Cambria"/>
          <w:sz w:val="20"/>
          <w:szCs w:val="20"/>
          <w:lang w:val="es-ES"/>
        </w:rPr>
        <w:t xml:space="preserve">. </w:t>
      </w:r>
      <w:r w:rsidR="00A816F3">
        <w:rPr>
          <w:rFonts w:ascii="Cambria" w:hAnsi="Cambria"/>
          <w:sz w:val="20"/>
          <w:szCs w:val="20"/>
          <w:lang w:val="es-ES"/>
        </w:rPr>
        <w:t xml:space="preserve">Por otra parte, </w:t>
      </w:r>
      <w:r w:rsidR="00B041B5" w:rsidRPr="007B2CB4">
        <w:rPr>
          <w:rFonts w:ascii="Cambria" w:hAnsi="Cambria"/>
          <w:sz w:val="20"/>
          <w:szCs w:val="20"/>
          <w:lang w:val="es-ES"/>
        </w:rPr>
        <w:t>e</w:t>
      </w:r>
      <w:r w:rsidR="00E92C96" w:rsidRPr="007B2CB4">
        <w:rPr>
          <w:rFonts w:ascii="Cambria" w:hAnsi="Cambria"/>
          <w:sz w:val="20"/>
          <w:szCs w:val="20"/>
          <w:lang w:val="es-ES"/>
        </w:rPr>
        <w:t xml:space="preserve">l 26 de noviembre de 1975 se presentó </w:t>
      </w:r>
      <w:r w:rsidR="00A816F3">
        <w:rPr>
          <w:rFonts w:ascii="Cambria" w:hAnsi="Cambria"/>
          <w:sz w:val="20"/>
          <w:szCs w:val="20"/>
          <w:lang w:val="es-ES"/>
        </w:rPr>
        <w:t xml:space="preserve">un </w:t>
      </w:r>
      <w:r w:rsidR="00E92C96" w:rsidRPr="007B2CB4">
        <w:rPr>
          <w:rFonts w:ascii="Cambria" w:hAnsi="Cambria"/>
          <w:sz w:val="20"/>
          <w:szCs w:val="20"/>
          <w:lang w:val="es-ES"/>
        </w:rPr>
        <w:t xml:space="preserve">recurso de amparo ante la Corte de Apelaciones de Santiago, </w:t>
      </w:r>
      <w:r w:rsidR="00A816F3">
        <w:rPr>
          <w:rFonts w:ascii="Cambria" w:hAnsi="Cambria"/>
          <w:sz w:val="20"/>
          <w:szCs w:val="20"/>
          <w:lang w:val="es-ES"/>
        </w:rPr>
        <w:t>que</w:t>
      </w:r>
      <w:r w:rsidR="00E92C96" w:rsidRPr="007B2CB4">
        <w:rPr>
          <w:rFonts w:ascii="Cambria" w:hAnsi="Cambria"/>
          <w:sz w:val="20"/>
          <w:szCs w:val="20"/>
          <w:lang w:val="es-ES"/>
        </w:rPr>
        <w:t xml:space="preserve"> fue declarado sin lugar el 15 de enero de 1976 en virtud de los informes</w:t>
      </w:r>
      <w:r w:rsidR="00E92C96" w:rsidRPr="005F18A3">
        <w:rPr>
          <w:rFonts w:ascii="Cambria" w:hAnsi="Cambria"/>
          <w:sz w:val="20"/>
          <w:szCs w:val="20"/>
          <w:lang w:val="es-ES"/>
        </w:rPr>
        <w:t xml:space="preserve"> negativos de las auto</w:t>
      </w:r>
      <w:r w:rsidR="00541664">
        <w:rPr>
          <w:rFonts w:ascii="Cambria" w:hAnsi="Cambria"/>
          <w:sz w:val="20"/>
          <w:szCs w:val="20"/>
          <w:lang w:val="es-ES"/>
        </w:rPr>
        <w:t>ridades. El fallo</w:t>
      </w:r>
      <w:r w:rsidR="00E92C96" w:rsidRPr="005F18A3">
        <w:rPr>
          <w:rFonts w:ascii="Cambria" w:hAnsi="Cambria"/>
          <w:sz w:val="20"/>
          <w:szCs w:val="20"/>
          <w:lang w:val="es-ES"/>
        </w:rPr>
        <w:t xml:space="preserve"> fue confirmado por la Corte Suprema el 20 de enero</w:t>
      </w:r>
      <w:r w:rsidR="00541664">
        <w:rPr>
          <w:rFonts w:ascii="Cambria" w:hAnsi="Cambria"/>
          <w:sz w:val="20"/>
          <w:szCs w:val="20"/>
          <w:lang w:val="es-ES"/>
        </w:rPr>
        <w:t xml:space="preserve"> de 1976</w:t>
      </w:r>
      <w:r w:rsidR="00E92C96" w:rsidRPr="005F18A3">
        <w:rPr>
          <w:rFonts w:ascii="Cambria" w:hAnsi="Cambria"/>
          <w:sz w:val="20"/>
          <w:szCs w:val="20"/>
          <w:lang w:val="es-ES"/>
        </w:rPr>
        <w:t>.</w:t>
      </w:r>
    </w:p>
    <w:p w14:paraId="66968D70" w14:textId="77777777" w:rsidR="006603F7" w:rsidRPr="005F18A3" w:rsidRDefault="006603F7" w:rsidP="006603F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67E551CC" w14:textId="253C625F" w:rsidR="00CC2B92" w:rsidRPr="00270BE9" w:rsidRDefault="005F18A3" w:rsidP="006603F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270BE9">
        <w:rPr>
          <w:rFonts w:ascii="Cambria" w:hAnsi="Cambria"/>
          <w:sz w:val="20"/>
          <w:szCs w:val="20"/>
          <w:lang w:val="es-ES"/>
        </w:rPr>
        <w:t xml:space="preserve">En el ámbito civil, </w:t>
      </w:r>
      <w:r w:rsidR="00F57DA0" w:rsidRPr="00270BE9">
        <w:rPr>
          <w:rFonts w:ascii="Cambria" w:hAnsi="Cambria"/>
          <w:sz w:val="20"/>
          <w:szCs w:val="20"/>
          <w:lang w:val="es-ES"/>
        </w:rPr>
        <w:t xml:space="preserve">los familiares de la víctima interpusieron </w:t>
      </w:r>
      <w:r w:rsidR="00A816F3" w:rsidRPr="00270BE9">
        <w:rPr>
          <w:rFonts w:ascii="Cambria" w:hAnsi="Cambria"/>
          <w:sz w:val="20"/>
          <w:szCs w:val="20"/>
          <w:lang w:val="es-ES"/>
        </w:rPr>
        <w:t>el 29 de marzo de 1999</w:t>
      </w:r>
      <w:r w:rsidR="00A816F3">
        <w:rPr>
          <w:rFonts w:ascii="Cambria" w:hAnsi="Cambria"/>
          <w:sz w:val="20"/>
          <w:szCs w:val="20"/>
          <w:lang w:val="es-ES"/>
        </w:rPr>
        <w:t xml:space="preserve"> una </w:t>
      </w:r>
      <w:r w:rsidR="00F57DA0" w:rsidRPr="00270BE9">
        <w:rPr>
          <w:rFonts w:ascii="Cambria" w:hAnsi="Cambria"/>
          <w:sz w:val="20"/>
          <w:szCs w:val="20"/>
          <w:lang w:val="es-ES"/>
        </w:rPr>
        <w:t>demanda de reparación de perjuicios contra el Estado. El 17 de mayo de 2004, el 3</w:t>
      </w:r>
      <w:r w:rsidR="00F57DA0" w:rsidRPr="00A816F3">
        <w:rPr>
          <w:rFonts w:ascii="Cambria" w:hAnsi="Cambria"/>
          <w:sz w:val="20"/>
          <w:szCs w:val="20"/>
          <w:vertAlign w:val="superscript"/>
          <w:lang w:val="es-ES"/>
        </w:rPr>
        <w:t>er</w:t>
      </w:r>
      <w:r w:rsidR="00F57DA0" w:rsidRPr="00270BE9">
        <w:rPr>
          <w:rFonts w:ascii="Cambria" w:hAnsi="Cambria"/>
          <w:sz w:val="20"/>
          <w:szCs w:val="20"/>
          <w:lang w:val="es-ES"/>
        </w:rPr>
        <w:t xml:space="preserve"> Juzgado Civil de Valparaíso rechazó la acción en aplicación de la prescripción civil, resolución </w:t>
      </w:r>
      <w:r w:rsidR="00A816F3">
        <w:rPr>
          <w:rFonts w:ascii="Cambria" w:hAnsi="Cambria"/>
          <w:sz w:val="20"/>
          <w:szCs w:val="20"/>
          <w:lang w:val="es-ES"/>
        </w:rPr>
        <w:t xml:space="preserve">que fue </w:t>
      </w:r>
      <w:r w:rsidR="00F57DA0" w:rsidRPr="00270BE9">
        <w:rPr>
          <w:rFonts w:ascii="Cambria" w:hAnsi="Cambria"/>
          <w:sz w:val="20"/>
          <w:szCs w:val="20"/>
          <w:lang w:val="es-ES"/>
        </w:rPr>
        <w:t xml:space="preserve">apelada por los demandantes. El 12 de octubre de 2005 la Corte de Apelaciones de Valparaíso dictó </w:t>
      </w:r>
      <w:r w:rsidR="00A816F3">
        <w:rPr>
          <w:rFonts w:ascii="Cambria" w:hAnsi="Cambria"/>
          <w:sz w:val="20"/>
          <w:szCs w:val="20"/>
          <w:lang w:val="es-ES"/>
        </w:rPr>
        <w:t xml:space="preserve">un </w:t>
      </w:r>
      <w:r w:rsidR="00F57DA0" w:rsidRPr="00270BE9">
        <w:rPr>
          <w:rFonts w:ascii="Cambria" w:hAnsi="Cambria"/>
          <w:sz w:val="20"/>
          <w:szCs w:val="20"/>
          <w:lang w:val="es-ES"/>
        </w:rPr>
        <w:t xml:space="preserve">fallo confirmatorio de la sentencia recurrida, </w:t>
      </w:r>
      <w:r w:rsidR="00A816F3">
        <w:rPr>
          <w:rFonts w:ascii="Cambria" w:hAnsi="Cambria"/>
          <w:sz w:val="20"/>
          <w:szCs w:val="20"/>
          <w:lang w:val="es-ES"/>
        </w:rPr>
        <w:t xml:space="preserve">en el que </w:t>
      </w:r>
      <w:r w:rsidR="00F57DA0" w:rsidRPr="00270BE9">
        <w:rPr>
          <w:rFonts w:ascii="Cambria" w:hAnsi="Cambria"/>
          <w:sz w:val="20"/>
          <w:szCs w:val="20"/>
          <w:lang w:val="es-ES"/>
        </w:rPr>
        <w:t>desech</w:t>
      </w:r>
      <w:r w:rsidR="00A816F3">
        <w:rPr>
          <w:rFonts w:ascii="Cambria" w:hAnsi="Cambria"/>
          <w:sz w:val="20"/>
          <w:szCs w:val="20"/>
          <w:lang w:val="es-ES"/>
        </w:rPr>
        <w:t>ó</w:t>
      </w:r>
      <w:r w:rsidR="00F57DA0" w:rsidRPr="00270BE9">
        <w:rPr>
          <w:rFonts w:ascii="Cambria" w:hAnsi="Cambria"/>
          <w:sz w:val="20"/>
          <w:szCs w:val="20"/>
          <w:lang w:val="es-ES"/>
        </w:rPr>
        <w:t xml:space="preserve"> expresamente la aplicación del derecho internacional</w:t>
      </w:r>
      <w:r w:rsidR="00A816F3">
        <w:rPr>
          <w:rFonts w:ascii="Cambria" w:hAnsi="Cambria"/>
          <w:sz w:val="20"/>
          <w:szCs w:val="20"/>
          <w:lang w:val="es-ES"/>
        </w:rPr>
        <w:t>;</w:t>
      </w:r>
      <w:r w:rsidR="00F57DA0" w:rsidRPr="00270BE9">
        <w:rPr>
          <w:rFonts w:ascii="Cambria" w:hAnsi="Cambria"/>
          <w:sz w:val="20"/>
          <w:szCs w:val="20"/>
          <w:lang w:val="es-ES"/>
        </w:rPr>
        <w:t xml:space="preserve"> y el 27 de diciembre de 2006 la Corte Suprema rechazó el recurso de casación, </w:t>
      </w:r>
      <w:r w:rsidR="00A816F3">
        <w:rPr>
          <w:rFonts w:ascii="Cambria" w:hAnsi="Cambria"/>
          <w:sz w:val="20"/>
          <w:szCs w:val="20"/>
          <w:lang w:val="es-ES"/>
        </w:rPr>
        <w:t xml:space="preserve">con lo que </w:t>
      </w:r>
      <w:r w:rsidR="00F57DA0" w:rsidRPr="00270BE9">
        <w:rPr>
          <w:rFonts w:ascii="Cambria" w:hAnsi="Cambria"/>
          <w:sz w:val="20"/>
          <w:szCs w:val="20"/>
          <w:lang w:val="es-ES"/>
        </w:rPr>
        <w:t>confirm</w:t>
      </w:r>
      <w:r w:rsidR="00A816F3">
        <w:rPr>
          <w:rFonts w:ascii="Cambria" w:hAnsi="Cambria"/>
          <w:sz w:val="20"/>
          <w:szCs w:val="20"/>
          <w:lang w:val="es-ES"/>
        </w:rPr>
        <w:t>ó</w:t>
      </w:r>
      <w:r w:rsidR="00F57DA0" w:rsidRPr="00270BE9">
        <w:rPr>
          <w:rFonts w:ascii="Cambria" w:hAnsi="Cambria"/>
          <w:sz w:val="20"/>
          <w:szCs w:val="20"/>
          <w:lang w:val="es-ES"/>
        </w:rPr>
        <w:t xml:space="preserve"> el criterio de prescripción de la acción civil.</w:t>
      </w:r>
      <w:r w:rsidR="007D75FE">
        <w:rPr>
          <w:rFonts w:ascii="Cambria" w:hAnsi="Cambria"/>
          <w:sz w:val="20"/>
          <w:szCs w:val="20"/>
          <w:lang w:val="es-ES"/>
        </w:rPr>
        <w:t xml:space="preserve"> El 9 de marzo de 2006 se dictó</w:t>
      </w:r>
      <w:r w:rsidR="007D75FE">
        <w:rPr>
          <w:rFonts w:ascii="Cambria" w:hAnsi="Cambria"/>
          <w:sz w:val="20"/>
          <w:szCs w:val="20"/>
          <w:lang w:val="es-MX"/>
        </w:rPr>
        <w:t xml:space="preserve"> </w:t>
      </w:r>
      <w:r w:rsidR="00A816F3">
        <w:rPr>
          <w:rFonts w:ascii="Cambria" w:hAnsi="Cambria"/>
          <w:sz w:val="20"/>
          <w:szCs w:val="20"/>
          <w:lang w:val="es-MX"/>
        </w:rPr>
        <w:t>el</w:t>
      </w:r>
      <w:r w:rsidR="007D75FE">
        <w:rPr>
          <w:rFonts w:ascii="Cambria" w:hAnsi="Cambria"/>
          <w:sz w:val="20"/>
          <w:szCs w:val="20"/>
          <w:lang w:val="es-MX"/>
        </w:rPr>
        <w:t xml:space="preserve"> auto de cúmplase.</w:t>
      </w:r>
    </w:p>
    <w:p w14:paraId="228A8AE9" w14:textId="77777777" w:rsidR="006603F7" w:rsidRDefault="006603F7" w:rsidP="006603F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4F93FBE1" w14:textId="4358037C" w:rsidR="004B7D04" w:rsidRPr="00DB547B" w:rsidRDefault="006720D6" w:rsidP="006603F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DB547B">
        <w:rPr>
          <w:rFonts w:ascii="Cambria" w:hAnsi="Cambria"/>
          <w:sz w:val="20"/>
          <w:szCs w:val="20"/>
          <w:lang w:val="es-ES"/>
        </w:rPr>
        <w:t>Por su parte, el Estado</w:t>
      </w:r>
      <w:r w:rsidR="009B056A" w:rsidRPr="00DB547B">
        <w:rPr>
          <w:rFonts w:ascii="Cambria" w:hAnsi="Cambria"/>
          <w:sz w:val="20"/>
          <w:szCs w:val="20"/>
          <w:lang w:val="es-ES"/>
        </w:rPr>
        <w:t xml:space="preserve"> </w:t>
      </w:r>
      <w:r w:rsidR="00CC794A">
        <w:rPr>
          <w:rFonts w:ascii="Cambria" w:hAnsi="Cambria"/>
          <w:sz w:val="20"/>
          <w:szCs w:val="20"/>
          <w:lang w:val="es-ES"/>
        </w:rPr>
        <w:t xml:space="preserve">señala </w:t>
      </w:r>
      <w:r w:rsidR="009B056A" w:rsidRPr="00DB547B">
        <w:rPr>
          <w:rFonts w:ascii="Cambria" w:hAnsi="Cambria"/>
          <w:sz w:val="20"/>
          <w:szCs w:val="20"/>
          <w:lang w:val="es-ES"/>
        </w:rPr>
        <w:t xml:space="preserve">que </w:t>
      </w:r>
      <w:r w:rsidR="00A816F3">
        <w:rPr>
          <w:rFonts w:ascii="Cambria" w:hAnsi="Cambria"/>
          <w:sz w:val="20"/>
          <w:szCs w:val="20"/>
          <w:lang w:val="es-ES"/>
        </w:rPr>
        <w:t xml:space="preserve">el </w:t>
      </w:r>
      <w:r w:rsidR="009B056A" w:rsidRPr="00DB547B">
        <w:rPr>
          <w:rFonts w:ascii="Cambria" w:hAnsi="Cambria"/>
          <w:sz w:val="20"/>
          <w:szCs w:val="20"/>
          <w:lang w:val="es-ES"/>
        </w:rPr>
        <w:t>peticionari</w:t>
      </w:r>
      <w:r w:rsidR="00A816F3">
        <w:rPr>
          <w:rFonts w:ascii="Cambria" w:hAnsi="Cambria"/>
          <w:sz w:val="20"/>
          <w:szCs w:val="20"/>
          <w:lang w:val="es-ES"/>
        </w:rPr>
        <w:t>o</w:t>
      </w:r>
      <w:r w:rsidR="009B056A" w:rsidRPr="00DB547B">
        <w:rPr>
          <w:rFonts w:ascii="Cambria" w:hAnsi="Cambria"/>
          <w:sz w:val="20"/>
          <w:szCs w:val="20"/>
          <w:lang w:val="es-ES"/>
        </w:rPr>
        <w:t xml:space="preserve"> </w:t>
      </w:r>
      <w:r w:rsidR="00CC794A">
        <w:rPr>
          <w:rFonts w:ascii="Cambria" w:hAnsi="Cambria"/>
          <w:sz w:val="20"/>
          <w:szCs w:val="20"/>
          <w:lang w:val="es-ES"/>
        </w:rPr>
        <w:t>reconoce expresamente</w:t>
      </w:r>
      <w:r w:rsidR="00CC794A" w:rsidRPr="00DB547B">
        <w:rPr>
          <w:rFonts w:ascii="Cambria" w:hAnsi="Cambria"/>
          <w:sz w:val="20"/>
          <w:szCs w:val="20"/>
          <w:lang w:val="es-ES"/>
        </w:rPr>
        <w:t xml:space="preserve"> </w:t>
      </w:r>
      <w:r w:rsidR="00CC794A">
        <w:rPr>
          <w:rFonts w:ascii="Cambria" w:hAnsi="Cambria"/>
          <w:sz w:val="20"/>
          <w:szCs w:val="20"/>
          <w:lang w:val="es-ES"/>
        </w:rPr>
        <w:t xml:space="preserve">que </w:t>
      </w:r>
      <w:r w:rsidR="009B056A" w:rsidRPr="00DB547B">
        <w:rPr>
          <w:rFonts w:ascii="Cambria" w:hAnsi="Cambria"/>
          <w:sz w:val="20"/>
          <w:szCs w:val="20"/>
          <w:lang w:val="es-ES"/>
        </w:rPr>
        <w:t xml:space="preserve">no agotó </w:t>
      </w:r>
      <w:r w:rsidR="00A816F3">
        <w:rPr>
          <w:rFonts w:ascii="Cambria" w:hAnsi="Cambria"/>
          <w:sz w:val="20"/>
          <w:szCs w:val="20"/>
          <w:lang w:val="es-ES"/>
        </w:rPr>
        <w:t xml:space="preserve">todos </w:t>
      </w:r>
      <w:r w:rsidR="009B056A" w:rsidRPr="00DB547B">
        <w:rPr>
          <w:rFonts w:ascii="Cambria" w:hAnsi="Cambria"/>
          <w:sz w:val="20"/>
          <w:szCs w:val="20"/>
          <w:lang w:val="es-ES"/>
        </w:rPr>
        <w:t xml:space="preserve">los recursos </w:t>
      </w:r>
      <w:r w:rsidR="00A816F3" w:rsidRPr="00DB547B">
        <w:rPr>
          <w:rFonts w:ascii="Cambria" w:hAnsi="Cambria"/>
          <w:sz w:val="20"/>
          <w:szCs w:val="20"/>
          <w:lang w:val="es-ES"/>
        </w:rPr>
        <w:t>disponibles en la legislación chilena para soluci</w:t>
      </w:r>
      <w:r w:rsidR="00A816F3">
        <w:rPr>
          <w:rFonts w:ascii="Cambria" w:hAnsi="Cambria"/>
          <w:sz w:val="20"/>
          <w:szCs w:val="20"/>
          <w:lang w:val="es-ES"/>
        </w:rPr>
        <w:t>onar</w:t>
      </w:r>
      <w:r w:rsidR="00A816F3" w:rsidRPr="00DB547B">
        <w:rPr>
          <w:rFonts w:ascii="Cambria" w:hAnsi="Cambria"/>
          <w:sz w:val="20"/>
          <w:szCs w:val="20"/>
          <w:lang w:val="es-ES"/>
        </w:rPr>
        <w:t xml:space="preserve"> </w:t>
      </w:r>
      <w:r w:rsidR="00A816F3">
        <w:rPr>
          <w:rFonts w:ascii="Cambria" w:hAnsi="Cambria"/>
          <w:sz w:val="20"/>
          <w:szCs w:val="20"/>
          <w:lang w:val="es-ES"/>
        </w:rPr>
        <w:t xml:space="preserve">la </w:t>
      </w:r>
      <w:r w:rsidR="00A816F3" w:rsidRPr="00DB547B">
        <w:rPr>
          <w:rFonts w:ascii="Cambria" w:hAnsi="Cambria"/>
          <w:sz w:val="20"/>
          <w:szCs w:val="20"/>
          <w:lang w:val="es-ES"/>
        </w:rPr>
        <w:t>situación particular</w:t>
      </w:r>
      <w:r w:rsidR="009B056A" w:rsidRPr="00DB547B">
        <w:rPr>
          <w:rFonts w:ascii="Cambria" w:hAnsi="Cambria"/>
          <w:sz w:val="20"/>
          <w:szCs w:val="20"/>
          <w:lang w:val="es-ES"/>
        </w:rPr>
        <w:t xml:space="preserve">. Señala que el peticionario fundamenta la decisión de no presentar </w:t>
      </w:r>
      <w:r w:rsidR="00A816F3">
        <w:rPr>
          <w:rFonts w:ascii="Cambria" w:hAnsi="Cambria"/>
          <w:sz w:val="20"/>
          <w:szCs w:val="20"/>
          <w:lang w:val="es-ES"/>
        </w:rPr>
        <w:t xml:space="preserve">un </w:t>
      </w:r>
      <w:r w:rsidR="009B056A" w:rsidRPr="00DB547B">
        <w:rPr>
          <w:rFonts w:ascii="Cambria" w:hAnsi="Cambria"/>
          <w:sz w:val="20"/>
          <w:szCs w:val="20"/>
          <w:lang w:val="es-ES"/>
        </w:rPr>
        <w:t xml:space="preserve">recurso de casación, </w:t>
      </w:r>
      <w:r w:rsidR="00A816F3">
        <w:rPr>
          <w:rFonts w:ascii="Cambria" w:hAnsi="Cambria"/>
          <w:sz w:val="20"/>
          <w:szCs w:val="20"/>
          <w:lang w:val="es-ES"/>
        </w:rPr>
        <w:t xml:space="preserve">así </w:t>
      </w:r>
      <w:r w:rsidR="009B056A" w:rsidRPr="00DB547B">
        <w:rPr>
          <w:rFonts w:ascii="Cambria" w:hAnsi="Cambria"/>
          <w:sz w:val="20"/>
          <w:szCs w:val="20"/>
          <w:lang w:val="es-ES"/>
        </w:rPr>
        <w:t>como otros recursos jurisdicciones interno</w:t>
      </w:r>
      <w:r w:rsidR="00A816F3">
        <w:rPr>
          <w:rFonts w:ascii="Cambria" w:hAnsi="Cambria"/>
          <w:sz w:val="20"/>
          <w:szCs w:val="20"/>
          <w:lang w:val="es-ES"/>
        </w:rPr>
        <w:t>s</w:t>
      </w:r>
      <w:r w:rsidR="009B056A" w:rsidRPr="00DB547B">
        <w:rPr>
          <w:rFonts w:ascii="Cambria" w:hAnsi="Cambria"/>
          <w:sz w:val="20"/>
          <w:szCs w:val="20"/>
          <w:lang w:val="es-ES"/>
        </w:rPr>
        <w:t xml:space="preserve">, </w:t>
      </w:r>
      <w:r w:rsidR="00A816F3">
        <w:rPr>
          <w:rFonts w:ascii="Cambria" w:hAnsi="Cambria"/>
          <w:sz w:val="20"/>
          <w:szCs w:val="20"/>
          <w:lang w:val="es-ES"/>
        </w:rPr>
        <w:t xml:space="preserve">con base </w:t>
      </w:r>
      <w:r w:rsidR="009B056A" w:rsidRPr="00DB547B">
        <w:rPr>
          <w:rFonts w:ascii="Cambria" w:hAnsi="Cambria"/>
          <w:sz w:val="20"/>
          <w:szCs w:val="20"/>
          <w:lang w:val="es-ES"/>
        </w:rPr>
        <w:t>en una suposición de</w:t>
      </w:r>
      <w:r w:rsidR="00A816F3">
        <w:rPr>
          <w:rFonts w:ascii="Cambria" w:hAnsi="Cambria"/>
          <w:sz w:val="20"/>
          <w:szCs w:val="20"/>
          <w:lang w:val="es-ES"/>
        </w:rPr>
        <w:t xml:space="preserve"> su eventual</w:t>
      </w:r>
      <w:r w:rsidR="009B056A" w:rsidRPr="00DB547B">
        <w:rPr>
          <w:rFonts w:ascii="Cambria" w:hAnsi="Cambria"/>
          <w:sz w:val="20"/>
          <w:szCs w:val="20"/>
          <w:lang w:val="es-ES"/>
        </w:rPr>
        <w:t xml:space="preserve"> resultado.</w:t>
      </w:r>
      <w:r w:rsidR="004B7D04" w:rsidRPr="00DB547B">
        <w:rPr>
          <w:rFonts w:ascii="Cambria" w:hAnsi="Cambria"/>
          <w:sz w:val="20"/>
          <w:szCs w:val="20"/>
          <w:lang w:val="es-ES"/>
        </w:rPr>
        <w:t xml:space="preserve"> </w:t>
      </w:r>
      <w:r w:rsidR="00CC794A">
        <w:rPr>
          <w:rFonts w:ascii="Cambria" w:hAnsi="Cambria"/>
          <w:sz w:val="20"/>
          <w:szCs w:val="20"/>
          <w:lang w:val="es-ES"/>
        </w:rPr>
        <w:t>Según e</w:t>
      </w:r>
      <w:r w:rsidR="004B7D04" w:rsidRPr="00DB547B">
        <w:rPr>
          <w:rFonts w:ascii="Cambria" w:hAnsi="Cambria"/>
          <w:sz w:val="20"/>
          <w:szCs w:val="20"/>
          <w:lang w:val="es-ES"/>
        </w:rPr>
        <w:t>l Estado</w:t>
      </w:r>
      <w:r w:rsidR="00CC794A">
        <w:rPr>
          <w:rFonts w:ascii="Cambria" w:hAnsi="Cambria"/>
          <w:sz w:val="20"/>
          <w:szCs w:val="20"/>
          <w:lang w:val="es-ES"/>
        </w:rPr>
        <w:t>,</w:t>
      </w:r>
      <w:r w:rsidR="004B7D04" w:rsidRPr="00DB547B">
        <w:rPr>
          <w:rFonts w:ascii="Cambria" w:hAnsi="Cambria"/>
          <w:sz w:val="20"/>
          <w:szCs w:val="20"/>
          <w:lang w:val="es-ES"/>
        </w:rPr>
        <w:t xml:space="preserve"> </w:t>
      </w:r>
      <w:r w:rsidR="00A816F3" w:rsidRPr="00DB547B">
        <w:rPr>
          <w:rFonts w:ascii="Cambria" w:hAnsi="Cambria"/>
          <w:sz w:val="20"/>
          <w:szCs w:val="20"/>
          <w:lang w:val="es-ES"/>
        </w:rPr>
        <w:t xml:space="preserve">el peticionario intenta soslayar el sistema de protección diseñado en el marco constitucional chileno </w:t>
      </w:r>
      <w:r w:rsidR="00A816F3">
        <w:rPr>
          <w:rFonts w:ascii="Cambria" w:hAnsi="Cambria"/>
          <w:sz w:val="20"/>
          <w:szCs w:val="20"/>
          <w:lang w:val="es-ES"/>
        </w:rPr>
        <w:t xml:space="preserve">y </w:t>
      </w:r>
      <w:r w:rsidR="004B7D04" w:rsidRPr="00DB547B">
        <w:rPr>
          <w:rFonts w:ascii="Cambria" w:hAnsi="Cambria"/>
          <w:sz w:val="20"/>
          <w:szCs w:val="20"/>
          <w:lang w:val="es-ES"/>
        </w:rPr>
        <w:t xml:space="preserve">olvida la naturaleza subsidiaria del </w:t>
      </w:r>
      <w:r w:rsidR="00A816F3">
        <w:rPr>
          <w:rFonts w:ascii="Cambria" w:hAnsi="Cambria"/>
          <w:sz w:val="20"/>
          <w:szCs w:val="20"/>
          <w:lang w:val="es-ES"/>
        </w:rPr>
        <w:t>s</w:t>
      </w:r>
      <w:r w:rsidR="004B7D04" w:rsidRPr="00DB547B">
        <w:rPr>
          <w:rFonts w:ascii="Cambria" w:hAnsi="Cambria"/>
          <w:sz w:val="20"/>
          <w:szCs w:val="20"/>
          <w:lang w:val="es-ES"/>
        </w:rPr>
        <w:t xml:space="preserve">istema </w:t>
      </w:r>
      <w:r w:rsidR="00A816F3">
        <w:rPr>
          <w:rFonts w:ascii="Cambria" w:hAnsi="Cambria"/>
          <w:sz w:val="20"/>
          <w:szCs w:val="20"/>
          <w:lang w:val="es-ES"/>
        </w:rPr>
        <w:t>i</w:t>
      </w:r>
      <w:r w:rsidR="004B7D04" w:rsidRPr="00DB547B">
        <w:rPr>
          <w:rFonts w:ascii="Cambria" w:hAnsi="Cambria"/>
          <w:sz w:val="20"/>
          <w:szCs w:val="20"/>
          <w:lang w:val="es-ES"/>
        </w:rPr>
        <w:t xml:space="preserve">nternacional de </w:t>
      </w:r>
      <w:r w:rsidR="00A816F3">
        <w:rPr>
          <w:rFonts w:ascii="Cambria" w:hAnsi="Cambria"/>
          <w:sz w:val="20"/>
          <w:szCs w:val="20"/>
          <w:lang w:val="es-ES"/>
        </w:rPr>
        <w:t>p</w:t>
      </w:r>
      <w:r w:rsidR="004B7D04" w:rsidRPr="00DB547B">
        <w:rPr>
          <w:rFonts w:ascii="Cambria" w:hAnsi="Cambria"/>
          <w:sz w:val="20"/>
          <w:szCs w:val="20"/>
          <w:lang w:val="es-ES"/>
        </w:rPr>
        <w:t xml:space="preserve">rotección de </w:t>
      </w:r>
      <w:r w:rsidR="00A816F3">
        <w:rPr>
          <w:rFonts w:ascii="Cambria" w:hAnsi="Cambria"/>
          <w:sz w:val="20"/>
          <w:szCs w:val="20"/>
          <w:lang w:val="es-ES"/>
        </w:rPr>
        <w:t>d</w:t>
      </w:r>
      <w:r w:rsidR="004B7D04" w:rsidRPr="00DB547B">
        <w:rPr>
          <w:rFonts w:ascii="Cambria" w:hAnsi="Cambria"/>
          <w:sz w:val="20"/>
          <w:szCs w:val="20"/>
          <w:lang w:val="es-ES"/>
        </w:rPr>
        <w:t xml:space="preserve">erechos </w:t>
      </w:r>
      <w:r w:rsidR="00A816F3">
        <w:rPr>
          <w:rFonts w:ascii="Cambria" w:hAnsi="Cambria"/>
          <w:sz w:val="20"/>
          <w:szCs w:val="20"/>
          <w:lang w:val="es-ES"/>
        </w:rPr>
        <w:t>h</w:t>
      </w:r>
      <w:r w:rsidR="004B7D04" w:rsidRPr="00DB547B">
        <w:rPr>
          <w:rFonts w:ascii="Cambria" w:hAnsi="Cambria"/>
          <w:sz w:val="20"/>
          <w:szCs w:val="20"/>
          <w:lang w:val="es-ES"/>
        </w:rPr>
        <w:t xml:space="preserve">umanos, </w:t>
      </w:r>
      <w:r w:rsidR="00EA6410">
        <w:rPr>
          <w:rFonts w:ascii="Cambria" w:hAnsi="Cambria"/>
          <w:sz w:val="20"/>
          <w:szCs w:val="20"/>
          <w:lang w:val="es-ES"/>
        </w:rPr>
        <w:t>a la que</w:t>
      </w:r>
      <w:r w:rsidR="004B7D04" w:rsidRPr="00DB547B">
        <w:rPr>
          <w:rFonts w:ascii="Cambria" w:hAnsi="Cambria"/>
          <w:sz w:val="20"/>
          <w:szCs w:val="20"/>
          <w:lang w:val="es-ES"/>
        </w:rPr>
        <w:t xml:space="preserve"> recurr</w:t>
      </w:r>
      <w:r w:rsidR="00EA6410">
        <w:rPr>
          <w:rFonts w:ascii="Cambria" w:hAnsi="Cambria"/>
          <w:sz w:val="20"/>
          <w:szCs w:val="20"/>
          <w:lang w:val="es-ES"/>
        </w:rPr>
        <w:t>e</w:t>
      </w:r>
      <w:r w:rsidR="004B7D04" w:rsidRPr="00DB547B">
        <w:rPr>
          <w:rFonts w:ascii="Cambria" w:hAnsi="Cambria"/>
          <w:sz w:val="20"/>
          <w:szCs w:val="20"/>
          <w:lang w:val="es-ES"/>
        </w:rPr>
        <w:t xml:space="preserve"> sin haber cumplid</w:t>
      </w:r>
      <w:r w:rsidR="00EA6410">
        <w:rPr>
          <w:rFonts w:ascii="Cambria" w:hAnsi="Cambria"/>
          <w:sz w:val="20"/>
          <w:szCs w:val="20"/>
          <w:lang w:val="es-ES"/>
        </w:rPr>
        <w:t>o</w:t>
      </w:r>
      <w:r w:rsidR="004B7D04" w:rsidRPr="00DB547B">
        <w:rPr>
          <w:rFonts w:ascii="Cambria" w:hAnsi="Cambria"/>
          <w:sz w:val="20"/>
          <w:szCs w:val="20"/>
          <w:lang w:val="es-ES"/>
        </w:rPr>
        <w:t xml:space="preserve"> la exigencia de previo agotamiento de los recursos internos.</w:t>
      </w:r>
      <w:r w:rsidR="00B8613B" w:rsidRPr="00DB547B">
        <w:rPr>
          <w:rFonts w:ascii="Cambria" w:hAnsi="Cambria"/>
          <w:sz w:val="20"/>
          <w:szCs w:val="20"/>
          <w:lang w:val="es-ES"/>
        </w:rPr>
        <w:t xml:space="preserve"> El Estado aporta ejemplos de casos en que se ha fallado en sentido contrario</w:t>
      </w:r>
      <w:r w:rsidR="00CC794A">
        <w:rPr>
          <w:rFonts w:ascii="Cambria" w:hAnsi="Cambria"/>
          <w:sz w:val="20"/>
          <w:szCs w:val="20"/>
          <w:lang w:val="es-ES"/>
        </w:rPr>
        <w:t xml:space="preserve"> al señalado por el peticionario</w:t>
      </w:r>
      <w:r w:rsidR="00ED19C2">
        <w:rPr>
          <w:rStyle w:val="FootnoteReference"/>
          <w:rFonts w:ascii="Cambria" w:hAnsi="Cambria"/>
          <w:sz w:val="20"/>
          <w:szCs w:val="20"/>
          <w:lang w:val="es-ES"/>
        </w:rPr>
        <w:footnoteReference w:id="6"/>
      </w:r>
      <w:r w:rsidR="00B8613B" w:rsidRPr="00DB547B">
        <w:rPr>
          <w:rFonts w:ascii="Cambria" w:hAnsi="Cambria"/>
          <w:sz w:val="20"/>
          <w:szCs w:val="20"/>
          <w:lang w:val="es-ES"/>
        </w:rPr>
        <w:t xml:space="preserve">. Por lo tanto, </w:t>
      </w:r>
      <w:r w:rsidR="00CC794A">
        <w:rPr>
          <w:rFonts w:ascii="Cambria" w:hAnsi="Cambria"/>
          <w:sz w:val="20"/>
          <w:szCs w:val="20"/>
          <w:lang w:val="es-ES"/>
        </w:rPr>
        <w:t>considera que no se ha cumplido e</w:t>
      </w:r>
      <w:r w:rsidR="00B8613B" w:rsidRPr="00DB547B">
        <w:rPr>
          <w:rFonts w:ascii="Cambria" w:hAnsi="Cambria"/>
          <w:sz w:val="20"/>
          <w:szCs w:val="20"/>
          <w:lang w:val="es-ES"/>
        </w:rPr>
        <w:t>l presupuesto de admisibilidad que exige el artículo 46 de la Convención Americana.</w:t>
      </w:r>
    </w:p>
    <w:p w14:paraId="693AF9C7" w14:textId="77777777" w:rsidR="006603F7" w:rsidRDefault="006603F7" w:rsidP="006603F7">
      <w:pPr>
        <w:pStyle w:val="ListParagraph"/>
        <w:jc w:val="both"/>
        <w:rPr>
          <w:rFonts w:asciiTheme="majorHAnsi" w:hAnsiTheme="majorHAnsi"/>
          <w:b/>
          <w:bCs/>
          <w:color w:val="auto"/>
          <w:sz w:val="20"/>
          <w:szCs w:val="20"/>
          <w:lang w:val="es-ES"/>
        </w:rPr>
      </w:pPr>
    </w:p>
    <w:p w14:paraId="3FE6F5AE" w14:textId="37FFBE79" w:rsidR="004C616A" w:rsidRPr="00B678EF" w:rsidRDefault="004C616A" w:rsidP="006603F7">
      <w:pPr>
        <w:pStyle w:val="ListParagraph"/>
        <w:jc w:val="both"/>
        <w:rPr>
          <w:rFonts w:asciiTheme="majorHAnsi" w:hAnsiTheme="majorHAnsi"/>
          <w:b/>
          <w:bCs/>
          <w:color w:val="auto"/>
          <w:sz w:val="20"/>
          <w:szCs w:val="20"/>
          <w:lang w:val="es-ES"/>
        </w:rPr>
      </w:pPr>
      <w:r w:rsidRPr="00B678EF">
        <w:rPr>
          <w:rFonts w:asciiTheme="majorHAnsi" w:hAnsiTheme="majorHAnsi"/>
          <w:b/>
          <w:bCs/>
          <w:color w:val="auto"/>
          <w:sz w:val="20"/>
          <w:szCs w:val="20"/>
          <w:lang w:val="es-ES"/>
        </w:rPr>
        <w:t xml:space="preserve">VI. </w:t>
      </w:r>
      <w:r w:rsidRPr="00B678EF">
        <w:rPr>
          <w:rFonts w:asciiTheme="majorHAnsi" w:hAnsiTheme="majorHAnsi"/>
          <w:b/>
          <w:bCs/>
          <w:color w:val="auto"/>
          <w:sz w:val="20"/>
          <w:szCs w:val="20"/>
          <w:lang w:val="es-ES"/>
        </w:rPr>
        <w:tab/>
        <w:t>AGOTAMIENTO DE LOS RECURSOS INTERNOS Y PLAZO DE PRESENTACIÓN</w:t>
      </w:r>
    </w:p>
    <w:p w14:paraId="41424FBF" w14:textId="77777777" w:rsidR="006603F7" w:rsidRDefault="006603F7" w:rsidP="006603F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2DC59978" w14:textId="168D2E9F" w:rsidR="00A15BF4" w:rsidRDefault="00187839" w:rsidP="006603F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6312D9">
        <w:rPr>
          <w:rFonts w:ascii="Cambria" w:hAnsi="Cambria"/>
          <w:sz w:val="20"/>
          <w:szCs w:val="20"/>
          <w:lang w:val="es-ES"/>
        </w:rPr>
        <w:t>La CIDH recuerda que toda vez que se cometa un presunto delito perseguible de oficio, el Estado tiene la obligación de promover e impulsar el proceso penal</w:t>
      </w:r>
      <w:r w:rsidRPr="006312D9">
        <w:rPr>
          <w:rStyle w:val="FootnoteReference"/>
          <w:rFonts w:ascii="Cambria" w:hAnsi="Cambria"/>
          <w:sz w:val="20"/>
          <w:szCs w:val="20"/>
          <w:lang w:val="es-ES"/>
        </w:rPr>
        <w:footnoteReference w:id="7"/>
      </w:r>
      <w:r w:rsidR="00CC794A">
        <w:rPr>
          <w:rFonts w:ascii="Cambria" w:hAnsi="Cambria"/>
          <w:sz w:val="20"/>
          <w:szCs w:val="20"/>
          <w:lang w:val="es-ES"/>
        </w:rPr>
        <w:t>.</w:t>
      </w:r>
      <w:r w:rsidRPr="006312D9">
        <w:rPr>
          <w:rFonts w:ascii="Cambria" w:hAnsi="Cambria"/>
          <w:sz w:val="20"/>
          <w:szCs w:val="20"/>
          <w:lang w:val="es-ES"/>
        </w:rPr>
        <w:t xml:space="preserve"> </w:t>
      </w:r>
      <w:r w:rsidR="00CC794A">
        <w:rPr>
          <w:rFonts w:ascii="Cambria" w:hAnsi="Cambria"/>
          <w:sz w:val="20"/>
          <w:szCs w:val="20"/>
          <w:lang w:val="es-ES"/>
        </w:rPr>
        <w:t>En tales</w:t>
      </w:r>
      <w:r w:rsidRPr="006312D9">
        <w:rPr>
          <w:rFonts w:ascii="Cambria" w:hAnsi="Cambria"/>
          <w:sz w:val="20"/>
          <w:szCs w:val="20"/>
          <w:lang w:val="es-ES"/>
        </w:rPr>
        <w:t xml:space="preserve"> casos, </w:t>
      </w:r>
      <w:r w:rsidR="00CC794A">
        <w:rPr>
          <w:rFonts w:ascii="Cambria" w:hAnsi="Cambria"/>
          <w:sz w:val="20"/>
          <w:szCs w:val="20"/>
          <w:lang w:val="es-ES"/>
        </w:rPr>
        <w:t xml:space="preserve">dicho proceso </w:t>
      </w:r>
      <w:r w:rsidRPr="006312D9">
        <w:rPr>
          <w:rFonts w:ascii="Cambria" w:hAnsi="Cambria"/>
          <w:sz w:val="20"/>
          <w:szCs w:val="20"/>
          <w:lang w:val="es-ES"/>
        </w:rPr>
        <w:t>constituye la vía idónea para esclarecer los hechos, juzgar a los responsables y establecer las sanc</w:t>
      </w:r>
      <w:r w:rsidR="00A15BF4">
        <w:rPr>
          <w:rFonts w:ascii="Cambria" w:hAnsi="Cambria"/>
          <w:sz w:val="20"/>
          <w:szCs w:val="20"/>
          <w:lang w:val="es-ES"/>
        </w:rPr>
        <w:t>iones penales correspondientes.</w:t>
      </w:r>
    </w:p>
    <w:p w14:paraId="417FD5C3" w14:textId="77777777" w:rsidR="006603F7" w:rsidRDefault="006603F7" w:rsidP="006603F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339CA521" w14:textId="34DF0A88" w:rsidR="00247C61" w:rsidRPr="007B2CB4" w:rsidRDefault="00151633" w:rsidP="006603F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7B2CB4">
        <w:rPr>
          <w:rFonts w:ascii="Cambria" w:hAnsi="Cambria"/>
          <w:sz w:val="20"/>
          <w:szCs w:val="20"/>
          <w:lang w:val="es-ES"/>
        </w:rPr>
        <w:t xml:space="preserve">En cuanto a la presunta </w:t>
      </w:r>
      <w:r w:rsidR="007B2CB4" w:rsidRPr="007B2CB4">
        <w:rPr>
          <w:rFonts w:ascii="Cambria" w:hAnsi="Cambria"/>
          <w:sz w:val="20"/>
          <w:szCs w:val="20"/>
          <w:lang w:val="es-ES"/>
        </w:rPr>
        <w:t>víctima</w:t>
      </w:r>
      <w:r w:rsidRPr="007B2CB4">
        <w:rPr>
          <w:rFonts w:ascii="Cambria" w:hAnsi="Cambria"/>
          <w:sz w:val="20"/>
          <w:szCs w:val="20"/>
          <w:lang w:val="es-MX"/>
        </w:rPr>
        <w:t xml:space="preserve"> </w:t>
      </w:r>
      <w:r w:rsidRPr="007B2CB4">
        <w:rPr>
          <w:rFonts w:ascii="Cambria" w:hAnsi="Cambria"/>
          <w:sz w:val="20"/>
          <w:szCs w:val="20"/>
          <w:lang w:val="es-ES"/>
        </w:rPr>
        <w:t xml:space="preserve">Cerda Ángel, </w:t>
      </w:r>
      <w:r w:rsidR="00247C61" w:rsidRPr="007B2CB4">
        <w:rPr>
          <w:rFonts w:ascii="Cambria" w:hAnsi="Cambria"/>
          <w:bCs/>
          <w:sz w:val="20"/>
          <w:szCs w:val="20"/>
          <w:lang w:val="es-ES"/>
        </w:rPr>
        <w:t xml:space="preserve">lo alegado por el peticionario se basó en el Informe de la Comisión Nacional de Verdad y Reconciliación de Chile, </w:t>
      </w:r>
      <w:r w:rsidR="00CC794A">
        <w:rPr>
          <w:rFonts w:ascii="Cambria" w:hAnsi="Cambria"/>
          <w:bCs/>
          <w:sz w:val="20"/>
          <w:szCs w:val="20"/>
          <w:lang w:val="es-ES"/>
        </w:rPr>
        <w:t xml:space="preserve">por </w:t>
      </w:r>
      <w:r w:rsidR="00247C61" w:rsidRPr="007B2CB4">
        <w:rPr>
          <w:rFonts w:ascii="Cambria" w:hAnsi="Cambria"/>
          <w:bCs/>
          <w:sz w:val="20"/>
          <w:szCs w:val="20"/>
          <w:lang w:val="es-ES"/>
        </w:rPr>
        <w:t xml:space="preserve">el cual </w:t>
      </w:r>
      <w:r w:rsidR="00CC794A">
        <w:rPr>
          <w:rFonts w:ascii="Cambria" w:hAnsi="Cambria"/>
          <w:bCs/>
          <w:sz w:val="20"/>
          <w:szCs w:val="20"/>
          <w:lang w:val="es-ES"/>
        </w:rPr>
        <w:t>el Estado reconoció a</w:t>
      </w:r>
      <w:r w:rsidR="00247C61" w:rsidRPr="007B2CB4">
        <w:rPr>
          <w:rFonts w:ascii="Cambria" w:hAnsi="Cambria"/>
          <w:bCs/>
          <w:sz w:val="20"/>
          <w:szCs w:val="20"/>
          <w:lang w:val="es-ES"/>
        </w:rPr>
        <w:t xml:space="preserve"> la presunta víctima. </w:t>
      </w:r>
      <w:r w:rsidR="009C426B">
        <w:rPr>
          <w:rFonts w:ascii="Cambria" w:hAnsi="Cambria"/>
          <w:bCs/>
          <w:sz w:val="20"/>
          <w:szCs w:val="20"/>
          <w:lang w:val="es-ES"/>
        </w:rPr>
        <w:t>La</w:t>
      </w:r>
      <w:r w:rsidR="00247C61" w:rsidRPr="007B2CB4">
        <w:rPr>
          <w:rFonts w:ascii="Cambria" w:hAnsi="Cambria"/>
          <w:bCs/>
          <w:sz w:val="20"/>
          <w:szCs w:val="20"/>
          <w:lang w:val="es-ES"/>
        </w:rPr>
        <w:t xml:space="preserve"> Comisión concluye que el Estado </w:t>
      </w:r>
      <w:r w:rsidR="009C426B">
        <w:rPr>
          <w:rFonts w:ascii="Cambria" w:hAnsi="Cambria"/>
          <w:bCs/>
          <w:sz w:val="20"/>
          <w:szCs w:val="20"/>
          <w:lang w:val="es-ES"/>
        </w:rPr>
        <w:t xml:space="preserve">tenía </w:t>
      </w:r>
      <w:r w:rsidR="00247C61" w:rsidRPr="007B2CB4">
        <w:rPr>
          <w:rFonts w:ascii="Cambria" w:hAnsi="Cambria"/>
          <w:bCs/>
          <w:sz w:val="20"/>
          <w:szCs w:val="20"/>
          <w:lang w:val="es-ES"/>
        </w:rPr>
        <w:t>conocimiento de los hechos alegados</w:t>
      </w:r>
      <w:r w:rsidR="009C426B">
        <w:rPr>
          <w:rFonts w:ascii="Cambria" w:hAnsi="Cambria"/>
          <w:bCs/>
          <w:sz w:val="20"/>
          <w:szCs w:val="20"/>
          <w:lang w:val="es-ES"/>
        </w:rPr>
        <w:t xml:space="preserve">, pero la </w:t>
      </w:r>
      <w:r w:rsidR="003525DD">
        <w:rPr>
          <w:rFonts w:ascii="Cambria" w:hAnsi="Cambria"/>
          <w:bCs/>
          <w:sz w:val="20"/>
          <w:szCs w:val="20"/>
          <w:lang w:val="es-ES"/>
        </w:rPr>
        <w:t>información aportada</w:t>
      </w:r>
      <w:r w:rsidR="009C426B">
        <w:rPr>
          <w:rFonts w:ascii="Cambria" w:hAnsi="Cambria"/>
          <w:bCs/>
          <w:sz w:val="20"/>
          <w:szCs w:val="20"/>
          <w:lang w:val="es-ES"/>
        </w:rPr>
        <w:t xml:space="preserve"> por las partes en el presente asuntos no revela que se hubiera iniciado alguna </w:t>
      </w:r>
      <w:r w:rsidR="00247C61" w:rsidRPr="007B2CB4">
        <w:rPr>
          <w:rFonts w:ascii="Cambria" w:hAnsi="Cambria"/>
          <w:bCs/>
          <w:sz w:val="20"/>
          <w:szCs w:val="20"/>
          <w:lang w:val="es-ES"/>
        </w:rPr>
        <w:t xml:space="preserve">investigación penal, ni tomado las medidas necesarias </w:t>
      </w:r>
      <w:r w:rsidR="009C426B">
        <w:rPr>
          <w:rFonts w:ascii="Cambria" w:hAnsi="Cambria"/>
          <w:bCs/>
          <w:sz w:val="20"/>
          <w:szCs w:val="20"/>
          <w:lang w:val="es-ES"/>
        </w:rPr>
        <w:t>par</w:t>
      </w:r>
      <w:r w:rsidR="00247C61" w:rsidRPr="007B2CB4">
        <w:rPr>
          <w:rFonts w:ascii="Cambria" w:hAnsi="Cambria"/>
          <w:bCs/>
          <w:sz w:val="20"/>
          <w:szCs w:val="20"/>
          <w:lang w:val="es-ES"/>
        </w:rPr>
        <w:t xml:space="preserve">a responsabilizar a los </w:t>
      </w:r>
      <w:r w:rsidR="009C426B">
        <w:rPr>
          <w:rFonts w:ascii="Cambria" w:hAnsi="Cambria"/>
          <w:bCs/>
          <w:sz w:val="20"/>
          <w:szCs w:val="20"/>
          <w:lang w:val="es-ES"/>
        </w:rPr>
        <w:t>perpetradores</w:t>
      </w:r>
      <w:r w:rsidRPr="007B2CB4">
        <w:rPr>
          <w:rFonts w:ascii="Cambria" w:hAnsi="Cambria"/>
          <w:bCs/>
          <w:sz w:val="20"/>
          <w:szCs w:val="20"/>
          <w:lang w:val="es-ES"/>
        </w:rPr>
        <w:t>.</w:t>
      </w:r>
      <w:r w:rsidR="00A15BF4" w:rsidRPr="007B2CB4">
        <w:rPr>
          <w:rFonts w:ascii="Cambria" w:hAnsi="Cambria"/>
          <w:bCs/>
          <w:sz w:val="20"/>
          <w:szCs w:val="20"/>
          <w:lang w:val="es-ES"/>
        </w:rPr>
        <w:t xml:space="preserve"> </w:t>
      </w:r>
      <w:r w:rsidR="009C426B">
        <w:rPr>
          <w:rFonts w:ascii="Cambria" w:hAnsi="Cambria"/>
          <w:bCs/>
          <w:sz w:val="20"/>
          <w:szCs w:val="20"/>
          <w:lang w:val="es-ES"/>
        </w:rPr>
        <w:t xml:space="preserve">Por lo tanto, </w:t>
      </w:r>
      <w:r w:rsidR="009C426B" w:rsidRPr="007B2CB4">
        <w:rPr>
          <w:rFonts w:ascii="Cambria" w:hAnsi="Cambria"/>
          <w:bCs/>
          <w:sz w:val="20"/>
          <w:szCs w:val="20"/>
          <w:lang w:val="es-ES"/>
        </w:rPr>
        <w:t>en</w:t>
      </w:r>
      <w:r w:rsidR="00A15BF4" w:rsidRPr="007B2CB4">
        <w:rPr>
          <w:rFonts w:ascii="Cambria" w:hAnsi="Cambria"/>
          <w:bCs/>
          <w:sz w:val="20"/>
          <w:szCs w:val="20"/>
          <w:lang w:val="es-ES"/>
        </w:rPr>
        <w:t xml:space="preserve"> cuanto a la investigación penal la Comisión </w:t>
      </w:r>
      <w:r w:rsidR="009C426B" w:rsidRPr="007B2CB4">
        <w:rPr>
          <w:rFonts w:ascii="Cambria" w:hAnsi="Cambria"/>
          <w:bCs/>
          <w:sz w:val="20"/>
          <w:szCs w:val="20"/>
          <w:lang w:val="es-ES"/>
        </w:rPr>
        <w:t xml:space="preserve">aplica </w:t>
      </w:r>
      <w:r w:rsidR="009C426B">
        <w:rPr>
          <w:rFonts w:ascii="Cambria" w:hAnsi="Cambria"/>
          <w:bCs/>
          <w:sz w:val="20"/>
          <w:szCs w:val="20"/>
          <w:lang w:val="es-ES"/>
        </w:rPr>
        <w:t>a</w:t>
      </w:r>
      <w:r w:rsidR="00C24DA6">
        <w:rPr>
          <w:rFonts w:ascii="Cambria" w:hAnsi="Cambria"/>
          <w:bCs/>
          <w:sz w:val="20"/>
          <w:szCs w:val="20"/>
          <w:lang w:val="es-ES"/>
        </w:rPr>
        <w:t xml:space="preserve"> tales hechos</w:t>
      </w:r>
      <w:r w:rsidR="00A15BF4" w:rsidRPr="007B2CB4">
        <w:rPr>
          <w:rFonts w:ascii="Cambria" w:hAnsi="Cambria"/>
          <w:bCs/>
          <w:sz w:val="20"/>
          <w:szCs w:val="20"/>
          <w:lang w:val="es-ES"/>
        </w:rPr>
        <w:t xml:space="preserve"> la excepción al agotamiento de los recursos internos prevista en el artículo 46.2.c de la Convención</w:t>
      </w:r>
      <w:r w:rsidR="009C426B">
        <w:rPr>
          <w:rFonts w:ascii="Cambria" w:hAnsi="Cambria"/>
          <w:bCs/>
          <w:sz w:val="20"/>
          <w:szCs w:val="20"/>
          <w:lang w:val="es-ES"/>
        </w:rPr>
        <w:t xml:space="preserve"> Americana</w:t>
      </w:r>
      <w:r w:rsidR="00A15BF4" w:rsidRPr="007B2CB4">
        <w:rPr>
          <w:rFonts w:ascii="Cambria" w:hAnsi="Cambria"/>
          <w:bCs/>
          <w:sz w:val="20"/>
          <w:szCs w:val="20"/>
          <w:lang w:val="es-ES"/>
        </w:rPr>
        <w:t>.</w:t>
      </w:r>
    </w:p>
    <w:p w14:paraId="715BA4A3" w14:textId="77777777" w:rsidR="006603F7" w:rsidRPr="006603F7" w:rsidRDefault="006603F7" w:rsidP="006603F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1D5D093F" w14:textId="603877E0" w:rsidR="007B2CB4" w:rsidRPr="007B2CB4" w:rsidRDefault="009C426B" w:rsidP="006603F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Pr>
          <w:rFonts w:ascii="Cambria" w:hAnsi="Cambria"/>
          <w:sz w:val="20"/>
          <w:szCs w:val="20"/>
          <w:lang w:val="es-ES"/>
        </w:rPr>
        <w:t xml:space="preserve">Respecto </w:t>
      </w:r>
      <w:r w:rsidR="00FB2792" w:rsidRPr="007B2CB4">
        <w:rPr>
          <w:rFonts w:ascii="Cambria" w:hAnsi="Cambria"/>
          <w:sz w:val="20"/>
          <w:szCs w:val="20"/>
          <w:lang w:val="es-ES"/>
        </w:rPr>
        <w:t xml:space="preserve">a la presunta víctima Gutiérrez Martinez, </w:t>
      </w:r>
      <w:r w:rsidR="00FB2792" w:rsidRPr="00A15BF4">
        <w:rPr>
          <w:rFonts w:ascii="Cambria" w:hAnsi="Cambria"/>
          <w:sz w:val="20"/>
          <w:szCs w:val="20"/>
          <w:lang w:val="es-ES"/>
        </w:rPr>
        <w:t xml:space="preserve">se presentó </w:t>
      </w:r>
      <w:r>
        <w:rPr>
          <w:rFonts w:ascii="Cambria" w:hAnsi="Cambria"/>
          <w:sz w:val="20"/>
          <w:szCs w:val="20"/>
          <w:lang w:val="es-ES"/>
        </w:rPr>
        <w:t xml:space="preserve">un </w:t>
      </w:r>
      <w:r w:rsidR="00FB2792" w:rsidRPr="00A15BF4">
        <w:rPr>
          <w:rFonts w:ascii="Cambria" w:hAnsi="Cambria"/>
          <w:sz w:val="20"/>
          <w:szCs w:val="20"/>
          <w:lang w:val="es-ES"/>
        </w:rPr>
        <w:t>recurso de querella por presunta desgracia ante el 4° Juzgado del Crimen de Valparaíso</w:t>
      </w:r>
      <w:r>
        <w:rPr>
          <w:rFonts w:ascii="Cambria" w:hAnsi="Cambria"/>
          <w:sz w:val="20"/>
          <w:szCs w:val="20"/>
          <w:lang w:val="es-ES"/>
        </w:rPr>
        <w:t xml:space="preserve">, </w:t>
      </w:r>
      <w:r w:rsidR="00554B0B" w:rsidRPr="00A15BF4">
        <w:rPr>
          <w:rFonts w:ascii="Cambria" w:hAnsi="Cambria"/>
          <w:sz w:val="20"/>
          <w:szCs w:val="20"/>
          <w:lang w:val="es-ES"/>
        </w:rPr>
        <w:t xml:space="preserve">causa </w:t>
      </w:r>
      <w:r>
        <w:rPr>
          <w:rFonts w:ascii="Cambria" w:hAnsi="Cambria"/>
          <w:sz w:val="20"/>
          <w:szCs w:val="20"/>
          <w:lang w:val="es-ES"/>
        </w:rPr>
        <w:t xml:space="preserve">que </w:t>
      </w:r>
      <w:r w:rsidR="00554B0B" w:rsidRPr="00A15BF4">
        <w:rPr>
          <w:rFonts w:ascii="Cambria" w:hAnsi="Cambria"/>
          <w:sz w:val="20"/>
          <w:szCs w:val="20"/>
          <w:lang w:val="es-ES"/>
        </w:rPr>
        <w:t>fue traslada</w:t>
      </w:r>
      <w:r>
        <w:rPr>
          <w:rFonts w:ascii="Cambria" w:hAnsi="Cambria"/>
          <w:sz w:val="20"/>
          <w:szCs w:val="20"/>
          <w:lang w:val="es-ES"/>
        </w:rPr>
        <w:t>da</w:t>
      </w:r>
      <w:r w:rsidR="00554B0B" w:rsidRPr="00A15BF4">
        <w:rPr>
          <w:rFonts w:ascii="Cambria" w:hAnsi="Cambria"/>
          <w:sz w:val="20"/>
          <w:szCs w:val="20"/>
          <w:lang w:val="es-ES"/>
        </w:rPr>
        <w:t xml:space="preserve"> a la Justicia Militar</w:t>
      </w:r>
      <w:r>
        <w:rPr>
          <w:rFonts w:ascii="Cambria" w:hAnsi="Cambria"/>
          <w:sz w:val="20"/>
          <w:szCs w:val="20"/>
          <w:lang w:val="es-ES"/>
        </w:rPr>
        <w:t>.</w:t>
      </w:r>
      <w:r w:rsidR="00554B0B" w:rsidRPr="00A15BF4">
        <w:rPr>
          <w:rFonts w:ascii="Cambria" w:hAnsi="Cambria"/>
          <w:sz w:val="20"/>
          <w:szCs w:val="20"/>
          <w:lang w:val="es-ES"/>
        </w:rPr>
        <w:t xml:space="preserve"> </w:t>
      </w:r>
      <w:r>
        <w:rPr>
          <w:rFonts w:ascii="Cambria" w:hAnsi="Cambria"/>
          <w:sz w:val="20"/>
          <w:szCs w:val="20"/>
          <w:lang w:val="es-ES"/>
        </w:rPr>
        <w:t>E</w:t>
      </w:r>
      <w:r w:rsidR="00554B0B" w:rsidRPr="00A15BF4">
        <w:rPr>
          <w:rFonts w:ascii="Cambria" w:hAnsi="Cambria"/>
          <w:sz w:val="20"/>
          <w:szCs w:val="20"/>
          <w:lang w:val="es-ES"/>
        </w:rPr>
        <w:t xml:space="preserve">l 11 de agosto de 1983 se cerró el sumario y en noviembre </w:t>
      </w:r>
      <w:r>
        <w:rPr>
          <w:rFonts w:ascii="Cambria" w:hAnsi="Cambria"/>
          <w:sz w:val="20"/>
          <w:szCs w:val="20"/>
          <w:lang w:val="es-ES"/>
        </w:rPr>
        <w:t xml:space="preserve">del mismo año </w:t>
      </w:r>
      <w:r w:rsidR="00554B0B" w:rsidRPr="00A15BF4">
        <w:rPr>
          <w:rFonts w:ascii="Cambria" w:hAnsi="Cambria"/>
          <w:sz w:val="20"/>
          <w:szCs w:val="20"/>
          <w:lang w:val="es-ES"/>
        </w:rPr>
        <w:t xml:space="preserve">se sobreseyó definitivamente la causa </w:t>
      </w:r>
      <w:r>
        <w:rPr>
          <w:rFonts w:ascii="Cambria" w:hAnsi="Cambria"/>
          <w:sz w:val="20"/>
          <w:szCs w:val="20"/>
          <w:lang w:val="es-ES"/>
        </w:rPr>
        <w:t xml:space="preserve">por </w:t>
      </w:r>
      <w:r w:rsidR="00554B0B" w:rsidRPr="00A15BF4">
        <w:rPr>
          <w:rFonts w:ascii="Cambria" w:hAnsi="Cambria"/>
          <w:sz w:val="20"/>
          <w:szCs w:val="20"/>
          <w:lang w:val="es-ES"/>
        </w:rPr>
        <w:t>aplic</w:t>
      </w:r>
      <w:r>
        <w:rPr>
          <w:rFonts w:ascii="Cambria" w:hAnsi="Cambria"/>
          <w:sz w:val="20"/>
          <w:szCs w:val="20"/>
          <w:lang w:val="es-ES"/>
        </w:rPr>
        <w:t xml:space="preserve">ación de </w:t>
      </w:r>
      <w:r w:rsidR="00554B0B" w:rsidRPr="00A15BF4">
        <w:rPr>
          <w:rFonts w:ascii="Cambria" w:hAnsi="Cambria"/>
          <w:sz w:val="20"/>
          <w:szCs w:val="20"/>
          <w:lang w:val="es-ES"/>
        </w:rPr>
        <w:t>la Ley de Amnistía</w:t>
      </w:r>
      <w:r w:rsidR="0077634C" w:rsidRPr="00A15BF4">
        <w:rPr>
          <w:rFonts w:ascii="Cambria" w:hAnsi="Cambria"/>
          <w:sz w:val="20"/>
          <w:szCs w:val="20"/>
          <w:lang w:val="es-ES"/>
        </w:rPr>
        <w:t>, decisión confirmada en 1989</w:t>
      </w:r>
      <w:r w:rsidR="00517054" w:rsidRPr="00A15BF4">
        <w:rPr>
          <w:rFonts w:ascii="Cambria" w:hAnsi="Cambria"/>
          <w:sz w:val="20"/>
          <w:szCs w:val="20"/>
          <w:lang w:val="es-ES"/>
        </w:rPr>
        <w:t xml:space="preserve">. Se </w:t>
      </w:r>
      <w:r>
        <w:rPr>
          <w:rFonts w:ascii="Cambria" w:hAnsi="Cambria"/>
          <w:sz w:val="20"/>
          <w:szCs w:val="20"/>
          <w:lang w:val="es-ES"/>
        </w:rPr>
        <w:t xml:space="preserve">planteó asimismo un </w:t>
      </w:r>
      <w:r w:rsidR="00517054" w:rsidRPr="00A15BF4">
        <w:rPr>
          <w:rFonts w:ascii="Cambria" w:hAnsi="Cambria"/>
          <w:sz w:val="20"/>
          <w:szCs w:val="20"/>
          <w:lang w:val="es-ES"/>
        </w:rPr>
        <w:t>recurso de apelación</w:t>
      </w:r>
      <w:r>
        <w:rPr>
          <w:rFonts w:ascii="Cambria" w:hAnsi="Cambria"/>
          <w:sz w:val="20"/>
          <w:szCs w:val="20"/>
          <w:lang w:val="es-ES"/>
        </w:rPr>
        <w:t>, cuyo resultado no consta en el expediente ante la CIDH</w:t>
      </w:r>
      <w:r w:rsidR="0077634C" w:rsidRPr="00A15BF4">
        <w:rPr>
          <w:rFonts w:ascii="Cambria" w:hAnsi="Cambria"/>
          <w:sz w:val="20"/>
          <w:szCs w:val="20"/>
          <w:lang w:val="es-ES"/>
        </w:rPr>
        <w:t>.</w:t>
      </w:r>
      <w:r w:rsidR="00A75C71" w:rsidRPr="00A15BF4">
        <w:rPr>
          <w:rFonts w:ascii="Cambria" w:hAnsi="Cambria"/>
          <w:sz w:val="20"/>
          <w:szCs w:val="20"/>
          <w:lang w:val="es-ES"/>
        </w:rPr>
        <w:t xml:space="preserve"> </w:t>
      </w:r>
      <w:r>
        <w:rPr>
          <w:rFonts w:ascii="Cambria" w:hAnsi="Cambria"/>
          <w:sz w:val="20"/>
          <w:szCs w:val="20"/>
          <w:lang w:val="es-ES"/>
        </w:rPr>
        <w:t>Por otra parte, el</w:t>
      </w:r>
      <w:r w:rsidR="00A75C71" w:rsidRPr="00A15BF4">
        <w:rPr>
          <w:rFonts w:ascii="Cambria" w:hAnsi="Cambria"/>
          <w:sz w:val="20"/>
          <w:szCs w:val="20"/>
          <w:lang w:val="es-ES"/>
        </w:rPr>
        <w:t xml:space="preserve"> 20 de enero de 1976, la Corte Suprema confirmó el rechazo del recurso de amparo presentado ante la Corte de Apelaciones de Santiago.</w:t>
      </w:r>
      <w:r w:rsidR="00FF7A7C" w:rsidRPr="00A15BF4">
        <w:rPr>
          <w:rFonts w:ascii="Cambria" w:hAnsi="Cambria"/>
          <w:sz w:val="20"/>
          <w:szCs w:val="20"/>
          <w:lang w:val="es-ES"/>
        </w:rPr>
        <w:t xml:space="preserve"> </w:t>
      </w:r>
      <w:r>
        <w:rPr>
          <w:rFonts w:ascii="Cambria" w:hAnsi="Cambria"/>
          <w:sz w:val="20"/>
          <w:szCs w:val="20"/>
          <w:lang w:val="es-ES"/>
        </w:rPr>
        <w:t>La</w:t>
      </w:r>
      <w:r w:rsidR="00187839" w:rsidRPr="00A15BF4">
        <w:rPr>
          <w:rFonts w:ascii="Cambria" w:hAnsi="Cambria"/>
          <w:sz w:val="20"/>
          <w:szCs w:val="20"/>
          <w:lang w:val="es-ES"/>
        </w:rPr>
        <w:t xml:space="preserve"> Comisión ha señalado de forma reiterada que la jurisdicción militar no constituye un foro apropiado para investigar, juzgar y sancionar las alegadas violaciones </w:t>
      </w:r>
      <w:r>
        <w:rPr>
          <w:rFonts w:ascii="Cambria" w:hAnsi="Cambria"/>
          <w:sz w:val="20"/>
          <w:szCs w:val="20"/>
          <w:lang w:val="es-ES"/>
        </w:rPr>
        <w:t>de</w:t>
      </w:r>
      <w:r w:rsidR="00187839" w:rsidRPr="00A15BF4">
        <w:rPr>
          <w:rFonts w:ascii="Cambria" w:hAnsi="Cambria"/>
          <w:sz w:val="20"/>
          <w:szCs w:val="20"/>
          <w:lang w:val="es-ES"/>
        </w:rPr>
        <w:t xml:space="preserve"> derechos humanos </w:t>
      </w:r>
      <w:r>
        <w:rPr>
          <w:rFonts w:ascii="Cambria" w:hAnsi="Cambria"/>
          <w:sz w:val="20"/>
          <w:szCs w:val="20"/>
          <w:lang w:val="es-ES"/>
        </w:rPr>
        <w:t xml:space="preserve">reconocidos </w:t>
      </w:r>
      <w:r w:rsidR="00187839" w:rsidRPr="00A15BF4">
        <w:rPr>
          <w:rFonts w:ascii="Cambria" w:hAnsi="Cambria"/>
          <w:sz w:val="20"/>
          <w:szCs w:val="20"/>
          <w:lang w:val="es-ES"/>
        </w:rPr>
        <w:t xml:space="preserve">en la Convención Americana, presuntamente cometidas por miembros de la Fuerza Pública o con su colaboración o </w:t>
      </w:r>
      <w:r w:rsidR="00187839" w:rsidRPr="00A15BF4">
        <w:rPr>
          <w:rFonts w:ascii="Cambria" w:hAnsi="Cambria"/>
          <w:sz w:val="20"/>
          <w:szCs w:val="20"/>
          <w:lang w:val="es-ES"/>
        </w:rPr>
        <w:lastRenderedPageBreak/>
        <w:t>aquiescencia</w:t>
      </w:r>
      <w:r w:rsidR="00187839" w:rsidRPr="00BE1A3D">
        <w:rPr>
          <w:rStyle w:val="FootnoteReference"/>
          <w:rFonts w:ascii="Cambria" w:hAnsi="Cambria"/>
          <w:sz w:val="20"/>
          <w:szCs w:val="20"/>
          <w:lang w:val="es-ES"/>
        </w:rPr>
        <w:footnoteReference w:id="8"/>
      </w:r>
      <w:r>
        <w:rPr>
          <w:rFonts w:ascii="Cambria" w:hAnsi="Cambria"/>
          <w:sz w:val="20"/>
          <w:szCs w:val="20"/>
          <w:lang w:val="es-ES"/>
        </w:rPr>
        <w:t xml:space="preserve">; por lo tanto, </w:t>
      </w:r>
      <w:r w:rsidRPr="00A15BF4">
        <w:rPr>
          <w:rFonts w:ascii="Cambria" w:hAnsi="Cambria"/>
          <w:sz w:val="20"/>
          <w:szCs w:val="20"/>
          <w:lang w:val="es-ES"/>
        </w:rPr>
        <w:t xml:space="preserve">no </w:t>
      </w:r>
      <w:r>
        <w:rPr>
          <w:rFonts w:ascii="Cambria" w:hAnsi="Cambria"/>
          <w:sz w:val="20"/>
          <w:szCs w:val="20"/>
          <w:lang w:val="es-ES"/>
        </w:rPr>
        <w:t xml:space="preserve">son </w:t>
      </w:r>
      <w:r w:rsidRPr="00A15BF4">
        <w:rPr>
          <w:rFonts w:ascii="Cambria" w:hAnsi="Cambria"/>
          <w:sz w:val="20"/>
          <w:szCs w:val="20"/>
          <w:lang w:val="es-ES"/>
        </w:rPr>
        <w:t>adecuado</w:t>
      </w:r>
      <w:r>
        <w:rPr>
          <w:rFonts w:ascii="Cambria" w:hAnsi="Cambria"/>
          <w:sz w:val="20"/>
          <w:szCs w:val="20"/>
          <w:lang w:val="es-ES"/>
        </w:rPr>
        <w:t>s los recursos ante dicho fuero</w:t>
      </w:r>
      <w:r w:rsidR="00187839" w:rsidRPr="00A15BF4">
        <w:rPr>
          <w:rFonts w:ascii="Cambria" w:hAnsi="Cambria"/>
          <w:sz w:val="20"/>
          <w:szCs w:val="20"/>
          <w:lang w:val="es-ES"/>
        </w:rPr>
        <w:t>. La C</w:t>
      </w:r>
      <w:r w:rsidR="00C24DA6">
        <w:rPr>
          <w:rFonts w:ascii="Cambria" w:hAnsi="Cambria"/>
          <w:sz w:val="20"/>
          <w:szCs w:val="20"/>
          <w:lang w:val="es-ES"/>
        </w:rPr>
        <w:t>IDH</w:t>
      </w:r>
      <w:r w:rsidR="00187839" w:rsidRPr="00A15BF4">
        <w:rPr>
          <w:rFonts w:ascii="Cambria" w:hAnsi="Cambria"/>
          <w:sz w:val="20"/>
          <w:szCs w:val="20"/>
          <w:lang w:val="es-ES"/>
        </w:rPr>
        <w:t xml:space="preserve"> observa que, trascurridos más de 40 años, no se han acla</w:t>
      </w:r>
      <w:r w:rsidR="002F7FAE">
        <w:rPr>
          <w:rFonts w:ascii="Cambria" w:hAnsi="Cambria"/>
          <w:sz w:val="20"/>
          <w:szCs w:val="20"/>
          <w:lang w:val="es-ES"/>
        </w:rPr>
        <w:t xml:space="preserve">recido los hechos de detención </w:t>
      </w:r>
      <w:r w:rsidR="00187839" w:rsidRPr="00A15BF4">
        <w:rPr>
          <w:rFonts w:ascii="Cambria" w:hAnsi="Cambria"/>
          <w:sz w:val="20"/>
          <w:szCs w:val="20"/>
          <w:lang w:val="es-ES"/>
        </w:rPr>
        <w:t xml:space="preserve">y desaparición, ni sancionado a los responsables. En </w:t>
      </w:r>
      <w:r w:rsidR="00C24DA6">
        <w:rPr>
          <w:rFonts w:ascii="Cambria" w:hAnsi="Cambria"/>
          <w:sz w:val="20"/>
          <w:szCs w:val="20"/>
          <w:lang w:val="es-ES"/>
        </w:rPr>
        <w:t>consecuencia</w:t>
      </w:r>
      <w:r w:rsidR="00187839" w:rsidRPr="00A15BF4">
        <w:rPr>
          <w:rFonts w:ascii="Cambria" w:hAnsi="Cambria"/>
          <w:sz w:val="20"/>
          <w:szCs w:val="20"/>
          <w:lang w:val="es-ES"/>
        </w:rPr>
        <w:t xml:space="preserve">, </w:t>
      </w:r>
      <w:r w:rsidR="00C24DA6">
        <w:rPr>
          <w:rFonts w:ascii="Cambria" w:hAnsi="Cambria"/>
          <w:sz w:val="20"/>
          <w:szCs w:val="20"/>
          <w:lang w:val="es-ES"/>
        </w:rPr>
        <w:t xml:space="preserve">decide </w:t>
      </w:r>
      <w:r w:rsidR="00187839" w:rsidRPr="00A15BF4">
        <w:rPr>
          <w:rFonts w:ascii="Cambria" w:hAnsi="Cambria"/>
          <w:sz w:val="20"/>
          <w:szCs w:val="20"/>
          <w:lang w:val="es-ES"/>
        </w:rPr>
        <w:t>aplica</w:t>
      </w:r>
      <w:r w:rsidR="00C24DA6">
        <w:rPr>
          <w:rFonts w:ascii="Cambria" w:hAnsi="Cambria"/>
          <w:sz w:val="20"/>
          <w:szCs w:val="20"/>
          <w:lang w:val="es-ES"/>
        </w:rPr>
        <w:t>r</w:t>
      </w:r>
      <w:r w:rsidR="00187839" w:rsidRPr="00A15BF4">
        <w:rPr>
          <w:rFonts w:ascii="Cambria" w:hAnsi="Cambria"/>
          <w:sz w:val="20"/>
          <w:szCs w:val="20"/>
          <w:lang w:val="es-ES"/>
        </w:rPr>
        <w:t xml:space="preserve"> </w:t>
      </w:r>
      <w:r w:rsidR="00C24DA6">
        <w:rPr>
          <w:rFonts w:ascii="Cambria" w:hAnsi="Cambria"/>
          <w:sz w:val="20"/>
          <w:szCs w:val="20"/>
          <w:lang w:val="es-ES"/>
        </w:rPr>
        <w:t xml:space="preserve">igualmente a estos hechos </w:t>
      </w:r>
      <w:r w:rsidR="00187839" w:rsidRPr="00A15BF4">
        <w:rPr>
          <w:rFonts w:ascii="Cambria" w:hAnsi="Cambria"/>
          <w:sz w:val="20"/>
          <w:szCs w:val="20"/>
          <w:lang w:val="es-ES"/>
        </w:rPr>
        <w:t>la excepción al agotamiento de los recursos internos prevista en el artículo 46.2.c de la Convención</w:t>
      </w:r>
      <w:r w:rsidR="00FF7A7C" w:rsidRPr="00A15BF4">
        <w:rPr>
          <w:rFonts w:ascii="Cambria" w:hAnsi="Cambria"/>
          <w:sz w:val="20"/>
          <w:szCs w:val="20"/>
          <w:lang w:val="es-ES"/>
        </w:rPr>
        <w:t xml:space="preserve"> </w:t>
      </w:r>
      <w:r w:rsidR="00C24DA6">
        <w:rPr>
          <w:rFonts w:ascii="Cambria" w:hAnsi="Cambria"/>
          <w:sz w:val="20"/>
          <w:szCs w:val="20"/>
          <w:lang w:val="es-ES"/>
        </w:rPr>
        <w:t>Americana</w:t>
      </w:r>
      <w:r w:rsidR="007B2CB4">
        <w:rPr>
          <w:rFonts w:ascii="Cambria" w:hAnsi="Cambria"/>
          <w:sz w:val="20"/>
          <w:szCs w:val="20"/>
          <w:lang w:val="es-ES"/>
        </w:rPr>
        <w:t>.</w:t>
      </w:r>
    </w:p>
    <w:p w14:paraId="0AC2F96F" w14:textId="77777777" w:rsidR="006603F7" w:rsidRPr="006603F7" w:rsidRDefault="006603F7" w:rsidP="006603F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6B0F3AE1" w14:textId="63C8005E" w:rsidR="00187839" w:rsidRPr="007B2CB4" w:rsidRDefault="00187839" w:rsidP="006603F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A15BF4">
        <w:rPr>
          <w:rFonts w:ascii="Cambria" w:hAnsi="Cambria"/>
          <w:sz w:val="20"/>
          <w:szCs w:val="20"/>
          <w:lang w:val="es-ES"/>
        </w:rPr>
        <w:t xml:space="preserve">En vista del contexto y las características de la petición, la Comisión </w:t>
      </w:r>
      <w:r w:rsidRPr="007B2CB4">
        <w:rPr>
          <w:rFonts w:ascii="Cambria" w:hAnsi="Cambria"/>
          <w:sz w:val="20"/>
          <w:szCs w:val="20"/>
          <w:lang w:val="es-ES"/>
        </w:rPr>
        <w:t xml:space="preserve">considera que fue presentada dentro de un plazo razonable y que debe darse por satisfecho el </w:t>
      </w:r>
      <w:r w:rsidR="00C24DA6">
        <w:rPr>
          <w:rFonts w:ascii="Cambria" w:hAnsi="Cambria"/>
          <w:sz w:val="20"/>
          <w:szCs w:val="20"/>
          <w:lang w:val="es-ES"/>
        </w:rPr>
        <w:t xml:space="preserve">respectivo </w:t>
      </w:r>
      <w:r w:rsidRPr="007B2CB4">
        <w:rPr>
          <w:rFonts w:ascii="Cambria" w:hAnsi="Cambria"/>
          <w:sz w:val="20"/>
          <w:szCs w:val="20"/>
          <w:lang w:val="es-ES"/>
        </w:rPr>
        <w:t>requisito de admisibilidad</w:t>
      </w:r>
      <w:r w:rsidRPr="007B2CB4">
        <w:rPr>
          <w:rFonts w:asciiTheme="majorHAnsi" w:hAnsiTheme="majorHAnsi"/>
          <w:sz w:val="20"/>
          <w:szCs w:val="20"/>
          <w:lang w:val="es-ES"/>
        </w:rPr>
        <w:t>.</w:t>
      </w:r>
    </w:p>
    <w:p w14:paraId="797BE1BD" w14:textId="77777777" w:rsidR="006603F7" w:rsidRPr="006603F7" w:rsidRDefault="006603F7" w:rsidP="006603F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55252B49" w14:textId="74E7BE49" w:rsidR="0061111D" w:rsidRPr="007B2CB4" w:rsidRDefault="000C4E62" w:rsidP="006603F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7B2CB4">
        <w:rPr>
          <w:rFonts w:asciiTheme="majorHAnsi" w:hAnsiTheme="majorHAnsi"/>
          <w:bCs/>
          <w:sz w:val="20"/>
          <w:szCs w:val="20"/>
          <w:lang w:val="es-ES"/>
        </w:rPr>
        <w:t>Adicionalmente, en</w:t>
      </w:r>
      <w:r w:rsidRPr="007B2CB4">
        <w:rPr>
          <w:rFonts w:asciiTheme="majorHAnsi" w:hAnsiTheme="majorHAnsi"/>
          <w:sz w:val="20"/>
          <w:szCs w:val="20"/>
          <w:lang w:val="es-ES"/>
        </w:rPr>
        <w:t xml:space="preserve"> cuanto a los procesos de reparación ante la jurisdicción civil, la Comisión ha sostenido reiteradamente que dicha vía no constituye un recurso idóneo a efectos de analizar la admisibilidad de un reclamo de naturaleza </w:t>
      </w:r>
      <w:r w:rsidR="00C24DA6">
        <w:rPr>
          <w:rFonts w:asciiTheme="majorHAnsi" w:hAnsiTheme="majorHAnsi"/>
          <w:sz w:val="20"/>
          <w:szCs w:val="20"/>
          <w:lang w:val="es-ES"/>
        </w:rPr>
        <w:t xml:space="preserve">como la </w:t>
      </w:r>
      <w:r w:rsidRPr="007B2CB4">
        <w:rPr>
          <w:rFonts w:asciiTheme="majorHAnsi" w:hAnsiTheme="majorHAnsi"/>
          <w:sz w:val="20"/>
          <w:szCs w:val="20"/>
          <w:lang w:val="es-ES"/>
        </w:rPr>
        <w:t>del presente</w:t>
      </w:r>
      <w:r w:rsidR="00C24DA6">
        <w:rPr>
          <w:rFonts w:asciiTheme="majorHAnsi" w:hAnsiTheme="majorHAnsi"/>
          <w:sz w:val="20"/>
          <w:szCs w:val="20"/>
          <w:lang w:val="es-ES"/>
        </w:rPr>
        <w:t xml:space="preserve"> asunto</w:t>
      </w:r>
      <w:r w:rsidRPr="007B2CB4">
        <w:rPr>
          <w:rStyle w:val="FootnoteReference"/>
          <w:rFonts w:asciiTheme="majorHAnsi" w:hAnsiTheme="majorHAnsi"/>
          <w:sz w:val="20"/>
          <w:szCs w:val="20"/>
          <w:lang w:val="es-ES"/>
        </w:rPr>
        <w:footnoteReference w:id="9"/>
      </w:r>
      <w:r w:rsidRPr="007B2CB4">
        <w:rPr>
          <w:rFonts w:asciiTheme="majorHAnsi" w:hAnsiTheme="majorHAnsi"/>
          <w:sz w:val="20"/>
          <w:szCs w:val="20"/>
          <w:lang w:val="es-ES"/>
        </w:rPr>
        <w:t xml:space="preserve">, ya que no es adecuada para proporcionar una reparación integral que incluye esclarecimiento y justicia a los familiares. Sin perjuicio de lo mencionado, </w:t>
      </w:r>
      <w:r w:rsidR="00C24DA6">
        <w:rPr>
          <w:rFonts w:asciiTheme="majorHAnsi" w:hAnsiTheme="majorHAnsi"/>
          <w:sz w:val="20"/>
          <w:szCs w:val="20"/>
          <w:lang w:val="es-ES"/>
        </w:rPr>
        <w:t xml:space="preserve">la CIDH </w:t>
      </w:r>
      <w:r w:rsidRPr="007B2CB4">
        <w:rPr>
          <w:rFonts w:asciiTheme="majorHAnsi" w:hAnsiTheme="majorHAnsi"/>
          <w:sz w:val="20"/>
          <w:szCs w:val="20"/>
          <w:lang w:val="es-ES"/>
        </w:rPr>
        <w:t xml:space="preserve">se observa que </w:t>
      </w:r>
      <w:r w:rsidR="00C24DA6">
        <w:rPr>
          <w:rFonts w:asciiTheme="majorHAnsi" w:hAnsiTheme="majorHAnsi"/>
          <w:sz w:val="20"/>
          <w:szCs w:val="20"/>
          <w:lang w:val="es-ES"/>
        </w:rPr>
        <w:t xml:space="preserve">el peticionario </w:t>
      </w:r>
      <w:r w:rsidRPr="007B2CB4">
        <w:rPr>
          <w:rFonts w:asciiTheme="majorHAnsi" w:hAnsiTheme="majorHAnsi"/>
          <w:sz w:val="20"/>
          <w:szCs w:val="20"/>
          <w:lang w:val="es-ES"/>
        </w:rPr>
        <w:t>alega además violaciones concretas en el marco de la demanda de reparación directa.</w:t>
      </w:r>
    </w:p>
    <w:p w14:paraId="5155E7B0" w14:textId="77777777" w:rsidR="006603F7" w:rsidRPr="006603F7" w:rsidRDefault="006603F7" w:rsidP="006603F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54F38925" w14:textId="20900D2B" w:rsidR="0061111D" w:rsidRDefault="00EE7D6D" w:rsidP="006603F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A2280D">
        <w:rPr>
          <w:rFonts w:asciiTheme="majorHAnsi" w:hAnsiTheme="majorHAnsi"/>
          <w:sz w:val="20"/>
          <w:szCs w:val="20"/>
          <w:lang w:val="es-ES"/>
        </w:rPr>
        <w:t xml:space="preserve">Los familiares de </w:t>
      </w:r>
      <w:r w:rsidR="000E12EC">
        <w:rPr>
          <w:rFonts w:asciiTheme="majorHAnsi" w:hAnsiTheme="majorHAnsi"/>
          <w:sz w:val="20"/>
          <w:szCs w:val="20"/>
          <w:lang w:val="es-ES"/>
        </w:rPr>
        <w:t xml:space="preserve">la presunta víctima </w:t>
      </w:r>
      <w:r w:rsidR="00602B03" w:rsidRPr="00A2280D">
        <w:rPr>
          <w:rFonts w:asciiTheme="majorHAnsi" w:hAnsiTheme="majorHAnsi"/>
          <w:sz w:val="20"/>
          <w:szCs w:val="20"/>
          <w:lang w:val="es-ES"/>
        </w:rPr>
        <w:t xml:space="preserve">Cerda Ángel </w:t>
      </w:r>
      <w:r w:rsidRPr="00A2280D">
        <w:rPr>
          <w:rFonts w:asciiTheme="majorHAnsi" w:hAnsiTheme="majorHAnsi"/>
          <w:sz w:val="20"/>
          <w:szCs w:val="20"/>
          <w:lang w:val="es-ES"/>
        </w:rPr>
        <w:t>presentaron una demanda civil ante el 13</w:t>
      </w:r>
      <w:r w:rsidRPr="00A2280D">
        <w:rPr>
          <w:rFonts w:asciiTheme="majorHAnsi" w:hAnsiTheme="majorHAnsi"/>
          <w:sz w:val="20"/>
          <w:szCs w:val="20"/>
          <w:vertAlign w:val="superscript"/>
          <w:lang w:val="es-ES"/>
        </w:rPr>
        <w:t>o</w:t>
      </w:r>
      <w:r w:rsidRPr="00A2280D">
        <w:rPr>
          <w:rFonts w:asciiTheme="majorHAnsi" w:hAnsiTheme="majorHAnsi"/>
          <w:sz w:val="20"/>
          <w:szCs w:val="20"/>
          <w:lang w:val="es-ES"/>
        </w:rPr>
        <w:t xml:space="preserve"> Juzgado Civil de Santiago, </w:t>
      </w:r>
      <w:r w:rsidR="00C24DA6">
        <w:rPr>
          <w:rFonts w:asciiTheme="majorHAnsi" w:hAnsiTheme="majorHAnsi"/>
          <w:sz w:val="20"/>
          <w:szCs w:val="20"/>
          <w:lang w:val="es-ES"/>
        </w:rPr>
        <w:t>que</w:t>
      </w:r>
      <w:r w:rsidRPr="00A2280D">
        <w:rPr>
          <w:rFonts w:asciiTheme="majorHAnsi" w:hAnsiTheme="majorHAnsi"/>
          <w:sz w:val="20"/>
          <w:szCs w:val="20"/>
          <w:lang w:val="es-ES"/>
        </w:rPr>
        <w:t xml:space="preserve"> fue rechazada </w:t>
      </w:r>
      <w:r w:rsidR="00C24DA6">
        <w:rPr>
          <w:rFonts w:asciiTheme="majorHAnsi" w:hAnsiTheme="majorHAnsi"/>
          <w:sz w:val="20"/>
          <w:szCs w:val="20"/>
          <w:lang w:val="es-ES"/>
        </w:rPr>
        <w:t xml:space="preserve">mediante </w:t>
      </w:r>
      <w:r w:rsidRPr="00A2280D">
        <w:rPr>
          <w:rFonts w:asciiTheme="majorHAnsi" w:hAnsiTheme="majorHAnsi"/>
          <w:sz w:val="20"/>
          <w:szCs w:val="20"/>
          <w:lang w:val="es-ES"/>
        </w:rPr>
        <w:t>sentencia de 14 de septiembre de 2001. Los demandantes</w:t>
      </w:r>
      <w:r w:rsidRPr="00EE7D6D">
        <w:rPr>
          <w:rFonts w:ascii="Cambria" w:hAnsi="Cambria"/>
          <w:sz w:val="20"/>
          <w:szCs w:val="20"/>
          <w:lang w:val="es-ES"/>
        </w:rPr>
        <w:t xml:space="preserve"> </w:t>
      </w:r>
      <w:r w:rsidR="00C24DA6">
        <w:rPr>
          <w:rFonts w:ascii="Cambria" w:hAnsi="Cambria"/>
          <w:sz w:val="20"/>
          <w:szCs w:val="20"/>
          <w:lang w:val="es-ES"/>
        </w:rPr>
        <w:t xml:space="preserve">recurrieron </w:t>
      </w:r>
      <w:r w:rsidRPr="00EE7D6D">
        <w:rPr>
          <w:rFonts w:ascii="Cambria" w:hAnsi="Cambria"/>
          <w:sz w:val="20"/>
          <w:szCs w:val="20"/>
          <w:lang w:val="es-ES"/>
        </w:rPr>
        <w:t xml:space="preserve">ante la Corte de Apelaciones de Santiago, </w:t>
      </w:r>
      <w:r w:rsidR="00C24DA6">
        <w:rPr>
          <w:rFonts w:ascii="Cambria" w:hAnsi="Cambria"/>
          <w:sz w:val="20"/>
          <w:szCs w:val="20"/>
          <w:lang w:val="es-ES"/>
        </w:rPr>
        <w:t xml:space="preserve">que el </w:t>
      </w:r>
      <w:r w:rsidRPr="00EE7D6D">
        <w:rPr>
          <w:rFonts w:ascii="Cambria" w:hAnsi="Cambria"/>
          <w:sz w:val="20"/>
          <w:szCs w:val="20"/>
          <w:lang w:val="es-ES"/>
        </w:rPr>
        <w:t>23 de marzo de 2007 confirmó la sentencia de primera instancia. El 19 de abril de 2007, el</w:t>
      </w:r>
      <w:r w:rsidR="00C24DA6">
        <w:rPr>
          <w:rFonts w:ascii="Cambria" w:hAnsi="Cambria"/>
          <w:sz w:val="20"/>
          <w:szCs w:val="20"/>
          <w:lang w:val="es-ES"/>
        </w:rPr>
        <w:t xml:space="preserve"> juzgado </w:t>
      </w:r>
      <w:r w:rsidRPr="00EE7D6D">
        <w:rPr>
          <w:rFonts w:ascii="Cambria" w:hAnsi="Cambria"/>
          <w:sz w:val="20"/>
          <w:szCs w:val="20"/>
          <w:lang w:val="es-ES"/>
        </w:rPr>
        <w:t xml:space="preserve">de primera instancia dictó </w:t>
      </w:r>
      <w:r w:rsidR="00C24DA6">
        <w:rPr>
          <w:rFonts w:ascii="Cambria" w:hAnsi="Cambria"/>
          <w:sz w:val="20"/>
          <w:szCs w:val="20"/>
          <w:lang w:val="es-ES"/>
        </w:rPr>
        <w:t xml:space="preserve">el </w:t>
      </w:r>
      <w:r w:rsidRPr="00EE7D6D">
        <w:rPr>
          <w:rFonts w:ascii="Cambria" w:hAnsi="Cambria"/>
          <w:sz w:val="20"/>
          <w:szCs w:val="20"/>
          <w:lang w:val="es-ES"/>
        </w:rPr>
        <w:t>auto de cúmplase</w:t>
      </w:r>
      <w:r w:rsidR="0061111D">
        <w:rPr>
          <w:rFonts w:ascii="Cambria" w:hAnsi="Cambria"/>
          <w:sz w:val="20"/>
          <w:szCs w:val="20"/>
          <w:lang w:val="es-ES"/>
        </w:rPr>
        <w:t xml:space="preserve">. </w:t>
      </w:r>
      <w:r w:rsidR="00C24DA6">
        <w:rPr>
          <w:rFonts w:ascii="Cambria" w:hAnsi="Cambria"/>
          <w:sz w:val="20"/>
          <w:szCs w:val="20"/>
          <w:lang w:val="es-ES"/>
        </w:rPr>
        <w:t xml:space="preserve">Aunque </w:t>
      </w:r>
      <w:r w:rsidR="00602B03">
        <w:rPr>
          <w:rFonts w:ascii="Cambria" w:hAnsi="Cambria"/>
          <w:sz w:val="20"/>
          <w:szCs w:val="20"/>
          <w:lang w:val="es-ES"/>
        </w:rPr>
        <w:t xml:space="preserve">el Estado indica que </w:t>
      </w:r>
      <w:r w:rsidR="00C24DA6">
        <w:rPr>
          <w:rFonts w:ascii="Cambria" w:hAnsi="Cambria"/>
          <w:sz w:val="20"/>
          <w:szCs w:val="20"/>
          <w:lang w:val="es-ES"/>
        </w:rPr>
        <w:t xml:space="preserve">estaba </w:t>
      </w:r>
      <w:r w:rsidR="00602B03">
        <w:rPr>
          <w:rFonts w:ascii="Cambria" w:hAnsi="Cambria"/>
          <w:sz w:val="20"/>
          <w:szCs w:val="20"/>
          <w:lang w:val="es-ES"/>
        </w:rPr>
        <w:t xml:space="preserve">disponible el recurso de casación, </w:t>
      </w:r>
      <w:r w:rsidR="00A2280D">
        <w:rPr>
          <w:rFonts w:ascii="Cambria" w:hAnsi="Cambria"/>
          <w:sz w:val="20"/>
          <w:szCs w:val="20"/>
          <w:lang w:val="es-ES"/>
        </w:rPr>
        <w:t>la C</w:t>
      </w:r>
      <w:r w:rsidR="00C24DA6">
        <w:rPr>
          <w:rFonts w:ascii="Cambria" w:hAnsi="Cambria"/>
          <w:sz w:val="20"/>
          <w:szCs w:val="20"/>
          <w:lang w:val="es-ES"/>
        </w:rPr>
        <w:t>IDH</w:t>
      </w:r>
      <w:r w:rsidR="00A2280D">
        <w:rPr>
          <w:rFonts w:ascii="Cambria" w:hAnsi="Cambria"/>
          <w:sz w:val="20"/>
          <w:szCs w:val="20"/>
          <w:lang w:val="es-ES"/>
        </w:rPr>
        <w:t xml:space="preserve"> reitera que </w:t>
      </w:r>
      <w:r w:rsidR="00A2280D">
        <w:rPr>
          <w:rFonts w:ascii="Cambria" w:hAnsi="Cambria" w:cs="Calibri"/>
          <w:sz w:val="20"/>
          <w:szCs w:val="20"/>
          <w:lang w:val="es-ES_tradnl"/>
        </w:rPr>
        <w:t xml:space="preserve">los recursos ordinarios </w:t>
      </w:r>
      <w:r w:rsidR="00A2280D" w:rsidRPr="00FC2B4A">
        <w:rPr>
          <w:rFonts w:ascii="Cambria" w:hAnsi="Cambria" w:cs="Calibri"/>
          <w:sz w:val="20"/>
          <w:szCs w:val="20"/>
          <w:lang w:val="es-ES_tradnl"/>
        </w:rPr>
        <w:t>pueden ser adecuados para enfrentar violaciones de derechos humanos</w:t>
      </w:r>
      <w:r w:rsidR="00C24DA6">
        <w:rPr>
          <w:rFonts w:ascii="Cambria" w:hAnsi="Cambria" w:cs="Calibri"/>
          <w:sz w:val="20"/>
          <w:szCs w:val="20"/>
          <w:lang w:val="es-ES_tradnl"/>
        </w:rPr>
        <w:t xml:space="preserve">; sin embargo, </w:t>
      </w:r>
      <w:r w:rsidR="00A2280D" w:rsidRPr="00FC2B4A">
        <w:rPr>
          <w:rFonts w:ascii="Cambria" w:hAnsi="Cambria" w:cs="Calibri"/>
          <w:sz w:val="20"/>
          <w:szCs w:val="20"/>
          <w:lang w:val="es-ES_tradnl"/>
        </w:rPr>
        <w:t xml:space="preserve">como norma general </w:t>
      </w:r>
      <w:r w:rsidR="00C24DA6">
        <w:rPr>
          <w:rFonts w:ascii="Cambria" w:hAnsi="Cambria" w:cs="Calibri"/>
          <w:sz w:val="20"/>
          <w:szCs w:val="20"/>
          <w:lang w:val="es-ES_tradnl"/>
        </w:rPr>
        <w:t xml:space="preserve">solamente es </w:t>
      </w:r>
      <w:r w:rsidR="00A2280D" w:rsidRPr="00FC2B4A">
        <w:rPr>
          <w:rFonts w:ascii="Cambria" w:hAnsi="Cambria" w:cs="Calibri"/>
          <w:sz w:val="20"/>
          <w:szCs w:val="20"/>
          <w:lang w:val="es-ES_tradnl"/>
        </w:rPr>
        <w:t xml:space="preserve">necesario agotar aquellos </w:t>
      </w:r>
      <w:r w:rsidR="00C24DA6">
        <w:rPr>
          <w:rFonts w:ascii="Cambria" w:hAnsi="Cambria" w:cs="Calibri"/>
          <w:sz w:val="20"/>
          <w:szCs w:val="20"/>
          <w:lang w:val="es-ES_tradnl"/>
        </w:rPr>
        <w:t xml:space="preserve">recursos </w:t>
      </w:r>
      <w:r w:rsidR="00A2280D" w:rsidRPr="00FC2B4A">
        <w:rPr>
          <w:rFonts w:ascii="Cambria" w:hAnsi="Cambria" w:cs="Calibri"/>
          <w:sz w:val="20"/>
          <w:szCs w:val="20"/>
          <w:lang w:val="es-ES_tradnl"/>
        </w:rPr>
        <w:t xml:space="preserve">cuyas funciones, dentro del sistema jurídico, son apropiados para remediar una infracción de determinado derecho legal. En principio, </w:t>
      </w:r>
      <w:r w:rsidR="000E12EC">
        <w:rPr>
          <w:rFonts w:ascii="Cambria" w:hAnsi="Cambria" w:cs="Calibri"/>
          <w:sz w:val="20"/>
          <w:szCs w:val="20"/>
          <w:lang w:val="es-ES_tradnl"/>
        </w:rPr>
        <w:t xml:space="preserve">los recursos que cumplen con tales requisitos son los de carácter </w:t>
      </w:r>
      <w:r w:rsidR="00A2280D" w:rsidRPr="00FC2B4A">
        <w:rPr>
          <w:rFonts w:ascii="Cambria" w:hAnsi="Cambria" w:cs="Calibri"/>
          <w:sz w:val="20"/>
          <w:szCs w:val="20"/>
          <w:lang w:val="es-ES_tradnl"/>
        </w:rPr>
        <w:t>ordinario</w:t>
      </w:r>
      <w:r w:rsidR="00A2280D" w:rsidRPr="00FC2B4A">
        <w:rPr>
          <w:rStyle w:val="FootnoteReference"/>
          <w:rFonts w:ascii="Cambria" w:hAnsi="Cambria" w:cs="Calibri"/>
          <w:sz w:val="20"/>
          <w:szCs w:val="20"/>
        </w:rPr>
        <w:footnoteReference w:id="10"/>
      </w:r>
      <w:r w:rsidR="00A2280D">
        <w:rPr>
          <w:rFonts w:ascii="Cambria" w:hAnsi="Cambria" w:cs="Calibri"/>
          <w:sz w:val="20"/>
          <w:szCs w:val="20"/>
          <w:lang w:val="es-ES_tradnl"/>
        </w:rPr>
        <w:t xml:space="preserve">. En </w:t>
      </w:r>
      <w:r w:rsidR="000E12EC">
        <w:rPr>
          <w:rFonts w:ascii="Cambria" w:hAnsi="Cambria" w:cs="Calibri"/>
          <w:sz w:val="20"/>
          <w:szCs w:val="20"/>
          <w:lang w:val="es-ES_tradnl"/>
        </w:rPr>
        <w:t>el asunto bajo consideración</w:t>
      </w:r>
      <w:r w:rsidR="00A2280D">
        <w:rPr>
          <w:rFonts w:ascii="Cambria" w:hAnsi="Cambria" w:cs="Calibri"/>
          <w:sz w:val="20"/>
          <w:szCs w:val="20"/>
          <w:lang w:val="es-ES_tradnl"/>
        </w:rPr>
        <w:t xml:space="preserve">, el, el tribunal de primera instancia dictó un auto de cúmplase </w:t>
      </w:r>
      <w:r w:rsidR="000E12EC">
        <w:rPr>
          <w:rFonts w:ascii="Cambria" w:hAnsi="Cambria" w:cs="Calibri"/>
          <w:sz w:val="20"/>
          <w:szCs w:val="20"/>
          <w:lang w:val="es-ES_tradnl"/>
        </w:rPr>
        <w:t>el 19 de abril de 2007 con</w:t>
      </w:r>
      <w:r w:rsidR="00A2280D">
        <w:rPr>
          <w:rFonts w:ascii="Cambria" w:hAnsi="Cambria" w:cs="Calibri"/>
          <w:sz w:val="20"/>
          <w:szCs w:val="20"/>
          <w:lang w:val="es-ES_tradnl"/>
        </w:rPr>
        <w:t xml:space="preserve"> relación </w:t>
      </w:r>
      <w:r w:rsidR="000E12EC">
        <w:rPr>
          <w:rFonts w:ascii="Cambria" w:hAnsi="Cambria" w:cs="Calibri"/>
          <w:sz w:val="20"/>
          <w:szCs w:val="20"/>
          <w:lang w:val="es-ES_tradnl"/>
        </w:rPr>
        <w:t>a</w:t>
      </w:r>
      <w:r w:rsidR="00A2280D">
        <w:rPr>
          <w:rFonts w:ascii="Cambria" w:hAnsi="Cambria" w:cs="Calibri"/>
          <w:sz w:val="20"/>
          <w:szCs w:val="20"/>
          <w:lang w:val="es-ES_tradnl"/>
        </w:rPr>
        <w:t xml:space="preserve"> la decisión de la Corte de </w:t>
      </w:r>
      <w:r w:rsidR="000E12EC">
        <w:rPr>
          <w:rFonts w:ascii="Cambria" w:hAnsi="Cambria" w:cs="Calibri"/>
          <w:sz w:val="20"/>
          <w:szCs w:val="20"/>
          <w:lang w:val="es-ES_tradnl"/>
        </w:rPr>
        <w:t>A</w:t>
      </w:r>
      <w:r w:rsidR="00A2280D">
        <w:rPr>
          <w:rFonts w:ascii="Cambria" w:hAnsi="Cambria" w:cs="Calibri"/>
          <w:sz w:val="20"/>
          <w:szCs w:val="20"/>
          <w:lang w:val="es-ES_tradnl"/>
        </w:rPr>
        <w:t xml:space="preserve">pelaciones, </w:t>
      </w:r>
      <w:r w:rsidR="000E12EC">
        <w:rPr>
          <w:rFonts w:ascii="Cambria" w:hAnsi="Cambria" w:cs="Calibri"/>
          <w:sz w:val="20"/>
          <w:szCs w:val="20"/>
          <w:lang w:val="es-ES_tradnl"/>
        </w:rPr>
        <w:t xml:space="preserve">con lo que se </w:t>
      </w:r>
      <w:r w:rsidR="00A2280D">
        <w:rPr>
          <w:rFonts w:ascii="Cambria" w:hAnsi="Cambria" w:cs="Calibri"/>
          <w:sz w:val="20"/>
          <w:szCs w:val="20"/>
          <w:lang w:val="es-ES_tradnl"/>
        </w:rPr>
        <w:t>confirm</w:t>
      </w:r>
      <w:r w:rsidR="000E12EC">
        <w:rPr>
          <w:rFonts w:ascii="Cambria" w:hAnsi="Cambria" w:cs="Calibri"/>
          <w:sz w:val="20"/>
          <w:szCs w:val="20"/>
          <w:lang w:val="es-ES_tradnl"/>
        </w:rPr>
        <w:t>ó</w:t>
      </w:r>
      <w:r w:rsidR="00A2280D">
        <w:rPr>
          <w:rFonts w:ascii="Cambria" w:hAnsi="Cambria" w:cs="Calibri"/>
          <w:sz w:val="20"/>
          <w:szCs w:val="20"/>
          <w:lang w:val="es-ES_tradnl"/>
        </w:rPr>
        <w:t xml:space="preserve"> el rechazo de las pretensiones de </w:t>
      </w:r>
      <w:r w:rsidR="000E12EC">
        <w:rPr>
          <w:rFonts w:ascii="Cambria" w:hAnsi="Cambria" w:cs="Calibri"/>
          <w:sz w:val="20"/>
          <w:szCs w:val="20"/>
          <w:lang w:val="es-ES_tradnl"/>
        </w:rPr>
        <w:t>los demandantes</w:t>
      </w:r>
      <w:r w:rsidR="00A2280D">
        <w:rPr>
          <w:rFonts w:ascii="Cambria" w:hAnsi="Cambria" w:cs="Calibri"/>
          <w:sz w:val="20"/>
          <w:szCs w:val="20"/>
          <w:lang w:val="es-ES_tradnl"/>
        </w:rPr>
        <w:t>. Por lo tanto, l</w:t>
      </w:r>
      <w:r w:rsidR="0061111D">
        <w:rPr>
          <w:rFonts w:ascii="Cambria" w:hAnsi="Cambria"/>
          <w:sz w:val="20"/>
          <w:szCs w:val="20"/>
          <w:lang w:val="es-ES"/>
        </w:rPr>
        <w:t xml:space="preserve">a Comisión considera que </w:t>
      </w:r>
      <w:r w:rsidR="000E12EC">
        <w:rPr>
          <w:rFonts w:ascii="Cambria" w:hAnsi="Cambria"/>
          <w:sz w:val="20"/>
          <w:szCs w:val="20"/>
          <w:lang w:val="es-ES"/>
        </w:rPr>
        <w:t xml:space="preserve">dicha decisión agostó </w:t>
      </w:r>
      <w:r w:rsidR="00602B03">
        <w:rPr>
          <w:rFonts w:ascii="Cambria" w:hAnsi="Cambria"/>
          <w:sz w:val="20"/>
          <w:szCs w:val="20"/>
          <w:lang w:val="es-ES"/>
        </w:rPr>
        <w:t>los recursos internos</w:t>
      </w:r>
      <w:r w:rsidR="000E12EC">
        <w:rPr>
          <w:rFonts w:ascii="Cambria" w:hAnsi="Cambria"/>
          <w:sz w:val="20"/>
          <w:szCs w:val="20"/>
          <w:lang w:val="es-ES"/>
        </w:rPr>
        <w:t xml:space="preserve"> respecto a </w:t>
      </w:r>
      <w:r w:rsidR="000E12EC">
        <w:rPr>
          <w:rFonts w:asciiTheme="majorHAnsi" w:hAnsiTheme="majorHAnsi"/>
          <w:sz w:val="20"/>
          <w:szCs w:val="20"/>
          <w:lang w:val="es-ES"/>
        </w:rPr>
        <w:t xml:space="preserve">la presunta víctima </w:t>
      </w:r>
      <w:r w:rsidR="000E12EC" w:rsidRPr="00A2280D">
        <w:rPr>
          <w:rFonts w:asciiTheme="majorHAnsi" w:hAnsiTheme="majorHAnsi"/>
          <w:sz w:val="20"/>
          <w:szCs w:val="20"/>
          <w:lang w:val="es-ES"/>
        </w:rPr>
        <w:t>Cerda Ángel</w:t>
      </w:r>
      <w:r w:rsidR="00602B03">
        <w:rPr>
          <w:rFonts w:ascii="Cambria" w:hAnsi="Cambria"/>
          <w:sz w:val="20"/>
          <w:szCs w:val="20"/>
          <w:lang w:val="es-ES"/>
        </w:rPr>
        <w:t xml:space="preserve">. </w:t>
      </w:r>
    </w:p>
    <w:p w14:paraId="6C145581" w14:textId="77777777" w:rsidR="006603F7" w:rsidRDefault="006603F7" w:rsidP="006603F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7A4D74DF" w14:textId="67A62633" w:rsidR="0061111D" w:rsidRPr="00633737" w:rsidRDefault="00602B03" w:rsidP="006603F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633737">
        <w:rPr>
          <w:rFonts w:ascii="Cambria" w:hAnsi="Cambria"/>
          <w:sz w:val="20"/>
          <w:szCs w:val="20"/>
          <w:lang w:val="es-ES"/>
        </w:rPr>
        <w:t>Asimismo</w:t>
      </w:r>
      <w:r w:rsidR="0061111D" w:rsidRPr="00633737">
        <w:rPr>
          <w:rFonts w:ascii="Cambria" w:hAnsi="Cambria"/>
          <w:sz w:val="20"/>
          <w:szCs w:val="20"/>
          <w:lang w:val="es-ES"/>
        </w:rPr>
        <w:t xml:space="preserve">, los familiares de </w:t>
      </w:r>
      <w:r w:rsidRPr="00633737">
        <w:rPr>
          <w:rFonts w:ascii="Cambria" w:hAnsi="Cambria"/>
          <w:sz w:val="20"/>
          <w:szCs w:val="20"/>
          <w:lang w:val="es-ES"/>
        </w:rPr>
        <w:t xml:space="preserve">la presunta víctima Gutiérrez </w:t>
      </w:r>
      <w:r w:rsidR="00E93933" w:rsidRPr="00633737">
        <w:rPr>
          <w:rFonts w:ascii="Cambria" w:hAnsi="Cambria"/>
          <w:sz w:val="20"/>
          <w:szCs w:val="20"/>
          <w:lang w:val="es-ES"/>
        </w:rPr>
        <w:t>Martínez</w:t>
      </w:r>
      <w:r w:rsidR="0061111D" w:rsidRPr="00633737">
        <w:rPr>
          <w:rFonts w:ascii="Cambria" w:hAnsi="Cambria"/>
          <w:sz w:val="20"/>
          <w:szCs w:val="20"/>
          <w:lang w:val="es-ES"/>
        </w:rPr>
        <w:t xml:space="preserve"> interpusieron </w:t>
      </w:r>
      <w:r w:rsidR="000E12EC" w:rsidRPr="00633737">
        <w:rPr>
          <w:rFonts w:ascii="Cambria" w:hAnsi="Cambria"/>
          <w:sz w:val="20"/>
          <w:szCs w:val="20"/>
          <w:lang w:val="es-ES"/>
        </w:rPr>
        <w:t xml:space="preserve">una </w:t>
      </w:r>
      <w:r w:rsidR="0061111D" w:rsidRPr="00633737">
        <w:rPr>
          <w:rFonts w:ascii="Cambria" w:hAnsi="Cambria"/>
          <w:sz w:val="20"/>
          <w:szCs w:val="20"/>
          <w:lang w:val="es-ES"/>
        </w:rPr>
        <w:t>demanda de reparación de perjuicios contra el Estado el 29 de marzo de 1999</w:t>
      </w:r>
      <w:r w:rsidR="000E12EC" w:rsidRPr="00633737">
        <w:rPr>
          <w:rFonts w:ascii="Cambria" w:hAnsi="Cambria"/>
          <w:sz w:val="20"/>
          <w:szCs w:val="20"/>
          <w:lang w:val="es-ES"/>
        </w:rPr>
        <w:t>, que fue rechazada e</w:t>
      </w:r>
      <w:r w:rsidR="0061111D" w:rsidRPr="00633737">
        <w:rPr>
          <w:rFonts w:ascii="Cambria" w:hAnsi="Cambria"/>
          <w:sz w:val="20"/>
          <w:szCs w:val="20"/>
          <w:lang w:val="es-ES"/>
        </w:rPr>
        <w:t>l 17 de mayo de 2004</w:t>
      </w:r>
      <w:r w:rsidR="000E12EC" w:rsidRPr="00633737">
        <w:rPr>
          <w:rFonts w:ascii="Cambria" w:hAnsi="Cambria"/>
          <w:sz w:val="20"/>
          <w:szCs w:val="20"/>
          <w:lang w:val="es-ES"/>
        </w:rPr>
        <w:t xml:space="preserve"> por el Tercer</w:t>
      </w:r>
      <w:r w:rsidR="0061111D" w:rsidRPr="00633737">
        <w:rPr>
          <w:rFonts w:ascii="Cambria" w:hAnsi="Cambria"/>
          <w:sz w:val="20"/>
          <w:szCs w:val="20"/>
          <w:lang w:val="es-ES"/>
        </w:rPr>
        <w:t xml:space="preserve"> Juzgado Civil de Valparaíso. El 12 de octubre de 2005 la Corte de Apelaciones de Valparaíso dictó </w:t>
      </w:r>
      <w:r w:rsidR="000E12EC" w:rsidRPr="00633737">
        <w:rPr>
          <w:rFonts w:ascii="Cambria" w:hAnsi="Cambria"/>
          <w:sz w:val="20"/>
          <w:szCs w:val="20"/>
          <w:lang w:val="es-ES"/>
        </w:rPr>
        <w:t xml:space="preserve">un </w:t>
      </w:r>
      <w:r w:rsidR="0061111D" w:rsidRPr="00633737">
        <w:rPr>
          <w:rFonts w:ascii="Cambria" w:hAnsi="Cambria"/>
          <w:sz w:val="20"/>
          <w:szCs w:val="20"/>
          <w:lang w:val="es-ES"/>
        </w:rPr>
        <w:t xml:space="preserve">fallo </w:t>
      </w:r>
      <w:r w:rsidR="000E12EC" w:rsidRPr="00633737">
        <w:rPr>
          <w:rFonts w:ascii="Cambria" w:hAnsi="Cambria"/>
          <w:sz w:val="20"/>
          <w:szCs w:val="20"/>
          <w:lang w:val="es-ES"/>
        </w:rPr>
        <w:t xml:space="preserve">por el que </w:t>
      </w:r>
      <w:r w:rsidR="0061111D" w:rsidRPr="00633737">
        <w:rPr>
          <w:rFonts w:ascii="Cambria" w:hAnsi="Cambria"/>
          <w:sz w:val="20"/>
          <w:szCs w:val="20"/>
          <w:lang w:val="es-ES"/>
        </w:rPr>
        <w:t>confirm</w:t>
      </w:r>
      <w:r w:rsidR="000E12EC" w:rsidRPr="00633737">
        <w:rPr>
          <w:rFonts w:ascii="Cambria" w:hAnsi="Cambria"/>
          <w:sz w:val="20"/>
          <w:szCs w:val="20"/>
          <w:lang w:val="es-ES"/>
        </w:rPr>
        <w:t>ó</w:t>
      </w:r>
      <w:r w:rsidR="0061111D" w:rsidRPr="00633737">
        <w:rPr>
          <w:rFonts w:ascii="Cambria" w:hAnsi="Cambria"/>
          <w:sz w:val="20"/>
          <w:szCs w:val="20"/>
          <w:lang w:val="es-ES"/>
        </w:rPr>
        <w:t xml:space="preserve"> la sentencia recurrida</w:t>
      </w:r>
      <w:r w:rsidR="000E12EC" w:rsidRPr="00633737">
        <w:rPr>
          <w:rFonts w:ascii="Cambria" w:hAnsi="Cambria"/>
          <w:sz w:val="20"/>
          <w:szCs w:val="20"/>
          <w:lang w:val="es-ES"/>
        </w:rPr>
        <w:t>;</w:t>
      </w:r>
      <w:r w:rsidR="0061111D" w:rsidRPr="00633737">
        <w:rPr>
          <w:rFonts w:ascii="Cambria" w:hAnsi="Cambria"/>
          <w:sz w:val="20"/>
          <w:szCs w:val="20"/>
          <w:lang w:val="es-ES"/>
        </w:rPr>
        <w:t xml:space="preserve"> el 27 de diciembre de 2006 la Corte Suprema rechazó el recurso de casación, </w:t>
      </w:r>
      <w:r w:rsidR="000E12EC" w:rsidRPr="00633737">
        <w:rPr>
          <w:rFonts w:ascii="Cambria" w:hAnsi="Cambria"/>
          <w:sz w:val="20"/>
          <w:szCs w:val="20"/>
          <w:lang w:val="es-ES"/>
        </w:rPr>
        <w:t xml:space="preserve">en el que </w:t>
      </w:r>
      <w:r w:rsidR="0061111D" w:rsidRPr="00633737">
        <w:rPr>
          <w:rFonts w:ascii="Cambria" w:hAnsi="Cambria"/>
          <w:sz w:val="20"/>
          <w:szCs w:val="20"/>
          <w:lang w:val="es-ES"/>
        </w:rPr>
        <w:t>confirm</w:t>
      </w:r>
      <w:r w:rsidR="000E12EC" w:rsidRPr="00633737">
        <w:rPr>
          <w:rFonts w:ascii="Cambria" w:hAnsi="Cambria"/>
          <w:sz w:val="20"/>
          <w:szCs w:val="20"/>
          <w:lang w:val="es-ES"/>
        </w:rPr>
        <w:t>ó</w:t>
      </w:r>
      <w:r w:rsidR="0061111D" w:rsidRPr="00633737">
        <w:rPr>
          <w:rFonts w:ascii="Cambria" w:hAnsi="Cambria"/>
          <w:sz w:val="20"/>
          <w:szCs w:val="20"/>
          <w:lang w:val="es-ES"/>
        </w:rPr>
        <w:t xml:space="preserve"> el criterio de prescripción de la acción civil</w:t>
      </w:r>
      <w:r w:rsidR="00410CF9" w:rsidRPr="00633737">
        <w:rPr>
          <w:rFonts w:ascii="Cambria" w:hAnsi="Cambria"/>
          <w:sz w:val="20"/>
          <w:szCs w:val="20"/>
          <w:lang w:val="es-ES"/>
        </w:rPr>
        <w:t>. Se dictó auto de cúmplase el 9 de marzo de 2007, con lo cual se a</w:t>
      </w:r>
      <w:r w:rsidR="0061111D" w:rsidRPr="00633737">
        <w:rPr>
          <w:rFonts w:ascii="Cambria" w:hAnsi="Cambria"/>
          <w:sz w:val="20"/>
          <w:szCs w:val="20"/>
          <w:lang w:val="es-ES"/>
        </w:rPr>
        <w:t>gotaron recursos internos</w:t>
      </w:r>
      <w:r w:rsidR="000E12EC" w:rsidRPr="00633737">
        <w:rPr>
          <w:rFonts w:ascii="Cambria" w:hAnsi="Cambria"/>
          <w:sz w:val="20"/>
          <w:szCs w:val="20"/>
          <w:lang w:val="es-ES"/>
        </w:rPr>
        <w:t xml:space="preserve"> </w:t>
      </w:r>
      <w:r w:rsidR="00633737" w:rsidRPr="00633737">
        <w:rPr>
          <w:rFonts w:ascii="Cambria" w:hAnsi="Cambria"/>
          <w:sz w:val="20"/>
          <w:szCs w:val="20"/>
          <w:lang w:val="es-ES"/>
        </w:rPr>
        <w:t xml:space="preserve">respecto de </w:t>
      </w:r>
      <w:r w:rsidR="000E12EC" w:rsidRPr="00633737">
        <w:rPr>
          <w:rFonts w:ascii="Cambria" w:hAnsi="Cambria"/>
          <w:sz w:val="20"/>
          <w:szCs w:val="20"/>
          <w:lang w:val="es-ES"/>
        </w:rPr>
        <w:t>la presunta víctima Gutiérrez Martínez</w:t>
      </w:r>
      <w:r w:rsidR="0061111D" w:rsidRPr="00633737">
        <w:rPr>
          <w:rFonts w:ascii="Cambria" w:hAnsi="Cambria"/>
          <w:sz w:val="20"/>
          <w:szCs w:val="20"/>
          <w:lang w:val="es-ES"/>
        </w:rPr>
        <w:t>.</w:t>
      </w:r>
      <w:r w:rsidR="00633737" w:rsidRPr="00633737">
        <w:rPr>
          <w:rFonts w:ascii="Cambria" w:hAnsi="Cambria"/>
          <w:sz w:val="20"/>
          <w:szCs w:val="20"/>
          <w:lang w:val="es-ES"/>
        </w:rPr>
        <w:t xml:space="preserve"> </w:t>
      </w:r>
      <w:r w:rsidR="00410CF9" w:rsidRPr="00633737">
        <w:rPr>
          <w:rFonts w:ascii="Cambria" w:hAnsi="Cambria"/>
          <w:sz w:val="20"/>
          <w:szCs w:val="20"/>
          <w:lang w:val="es-ES"/>
        </w:rPr>
        <w:t>La</w:t>
      </w:r>
      <w:r w:rsidR="0061111D" w:rsidRPr="00633737">
        <w:rPr>
          <w:rFonts w:ascii="Cambria" w:hAnsi="Cambria"/>
          <w:sz w:val="20"/>
          <w:szCs w:val="20"/>
          <w:lang w:val="es-ES"/>
        </w:rPr>
        <w:t xml:space="preserve"> petición fue </w:t>
      </w:r>
      <w:r w:rsidR="000E12EC" w:rsidRPr="00633737">
        <w:rPr>
          <w:rFonts w:ascii="Cambria" w:hAnsi="Cambria"/>
          <w:sz w:val="20"/>
          <w:szCs w:val="20"/>
          <w:lang w:val="es-ES"/>
        </w:rPr>
        <w:t xml:space="preserve">recibida el 24 de julio de 2007, dentro </w:t>
      </w:r>
      <w:r w:rsidR="0061111D" w:rsidRPr="00633737">
        <w:rPr>
          <w:rFonts w:ascii="Cambria" w:hAnsi="Cambria"/>
          <w:sz w:val="20"/>
          <w:szCs w:val="20"/>
          <w:lang w:val="es-ES"/>
        </w:rPr>
        <w:t xml:space="preserve">del plazo de </w:t>
      </w:r>
      <w:r w:rsidR="00410CF9" w:rsidRPr="00633737">
        <w:rPr>
          <w:rFonts w:ascii="Cambria" w:hAnsi="Cambria"/>
          <w:sz w:val="20"/>
          <w:szCs w:val="20"/>
          <w:lang w:val="es-ES"/>
        </w:rPr>
        <w:t xml:space="preserve">seis meses previsto </w:t>
      </w:r>
      <w:r w:rsidR="000E12EC" w:rsidRPr="00633737">
        <w:rPr>
          <w:rFonts w:ascii="Cambria" w:hAnsi="Cambria"/>
          <w:sz w:val="20"/>
          <w:szCs w:val="20"/>
          <w:lang w:val="es-ES"/>
        </w:rPr>
        <w:t>en e</w:t>
      </w:r>
      <w:r w:rsidR="00410CF9" w:rsidRPr="00633737">
        <w:rPr>
          <w:rFonts w:ascii="Cambria" w:hAnsi="Cambria"/>
          <w:sz w:val="20"/>
          <w:szCs w:val="20"/>
          <w:lang w:val="es-ES"/>
        </w:rPr>
        <w:t xml:space="preserve">l artículo </w:t>
      </w:r>
      <w:r w:rsidR="0061111D" w:rsidRPr="00633737">
        <w:rPr>
          <w:rFonts w:ascii="Cambria" w:hAnsi="Cambria"/>
          <w:sz w:val="20"/>
          <w:szCs w:val="20"/>
          <w:lang w:val="es-ES"/>
        </w:rPr>
        <w:t>46.1.b de la Convención</w:t>
      </w:r>
      <w:r w:rsidR="000E12EC" w:rsidRPr="00633737">
        <w:rPr>
          <w:rFonts w:ascii="Cambria" w:hAnsi="Cambria"/>
          <w:sz w:val="20"/>
          <w:szCs w:val="20"/>
          <w:lang w:val="es-ES"/>
        </w:rPr>
        <w:t xml:space="preserve"> Americana</w:t>
      </w:r>
      <w:r w:rsidR="0061111D" w:rsidRPr="00633737">
        <w:rPr>
          <w:rFonts w:ascii="Cambria" w:hAnsi="Cambria"/>
          <w:sz w:val="20"/>
          <w:szCs w:val="20"/>
          <w:lang w:val="es-ES"/>
        </w:rPr>
        <w:t>.</w:t>
      </w:r>
      <w:r w:rsidR="00E93933" w:rsidRPr="00633737">
        <w:rPr>
          <w:rFonts w:ascii="Cambria" w:hAnsi="Cambria"/>
          <w:sz w:val="20"/>
          <w:szCs w:val="20"/>
          <w:lang w:val="es-ES"/>
        </w:rPr>
        <w:t xml:space="preserve"> </w:t>
      </w:r>
    </w:p>
    <w:p w14:paraId="0BD65F58" w14:textId="77777777" w:rsidR="006603F7" w:rsidRDefault="006603F7" w:rsidP="006603F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p>
    <w:p w14:paraId="7090A929" w14:textId="6321340A" w:rsidR="00F04591" w:rsidRPr="00B678EF" w:rsidRDefault="00F04591" w:rsidP="006603F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r w:rsidRPr="00301474">
        <w:rPr>
          <w:rFonts w:asciiTheme="majorHAnsi" w:hAnsiTheme="majorHAnsi"/>
          <w:b/>
          <w:bCs/>
          <w:sz w:val="20"/>
          <w:szCs w:val="20"/>
          <w:lang w:val="es-ES"/>
        </w:rPr>
        <w:t>V</w:t>
      </w:r>
      <w:r w:rsidR="000E2789" w:rsidRPr="00301474">
        <w:rPr>
          <w:rFonts w:asciiTheme="majorHAnsi" w:hAnsiTheme="majorHAnsi"/>
          <w:b/>
          <w:bCs/>
          <w:sz w:val="20"/>
          <w:szCs w:val="20"/>
          <w:lang w:val="es-ES"/>
        </w:rPr>
        <w:t>I</w:t>
      </w:r>
      <w:r w:rsidRPr="00301474">
        <w:rPr>
          <w:rFonts w:asciiTheme="majorHAnsi" w:hAnsiTheme="majorHAnsi"/>
          <w:b/>
          <w:bCs/>
          <w:sz w:val="20"/>
          <w:szCs w:val="20"/>
          <w:lang w:val="es-ES"/>
        </w:rPr>
        <w:t xml:space="preserve">I. </w:t>
      </w:r>
      <w:r w:rsidRPr="00301474">
        <w:rPr>
          <w:rFonts w:asciiTheme="majorHAnsi" w:hAnsiTheme="majorHAnsi"/>
          <w:b/>
          <w:bCs/>
          <w:sz w:val="20"/>
          <w:szCs w:val="20"/>
          <w:lang w:val="es-ES"/>
        </w:rPr>
        <w:tab/>
        <w:t>CARACTERIZACIÓN</w:t>
      </w:r>
    </w:p>
    <w:p w14:paraId="3B071C75" w14:textId="77777777" w:rsidR="006603F7" w:rsidRPr="006603F7" w:rsidRDefault="006603F7" w:rsidP="006603F7">
      <w:pPr>
        <w:pStyle w:val="ListParagraph"/>
        <w:jc w:val="both"/>
        <w:rPr>
          <w:rFonts w:asciiTheme="majorHAnsi" w:hAnsiTheme="majorHAnsi"/>
          <w:bCs/>
          <w:sz w:val="20"/>
          <w:szCs w:val="20"/>
          <w:lang w:val="es-ES"/>
        </w:rPr>
      </w:pPr>
    </w:p>
    <w:p w14:paraId="08CBB9D1" w14:textId="3A14622D" w:rsidR="00A15BF4" w:rsidRPr="00633737" w:rsidRDefault="00633737" w:rsidP="006603F7">
      <w:pPr>
        <w:pStyle w:val="ListParagraph"/>
        <w:numPr>
          <w:ilvl w:val="0"/>
          <w:numId w:val="103"/>
        </w:numPr>
        <w:jc w:val="both"/>
        <w:rPr>
          <w:rFonts w:asciiTheme="majorHAnsi" w:hAnsiTheme="majorHAnsi"/>
          <w:bCs/>
          <w:sz w:val="20"/>
          <w:szCs w:val="20"/>
          <w:lang w:val="es-ES"/>
        </w:rPr>
      </w:pPr>
      <w:r>
        <w:rPr>
          <w:sz w:val="20"/>
          <w:szCs w:val="20"/>
          <w:lang w:val="es-ES"/>
        </w:rPr>
        <w:t>Con</w:t>
      </w:r>
      <w:r w:rsidR="00A15BF4" w:rsidRPr="00A15BF4">
        <w:rPr>
          <w:sz w:val="20"/>
          <w:szCs w:val="20"/>
          <w:lang w:val="es-ES"/>
        </w:rPr>
        <w:t xml:space="preserve"> relación a la competencia </w:t>
      </w:r>
      <w:r w:rsidR="00A15BF4" w:rsidRPr="00A15BF4">
        <w:rPr>
          <w:i/>
          <w:sz w:val="20"/>
          <w:szCs w:val="20"/>
          <w:lang w:val="es-ES"/>
        </w:rPr>
        <w:t>ratione temporis</w:t>
      </w:r>
      <w:r w:rsidR="00A15BF4" w:rsidRPr="00A15BF4">
        <w:rPr>
          <w:sz w:val="20"/>
          <w:szCs w:val="20"/>
          <w:lang w:val="es-ES"/>
        </w:rPr>
        <w:t xml:space="preserve"> y </w:t>
      </w:r>
      <w:r w:rsidR="00A15BF4" w:rsidRPr="00A15BF4">
        <w:rPr>
          <w:i/>
          <w:sz w:val="20"/>
          <w:szCs w:val="20"/>
          <w:lang w:val="es-ES"/>
        </w:rPr>
        <w:t>ratione materiae</w:t>
      </w:r>
      <w:r w:rsidR="00A15BF4" w:rsidRPr="00A15BF4">
        <w:rPr>
          <w:sz w:val="20"/>
          <w:szCs w:val="20"/>
          <w:lang w:val="es-ES"/>
        </w:rPr>
        <w:t>, la C</w:t>
      </w:r>
      <w:r>
        <w:rPr>
          <w:sz w:val="20"/>
          <w:szCs w:val="20"/>
          <w:lang w:val="es-ES"/>
        </w:rPr>
        <w:t>IDH</w:t>
      </w:r>
      <w:r w:rsidR="00A15BF4" w:rsidRPr="00A15BF4">
        <w:rPr>
          <w:sz w:val="20"/>
          <w:szCs w:val="20"/>
          <w:lang w:val="es-ES"/>
        </w:rPr>
        <w:t xml:space="preserve"> analizará los hechos del presente </w:t>
      </w:r>
      <w:r>
        <w:rPr>
          <w:sz w:val="20"/>
          <w:szCs w:val="20"/>
          <w:lang w:val="es-ES"/>
        </w:rPr>
        <w:t>asunto</w:t>
      </w:r>
      <w:r w:rsidR="00A15BF4" w:rsidRPr="00A15BF4">
        <w:rPr>
          <w:sz w:val="20"/>
          <w:szCs w:val="20"/>
          <w:lang w:val="es-ES"/>
        </w:rPr>
        <w:t xml:space="preserve"> a la luz de las obligaciones establecidas en la Convención Americana y en la Convención Interamericana sobre Desaparición Forzada de Personas respecto de aquellos hechos ocurridos con posterioridad a su entrada en vigor</w:t>
      </w:r>
      <w:r>
        <w:rPr>
          <w:sz w:val="20"/>
          <w:szCs w:val="20"/>
          <w:lang w:val="es-ES"/>
        </w:rPr>
        <w:t>,</w:t>
      </w:r>
      <w:r w:rsidR="00A15BF4" w:rsidRPr="00A15BF4">
        <w:rPr>
          <w:sz w:val="20"/>
          <w:szCs w:val="20"/>
          <w:lang w:val="es-ES"/>
        </w:rPr>
        <w:t xml:space="preserve"> o cuya ejecución continuó luego de la entrada en vigor de dichos instrumentos para el Estado de Chile. </w:t>
      </w:r>
      <w:r>
        <w:rPr>
          <w:sz w:val="20"/>
          <w:szCs w:val="20"/>
          <w:lang w:val="es-ES"/>
        </w:rPr>
        <w:t>C</w:t>
      </w:r>
      <w:r w:rsidRPr="00633737">
        <w:rPr>
          <w:sz w:val="20"/>
          <w:szCs w:val="20"/>
          <w:lang w:val="es-ES"/>
        </w:rPr>
        <w:t>on respecto a los hechos consumados con anterioridad a la entrada en vigor de la Convención Americana para dicho Estado</w:t>
      </w:r>
      <w:r>
        <w:rPr>
          <w:sz w:val="20"/>
          <w:szCs w:val="20"/>
          <w:lang w:val="es-ES"/>
        </w:rPr>
        <w:t>,</w:t>
      </w:r>
      <w:r w:rsidRPr="00633737">
        <w:rPr>
          <w:sz w:val="20"/>
          <w:szCs w:val="20"/>
          <w:lang w:val="es-ES"/>
        </w:rPr>
        <w:t xml:space="preserve"> </w:t>
      </w:r>
      <w:r>
        <w:rPr>
          <w:sz w:val="20"/>
          <w:szCs w:val="20"/>
          <w:lang w:val="es-ES"/>
        </w:rPr>
        <w:t>l</w:t>
      </w:r>
      <w:r w:rsidR="00A15BF4" w:rsidRPr="00633737">
        <w:rPr>
          <w:sz w:val="20"/>
          <w:szCs w:val="20"/>
          <w:lang w:val="es-ES"/>
        </w:rPr>
        <w:t xml:space="preserve">a Comisión </w:t>
      </w:r>
      <w:r w:rsidRPr="00633737">
        <w:rPr>
          <w:sz w:val="20"/>
          <w:szCs w:val="20"/>
          <w:lang w:val="es-ES"/>
        </w:rPr>
        <w:t>utilizará la Declaración Americana a fin de analizar las obligaciones derivadas de dicho instrumento</w:t>
      </w:r>
      <w:r w:rsidR="00A15BF4" w:rsidRPr="00633737">
        <w:rPr>
          <w:sz w:val="20"/>
          <w:szCs w:val="20"/>
          <w:lang w:val="es-ES"/>
        </w:rPr>
        <w:t>.</w:t>
      </w:r>
    </w:p>
    <w:p w14:paraId="74947044" w14:textId="77777777" w:rsidR="006603F7" w:rsidRPr="006603F7" w:rsidRDefault="006603F7" w:rsidP="006603F7">
      <w:pPr>
        <w:jc w:val="both"/>
        <w:rPr>
          <w:rFonts w:asciiTheme="majorHAnsi" w:hAnsiTheme="majorHAnsi"/>
          <w:bCs/>
          <w:sz w:val="20"/>
          <w:szCs w:val="20"/>
          <w:lang w:val="es-ES"/>
        </w:rPr>
      </w:pPr>
    </w:p>
    <w:p w14:paraId="6B1F9C53" w14:textId="75A74646" w:rsidR="00A15BF4" w:rsidRPr="00A15BF4" w:rsidRDefault="00633737" w:rsidP="006603F7">
      <w:pPr>
        <w:pStyle w:val="ListParagraph"/>
        <w:numPr>
          <w:ilvl w:val="0"/>
          <w:numId w:val="103"/>
        </w:numPr>
        <w:jc w:val="both"/>
        <w:rPr>
          <w:rFonts w:asciiTheme="majorHAnsi" w:hAnsiTheme="majorHAnsi"/>
          <w:bCs/>
          <w:sz w:val="20"/>
          <w:szCs w:val="20"/>
          <w:lang w:val="es-ES"/>
        </w:rPr>
      </w:pPr>
      <w:r>
        <w:rPr>
          <w:sz w:val="20"/>
          <w:szCs w:val="20"/>
          <w:lang w:val="es-ES"/>
        </w:rPr>
        <w:lastRenderedPageBreak/>
        <w:t xml:space="preserve">El peticionario </w:t>
      </w:r>
      <w:r w:rsidR="00A15BF4" w:rsidRPr="007B2CB4">
        <w:rPr>
          <w:sz w:val="20"/>
          <w:szCs w:val="20"/>
          <w:lang w:val="es-ES"/>
        </w:rPr>
        <w:t xml:space="preserve">alega </w:t>
      </w:r>
      <w:r>
        <w:rPr>
          <w:sz w:val="20"/>
          <w:szCs w:val="20"/>
          <w:lang w:val="es-ES"/>
        </w:rPr>
        <w:t xml:space="preserve">responsabilidad del Estado por </w:t>
      </w:r>
      <w:r w:rsidR="00A15BF4" w:rsidRPr="007B2CB4">
        <w:rPr>
          <w:sz w:val="20"/>
          <w:szCs w:val="20"/>
          <w:lang w:val="es-ES"/>
        </w:rPr>
        <w:t>crímenes de detención</w:t>
      </w:r>
      <w:r w:rsidR="002F7FAE" w:rsidRPr="007B2CB4">
        <w:rPr>
          <w:sz w:val="20"/>
          <w:szCs w:val="20"/>
          <w:lang w:val="es-ES"/>
        </w:rPr>
        <w:t xml:space="preserve">, homicidio </w:t>
      </w:r>
      <w:r w:rsidR="00A15BF4" w:rsidRPr="007B2CB4">
        <w:rPr>
          <w:sz w:val="20"/>
          <w:szCs w:val="20"/>
          <w:lang w:val="es-ES"/>
        </w:rPr>
        <w:t>y desaparición forzada. En</w:t>
      </w:r>
      <w:r w:rsidR="00A15BF4" w:rsidRPr="00A15BF4">
        <w:rPr>
          <w:sz w:val="20"/>
          <w:szCs w:val="20"/>
          <w:lang w:val="es-ES"/>
        </w:rPr>
        <w:t xml:space="preserve"> atención a estas consideraciones</w:t>
      </w:r>
      <w:r>
        <w:rPr>
          <w:sz w:val="20"/>
          <w:szCs w:val="20"/>
          <w:lang w:val="es-ES"/>
        </w:rPr>
        <w:t>,</w:t>
      </w:r>
      <w:r w:rsidR="00A15BF4" w:rsidRPr="00A15BF4">
        <w:rPr>
          <w:sz w:val="20"/>
          <w:szCs w:val="20"/>
          <w:lang w:val="es-ES"/>
        </w:rPr>
        <w:t xml:space="preserve"> y tras examinar los elementos de hecho y de derecho expuestos por las partes</w:t>
      </w:r>
      <w:r>
        <w:rPr>
          <w:sz w:val="20"/>
          <w:szCs w:val="20"/>
          <w:lang w:val="es-ES"/>
        </w:rPr>
        <w:t>,</w:t>
      </w:r>
      <w:r w:rsidR="00A15BF4" w:rsidRPr="00A15BF4">
        <w:rPr>
          <w:sz w:val="20"/>
          <w:szCs w:val="20"/>
          <w:lang w:val="es-ES"/>
        </w:rPr>
        <w:t xml:space="preserve"> la C</w:t>
      </w:r>
      <w:r>
        <w:rPr>
          <w:sz w:val="20"/>
          <w:szCs w:val="20"/>
          <w:lang w:val="es-ES"/>
        </w:rPr>
        <w:t>IDH</w:t>
      </w:r>
      <w:r w:rsidR="00A15BF4" w:rsidRPr="00A15BF4">
        <w:rPr>
          <w:sz w:val="20"/>
          <w:szCs w:val="20"/>
          <w:lang w:val="es-ES"/>
        </w:rPr>
        <w:t xml:space="preserve"> estima que </w:t>
      </w:r>
      <w:r>
        <w:rPr>
          <w:sz w:val="20"/>
          <w:szCs w:val="20"/>
          <w:lang w:val="es-ES"/>
        </w:rPr>
        <w:t xml:space="preserve">tales alegatos no </w:t>
      </w:r>
      <w:r w:rsidR="00A15BF4" w:rsidRPr="00A15BF4">
        <w:rPr>
          <w:sz w:val="20"/>
          <w:szCs w:val="20"/>
          <w:lang w:val="es-ES"/>
        </w:rPr>
        <w:t>resultan manifiestamente infundadas y requieren un estudio de fondo pues los hechos, de corroborarse como ciertos</w:t>
      </w:r>
      <w:r>
        <w:rPr>
          <w:sz w:val="20"/>
          <w:szCs w:val="20"/>
          <w:lang w:val="es-ES"/>
        </w:rPr>
        <w:t>,</w:t>
      </w:r>
      <w:r w:rsidR="00A15BF4" w:rsidRPr="00A15BF4">
        <w:rPr>
          <w:sz w:val="20"/>
          <w:szCs w:val="20"/>
          <w:lang w:val="es-ES"/>
        </w:rPr>
        <w:t xml:space="preserve"> podrían caracterizar violaciones </w:t>
      </w:r>
      <w:r>
        <w:rPr>
          <w:sz w:val="20"/>
          <w:szCs w:val="20"/>
          <w:lang w:val="es-ES"/>
        </w:rPr>
        <w:t>de</w:t>
      </w:r>
      <w:r w:rsidR="00A15BF4" w:rsidRPr="00A15BF4">
        <w:rPr>
          <w:sz w:val="20"/>
          <w:szCs w:val="20"/>
          <w:lang w:val="es-ES"/>
        </w:rPr>
        <w:t xml:space="preserve"> los artículos </w:t>
      </w:r>
      <w:r w:rsidR="00A15BF4" w:rsidRPr="00A15BF4">
        <w:rPr>
          <w:bCs/>
          <w:sz w:val="20"/>
          <w:szCs w:val="20"/>
          <w:lang w:val="es-ES"/>
        </w:rPr>
        <w:t xml:space="preserve">I (vida, libertad, seguridad e integridad de la persona), XVII (reconocimiento de la personalidad jurídica y derechos civiles), XVIII (justicia) y XXV (protección contra la detención arbitraria) de la Declaración Americana. </w:t>
      </w:r>
      <w:r w:rsidR="00A15BF4" w:rsidRPr="00A15BF4">
        <w:rPr>
          <w:rFonts w:asciiTheme="majorHAnsi" w:hAnsiTheme="majorHAnsi"/>
          <w:sz w:val="20"/>
          <w:szCs w:val="20"/>
          <w:lang w:val="es-ES"/>
        </w:rPr>
        <w:t xml:space="preserve">Asimismo, </w:t>
      </w:r>
      <w:r>
        <w:rPr>
          <w:rFonts w:asciiTheme="majorHAnsi" w:hAnsiTheme="majorHAnsi"/>
          <w:sz w:val="20"/>
          <w:szCs w:val="20"/>
          <w:lang w:val="es-ES"/>
        </w:rPr>
        <w:t xml:space="preserve">en </w:t>
      </w:r>
      <w:r w:rsidR="00A15BF4" w:rsidRPr="00A15BF4">
        <w:rPr>
          <w:rFonts w:asciiTheme="majorHAnsi" w:hAnsiTheme="majorHAnsi"/>
          <w:sz w:val="20"/>
          <w:szCs w:val="20"/>
          <w:lang w:val="es-ES"/>
        </w:rPr>
        <w:t xml:space="preserve">la presente petición </w:t>
      </w:r>
      <w:r>
        <w:rPr>
          <w:rFonts w:asciiTheme="majorHAnsi" w:hAnsiTheme="majorHAnsi"/>
          <w:sz w:val="20"/>
          <w:szCs w:val="20"/>
          <w:lang w:val="es-ES"/>
        </w:rPr>
        <w:t xml:space="preserve">se </w:t>
      </w:r>
      <w:r w:rsidR="00A15BF4" w:rsidRPr="00A15BF4">
        <w:rPr>
          <w:rFonts w:asciiTheme="majorHAnsi" w:hAnsiTheme="majorHAnsi"/>
          <w:sz w:val="20"/>
          <w:szCs w:val="20"/>
          <w:lang w:val="es-ES"/>
        </w:rPr>
        <w:t>alega la continuidad y falta de esclarecimiento de dichos delitos, así como la falta de indemnización</w:t>
      </w:r>
      <w:r w:rsidR="006603F7">
        <w:rPr>
          <w:rFonts w:asciiTheme="majorHAnsi" w:hAnsiTheme="majorHAnsi"/>
          <w:sz w:val="20"/>
          <w:szCs w:val="20"/>
          <w:lang w:val="es-ES"/>
        </w:rPr>
        <w:t xml:space="preserve"> como</w:t>
      </w:r>
      <w:r w:rsidR="00A15BF4" w:rsidRPr="00A15BF4">
        <w:rPr>
          <w:rFonts w:asciiTheme="majorHAnsi" w:hAnsiTheme="majorHAnsi"/>
          <w:sz w:val="20"/>
          <w:szCs w:val="20"/>
          <w:lang w:val="es-ES"/>
        </w:rPr>
        <w:t xml:space="preserve"> </w:t>
      </w:r>
      <w:r>
        <w:rPr>
          <w:rFonts w:asciiTheme="majorHAnsi" w:hAnsiTheme="majorHAnsi"/>
          <w:sz w:val="20"/>
          <w:szCs w:val="20"/>
          <w:lang w:val="es-ES"/>
        </w:rPr>
        <w:t xml:space="preserve">consecuencia de la </w:t>
      </w:r>
      <w:r w:rsidR="00A15BF4" w:rsidRPr="00A15BF4">
        <w:rPr>
          <w:rFonts w:asciiTheme="majorHAnsi" w:hAnsiTheme="majorHAnsi"/>
          <w:sz w:val="20"/>
          <w:szCs w:val="20"/>
          <w:lang w:val="es-ES"/>
        </w:rPr>
        <w:t xml:space="preserve">aplicación judicial de la prescripción en materia </w:t>
      </w:r>
      <w:r w:rsidR="00A15BF4" w:rsidRPr="00A15BF4">
        <w:rPr>
          <w:sz w:val="20"/>
          <w:szCs w:val="20"/>
          <w:lang w:val="es-ES"/>
        </w:rPr>
        <w:t xml:space="preserve">civil. </w:t>
      </w:r>
      <w:r w:rsidR="00A15BF4" w:rsidRPr="00A15BF4">
        <w:rPr>
          <w:color w:val="auto"/>
          <w:sz w:val="20"/>
          <w:szCs w:val="20"/>
          <w:lang w:val="es-ES"/>
        </w:rPr>
        <w:t xml:space="preserve">Respecto a las acciones civiles de reparación por crímenes de lesa humanidad, </w:t>
      </w:r>
      <w:r>
        <w:rPr>
          <w:color w:val="auto"/>
          <w:sz w:val="20"/>
          <w:szCs w:val="20"/>
          <w:lang w:val="es-ES"/>
        </w:rPr>
        <w:t xml:space="preserve">como las planteadas en el presente asunto, </w:t>
      </w:r>
      <w:r w:rsidR="00A15BF4" w:rsidRPr="00A15BF4">
        <w:rPr>
          <w:color w:val="auto"/>
          <w:sz w:val="20"/>
          <w:szCs w:val="20"/>
          <w:lang w:val="es-ES"/>
        </w:rPr>
        <w:t>tanto la C</w:t>
      </w:r>
      <w:r>
        <w:rPr>
          <w:color w:val="auto"/>
          <w:sz w:val="20"/>
          <w:szCs w:val="20"/>
          <w:lang w:val="es-ES"/>
        </w:rPr>
        <w:t>IDH</w:t>
      </w:r>
      <w:r w:rsidR="00A15BF4" w:rsidRPr="00A15BF4">
        <w:rPr>
          <w:color w:val="auto"/>
          <w:sz w:val="20"/>
          <w:szCs w:val="20"/>
          <w:lang w:val="es-ES"/>
        </w:rPr>
        <w:t xml:space="preserve"> como la Corte Interamericana han dicho que la aplicación de la prescripción constituye un obstáculo al acceso efectivo a la justicia para garantizar el derecho de las víctimas a ser reparadas</w:t>
      </w:r>
      <w:r>
        <w:rPr>
          <w:color w:val="auto"/>
          <w:sz w:val="20"/>
          <w:szCs w:val="20"/>
          <w:lang w:val="es-ES"/>
        </w:rPr>
        <w:t>;</w:t>
      </w:r>
      <w:r w:rsidR="00A15BF4" w:rsidRPr="00A15BF4">
        <w:rPr>
          <w:color w:val="auto"/>
          <w:sz w:val="20"/>
          <w:szCs w:val="20"/>
          <w:lang w:val="es-ES"/>
        </w:rPr>
        <w:t xml:space="preserve"> y </w:t>
      </w:r>
      <w:r>
        <w:rPr>
          <w:color w:val="auto"/>
          <w:sz w:val="20"/>
          <w:szCs w:val="20"/>
          <w:lang w:val="es-ES"/>
        </w:rPr>
        <w:t xml:space="preserve">que </w:t>
      </w:r>
      <w:r w:rsidR="00A15BF4" w:rsidRPr="00A15BF4">
        <w:rPr>
          <w:color w:val="auto"/>
          <w:sz w:val="20"/>
          <w:szCs w:val="20"/>
          <w:lang w:val="es-ES"/>
        </w:rPr>
        <w:t xml:space="preserve">por ello no debería aplicarse </w:t>
      </w:r>
      <w:r>
        <w:rPr>
          <w:color w:val="auto"/>
          <w:sz w:val="20"/>
          <w:szCs w:val="20"/>
          <w:lang w:val="es-ES"/>
        </w:rPr>
        <w:t>a</w:t>
      </w:r>
      <w:r w:rsidR="00A15BF4" w:rsidRPr="00A15BF4">
        <w:rPr>
          <w:color w:val="auto"/>
          <w:sz w:val="20"/>
          <w:szCs w:val="20"/>
          <w:lang w:val="es-ES"/>
        </w:rPr>
        <w:t xml:space="preserve"> </w:t>
      </w:r>
      <w:r>
        <w:rPr>
          <w:color w:val="auto"/>
          <w:sz w:val="20"/>
          <w:szCs w:val="20"/>
          <w:lang w:val="es-ES"/>
        </w:rPr>
        <w:t>tales asuntos</w:t>
      </w:r>
      <w:r w:rsidR="00A15BF4" w:rsidRPr="00A15BF4">
        <w:rPr>
          <w:rStyle w:val="FootnoteReference"/>
          <w:color w:val="auto"/>
          <w:sz w:val="20"/>
          <w:szCs w:val="20"/>
          <w:lang w:val="es-ES"/>
        </w:rPr>
        <w:footnoteReference w:id="11"/>
      </w:r>
      <w:r w:rsidR="00A15BF4" w:rsidRPr="00A15BF4">
        <w:rPr>
          <w:color w:val="auto"/>
          <w:sz w:val="20"/>
          <w:szCs w:val="20"/>
          <w:lang w:val="es-ES"/>
        </w:rPr>
        <w:t xml:space="preserve">. Por lo tanto, la Comisión Interamericana considera que le corresponde ejercer su competencia complementaria en este asunto y analizar en la etapa de fondo si el sistema interno ofreció a </w:t>
      </w:r>
      <w:r>
        <w:rPr>
          <w:color w:val="auto"/>
          <w:sz w:val="20"/>
          <w:szCs w:val="20"/>
          <w:lang w:val="es-ES"/>
        </w:rPr>
        <w:t>los demandantes</w:t>
      </w:r>
      <w:r w:rsidR="00A15BF4" w:rsidRPr="00A15BF4">
        <w:rPr>
          <w:color w:val="auto"/>
          <w:sz w:val="20"/>
          <w:szCs w:val="20"/>
          <w:lang w:val="es-ES"/>
        </w:rPr>
        <w:t xml:space="preserve"> las vías adecuadas para buscar una debida reparación y garantizar el derecho a la tutela judicial efectiva</w:t>
      </w:r>
      <w:r w:rsidR="00A15BF4" w:rsidRPr="00A15BF4">
        <w:rPr>
          <w:rFonts w:eastAsia="Arial Unicode MS" w:cs="Times New Roman"/>
          <w:color w:val="auto"/>
          <w:sz w:val="20"/>
          <w:szCs w:val="20"/>
          <w:bdr w:val="none" w:sz="0" w:space="0" w:color="auto"/>
          <w:lang w:val="es-ES" w:eastAsia="en-US"/>
        </w:rPr>
        <w:t xml:space="preserve">. </w:t>
      </w:r>
      <w:r>
        <w:rPr>
          <w:rFonts w:eastAsia="Arial Unicode MS" w:cs="Times New Roman"/>
          <w:color w:val="auto"/>
          <w:sz w:val="20"/>
          <w:szCs w:val="20"/>
          <w:bdr w:val="none" w:sz="0" w:space="0" w:color="auto"/>
          <w:lang w:val="es-ES" w:eastAsia="en-US"/>
        </w:rPr>
        <w:t>Con base en</w:t>
      </w:r>
      <w:r w:rsidR="00A15BF4" w:rsidRPr="00A15BF4">
        <w:rPr>
          <w:rFonts w:eastAsia="Arial Unicode MS" w:cs="Times New Roman"/>
          <w:color w:val="auto"/>
          <w:sz w:val="20"/>
          <w:szCs w:val="20"/>
          <w:bdr w:val="none" w:sz="0" w:space="0" w:color="auto"/>
          <w:lang w:val="es-ES" w:eastAsia="en-US"/>
        </w:rPr>
        <w:t xml:space="preserve"> lo anterior, la CIDH considera que los alegatos de</w:t>
      </w:r>
      <w:r>
        <w:rPr>
          <w:rFonts w:eastAsia="Arial Unicode MS" w:cs="Times New Roman"/>
          <w:color w:val="auto"/>
          <w:sz w:val="20"/>
          <w:szCs w:val="20"/>
          <w:bdr w:val="none" w:sz="0" w:space="0" w:color="auto"/>
          <w:lang w:val="es-ES" w:eastAsia="en-US"/>
        </w:rPr>
        <w:t>l</w:t>
      </w:r>
      <w:r w:rsidR="00A15BF4" w:rsidRPr="00A15BF4">
        <w:rPr>
          <w:rFonts w:eastAsia="Arial Unicode MS" w:cs="Times New Roman"/>
          <w:color w:val="auto"/>
          <w:sz w:val="20"/>
          <w:szCs w:val="20"/>
          <w:bdr w:val="none" w:sz="0" w:space="0" w:color="auto"/>
          <w:lang w:val="es-ES" w:eastAsia="en-US"/>
        </w:rPr>
        <w:t xml:space="preserve"> peticionari</w:t>
      </w:r>
      <w:r>
        <w:rPr>
          <w:rFonts w:eastAsia="Arial Unicode MS" w:cs="Times New Roman"/>
          <w:color w:val="auto"/>
          <w:sz w:val="20"/>
          <w:szCs w:val="20"/>
          <w:bdr w:val="none" w:sz="0" w:space="0" w:color="auto"/>
          <w:lang w:val="es-ES" w:eastAsia="en-US"/>
        </w:rPr>
        <w:t>o</w:t>
      </w:r>
      <w:r w:rsidR="00A15BF4" w:rsidRPr="00A15BF4">
        <w:rPr>
          <w:rFonts w:eastAsia="Arial Unicode MS" w:cs="Times New Roman"/>
          <w:color w:val="auto"/>
          <w:sz w:val="20"/>
          <w:szCs w:val="20"/>
          <w:bdr w:val="none" w:sz="0" w:space="0" w:color="auto"/>
          <w:lang w:val="es-ES" w:eastAsia="en-US"/>
        </w:rPr>
        <w:t xml:space="preserve"> no resultan manifiestamente infundad</w:t>
      </w:r>
      <w:r>
        <w:rPr>
          <w:rFonts w:eastAsia="Arial Unicode MS" w:cs="Times New Roman"/>
          <w:color w:val="auto"/>
          <w:sz w:val="20"/>
          <w:szCs w:val="20"/>
          <w:bdr w:val="none" w:sz="0" w:space="0" w:color="auto"/>
          <w:lang w:val="es-ES" w:eastAsia="en-US"/>
        </w:rPr>
        <w:t>o</w:t>
      </w:r>
      <w:r w:rsidR="00A15BF4" w:rsidRPr="00A15BF4">
        <w:rPr>
          <w:rFonts w:eastAsia="Arial Unicode MS" w:cs="Times New Roman"/>
          <w:color w:val="auto"/>
          <w:sz w:val="20"/>
          <w:szCs w:val="20"/>
          <w:bdr w:val="none" w:sz="0" w:space="0" w:color="auto"/>
          <w:lang w:val="es-ES" w:eastAsia="en-US"/>
        </w:rPr>
        <w:t xml:space="preserve">s y requieren un estudio de fondo pues los hechos alegados, de corroborarse como ciertos podrían caracterizar violaciones </w:t>
      </w:r>
      <w:r>
        <w:rPr>
          <w:rFonts w:eastAsia="Arial Unicode MS" w:cs="Times New Roman"/>
          <w:color w:val="auto"/>
          <w:sz w:val="20"/>
          <w:szCs w:val="20"/>
          <w:bdr w:val="none" w:sz="0" w:space="0" w:color="auto"/>
          <w:lang w:val="es-ES" w:eastAsia="en-US"/>
        </w:rPr>
        <w:t>de</w:t>
      </w:r>
      <w:r w:rsidR="00A15BF4" w:rsidRPr="00A15BF4">
        <w:rPr>
          <w:rFonts w:eastAsia="Arial Unicode MS" w:cs="Times New Roman"/>
          <w:color w:val="auto"/>
          <w:sz w:val="20"/>
          <w:szCs w:val="20"/>
          <w:bdr w:val="none" w:sz="0" w:space="0" w:color="auto"/>
          <w:lang w:val="es-ES" w:eastAsia="en-US"/>
        </w:rPr>
        <w:t xml:space="preserve"> los artículos 3</w:t>
      </w:r>
      <w:r w:rsidR="00A15BF4" w:rsidRPr="00A15BF4">
        <w:rPr>
          <w:sz w:val="20"/>
          <w:szCs w:val="20"/>
          <w:lang w:val="es-ES"/>
        </w:rPr>
        <w:t xml:space="preserve"> (personalidad jurídica), 4 (vida), 5 (integridad personal), 7 (libertad personal), 8 (garantías judiciales) y 25 (protección judicial) de la Convención Americana, en relación con </w:t>
      </w:r>
      <w:r>
        <w:rPr>
          <w:sz w:val="20"/>
          <w:szCs w:val="20"/>
          <w:lang w:val="es-ES"/>
        </w:rPr>
        <w:t xml:space="preserve">los artículos </w:t>
      </w:r>
      <w:r w:rsidR="00A15BF4" w:rsidRPr="00A15BF4">
        <w:rPr>
          <w:sz w:val="20"/>
          <w:szCs w:val="20"/>
          <w:lang w:val="es-ES"/>
        </w:rPr>
        <w:t xml:space="preserve">1.1 (obligación de respetar los derechos) y 2 (deber de adoptar disposiciones de derecho interno); y </w:t>
      </w:r>
      <w:r>
        <w:rPr>
          <w:sz w:val="20"/>
          <w:szCs w:val="20"/>
          <w:lang w:val="es-ES"/>
        </w:rPr>
        <w:t>d</w:t>
      </w:r>
      <w:r w:rsidR="00A15BF4" w:rsidRPr="00A15BF4">
        <w:rPr>
          <w:sz w:val="20"/>
          <w:szCs w:val="20"/>
          <w:lang w:val="es-ES"/>
        </w:rPr>
        <w:t>el artículo I de la Convención Interamericana sobre Desaparición Forzada de Personas</w:t>
      </w:r>
      <w:r w:rsidR="00A15BF4" w:rsidRPr="00A15BF4">
        <w:rPr>
          <w:rStyle w:val="FootnoteReference"/>
          <w:sz w:val="20"/>
          <w:szCs w:val="20"/>
          <w:lang w:val="es-ES"/>
        </w:rPr>
        <w:footnoteReference w:id="12"/>
      </w:r>
      <w:r w:rsidR="00A15BF4" w:rsidRPr="00A15BF4">
        <w:rPr>
          <w:sz w:val="20"/>
          <w:szCs w:val="20"/>
          <w:lang w:val="es-ES"/>
        </w:rPr>
        <w:t>.</w:t>
      </w:r>
    </w:p>
    <w:p w14:paraId="3AEE116D" w14:textId="77777777" w:rsidR="006603F7" w:rsidRDefault="006603F7" w:rsidP="006603F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p>
    <w:p w14:paraId="29BB41F5" w14:textId="59EB822E" w:rsidR="003239B8" w:rsidRPr="00B678EF" w:rsidRDefault="00EC72AB" w:rsidP="006603F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r w:rsidRPr="00B678EF">
        <w:rPr>
          <w:rFonts w:asciiTheme="majorHAnsi" w:hAnsiTheme="majorHAnsi"/>
          <w:b/>
          <w:bCs/>
          <w:sz w:val="20"/>
          <w:szCs w:val="20"/>
          <w:lang w:val="es-ES"/>
        </w:rPr>
        <w:t>VI</w:t>
      </w:r>
      <w:r w:rsidR="00F04591" w:rsidRPr="00B678EF">
        <w:rPr>
          <w:rFonts w:asciiTheme="majorHAnsi" w:hAnsiTheme="majorHAnsi"/>
          <w:b/>
          <w:bCs/>
          <w:sz w:val="20"/>
          <w:szCs w:val="20"/>
          <w:lang w:val="es-ES"/>
        </w:rPr>
        <w:t>II</w:t>
      </w:r>
      <w:r w:rsidR="003239B8" w:rsidRPr="00B678EF">
        <w:rPr>
          <w:rFonts w:asciiTheme="majorHAnsi" w:hAnsiTheme="majorHAnsi"/>
          <w:b/>
          <w:bCs/>
          <w:sz w:val="20"/>
          <w:szCs w:val="20"/>
          <w:lang w:val="es-ES"/>
        </w:rPr>
        <w:t xml:space="preserve">. </w:t>
      </w:r>
      <w:r w:rsidR="003239B8" w:rsidRPr="00B678EF">
        <w:rPr>
          <w:rFonts w:asciiTheme="majorHAnsi" w:hAnsiTheme="majorHAnsi"/>
          <w:b/>
          <w:bCs/>
          <w:sz w:val="20"/>
          <w:szCs w:val="20"/>
          <w:lang w:val="es-ES"/>
        </w:rPr>
        <w:tab/>
        <w:t>DECISIÓN</w:t>
      </w:r>
    </w:p>
    <w:p w14:paraId="00B12049" w14:textId="77777777" w:rsidR="006603F7" w:rsidRPr="006603F7" w:rsidRDefault="006603F7" w:rsidP="006603F7">
      <w:pPr>
        <w:pStyle w:val="ListParagraph"/>
        <w:jc w:val="both"/>
        <w:rPr>
          <w:rFonts w:eastAsia="Arial Unicode MS" w:cs="Times New Roman"/>
          <w:color w:val="auto"/>
          <w:sz w:val="20"/>
          <w:szCs w:val="20"/>
          <w:lang w:val="es-ES" w:eastAsia="en-US"/>
        </w:rPr>
      </w:pPr>
    </w:p>
    <w:p w14:paraId="570DA61C" w14:textId="32E713F2" w:rsidR="000419AD" w:rsidRPr="00B678EF" w:rsidRDefault="00E256B5" w:rsidP="006603F7">
      <w:pPr>
        <w:pStyle w:val="ListParagraph"/>
        <w:numPr>
          <w:ilvl w:val="0"/>
          <w:numId w:val="109"/>
        </w:numPr>
        <w:jc w:val="both"/>
        <w:rPr>
          <w:rFonts w:eastAsia="Arial Unicode MS" w:cs="Times New Roman"/>
          <w:color w:val="auto"/>
          <w:sz w:val="20"/>
          <w:szCs w:val="20"/>
          <w:lang w:val="es-ES" w:eastAsia="en-US"/>
        </w:rPr>
      </w:pPr>
      <w:r w:rsidRPr="00006B74">
        <w:rPr>
          <w:rFonts w:asciiTheme="majorHAnsi" w:hAnsiTheme="majorHAnsi"/>
          <w:sz w:val="20"/>
          <w:szCs w:val="20"/>
          <w:lang w:val="es-ES"/>
        </w:rPr>
        <w:t xml:space="preserve">Declarar admisible la presente petición </w:t>
      </w:r>
      <w:r w:rsidR="00633737">
        <w:rPr>
          <w:rFonts w:asciiTheme="majorHAnsi" w:hAnsiTheme="majorHAnsi"/>
          <w:sz w:val="20"/>
          <w:szCs w:val="20"/>
          <w:lang w:val="es-ES"/>
        </w:rPr>
        <w:t>con</w:t>
      </w:r>
      <w:r w:rsidRPr="00006B74">
        <w:rPr>
          <w:rFonts w:asciiTheme="majorHAnsi" w:hAnsiTheme="majorHAnsi"/>
          <w:sz w:val="20"/>
          <w:szCs w:val="20"/>
          <w:lang w:val="es-ES"/>
        </w:rPr>
        <w:t xml:space="preserve"> relación </w:t>
      </w:r>
      <w:r w:rsidR="00633737">
        <w:rPr>
          <w:rFonts w:asciiTheme="majorHAnsi" w:hAnsiTheme="majorHAnsi"/>
          <w:sz w:val="20"/>
          <w:szCs w:val="20"/>
          <w:lang w:val="es-ES"/>
        </w:rPr>
        <w:t>a</w:t>
      </w:r>
      <w:r w:rsidR="00950F46" w:rsidRPr="00006B74">
        <w:rPr>
          <w:rFonts w:asciiTheme="majorHAnsi" w:hAnsiTheme="majorHAnsi"/>
          <w:sz w:val="20"/>
          <w:szCs w:val="20"/>
          <w:lang w:val="es-ES"/>
        </w:rPr>
        <w:t xml:space="preserve"> los </w:t>
      </w:r>
      <w:r w:rsidR="00950F46" w:rsidRPr="00006B74">
        <w:rPr>
          <w:bCs/>
          <w:sz w:val="20"/>
          <w:szCs w:val="20"/>
          <w:lang w:val="es-ES"/>
        </w:rPr>
        <w:t>artículos</w:t>
      </w:r>
      <w:r w:rsidR="00950F46">
        <w:rPr>
          <w:bCs/>
          <w:color w:val="FF0000"/>
          <w:sz w:val="20"/>
          <w:szCs w:val="20"/>
          <w:lang w:val="es-ES"/>
        </w:rPr>
        <w:t xml:space="preserve"> </w:t>
      </w:r>
      <w:r w:rsidR="00950F46" w:rsidRPr="00D57038">
        <w:rPr>
          <w:rFonts w:asciiTheme="majorHAnsi" w:hAnsiTheme="majorHAnsi"/>
          <w:sz w:val="20"/>
          <w:szCs w:val="20"/>
          <w:lang w:val="es-ES"/>
        </w:rPr>
        <w:t>I, XVII, XVIII y XXV de la Declaración Americana;</w:t>
      </w:r>
      <w:r w:rsidR="00950F46">
        <w:rPr>
          <w:rFonts w:asciiTheme="majorHAnsi" w:hAnsiTheme="majorHAnsi"/>
          <w:sz w:val="20"/>
          <w:szCs w:val="20"/>
          <w:lang w:val="es-ES"/>
        </w:rPr>
        <w:t xml:space="preserve"> </w:t>
      </w:r>
      <w:r w:rsidR="00950F46" w:rsidRPr="00006B74">
        <w:rPr>
          <w:rFonts w:asciiTheme="majorHAnsi" w:hAnsiTheme="majorHAnsi"/>
          <w:sz w:val="20"/>
          <w:szCs w:val="20"/>
          <w:lang w:val="es-ES"/>
        </w:rPr>
        <w:t xml:space="preserve">los </w:t>
      </w:r>
      <w:r w:rsidR="00950F46" w:rsidRPr="00006B74">
        <w:rPr>
          <w:bCs/>
          <w:sz w:val="20"/>
          <w:szCs w:val="20"/>
          <w:lang w:val="es-ES"/>
        </w:rPr>
        <w:t>artículos</w:t>
      </w:r>
      <w:r w:rsidR="00950F46">
        <w:rPr>
          <w:bCs/>
          <w:sz w:val="20"/>
          <w:szCs w:val="20"/>
          <w:lang w:val="es-ES"/>
        </w:rPr>
        <w:t xml:space="preserve"> 3, </w:t>
      </w:r>
      <w:r w:rsidR="00950F46" w:rsidRPr="006F0468">
        <w:rPr>
          <w:bCs/>
          <w:sz w:val="20"/>
          <w:szCs w:val="20"/>
          <w:lang w:val="es-ES"/>
        </w:rPr>
        <w:t>4, 5, 7, 8 y 25 de la Convención Americana</w:t>
      </w:r>
      <w:r w:rsidR="00950F46">
        <w:rPr>
          <w:bCs/>
          <w:sz w:val="20"/>
          <w:szCs w:val="20"/>
          <w:lang w:val="es-ES"/>
        </w:rPr>
        <w:t>,</w:t>
      </w:r>
      <w:r w:rsidR="00950F46">
        <w:rPr>
          <w:rFonts w:asciiTheme="majorHAnsi" w:hAnsiTheme="majorHAnsi"/>
          <w:sz w:val="20"/>
          <w:szCs w:val="20"/>
          <w:lang w:val="es-ES"/>
        </w:rPr>
        <w:t xml:space="preserve"> </w:t>
      </w:r>
      <w:r w:rsidR="00950F46">
        <w:rPr>
          <w:bCs/>
          <w:sz w:val="20"/>
          <w:szCs w:val="20"/>
          <w:lang w:val="es-ES"/>
        </w:rPr>
        <w:t xml:space="preserve">en </w:t>
      </w:r>
      <w:r w:rsidR="001075D1">
        <w:rPr>
          <w:bCs/>
          <w:sz w:val="20"/>
          <w:szCs w:val="20"/>
          <w:lang w:val="es-ES"/>
        </w:rPr>
        <w:t>concordancia</w:t>
      </w:r>
      <w:r w:rsidR="00950F46">
        <w:rPr>
          <w:bCs/>
          <w:sz w:val="20"/>
          <w:szCs w:val="20"/>
          <w:lang w:val="es-ES"/>
        </w:rPr>
        <w:t xml:space="preserve"> con sus artículos 1.1 y 2</w:t>
      </w:r>
      <w:r w:rsidR="00950F46" w:rsidRPr="00D57038">
        <w:rPr>
          <w:rFonts w:asciiTheme="majorHAnsi" w:hAnsiTheme="majorHAnsi"/>
          <w:sz w:val="20"/>
          <w:szCs w:val="20"/>
          <w:lang w:val="es-ES"/>
        </w:rPr>
        <w:t xml:space="preserve">; </w:t>
      </w:r>
      <w:r w:rsidR="008367FF">
        <w:rPr>
          <w:rFonts w:asciiTheme="majorHAnsi" w:hAnsiTheme="majorHAnsi"/>
          <w:sz w:val="20"/>
          <w:szCs w:val="20"/>
          <w:lang w:val="es-ES"/>
        </w:rPr>
        <w:t xml:space="preserve">y </w:t>
      </w:r>
      <w:r w:rsidR="00950F46">
        <w:rPr>
          <w:rFonts w:asciiTheme="majorHAnsi" w:hAnsiTheme="majorHAnsi"/>
          <w:sz w:val="20"/>
          <w:szCs w:val="20"/>
          <w:lang w:val="es-ES"/>
        </w:rPr>
        <w:t xml:space="preserve">el </w:t>
      </w:r>
      <w:r w:rsidR="00950F46" w:rsidRPr="00D57038">
        <w:rPr>
          <w:rFonts w:asciiTheme="majorHAnsi" w:hAnsiTheme="majorHAnsi"/>
          <w:sz w:val="20"/>
          <w:szCs w:val="20"/>
          <w:lang w:val="es-ES"/>
        </w:rPr>
        <w:t>artículo I de la Convención Interamericana sobre Desaparición Forzada de Persona</w:t>
      </w:r>
      <w:r w:rsidR="00950F46" w:rsidRPr="00E545A9">
        <w:rPr>
          <w:rFonts w:asciiTheme="majorHAnsi" w:hAnsiTheme="majorHAnsi"/>
          <w:sz w:val="20"/>
          <w:szCs w:val="20"/>
          <w:lang w:val="es-ES"/>
        </w:rPr>
        <w:t>s</w:t>
      </w:r>
      <w:r w:rsidR="00950F46">
        <w:rPr>
          <w:rFonts w:asciiTheme="majorHAnsi" w:hAnsiTheme="majorHAnsi"/>
          <w:sz w:val="20"/>
          <w:szCs w:val="20"/>
          <w:lang w:val="es-ES"/>
        </w:rPr>
        <w:t>,</w:t>
      </w:r>
      <w:r w:rsidR="00950F46" w:rsidRPr="00E545A9">
        <w:rPr>
          <w:rFonts w:asciiTheme="majorHAnsi" w:hAnsiTheme="majorHAnsi"/>
          <w:sz w:val="20"/>
          <w:szCs w:val="20"/>
          <w:lang w:val="es-ES"/>
        </w:rPr>
        <w:t xml:space="preserve"> </w:t>
      </w:r>
      <w:r w:rsidR="00950F46" w:rsidRPr="00B702DF">
        <w:rPr>
          <w:rFonts w:asciiTheme="majorHAnsi" w:hAnsiTheme="majorHAnsi"/>
          <w:sz w:val="20"/>
          <w:szCs w:val="20"/>
          <w:lang w:val="es-ES"/>
        </w:rPr>
        <w:t>respecto de aquellos hechos ocurridos con posterioridad a su entrada en vigor o cuya ejecución continuó luego de la entrada en vigor de dichos instrumentos para el Estado de Chile</w:t>
      </w:r>
      <w:r w:rsidR="003525DD">
        <w:rPr>
          <w:rFonts w:asciiTheme="majorHAnsi" w:hAnsiTheme="majorHAnsi"/>
          <w:sz w:val="20"/>
          <w:szCs w:val="20"/>
          <w:lang w:val="es-ES"/>
        </w:rPr>
        <w:t>; y</w:t>
      </w:r>
    </w:p>
    <w:p w14:paraId="24544352" w14:textId="77777777" w:rsidR="006603F7" w:rsidRDefault="006603F7" w:rsidP="006603F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7CD4DFBD" w14:textId="263041AD" w:rsidR="003239B8" w:rsidRDefault="004A6A54" w:rsidP="006603F7">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678EF">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74C2557F" w14:textId="77777777" w:rsidR="00E0614C" w:rsidRDefault="00E0614C" w:rsidP="00E0614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30AD73B5" w14:textId="10417B58" w:rsidR="00E0614C" w:rsidRPr="00A37B82" w:rsidRDefault="00E0614C" w:rsidP="00E0614C">
      <w:pPr>
        <w:ind w:firstLine="720"/>
        <w:jc w:val="both"/>
        <w:rPr>
          <w:rFonts w:asciiTheme="majorHAnsi" w:hAnsiTheme="majorHAnsi" w:cs="Arial"/>
          <w:noProof/>
          <w:spacing w:val="-2"/>
          <w:sz w:val="20"/>
          <w:szCs w:val="20"/>
          <w:lang w:val="es-CL"/>
        </w:rPr>
      </w:pPr>
      <w:bookmarkStart w:id="1" w:name="_Hlk95209781"/>
      <w:bookmarkStart w:id="2" w:name="_Hlk89320357"/>
      <w:r w:rsidRPr="60BFD022">
        <w:rPr>
          <w:rFonts w:asciiTheme="majorHAnsi" w:hAnsiTheme="majorHAnsi" w:cs="Arial"/>
          <w:noProof/>
          <w:spacing w:val="-2"/>
          <w:sz w:val="20"/>
          <w:szCs w:val="20"/>
          <w:lang w:val="es-CL"/>
        </w:rPr>
        <w:t xml:space="preserve">Aprobado por la Comisión Interamericana de Derechos Humanos a los </w:t>
      </w:r>
      <w:r>
        <w:rPr>
          <w:rFonts w:asciiTheme="majorHAnsi" w:hAnsiTheme="majorHAnsi" w:cs="Arial"/>
          <w:noProof/>
          <w:spacing w:val="-2"/>
          <w:sz w:val="20"/>
          <w:szCs w:val="20"/>
          <w:lang w:val="es-CL"/>
        </w:rPr>
        <w:t>5</w:t>
      </w:r>
      <w:r w:rsidRPr="60BFD022">
        <w:rPr>
          <w:rFonts w:asciiTheme="majorHAnsi" w:hAnsiTheme="majorHAnsi" w:cs="Arial"/>
          <w:noProof/>
          <w:spacing w:val="-2"/>
          <w:sz w:val="20"/>
          <w:szCs w:val="20"/>
          <w:lang w:val="es-CL"/>
        </w:rPr>
        <w:t xml:space="preserve"> días del mes de marzo de 2022.  (Firmado): Julissa Mantilla Falcón, Presidenta; Stuardo Ralón Orellana, Primer Vicepresidente; Esmeralda E. Arosemena Bernal de Troitiño y Joel Hernández, Miembros de la Comisión.</w:t>
      </w:r>
      <w:r w:rsidRPr="60BFD022">
        <w:rPr>
          <w:rFonts w:asciiTheme="majorHAnsi" w:hAnsiTheme="majorHAnsi" w:cs="Arial"/>
          <w:noProof/>
          <w:sz w:val="20"/>
          <w:szCs w:val="20"/>
          <w:lang w:val="es-CL"/>
        </w:rPr>
        <w:t xml:space="preserve"> </w:t>
      </w:r>
      <w:bookmarkEnd w:id="1"/>
    </w:p>
    <w:bookmarkEnd w:id="2"/>
    <w:p w14:paraId="093CBA74" w14:textId="77777777" w:rsidR="00E0614C" w:rsidRPr="00A37B82" w:rsidRDefault="00E0614C" w:rsidP="00E0614C">
      <w:pPr>
        <w:suppressAutoHyphens/>
        <w:ind w:firstLine="720"/>
        <w:jc w:val="both"/>
        <w:rPr>
          <w:rFonts w:asciiTheme="majorHAnsi" w:hAnsiTheme="majorHAnsi" w:cs="Arial"/>
          <w:noProof/>
          <w:spacing w:val="-2"/>
          <w:sz w:val="20"/>
          <w:szCs w:val="20"/>
          <w:lang w:val="es-CL"/>
        </w:rPr>
      </w:pPr>
    </w:p>
    <w:sectPr w:rsidR="00E0614C"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52A8B" w14:textId="77777777" w:rsidR="00ED6905" w:rsidRDefault="00ED6905">
      <w:r>
        <w:separator/>
      </w:r>
    </w:p>
  </w:endnote>
  <w:endnote w:type="continuationSeparator" w:id="0">
    <w:p w14:paraId="2BA5DC87" w14:textId="77777777" w:rsidR="00ED6905" w:rsidRDefault="00ED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B0514FC"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17EB5">
          <w:rPr>
            <w:noProof/>
            <w:sz w:val="16"/>
            <w:szCs w:val="22"/>
          </w:rPr>
          <w:t>5</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52552" w14:textId="77777777" w:rsidR="00ED6905" w:rsidRPr="000F35ED" w:rsidRDefault="00ED690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6B1C4A5" w14:textId="77777777" w:rsidR="00ED6905" w:rsidRPr="000F35ED" w:rsidRDefault="00ED6905" w:rsidP="000F35ED">
      <w:pPr>
        <w:rPr>
          <w:rFonts w:asciiTheme="majorHAnsi" w:hAnsiTheme="majorHAnsi"/>
          <w:sz w:val="16"/>
          <w:szCs w:val="16"/>
        </w:rPr>
      </w:pPr>
      <w:r w:rsidRPr="000F35ED">
        <w:rPr>
          <w:rFonts w:asciiTheme="majorHAnsi" w:hAnsiTheme="majorHAnsi"/>
          <w:sz w:val="16"/>
          <w:szCs w:val="16"/>
        </w:rPr>
        <w:separator/>
      </w:r>
    </w:p>
    <w:p w14:paraId="5CD1C887" w14:textId="77777777" w:rsidR="00ED6905" w:rsidRPr="000F35ED" w:rsidRDefault="00ED690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C0133CF" w14:textId="77777777" w:rsidR="00ED6905" w:rsidRPr="000F35ED" w:rsidRDefault="00ED690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81A5F8E" w14:textId="1B11117A" w:rsidR="00FD372A" w:rsidRPr="006603F7" w:rsidRDefault="00FD372A" w:rsidP="00C23DB3">
      <w:pPr>
        <w:pStyle w:val="FootnoteText"/>
        <w:ind w:firstLine="720"/>
        <w:jc w:val="both"/>
        <w:rPr>
          <w:rFonts w:asciiTheme="majorHAnsi" w:hAnsiTheme="majorHAnsi"/>
          <w:sz w:val="16"/>
          <w:szCs w:val="16"/>
          <w:lang w:val="es-ES"/>
        </w:rPr>
      </w:pPr>
      <w:r w:rsidRPr="006603F7">
        <w:rPr>
          <w:rStyle w:val="FootnoteReference"/>
          <w:rFonts w:asciiTheme="majorHAnsi" w:hAnsiTheme="majorHAnsi"/>
          <w:sz w:val="16"/>
          <w:szCs w:val="16"/>
        </w:rPr>
        <w:footnoteRef/>
      </w:r>
      <w:r w:rsidRPr="006603F7">
        <w:rPr>
          <w:rFonts w:asciiTheme="majorHAnsi" w:hAnsiTheme="majorHAnsi"/>
          <w:sz w:val="16"/>
          <w:szCs w:val="16"/>
          <w:lang w:val="es-ES"/>
        </w:rPr>
        <w:t xml:space="preserve"> </w:t>
      </w:r>
      <w:r w:rsidR="008A3CCB" w:rsidRPr="006603F7">
        <w:rPr>
          <w:rFonts w:asciiTheme="majorHAnsi" w:hAnsiTheme="majorHAnsi"/>
          <w:sz w:val="16"/>
          <w:szCs w:val="16"/>
          <w:lang w:val="es-ES"/>
        </w:rPr>
        <w:t xml:space="preserve">Irma Ángel </w:t>
      </w:r>
      <w:r w:rsidR="00EA304A" w:rsidRPr="006603F7">
        <w:rPr>
          <w:rFonts w:asciiTheme="majorHAnsi" w:hAnsiTheme="majorHAnsi"/>
          <w:sz w:val="16"/>
          <w:szCs w:val="16"/>
          <w:lang w:val="es-ES"/>
        </w:rPr>
        <w:t>Enríquez</w:t>
      </w:r>
      <w:r w:rsidR="008A3CCB" w:rsidRPr="006603F7">
        <w:rPr>
          <w:rFonts w:asciiTheme="majorHAnsi" w:hAnsiTheme="majorHAnsi"/>
          <w:sz w:val="16"/>
          <w:szCs w:val="16"/>
          <w:lang w:val="es-ES"/>
        </w:rPr>
        <w:t xml:space="preserve"> y Almiro Cerda Tapia, padres de la presunta víctima</w:t>
      </w:r>
      <w:r w:rsidR="003240B6" w:rsidRPr="006603F7">
        <w:rPr>
          <w:rFonts w:asciiTheme="majorHAnsi" w:hAnsiTheme="majorHAnsi"/>
          <w:sz w:val="16"/>
          <w:szCs w:val="16"/>
          <w:lang w:val="es-ES"/>
        </w:rPr>
        <w:t xml:space="preserve"> Cerda Ángel; Josefa del Carmen Martínez Ruiz, Gastón Alberto Sánchez Rojas, Cecilia Elvira Sánchez Martínez, Irene Gloria Sánchez Martínez and Olga Adriana Sánchez Martínez, familiares de la presunta víctima Gutiérrez Martínez</w:t>
      </w:r>
      <w:r w:rsidR="00CE7DD0" w:rsidRPr="006603F7">
        <w:rPr>
          <w:rFonts w:asciiTheme="majorHAnsi" w:hAnsiTheme="majorHAnsi"/>
          <w:sz w:val="16"/>
          <w:szCs w:val="16"/>
          <w:lang w:val="es-ES"/>
        </w:rPr>
        <w:t>.</w:t>
      </w:r>
    </w:p>
  </w:footnote>
  <w:footnote w:id="3">
    <w:p w14:paraId="215EEB52" w14:textId="3D2F5FA7" w:rsidR="00BF514A" w:rsidRPr="006603F7" w:rsidRDefault="00BF514A" w:rsidP="00C23DB3">
      <w:pPr>
        <w:pStyle w:val="FootnoteText"/>
        <w:ind w:firstLine="720"/>
        <w:jc w:val="both"/>
        <w:rPr>
          <w:rFonts w:asciiTheme="majorHAnsi" w:hAnsiTheme="majorHAnsi"/>
          <w:sz w:val="16"/>
          <w:szCs w:val="16"/>
          <w:lang w:val="es-ES"/>
        </w:rPr>
      </w:pPr>
      <w:r w:rsidRPr="006603F7">
        <w:rPr>
          <w:rStyle w:val="FootnoteReference"/>
          <w:rFonts w:asciiTheme="majorHAnsi" w:hAnsiTheme="majorHAnsi"/>
          <w:sz w:val="16"/>
          <w:szCs w:val="16"/>
        </w:rPr>
        <w:footnoteRef/>
      </w:r>
      <w:r w:rsidRPr="006603F7">
        <w:rPr>
          <w:rFonts w:asciiTheme="majorHAnsi" w:hAnsiTheme="majorHAnsi"/>
          <w:sz w:val="16"/>
          <w:szCs w:val="16"/>
          <w:lang w:val="es-ES"/>
        </w:rPr>
        <w:t xml:space="preserve"> En adelante “la Convención Americana” o “la Convención”.</w:t>
      </w:r>
    </w:p>
  </w:footnote>
  <w:footnote w:id="4">
    <w:p w14:paraId="79F07139" w14:textId="77777777" w:rsidR="008E3BFE" w:rsidRPr="006603F7" w:rsidRDefault="008E3BFE" w:rsidP="00C23DB3">
      <w:pPr>
        <w:pStyle w:val="FootnoteText"/>
        <w:ind w:firstLine="720"/>
        <w:jc w:val="both"/>
        <w:rPr>
          <w:rFonts w:asciiTheme="majorHAnsi" w:hAnsiTheme="majorHAnsi"/>
          <w:sz w:val="16"/>
          <w:szCs w:val="16"/>
          <w:lang w:val="es-ES"/>
        </w:rPr>
      </w:pPr>
      <w:r w:rsidRPr="006603F7">
        <w:rPr>
          <w:rStyle w:val="FootnoteReference"/>
          <w:rFonts w:asciiTheme="majorHAnsi" w:hAnsiTheme="majorHAnsi"/>
          <w:sz w:val="16"/>
          <w:szCs w:val="16"/>
        </w:rPr>
        <w:footnoteRef/>
      </w:r>
      <w:r w:rsidRPr="006603F7">
        <w:rPr>
          <w:rFonts w:asciiTheme="majorHAnsi" w:hAnsiTheme="majorHAnsi"/>
          <w:sz w:val="16"/>
          <w:szCs w:val="16"/>
          <w:lang w:val="es-ES"/>
        </w:rPr>
        <w:t xml:space="preserve"> Las observaciones de cada parte fueron debidamente trasladadas a la parte contraria.</w:t>
      </w:r>
    </w:p>
  </w:footnote>
  <w:footnote w:id="5">
    <w:p w14:paraId="6140EB72" w14:textId="77777777" w:rsidR="001E0412" w:rsidRPr="006603F7" w:rsidRDefault="001E0412" w:rsidP="00C23DB3">
      <w:pPr>
        <w:pStyle w:val="FootnoteText"/>
        <w:ind w:firstLine="720"/>
        <w:jc w:val="both"/>
        <w:rPr>
          <w:rFonts w:asciiTheme="majorHAnsi" w:hAnsiTheme="majorHAnsi"/>
          <w:sz w:val="16"/>
          <w:szCs w:val="16"/>
          <w:lang w:val="es-MX"/>
        </w:rPr>
      </w:pPr>
      <w:r w:rsidRPr="006603F7">
        <w:rPr>
          <w:rStyle w:val="FootnoteReference"/>
          <w:rFonts w:asciiTheme="majorHAnsi" w:hAnsiTheme="majorHAnsi"/>
          <w:sz w:val="16"/>
          <w:szCs w:val="16"/>
        </w:rPr>
        <w:footnoteRef/>
      </w:r>
      <w:r w:rsidRPr="006603F7">
        <w:rPr>
          <w:rFonts w:asciiTheme="majorHAnsi" w:hAnsiTheme="majorHAnsi"/>
          <w:sz w:val="16"/>
          <w:szCs w:val="16"/>
          <w:lang w:val="es-MX"/>
        </w:rPr>
        <w:t xml:space="preserve"> En adelante “la Declaración” o “la Declaración Americana”.</w:t>
      </w:r>
    </w:p>
  </w:footnote>
  <w:footnote w:id="6">
    <w:p w14:paraId="6E03C2D8" w14:textId="58655B44" w:rsidR="00ED19C2" w:rsidRPr="006603F7" w:rsidRDefault="00ED19C2" w:rsidP="00C23DB3">
      <w:pPr>
        <w:pStyle w:val="FootnoteText"/>
        <w:ind w:firstLine="720"/>
        <w:jc w:val="both"/>
        <w:rPr>
          <w:rFonts w:asciiTheme="majorHAnsi" w:hAnsiTheme="majorHAnsi"/>
          <w:sz w:val="16"/>
          <w:szCs w:val="16"/>
          <w:lang w:val="es-MX"/>
        </w:rPr>
      </w:pPr>
      <w:r w:rsidRPr="006603F7">
        <w:rPr>
          <w:rStyle w:val="FootnoteReference"/>
          <w:rFonts w:asciiTheme="majorHAnsi" w:hAnsiTheme="majorHAnsi"/>
          <w:sz w:val="16"/>
          <w:szCs w:val="16"/>
        </w:rPr>
        <w:footnoteRef/>
      </w:r>
      <w:r w:rsidRPr="006603F7">
        <w:rPr>
          <w:rFonts w:asciiTheme="majorHAnsi" w:hAnsiTheme="majorHAnsi"/>
          <w:sz w:val="16"/>
          <w:szCs w:val="16"/>
          <w:lang w:val="es-MX"/>
        </w:rPr>
        <w:t xml:space="preserve"> El Estado cita como ejemplo la</w:t>
      </w:r>
      <w:r w:rsidR="009367A9" w:rsidRPr="006603F7">
        <w:rPr>
          <w:rFonts w:asciiTheme="majorHAnsi" w:hAnsiTheme="majorHAnsi"/>
          <w:sz w:val="16"/>
          <w:szCs w:val="16"/>
          <w:lang w:val="es-MX"/>
        </w:rPr>
        <w:t>s</w:t>
      </w:r>
      <w:r w:rsidRPr="006603F7">
        <w:rPr>
          <w:rFonts w:asciiTheme="majorHAnsi" w:hAnsiTheme="majorHAnsi"/>
          <w:sz w:val="16"/>
          <w:szCs w:val="16"/>
          <w:lang w:val="es-MX"/>
        </w:rPr>
        <w:t xml:space="preserve"> sentencia</w:t>
      </w:r>
      <w:r w:rsidR="009367A9" w:rsidRPr="006603F7">
        <w:rPr>
          <w:rFonts w:asciiTheme="majorHAnsi" w:hAnsiTheme="majorHAnsi"/>
          <w:sz w:val="16"/>
          <w:szCs w:val="16"/>
          <w:lang w:val="es-MX"/>
        </w:rPr>
        <w:t>s</w:t>
      </w:r>
      <w:r w:rsidRPr="006603F7">
        <w:rPr>
          <w:rFonts w:asciiTheme="majorHAnsi" w:hAnsiTheme="majorHAnsi"/>
          <w:sz w:val="16"/>
          <w:szCs w:val="16"/>
          <w:lang w:val="es-MX"/>
        </w:rPr>
        <w:t xml:space="preserve"> de la Corte Suprema en el Caso Bratti Cornejo, Rol No</w:t>
      </w:r>
      <w:r w:rsidR="00EA6410" w:rsidRPr="006603F7">
        <w:rPr>
          <w:rFonts w:asciiTheme="majorHAnsi" w:hAnsiTheme="majorHAnsi"/>
          <w:sz w:val="16"/>
          <w:szCs w:val="16"/>
          <w:lang w:val="es-MX"/>
        </w:rPr>
        <w:t xml:space="preserve">. </w:t>
      </w:r>
      <w:r w:rsidRPr="006603F7">
        <w:rPr>
          <w:rFonts w:asciiTheme="majorHAnsi" w:hAnsiTheme="majorHAnsi"/>
          <w:sz w:val="16"/>
          <w:szCs w:val="16"/>
          <w:lang w:val="es-MX"/>
        </w:rPr>
        <w:t xml:space="preserve">5969-10, de fecha </w:t>
      </w:r>
      <w:r w:rsidR="009367A9" w:rsidRPr="006603F7">
        <w:rPr>
          <w:rFonts w:asciiTheme="majorHAnsi" w:hAnsiTheme="majorHAnsi"/>
          <w:sz w:val="16"/>
          <w:szCs w:val="16"/>
          <w:lang w:val="es-MX"/>
        </w:rPr>
        <w:t>9 de noviembre de 2011, en el Caso Robotham Bravo y Thauby Pachaco, Rol No 5436-10, de fecha 22 de junio de 2011.</w:t>
      </w:r>
    </w:p>
  </w:footnote>
  <w:footnote w:id="7">
    <w:p w14:paraId="7B3FA9B5" w14:textId="77777777" w:rsidR="00187839" w:rsidRPr="006603F7" w:rsidRDefault="00187839" w:rsidP="00C23DB3">
      <w:pPr>
        <w:pStyle w:val="FootnoteText"/>
        <w:ind w:firstLine="720"/>
        <w:jc w:val="both"/>
        <w:rPr>
          <w:rFonts w:asciiTheme="majorHAnsi" w:hAnsiTheme="majorHAnsi"/>
          <w:sz w:val="16"/>
          <w:szCs w:val="16"/>
          <w:lang w:val="es-MX"/>
        </w:rPr>
      </w:pPr>
      <w:r w:rsidRPr="006603F7">
        <w:rPr>
          <w:rStyle w:val="FootnoteReference"/>
          <w:rFonts w:asciiTheme="majorHAnsi" w:hAnsiTheme="majorHAnsi"/>
          <w:sz w:val="16"/>
          <w:szCs w:val="16"/>
        </w:rPr>
        <w:footnoteRef/>
      </w:r>
      <w:r w:rsidRPr="006603F7">
        <w:rPr>
          <w:rFonts w:asciiTheme="majorHAnsi" w:hAnsiTheme="majorHAnsi"/>
          <w:sz w:val="16"/>
          <w:szCs w:val="16"/>
          <w:lang w:val="es-MX"/>
        </w:rPr>
        <w:t xml:space="preserve"> Ver CIDH, Informe No. 105/17. Petición 798-07. Admisibilidad. David Valderrama Opazo y otros. Chile. 7 de septiembre de 2017.</w:t>
      </w:r>
    </w:p>
  </w:footnote>
  <w:footnote w:id="8">
    <w:p w14:paraId="545E87E1" w14:textId="77777777" w:rsidR="00187839" w:rsidRPr="006603F7" w:rsidRDefault="00187839" w:rsidP="00C23DB3">
      <w:pPr>
        <w:pStyle w:val="FootnoteText"/>
        <w:ind w:firstLine="720"/>
        <w:jc w:val="both"/>
        <w:rPr>
          <w:rFonts w:asciiTheme="majorHAnsi" w:hAnsiTheme="majorHAnsi"/>
          <w:sz w:val="16"/>
          <w:szCs w:val="16"/>
          <w:lang w:val="es-MX"/>
        </w:rPr>
      </w:pPr>
      <w:r w:rsidRPr="006603F7">
        <w:rPr>
          <w:rStyle w:val="FootnoteReference"/>
          <w:rFonts w:asciiTheme="majorHAnsi" w:hAnsiTheme="majorHAnsi"/>
          <w:sz w:val="16"/>
          <w:szCs w:val="16"/>
        </w:rPr>
        <w:footnoteRef/>
      </w:r>
      <w:r w:rsidRPr="006603F7">
        <w:rPr>
          <w:rFonts w:asciiTheme="majorHAnsi" w:hAnsiTheme="majorHAnsi"/>
          <w:sz w:val="16"/>
          <w:szCs w:val="16"/>
          <w:lang w:val="es-MX"/>
        </w:rPr>
        <w:t xml:space="preserve"> CIDH, Informe No. 154/17. Petición 239-07. Admisibilidad. Nicanor Alfonso Terreros Londoño y Familia. Colombia. 30 de noviembre de 2017</w:t>
      </w:r>
    </w:p>
  </w:footnote>
  <w:footnote w:id="9">
    <w:p w14:paraId="598E08FF" w14:textId="77777777" w:rsidR="000C4E62" w:rsidRPr="006603F7" w:rsidRDefault="000C4E62" w:rsidP="00C23DB3">
      <w:pPr>
        <w:pStyle w:val="FootnoteText"/>
        <w:ind w:firstLine="720"/>
        <w:jc w:val="both"/>
        <w:rPr>
          <w:rFonts w:asciiTheme="majorHAnsi" w:hAnsiTheme="majorHAnsi"/>
          <w:sz w:val="16"/>
          <w:szCs w:val="16"/>
          <w:lang w:val="es-MX"/>
        </w:rPr>
      </w:pPr>
      <w:r w:rsidRPr="006603F7">
        <w:rPr>
          <w:rStyle w:val="FootnoteReference"/>
          <w:rFonts w:asciiTheme="majorHAnsi" w:hAnsiTheme="majorHAnsi"/>
          <w:sz w:val="16"/>
          <w:szCs w:val="16"/>
        </w:rPr>
        <w:footnoteRef/>
      </w:r>
      <w:r w:rsidRPr="006603F7">
        <w:rPr>
          <w:rFonts w:asciiTheme="majorHAnsi" w:hAnsiTheme="majorHAnsi"/>
          <w:sz w:val="16"/>
          <w:szCs w:val="16"/>
          <w:lang w:val="es-MX"/>
        </w:rPr>
        <w:t xml:space="preserve"> Ver CIDH, Informe Nº 72/16. Petición 694-06. Admisibilidad. Onofre Antonio de La Hoz Montero y Familia. Colombia. 6 de diciembre de 2016, párr. 32.; CIDH, Informe No. 81/18. Petición 190-07. Admisibilidad. Edgar José Sánchez Duarte. Colombia. 7 de julio de 2018.</w:t>
      </w:r>
    </w:p>
  </w:footnote>
  <w:footnote w:id="10">
    <w:p w14:paraId="133021FB" w14:textId="1A6582F3" w:rsidR="00A2280D" w:rsidRPr="006603F7" w:rsidRDefault="00A2280D" w:rsidP="00C23DB3">
      <w:pPr>
        <w:pStyle w:val="FootnoteText"/>
        <w:ind w:firstLine="720"/>
        <w:jc w:val="both"/>
        <w:rPr>
          <w:rFonts w:asciiTheme="majorHAnsi" w:hAnsiTheme="majorHAnsi"/>
          <w:sz w:val="16"/>
          <w:szCs w:val="16"/>
          <w:lang w:val="es-ES"/>
        </w:rPr>
      </w:pPr>
      <w:r w:rsidRPr="006603F7">
        <w:rPr>
          <w:rStyle w:val="FootnoteReference"/>
          <w:rFonts w:asciiTheme="majorHAnsi" w:hAnsiTheme="majorHAnsi"/>
          <w:sz w:val="16"/>
          <w:szCs w:val="16"/>
        </w:rPr>
        <w:footnoteRef/>
      </w:r>
      <w:r w:rsidRPr="006603F7">
        <w:rPr>
          <w:rFonts w:asciiTheme="majorHAnsi" w:hAnsiTheme="majorHAnsi"/>
          <w:sz w:val="16"/>
          <w:szCs w:val="16"/>
          <w:lang w:val="es-ES"/>
        </w:rPr>
        <w:t xml:space="preserve"> CIDH, Informe No. 161/17, Petición 29-07. Admisibilidad. </w:t>
      </w:r>
      <w:r w:rsidRPr="002D71DA">
        <w:rPr>
          <w:rFonts w:asciiTheme="majorHAnsi" w:hAnsiTheme="majorHAnsi"/>
          <w:sz w:val="16"/>
          <w:szCs w:val="16"/>
          <w:lang w:val="es-419"/>
        </w:rPr>
        <w:t xml:space="preserve">Andy Williams Garcés Suárez y familia. </w:t>
      </w:r>
      <w:r w:rsidRPr="006603F7">
        <w:rPr>
          <w:rFonts w:asciiTheme="majorHAnsi" w:hAnsiTheme="majorHAnsi"/>
          <w:sz w:val="16"/>
          <w:szCs w:val="16"/>
          <w:lang w:val="es-ES"/>
        </w:rPr>
        <w:t>Perú. 30 de noviembre de 2017, párr. 12.</w:t>
      </w:r>
    </w:p>
  </w:footnote>
  <w:footnote w:id="11">
    <w:p w14:paraId="18A6850B" w14:textId="77777777" w:rsidR="00A15BF4" w:rsidRPr="006603F7" w:rsidRDefault="00A15BF4" w:rsidP="00C23DB3">
      <w:pPr>
        <w:pStyle w:val="FootnoteText"/>
        <w:ind w:firstLine="720"/>
        <w:jc w:val="both"/>
        <w:rPr>
          <w:rFonts w:asciiTheme="majorHAnsi" w:hAnsiTheme="majorHAnsi"/>
          <w:sz w:val="16"/>
          <w:szCs w:val="16"/>
          <w:lang w:val="es-MX"/>
        </w:rPr>
      </w:pPr>
      <w:r w:rsidRPr="006603F7">
        <w:rPr>
          <w:rStyle w:val="FootnoteReference"/>
          <w:rFonts w:asciiTheme="majorHAnsi" w:hAnsiTheme="majorHAnsi"/>
          <w:sz w:val="16"/>
          <w:szCs w:val="16"/>
        </w:rPr>
        <w:footnoteRef/>
      </w:r>
      <w:r w:rsidRPr="006603F7">
        <w:rPr>
          <w:rFonts w:asciiTheme="majorHAnsi" w:hAnsiTheme="majorHAnsi"/>
          <w:sz w:val="16"/>
          <w:szCs w:val="16"/>
          <w:lang w:val="es-MX"/>
        </w:rPr>
        <w:t xml:space="preserve"> CIDH, Informe No. 52/16, Caso 12.521. Fondo. Maria Laura Ordenes Guerra y otros. Chile. 30 de noviembre de 2016, párr. 134; ver igualmente CIDH, Informe No. 5/19, Petición 1560-08. Admisibilidad. Juan Paredes Barrientos y Familia. Chile. 31 de enero de 2019; Corte IDH, Caso Órdenes Guerra y otros vs. Chile, Sentencia de 29 de noviembre de 2018 (Fondo, Reparaciones y Costas), párr. 89.</w:t>
      </w:r>
    </w:p>
  </w:footnote>
  <w:footnote w:id="12">
    <w:p w14:paraId="474AC033" w14:textId="77777777" w:rsidR="00A15BF4" w:rsidRPr="006603F7" w:rsidRDefault="00A15BF4" w:rsidP="00C23DB3">
      <w:pPr>
        <w:pStyle w:val="FootnoteText"/>
        <w:ind w:firstLine="720"/>
        <w:jc w:val="both"/>
        <w:rPr>
          <w:rFonts w:asciiTheme="majorHAnsi" w:hAnsiTheme="majorHAnsi"/>
          <w:sz w:val="16"/>
          <w:szCs w:val="16"/>
          <w:lang w:val="es-MX"/>
        </w:rPr>
      </w:pPr>
      <w:r w:rsidRPr="006603F7">
        <w:rPr>
          <w:rStyle w:val="FootnoteReference"/>
          <w:rFonts w:asciiTheme="majorHAnsi" w:hAnsiTheme="majorHAnsi"/>
          <w:sz w:val="16"/>
          <w:szCs w:val="16"/>
        </w:rPr>
        <w:footnoteRef/>
      </w:r>
      <w:r w:rsidRPr="006603F7">
        <w:rPr>
          <w:rFonts w:asciiTheme="majorHAnsi" w:hAnsiTheme="majorHAnsi"/>
          <w:sz w:val="16"/>
          <w:szCs w:val="16"/>
          <w:lang w:val="es-MX"/>
        </w:rPr>
        <w:t xml:space="preserve"> CIDH, Informe No. 105/17. Petición 798-07. Admisibilidad. David Valderrama Opazo y otros. Chile. 7 de septiembre de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ED6905"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08246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F1D17DC"/>
    <w:multiLevelType w:val="hybridMultilevel"/>
    <w:tmpl w:val="9BC430E4"/>
    <w:lvl w:ilvl="0" w:tplc="1E8665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976904766">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900742688">
    <w:abstractNumId w:val="5"/>
  </w:num>
  <w:num w:numId="3" w16cid:durableId="1464497577">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67976791">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632029974">
    <w:abstractNumId w:val="7"/>
  </w:num>
  <w:num w:numId="6" w16cid:durableId="363673448">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2132086979">
    <w:abstractNumId w:val="62"/>
  </w:num>
  <w:num w:numId="8" w16cid:durableId="193738929">
    <w:abstractNumId w:val="23"/>
  </w:num>
  <w:num w:numId="9" w16cid:durableId="913127698">
    <w:abstractNumId w:val="53"/>
  </w:num>
  <w:num w:numId="10" w16cid:durableId="250478608">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459956850">
    <w:abstractNumId w:val="29"/>
  </w:num>
  <w:num w:numId="12" w16cid:durableId="1042632695">
    <w:abstractNumId w:val="60"/>
  </w:num>
  <w:num w:numId="13" w16cid:durableId="1667316482">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308196595">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231231817">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291746433">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010377232">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31872848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206526234">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862009927">
    <w:abstractNumId w:val="8"/>
  </w:num>
  <w:num w:numId="21" w16cid:durableId="573901015">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611937199">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357661444">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887066270">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819178688">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832336114">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962686405">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877231933">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471511976">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458567487">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58055625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1948386659">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419454105">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86045515">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54149199">
    <w:abstractNumId w:val="19"/>
  </w:num>
  <w:num w:numId="36" w16cid:durableId="1599407949">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12056495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46207461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694690814">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88121143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399018432">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331373102">
    <w:abstractNumId w:val="41"/>
  </w:num>
  <w:num w:numId="43" w16cid:durableId="488667401">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462455558">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585114406">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57682051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038315856">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075010245">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059749466">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28280717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45630073">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60103589">
    <w:abstractNumId w:val="46"/>
  </w:num>
  <w:num w:numId="53" w16cid:durableId="112405045">
    <w:abstractNumId w:val="0"/>
  </w:num>
  <w:num w:numId="54" w16cid:durableId="639458410">
    <w:abstractNumId w:val="40"/>
  </w:num>
  <w:num w:numId="55" w16cid:durableId="513880979">
    <w:abstractNumId w:val="41"/>
  </w:num>
  <w:num w:numId="56" w16cid:durableId="1044869128">
    <w:abstractNumId w:val="48"/>
  </w:num>
  <w:num w:numId="57" w16cid:durableId="925841610">
    <w:abstractNumId w:val="1"/>
  </w:num>
  <w:num w:numId="58" w16cid:durableId="1126195485">
    <w:abstractNumId w:val="2"/>
  </w:num>
  <w:num w:numId="59" w16cid:durableId="505747977">
    <w:abstractNumId w:val="9"/>
  </w:num>
  <w:num w:numId="60" w16cid:durableId="2101825161">
    <w:abstractNumId w:val="10"/>
  </w:num>
  <w:num w:numId="61" w16cid:durableId="1588998221">
    <w:abstractNumId w:val="11"/>
  </w:num>
  <w:num w:numId="62" w16cid:durableId="1738016957">
    <w:abstractNumId w:val="12"/>
  </w:num>
  <w:num w:numId="63" w16cid:durableId="744686214">
    <w:abstractNumId w:val="13"/>
  </w:num>
  <w:num w:numId="64" w16cid:durableId="1260529988">
    <w:abstractNumId w:val="15"/>
  </w:num>
  <w:num w:numId="65" w16cid:durableId="1088188612">
    <w:abstractNumId w:val="16"/>
  </w:num>
  <w:num w:numId="66" w16cid:durableId="1750694611">
    <w:abstractNumId w:val="17"/>
  </w:num>
  <w:num w:numId="67" w16cid:durableId="1256011824">
    <w:abstractNumId w:val="18"/>
  </w:num>
  <w:num w:numId="68" w16cid:durableId="2081056167">
    <w:abstractNumId w:val="20"/>
  </w:num>
  <w:num w:numId="69" w16cid:durableId="1168130694">
    <w:abstractNumId w:val="21"/>
  </w:num>
  <w:num w:numId="70" w16cid:durableId="2061248074">
    <w:abstractNumId w:val="24"/>
  </w:num>
  <w:num w:numId="71" w16cid:durableId="1046223126">
    <w:abstractNumId w:val="25"/>
  </w:num>
  <w:num w:numId="72" w16cid:durableId="265045473">
    <w:abstractNumId w:val="26"/>
  </w:num>
  <w:num w:numId="73" w16cid:durableId="470707541">
    <w:abstractNumId w:val="28"/>
  </w:num>
  <w:num w:numId="74" w16cid:durableId="26225378">
    <w:abstractNumId w:val="30"/>
  </w:num>
  <w:num w:numId="75" w16cid:durableId="206527971">
    <w:abstractNumId w:val="32"/>
  </w:num>
  <w:num w:numId="76" w16cid:durableId="1775518563">
    <w:abstractNumId w:val="33"/>
  </w:num>
  <w:num w:numId="77" w16cid:durableId="2118602401">
    <w:abstractNumId w:val="34"/>
  </w:num>
  <w:num w:numId="78" w16cid:durableId="2040472757">
    <w:abstractNumId w:val="35"/>
  </w:num>
  <w:num w:numId="79" w16cid:durableId="1210066880">
    <w:abstractNumId w:val="36"/>
  </w:num>
  <w:num w:numId="80" w16cid:durableId="61610296">
    <w:abstractNumId w:val="37"/>
  </w:num>
  <w:num w:numId="81" w16cid:durableId="426775099">
    <w:abstractNumId w:val="38"/>
  </w:num>
  <w:num w:numId="82" w16cid:durableId="1511944225">
    <w:abstractNumId w:val="43"/>
  </w:num>
  <w:num w:numId="83" w16cid:durableId="458960953">
    <w:abstractNumId w:val="44"/>
  </w:num>
  <w:num w:numId="84" w16cid:durableId="1951009216">
    <w:abstractNumId w:val="51"/>
  </w:num>
  <w:num w:numId="85" w16cid:durableId="1052195666">
    <w:abstractNumId w:val="54"/>
  </w:num>
  <w:num w:numId="86" w16cid:durableId="860238391">
    <w:abstractNumId w:val="57"/>
  </w:num>
  <w:num w:numId="87" w16cid:durableId="21715596">
    <w:abstractNumId w:val="59"/>
  </w:num>
  <w:num w:numId="88" w16cid:durableId="1110202948">
    <w:abstractNumId w:val="61"/>
  </w:num>
  <w:num w:numId="89" w16cid:durableId="2041130348">
    <w:abstractNumId w:val="63"/>
  </w:num>
  <w:num w:numId="90" w16cid:durableId="1364209392">
    <w:abstractNumId w:val="64"/>
  </w:num>
  <w:num w:numId="91" w16cid:durableId="203562236">
    <w:abstractNumId w:val="65"/>
  </w:num>
  <w:num w:numId="92" w16cid:durableId="1145125982">
    <w:abstractNumId w:val="66"/>
  </w:num>
  <w:num w:numId="93" w16cid:durableId="872615645">
    <w:abstractNumId w:val="68"/>
  </w:num>
  <w:num w:numId="94" w16cid:durableId="1996227507">
    <w:abstractNumId w:val="22"/>
  </w:num>
  <w:num w:numId="95" w16cid:durableId="193464046">
    <w:abstractNumId w:val="45"/>
  </w:num>
  <w:num w:numId="96" w16cid:durableId="679544826">
    <w:abstractNumId w:val="58"/>
  </w:num>
  <w:num w:numId="97" w16cid:durableId="391320278">
    <w:abstractNumId w:val="55"/>
  </w:num>
  <w:num w:numId="98" w16cid:durableId="1876043742">
    <w:abstractNumId w:val="49"/>
  </w:num>
  <w:num w:numId="99" w16cid:durableId="915170402">
    <w:abstractNumId w:val="39"/>
  </w:num>
  <w:num w:numId="100" w16cid:durableId="735200603">
    <w:abstractNumId w:val="3"/>
  </w:num>
  <w:num w:numId="101" w16cid:durableId="519323662">
    <w:abstractNumId w:val="27"/>
  </w:num>
  <w:num w:numId="102" w16cid:durableId="681708717">
    <w:abstractNumId w:val="52"/>
  </w:num>
  <w:num w:numId="103" w16cid:durableId="1459106824">
    <w:abstractNumId w:val="6"/>
  </w:num>
  <w:num w:numId="104" w16cid:durableId="1849368893">
    <w:abstractNumId w:val="67"/>
  </w:num>
  <w:num w:numId="105" w16cid:durableId="437023459">
    <w:abstractNumId w:val="56"/>
  </w:num>
  <w:num w:numId="106" w16cid:durableId="2020813921">
    <w:abstractNumId w:val="4"/>
  </w:num>
  <w:num w:numId="107" w16cid:durableId="379594863">
    <w:abstractNumId w:val="31"/>
  </w:num>
  <w:num w:numId="108" w16cid:durableId="970089305">
    <w:abstractNumId w:val="14"/>
  </w:num>
  <w:num w:numId="109" w16cid:durableId="345399277">
    <w:abstractNumId w:val="47"/>
  </w:num>
  <w:num w:numId="110" w16cid:durableId="471680149">
    <w:abstractNumId w:val="42"/>
  </w:num>
  <w:num w:numId="111" w16cid:durableId="682785007">
    <w:abstractNumId w:val="5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65D0"/>
    <w:rsid w:val="00006B74"/>
    <w:rsid w:val="00006E1F"/>
    <w:rsid w:val="000070D7"/>
    <w:rsid w:val="000104F5"/>
    <w:rsid w:val="00015701"/>
    <w:rsid w:val="000158BB"/>
    <w:rsid w:val="0001788C"/>
    <w:rsid w:val="0002186F"/>
    <w:rsid w:val="00025204"/>
    <w:rsid w:val="000337EF"/>
    <w:rsid w:val="00040C3A"/>
    <w:rsid w:val="000414E0"/>
    <w:rsid w:val="000419AD"/>
    <w:rsid w:val="00061041"/>
    <w:rsid w:val="000644AB"/>
    <w:rsid w:val="000716C5"/>
    <w:rsid w:val="00075E23"/>
    <w:rsid w:val="00086BD7"/>
    <w:rsid w:val="0009344A"/>
    <w:rsid w:val="000A11B2"/>
    <w:rsid w:val="000A2030"/>
    <w:rsid w:val="000A3254"/>
    <w:rsid w:val="000A392E"/>
    <w:rsid w:val="000A575F"/>
    <w:rsid w:val="000B0579"/>
    <w:rsid w:val="000B4E15"/>
    <w:rsid w:val="000C1C69"/>
    <w:rsid w:val="000C4E62"/>
    <w:rsid w:val="000D10DB"/>
    <w:rsid w:val="000D2631"/>
    <w:rsid w:val="000E12EC"/>
    <w:rsid w:val="000E2789"/>
    <w:rsid w:val="000E5EB5"/>
    <w:rsid w:val="000F35ED"/>
    <w:rsid w:val="00107131"/>
    <w:rsid w:val="0010736F"/>
    <w:rsid w:val="001075D1"/>
    <w:rsid w:val="00111A8A"/>
    <w:rsid w:val="00113F73"/>
    <w:rsid w:val="00121CC2"/>
    <w:rsid w:val="0012735C"/>
    <w:rsid w:val="00131D8B"/>
    <w:rsid w:val="00133EE5"/>
    <w:rsid w:val="00136E3D"/>
    <w:rsid w:val="00143EFE"/>
    <w:rsid w:val="001479C0"/>
    <w:rsid w:val="00147C4C"/>
    <w:rsid w:val="00151633"/>
    <w:rsid w:val="0015330B"/>
    <w:rsid w:val="001620D6"/>
    <w:rsid w:val="00167A34"/>
    <w:rsid w:val="0017214E"/>
    <w:rsid w:val="00172BFF"/>
    <w:rsid w:val="00177EEF"/>
    <w:rsid w:val="00187839"/>
    <w:rsid w:val="001A08FD"/>
    <w:rsid w:val="001A7870"/>
    <w:rsid w:val="001B3A00"/>
    <w:rsid w:val="001C1B41"/>
    <w:rsid w:val="001D65EF"/>
    <w:rsid w:val="001E0412"/>
    <w:rsid w:val="001E49E7"/>
    <w:rsid w:val="001E7DF4"/>
    <w:rsid w:val="001F271B"/>
    <w:rsid w:val="001F7201"/>
    <w:rsid w:val="002047CE"/>
    <w:rsid w:val="00204931"/>
    <w:rsid w:val="00221234"/>
    <w:rsid w:val="00223A29"/>
    <w:rsid w:val="002250A3"/>
    <w:rsid w:val="00231294"/>
    <w:rsid w:val="00235217"/>
    <w:rsid w:val="00246D1F"/>
    <w:rsid w:val="00247403"/>
    <w:rsid w:val="00247542"/>
    <w:rsid w:val="00247C61"/>
    <w:rsid w:val="002652BA"/>
    <w:rsid w:val="00266B61"/>
    <w:rsid w:val="0026712A"/>
    <w:rsid w:val="002704DB"/>
    <w:rsid w:val="00270BE9"/>
    <w:rsid w:val="00277BDA"/>
    <w:rsid w:val="0029575A"/>
    <w:rsid w:val="002A0AAE"/>
    <w:rsid w:val="002A5820"/>
    <w:rsid w:val="002B207D"/>
    <w:rsid w:val="002C3350"/>
    <w:rsid w:val="002C498F"/>
    <w:rsid w:val="002C68A7"/>
    <w:rsid w:val="002D1E1E"/>
    <w:rsid w:val="002D2B26"/>
    <w:rsid w:val="002D71DA"/>
    <w:rsid w:val="002D7EA2"/>
    <w:rsid w:val="002E187C"/>
    <w:rsid w:val="002E7512"/>
    <w:rsid w:val="002F7FAE"/>
    <w:rsid w:val="00301474"/>
    <w:rsid w:val="00302733"/>
    <w:rsid w:val="003121D5"/>
    <w:rsid w:val="00314078"/>
    <w:rsid w:val="0031535D"/>
    <w:rsid w:val="003239B8"/>
    <w:rsid w:val="003240B6"/>
    <w:rsid w:val="0033169F"/>
    <w:rsid w:val="00333E29"/>
    <w:rsid w:val="0034224A"/>
    <w:rsid w:val="00343438"/>
    <w:rsid w:val="00344977"/>
    <w:rsid w:val="00346C95"/>
    <w:rsid w:val="00351155"/>
    <w:rsid w:val="003525DD"/>
    <w:rsid w:val="003547D9"/>
    <w:rsid w:val="00356185"/>
    <w:rsid w:val="00360380"/>
    <w:rsid w:val="0037519E"/>
    <w:rsid w:val="00386C6C"/>
    <w:rsid w:val="00386CF0"/>
    <w:rsid w:val="00392BD6"/>
    <w:rsid w:val="003A6337"/>
    <w:rsid w:val="003B2607"/>
    <w:rsid w:val="003B4FF6"/>
    <w:rsid w:val="003B70FB"/>
    <w:rsid w:val="003B778F"/>
    <w:rsid w:val="003C676B"/>
    <w:rsid w:val="003D0A55"/>
    <w:rsid w:val="003D3BC2"/>
    <w:rsid w:val="003D5B04"/>
    <w:rsid w:val="003E4E03"/>
    <w:rsid w:val="003E6CA1"/>
    <w:rsid w:val="00404E14"/>
    <w:rsid w:val="004065A8"/>
    <w:rsid w:val="00410CF9"/>
    <w:rsid w:val="004165C2"/>
    <w:rsid w:val="00430489"/>
    <w:rsid w:val="004304AD"/>
    <w:rsid w:val="00432064"/>
    <w:rsid w:val="00441ECB"/>
    <w:rsid w:val="00445193"/>
    <w:rsid w:val="00447CCF"/>
    <w:rsid w:val="004565BA"/>
    <w:rsid w:val="00462C1B"/>
    <w:rsid w:val="004635B6"/>
    <w:rsid w:val="00467B7E"/>
    <w:rsid w:val="00473BB4"/>
    <w:rsid w:val="00477592"/>
    <w:rsid w:val="00486F1C"/>
    <w:rsid w:val="0049419D"/>
    <w:rsid w:val="004A59CC"/>
    <w:rsid w:val="004A6A54"/>
    <w:rsid w:val="004B7D04"/>
    <w:rsid w:val="004C20D2"/>
    <w:rsid w:val="004C2312"/>
    <w:rsid w:val="004C4B62"/>
    <w:rsid w:val="004C54C9"/>
    <w:rsid w:val="004C616A"/>
    <w:rsid w:val="004D23E9"/>
    <w:rsid w:val="004D4ABA"/>
    <w:rsid w:val="004D6025"/>
    <w:rsid w:val="004E19B1"/>
    <w:rsid w:val="004E2649"/>
    <w:rsid w:val="004E39B1"/>
    <w:rsid w:val="004F29CA"/>
    <w:rsid w:val="004F4FC8"/>
    <w:rsid w:val="00501399"/>
    <w:rsid w:val="00501652"/>
    <w:rsid w:val="00505D35"/>
    <w:rsid w:val="0050633D"/>
    <w:rsid w:val="00507B24"/>
    <w:rsid w:val="00507BC4"/>
    <w:rsid w:val="005128E4"/>
    <w:rsid w:val="005133DB"/>
    <w:rsid w:val="00517054"/>
    <w:rsid w:val="0052006D"/>
    <w:rsid w:val="00525560"/>
    <w:rsid w:val="005342CE"/>
    <w:rsid w:val="00536680"/>
    <w:rsid w:val="005415E6"/>
    <w:rsid w:val="00541664"/>
    <w:rsid w:val="00544216"/>
    <w:rsid w:val="00544C49"/>
    <w:rsid w:val="00546D56"/>
    <w:rsid w:val="005500BC"/>
    <w:rsid w:val="005516A1"/>
    <w:rsid w:val="00554887"/>
    <w:rsid w:val="00554B0B"/>
    <w:rsid w:val="00562D98"/>
    <w:rsid w:val="00563557"/>
    <w:rsid w:val="0057402A"/>
    <w:rsid w:val="00574CB7"/>
    <w:rsid w:val="00576EAF"/>
    <w:rsid w:val="005771D0"/>
    <w:rsid w:val="00584F54"/>
    <w:rsid w:val="0059191A"/>
    <w:rsid w:val="005921FF"/>
    <w:rsid w:val="00593243"/>
    <w:rsid w:val="005945BA"/>
    <w:rsid w:val="005A24ED"/>
    <w:rsid w:val="005A6D0E"/>
    <w:rsid w:val="005A740E"/>
    <w:rsid w:val="005A74E7"/>
    <w:rsid w:val="005B37CC"/>
    <w:rsid w:val="005B3951"/>
    <w:rsid w:val="005B52B0"/>
    <w:rsid w:val="005B6806"/>
    <w:rsid w:val="005B6D22"/>
    <w:rsid w:val="005C261A"/>
    <w:rsid w:val="005C4225"/>
    <w:rsid w:val="005C7989"/>
    <w:rsid w:val="005D2E82"/>
    <w:rsid w:val="005D5A24"/>
    <w:rsid w:val="005E0B65"/>
    <w:rsid w:val="005E11B2"/>
    <w:rsid w:val="005E1582"/>
    <w:rsid w:val="005E295B"/>
    <w:rsid w:val="005F0DAD"/>
    <w:rsid w:val="005F0F33"/>
    <w:rsid w:val="005F18A3"/>
    <w:rsid w:val="005F2408"/>
    <w:rsid w:val="00600DEB"/>
    <w:rsid w:val="00602B03"/>
    <w:rsid w:val="00610308"/>
    <w:rsid w:val="0061085F"/>
    <w:rsid w:val="0061111D"/>
    <w:rsid w:val="006277DE"/>
    <w:rsid w:val="00627C9F"/>
    <w:rsid w:val="006311E9"/>
    <w:rsid w:val="00632354"/>
    <w:rsid w:val="00633737"/>
    <w:rsid w:val="00642810"/>
    <w:rsid w:val="00647756"/>
    <w:rsid w:val="006509DA"/>
    <w:rsid w:val="00652333"/>
    <w:rsid w:val="0065465B"/>
    <w:rsid w:val="006603F7"/>
    <w:rsid w:val="00661429"/>
    <w:rsid w:val="00663972"/>
    <w:rsid w:val="00665D6B"/>
    <w:rsid w:val="00670D0E"/>
    <w:rsid w:val="006720D6"/>
    <w:rsid w:val="0068009E"/>
    <w:rsid w:val="006819E9"/>
    <w:rsid w:val="00686471"/>
    <w:rsid w:val="00691BBE"/>
    <w:rsid w:val="00692219"/>
    <w:rsid w:val="0069228C"/>
    <w:rsid w:val="006A17D2"/>
    <w:rsid w:val="006A73E6"/>
    <w:rsid w:val="006B2D5C"/>
    <w:rsid w:val="006B3120"/>
    <w:rsid w:val="006B46DE"/>
    <w:rsid w:val="006C4EB1"/>
    <w:rsid w:val="006E0166"/>
    <w:rsid w:val="006E7B34"/>
    <w:rsid w:val="006F36AE"/>
    <w:rsid w:val="0070697F"/>
    <w:rsid w:val="00717EB5"/>
    <w:rsid w:val="00720066"/>
    <w:rsid w:val="0072199C"/>
    <w:rsid w:val="00722C9F"/>
    <w:rsid w:val="00724A87"/>
    <w:rsid w:val="007253B8"/>
    <w:rsid w:val="0073598C"/>
    <w:rsid w:val="0073741F"/>
    <w:rsid w:val="00741F01"/>
    <w:rsid w:val="00743F89"/>
    <w:rsid w:val="007451A6"/>
    <w:rsid w:val="00762920"/>
    <w:rsid w:val="0076643F"/>
    <w:rsid w:val="0077634C"/>
    <w:rsid w:val="00777F63"/>
    <w:rsid w:val="007852B5"/>
    <w:rsid w:val="00797F59"/>
    <w:rsid w:val="007A5817"/>
    <w:rsid w:val="007B05C4"/>
    <w:rsid w:val="007B2CB4"/>
    <w:rsid w:val="007B60E9"/>
    <w:rsid w:val="007B6478"/>
    <w:rsid w:val="007B6CC3"/>
    <w:rsid w:val="007C2B8C"/>
    <w:rsid w:val="007C3334"/>
    <w:rsid w:val="007C402A"/>
    <w:rsid w:val="007D26EF"/>
    <w:rsid w:val="007D2B98"/>
    <w:rsid w:val="007D64F2"/>
    <w:rsid w:val="007D7033"/>
    <w:rsid w:val="007D75FE"/>
    <w:rsid w:val="007D7C02"/>
    <w:rsid w:val="007E21BC"/>
    <w:rsid w:val="007E58FE"/>
    <w:rsid w:val="007E7C82"/>
    <w:rsid w:val="007F588D"/>
    <w:rsid w:val="00802748"/>
    <w:rsid w:val="00803F1C"/>
    <w:rsid w:val="0080600E"/>
    <w:rsid w:val="00817612"/>
    <w:rsid w:val="008217E2"/>
    <w:rsid w:val="008338A4"/>
    <w:rsid w:val="00834D49"/>
    <w:rsid w:val="008367FF"/>
    <w:rsid w:val="00837C45"/>
    <w:rsid w:val="008411F0"/>
    <w:rsid w:val="008416C6"/>
    <w:rsid w:val="00844730"/>
    <w:rsid w:val="008457C2"/>
    <w:rsid w:val="00857A82"/>
    <w:rsid w:val="00871526"/>
    <w:rsid w:val="00873836"/>
    <w:rsid w:val="00885737"/>
    <w:rsid w:val="00890650"/>
    <w:rsid w:val="00897E12"/>
    <w:rsid w:val="008A0F81"/>
    <w:rsid w:val="008A3CCB"/>
    <w:rsid w:val="008A7E0F"/>
    <w:rsid w:val="008B12F5"/>
    <w:rsid w:val="008B5932"/>
    <w:rsid w:val="008C5751"/>
    <w:rsid w:val="008C7AB3"/>
    <w:rsid w:val="008D1E8F"/>
    <w:rsid w:val="008D2C35"/>
    <w:rsid w:val="008D768D"/>
    <w:rsid w:val="008E328A"/>
    <w:rsid w:val="008E3759"/>
    <w:rsid w:val="008E3BFE"/>
    <w:rsid w:val="008E75CD"/>
    <w:rsid w:val="008E7900"/>
    <w:rsid w:val="008F1912"/>
    <w:rsid w:val="0090270B"/>
    <w:rsid w:val="009041DC"/>
    <w:rsid w:val="00917B5A"/>
    <w:rsid w:val="00920A58"/>
    <w:rsid w:val="00920A8C"/>
    <w:rsid w:val="00932A86"/>
    <w:rsid w:val="00934A2C"/>
    <w:rsid w:val="00935C8C"/>
    <w:rsid w:val="00935F06"/>
    <w:rsid w:val="009367A9"/>
    <w:rsid w:val="00937B3A"/>
    <w:rsid w:val="009422D9"/>
    <w:rsid w:val="0094720E"/>
    <w:rsid w:val="00950F46"/>
    <w:rsid w:val="00954B82"/>
    <w:rsid w:val="00960730"/>
    <w:rsid w:val="00962436"/>
    <w:rsid w:val="009651A0"/>
    <w:rsid w:val="0096706E"/>
    <w:rsid w:val="00974491"/>
    <w:rsid w:val="00975C4E"/>
    <w:rsid w:val="00977CAF"/>
    <w:rsid w:val="00981FBA"/>
    <w:rsid w:val="00986F88"/>
    <w:rsid w:val="00997BC5"/>
    <w:rsid w:val="009A4F41"/>
    <w:rsid w:val="009B056A"/>
    <w:rsid w:val="009B381B"/>
    <w:rsid w:val="009C00A7"/>
    <w:rsid w:val="009C24BF"/>
    <w:rsid w:val="009C2FC5"/>
    <w:rsid w:val="009C426B"/>
    <w:rsid w:val="009D1753"/>
    <w:rsid w:val="009D1AF4"/>
    <w:rsid w:val="009D6502"/>
    <w:rsid w:val="009D7611"/>
    <w:rsid w:val="009D78A5"/>
    <w:rsid w:val="009E0B61"/>
    <w:rsid w:val="009E0CA1"/>
    <w:rsid w:val="009E3529"/>
    <w:rsid w:val="009E53DE"/>
    <w:rsid w:val="009E7C00"/>
    <w:rsid w:val="009F7502"/>
    <w:rsid w:val="00A0691C"/>
    <w:rsid w:val="00A11E44"/>
    <w:rsid w:val="00A15BF4"/>
    <w:rsid w:val="00A22397"/>
    <w:rsid w:val="00A2280D"/>
    <w:rsid w:val="00A328B3"/>
    <w:rsid w:val="00A50FCF"/>
    <w:rsid w:val="00A528D1"/>
    <w:rsid w:val="00A610CD"/>
    <w:rsid w:val="00A625E0"/>
    <w:rsid w:val="00A65D2F"/>
    <w:rsid w:val="00A74947"/>
    <w:rsid w:val="00A758AA"/>
    <w:rsid w:val="00A75C71"/>
    <w:rsid w:val="00A76C1D"/>
    <w:rsid w:val="00A816F3"/>
    <w:rsid w:val="00A83B30"/>
    <w:rsid w:val="00A87F9E"/>
    <w:rsid w:val="00AA09A2"/>
    <w:rsid w:val="00AA7996"/>
    <w:rsid w:val="00AB423A"/>
    <w:rsid w:val="00AC19CB"/>
    <w:rsid w:val="00AC7953"/>
    <w:rsid w:val="00AD1886"/>
    <w:rsid w:val="00AE2B5D"/>
    <w:rsid w:val="00AE5488"/>
    <w:rsid w:val="00AE6F91"/>
    <w:rsid w:val="00AF5571"/>
    <w:rsid w:val="00AF68F0"/>
    <w:rsid w:val="00B041B5"/>
    <w:rsid w:val="00B06B4E"/>
    <w:rsid w:val="00B07341"/>
    <w:rsid w:val="00B202B5"/>
    <w:rsid w:val="00B30539"/>
    <w:rsid w:val="00B314DB"/>
    <w:rsid w:val="00B361F2"/>
    <w:rsid w:val="00B3718B"/>
    <w:rsid w:val="00B4632A"/>
    <w:rsid w:val="00B5067D"/>
    <w:rsid w:val="00B530F1"/>
    <w:rsid w:val="00B6388B"/>
    <w:rsid w:val="00B678EF"/>
    <w:rsid w:val="00B736AF"/>
    <w:rsid w:val="00B8613B"/>
    <w:rsid w:val="00B97946"/>
    <w:rsid w:val="00BA276C"/>
    <w:rsid w:val="00BA5544"/>
    <w:rsid w:val="00BB306F"/>
    <w:rsid w:val="00BB3FBD"/>
    <w:rsid w:val="00BC6CD0"/>
    <w:rsid w:val="00BD4B89"/>
    <w:rsid w:val="00BD5922"/>
    <w:rsid w:val="00BD76D9"/>
    <w:rsid w:val="00BE1A33"/>
    <w:rsid w:val="00BF02CB"/>
    <w:rsid w:val="00BF514A"/>
    <w:rsid w:val="00BF6FD8"/>
    <w:rsid w:val="00BF775D"/>
    <w:rsid w:val="00C01C18"/>
    <w:rsid w:val="00C03680"/>
    <w:rsid w:val="00C054DF"/>
    <w:rsid w:val="00C10AFC"/>
    <w:rsid w:val="00C21562"/>
    <w:rsid w:val="00C21762"/>
    <w:rsid w:val="00C21FEF"/>
    <w:rsid w:val="00C23DB3"/>
    <w:rsid w:val="00C242F8"/>
    <w:rsid w:val="00C24543"/>
    <w:rsid w:val="00C24DA6"/>
    <w:rsid w:val="00C24DE6"/>
    <w:rsid w:val="00C256A2"/>
    <w:rsid w:val="00C33581"/>
    <w:rsid w:val="00C35A26"/>
    <w:rsid w:val="00C409E1"/>
    <w:rsid w:val="00C41CDB"/>
    <w:rsid w:val="00C43DAA"/>
    <w:rsid w:val="00C51515"/>
    <w:rsid w:val="00C53910"/>
    <w:rsid w:val="00C5660B"/>
    <w:rsid w:val="00C56854"/>
    <w:rsid w:val="00C5788A"/>
    <w:rsid w:val="00C66B72"/>
    <w:rsid w:val="00C87AC4"/>
    <w:rsid w:val="00C9567A"/>
    <w:rsid w:val="00CA29D5"/>
    <w:rsid w:val="00CA48A3"/>
    <w:rsid w:val="00CB212D"/>
    <w:rsid w:val="00CB2660"/>
    <w:rsid w:val="00CC2B92"/>
    <w:rsid w:val="00CC5E90"/>
    <w:rsid w:val="00CC794A"/>
    <w:rsid w:val="00CC7DB0"/>
    <w:rsid w:val="00CD046C"/>
    <w:rsid w:val="00CE076C"/>
    <w:rsid w:val="00CE5199"/>
    <w:rsid w:val="00CE66D5"/>
    <w:rsid w:val="00CE705F"/>
    <w:rsid w:val="00CE7DD0"/>
    <w:rsid w:val="00CF4428"/>
    <w:rsid w:val="00CF637A"/>
    <w:rsid w:val="00D059DE"/>
    <w:rsid w:val="00D05ABD"/>
    <w:rsid w:val="00D13FCE"/>
    <w:rsid w:val="00D306D1"/>
    <w:rsid w:val="00D30800"/>
    <w:rsid w:val="00D34786"/>
    <w:rsid w:val="00D37BFC"/>
    <w:rsid w:val="00D42822"/>
    <w:rsid w:val="00D47A8E"/>
    <w:rsid w:val="00D52D14"/>
    <w:rsid w:val="00D55256"/>
    <w:rsid w:val="00D57F0A"/>
    <w:rsid w:val="00D712D3"/>
    <w:rsid w:val="00D71422"/>
    <w:rsid w:val="00D72DC6"/>
    <w:rsid w:val="00D73F5E"/>
    <w:rsid w:val="00D7558D"/>
    <w:rsid w:val="00D77503"/>
    <w:rsid w:val="00D81D92"/>
    <w:rsid w:val="00D876F9"/>
    <w:rsid w:val="00D877B6"/>
    <w:rsid w:val="00D91CA8"/>
    <w:rsid w:val="00DA7B5F"/>
    <w:rsid w:val="00DB547B"/>
    <w:rsid w:val="00DC11E7"/>
    <w:rsid w:val="00DC7023"/>
    <w:rsid w:val="00DC769A"/>
    <w:rsid w:val="00DD3D86"/>
    <w:rsid w:val="00DD7065"/>
    <w:rsid w:val="00DE08D9"/>
    <w:rsid w:val="00DE12F0"/>
    <w:rsid w:val="00DE6AED"/>
    <w:rsid w:val="00DF1EC4"/>
    <w:rsid w:val="00DF2C49"/>
    <w:rsid w:val="00DF33B3"/>
    <w:rsid w:val="00DF42F6"/>
    <w:rsid w:val="00E01943"/>
    <w:rsid w:val="00E0340B"/>
    <w:rsid w:val="00E04A90"/>
    <w:rsid w:val="00E0551F"/>
    <w:rsid w:val="00E0614C"/>
    <w:rsid w:val="00E219C7"/>
    <w:rsid w:val="00E256B5"/>
    <w:rsid w:val="00E26CCA"/>
    <w:rsid w:val="00E4118C"/>
    <w:rsid w:val="00E43157"/>
    <w:rsid w:val="00E461CE"/>
    <w:rsid w:val="00E51013"/>
    <w:rsid w:val="00E619AB"/>
    <w:rsid w:val="00E66956"/>
    <w:rsid w:val="00E720CA"/>
    <w:rsid w:val="00E84EB5"/>
    <w:rsid w:val="00E85662"/>
    <w:rsid w:val="00E8789F"/>
    <w:rsid w:val="00E87CAD"/>
    <w:rsid w:val="00E92C96"/>
    <w:rsid w:val="00E93933"/>
    <w:rsid w:val="00E97B71"/>
    <w:rsid w:val="00EA26A4"/>
    <w:rsid w:val="00EA304A"/>
    <w:rsid w:val="00EA3D34"/>
    <w:rsid w:val="00EA5A69"/>
    <w:rsid w:val="00EA6410"/>
    <w:rsid w:val="00EB454D"/>
    <w:rsid w:val="00EC72AB"/>
    <w:rsid w:val="00ED19C2"/>
    <w:rsid w:val="00ED2F03"/>
    <w:rsid w:val="00ED549D"/>
    <w:rsid w:val="00ED6905"/>
    <w:rsid w:val="00ED76BE"/>
    <w:rsid w:val="00ED7F05"/>
    <w:rsid w:val="00EE00E9"/>
    <w:rsid w:val="00EE014D"/>
    <w:rsid w:val="00EE3712"/>
    <w:rsid w:val="00EE7D6D"/>
    <w:rsid w:val="00EF35AB"/>
    <w:rsid w:val="00EF4C44"/>
    <w:rsid w:val="00EF619B"/>
    <w:rsid w:val="00F00B55"/>
    <w:rsid w:val="00F02AD1"/>
    <w:rsid w:val="00F04591"/>
    <w:rsid w:val="00F06354"/>
    <w:rsid w:val="00F253CC"/>
    <w:rsid w:val="00F332EF"/>
    <w:rsid w:val="00F36505"/>
    <w:rsid w:val="00F37106"/>
    <w:rsid w:val="00F44CF0"/>
    <w:rsid w:val="00F519CF"/>
    <w:rsid w:val="00F56BA5"/>
    <w:rsid w:val="00F57DA0"/>
    <w:rsid w:val="00F60E22"/>
    <w:rsid w:val="00F63B39"/>
    <w:rsid w:val="00F81395"/>
    <w:rsid w:val="00F81887"/>
    <w:rsid w:val="00F81BB8"/>
    <w:rsid w:val="00F917B5"/>
    <w:rsid w:val="00F917D1"/>
    <w:rsid w:val="00F9342C"/>
    <w:rsid w:val="00F9653B"/>
    <w:rsid w:val="00FA56EA"/>
    <w:rsid w:val="00FB2792"/>
    <w:rsid w:val="00FB62CF"/>
    <w:rsid w:val="00FC0F4A"/>
    <w:rsid w:val="00FC15CA"/>
    <w:rsid w:val="00FC3330"/>
    <w:rsid w:val="00FD0DAB"/>
    <w:rsid w:val="00FD2331"/>
    <w:rsid w:val="00FD372A"/>
    <w:rsid w:val="00FD3C3B"/>
    <w:rsid w:val="00FE07DD"/>
    <w:rsid w:val="00FE6B45"/>
    <w:rsid w:val="00FF55F3"/>
    <w:rsid w:val="00FF5851"/>
    <w:rsid w:val="00FF7A7C"/>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es.wikipedia.org/wiki/Augusto_Pinochet" TargetMode="Externa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9" Type="http://schemas.openxmlformats.org/officeDocument/2006/relationships/hyperlink" Target="https://es.wikipedia.org/wiki/Dictadura_militar" TargetMode="External"/><Relationship Id="rId4"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60EC"/>
    <w:rsid w:val="00022325"/>
    <w:rsid w:val="000825FF"/>
    <w:rsid w:val="00083D45"/>
    <w:rsid w:val="00183B6F"/>
    <w:rsid w:val="001C77E1"/>
    <w:rsid w:val="00200821"/>
    <w:rsid w:val="00210D07"/>
    <w:rsid w:val="00231551"/>
    <w:rsid w:val="003316E1"/>
    <w:rsid w:val="00385934"/>
    <w:rsid w:val="00387927"/>
    <w:rsid w:val="00394049"/>
    <w:rsid w:val="00462836"/>
    <w:rsid w:val="004F2DF8"/>
    <w:rsid w:val="00565694"/>
    <w:rsid w:val="005E78C5"/>
    <w:rsid w:val="006D7921"/>
    <w:rsid w:val="006E2B51"/>
    <w:rsid w:val="00754987"/>
    <w:rsid w:val="007C2742"/>
    <w:rsid w:val="00821A1E"/>
    <w:rsid w:val="008B078C"/>
    <w:rsid w:val="00942213"/>
    <w:rsid w:val="00953047"/>
    <w:rsid w:val="0097453C"/>
    <w:rsid w:val="009A261B"/>
    <w:rsid w:val="00AC15A4"/>
    <w:rsid w:val="00AE79C8"/>
    <w:rsid w:val="00B0336C"/>
    <w:rsid w:val="00B77B9A"/>
    <w:rsid w:val="00C11833"/>
    <w:rsid w:val="00C40C96"/>
    <w:rsid w:val="00C56634"/>
    <w:rsid w:val="00D46351"/>
    <w:rsid w:val="00DB2507"/>
    <w:rsid w:val="00DE5FF7"/>
    <w:rsid w:val="00E77140"/>
    <w:rsid w:val="00E84814"/>
    <w:rsid w:val="00E907ED"/>
    <w:rsid w:val="00EC5ECB"/>
    <w:rsid w:val="00F00D2F"/>
    <w:rsid w:val="00F128DF"/>
    <w:rsid w:val="00F604BD"/>
    <w:rsid w:val="00F86DB6"/>
    <w:rsid w:val="00FC6C99"/>
    <w:rsid w:val="00FC76AD"/>
    <w:rsid w:val="00FE2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975FA-CECB-44B9-B793-287FDBA74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2992</Words>
  <Characters>15440</Characters>
  <Application>Microsoft Office Word</Application>
  <DocSecurity>0</DocSecurity>
  <Lines>275</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26/22</dc:title>
  <dc:creator/>
  <cp:lastModifiedBy/>
  <cp:revision>1</cp:revision>
  <dcterms:created xsi:type="dcterms:W3CDTF">2022-04-26T16:37:00Z</dcterms:created>
  <dcterms:modified xsi:type="dcterms:W3CDTF">2022-04-26T16:49:00Z</dcterms:modified>
</cp:coreProperties>
</file>