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F63B" w14:textId="77777777" w:rsidR="00040C3A" w:rsidRPr="00404BF5" w:rsidRDefault="00D306D1" w:rsidP="00627C9F">
      <w:pPr>
        <w:jc w:val="both"/>
        <w:rPr>
          <w:rFonts w:asciiTheme="majorHAnsi" w:hAnsiTheme="majorHAnsi" w:cs="Univers"/>
          <w:b/>
          <w:bCs/>
          <w:sz w:val="22"/>
          <w:szCs w:val="22"/>
          <w:lang w:val="es-VE"/>
        </w:rPr>
      </w:pPr>
      <w:r w:rsidRPr="00404BF5">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BEC9F69" wp14:editId="0FAC313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7329D3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04BF5">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BE831E4" wp14:editId="75CED2C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733E9" w14:textId="74B65B24" w:rsidR="007F619D" w:rsidRDefault="007F619D" w:rsidP="00AE5488">
                            <w:r>
                              <w:rPr>
                                <w:noProof/>
                              </w:rPr>
                              <w:drawing>
                                <wp:inline distT="0" distB="0" distL="0" distR="0" wp14:anchorId="01FECF1A" wp14:editId="275BD55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831E4"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95733E9" w14:textId="74B65B24" w:rsidR="007F619D" w:rsidRDefault="007F619D" w:rsidP="00AE5488">
                      <w:r>
                        <w:rPr>
                          <w:noProof/>
                        </w:rPr>
                        <w:drawing>
                          <wp:inline distT="0" distB="0" distL="0" distR="0" wp14:anchorId="01FECF1A" wp14:editId="275BD55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404BF5">
        <w:rPr>
          <w:rFonts w:asciiTheme="majorHAnsi" w:hAnsiTheme="majorHAnsi" w:cs="Univers"/>
          <w:b/>
          <w:bCs/>
          <w:sz w:val="22"/>
          <w:szCs w:val="22"/>
          <w:lang w:val="es-VE"/>
        </w:rPr>
        <w:t xml:space="preserve"> </w:t>
      </w:r>
    </w:p>
    <w:p w14:paraId="35782215" w14:textId="77777777" w:rsidR="00040C3A" w:rsidRPr="00404BF5" w:rsidRDefault="00040C3A" w:rsidP="00040C3A">
      <w:pPr>
        <w:tabs>
          <w:tab w:val="center" w:pos="5400"/>
        </w:tabs>
        <w:suppressAutoHyphens/>
        <w:jc w:val="both"/>
        <w:rPr>
          <w:rFonts w:asciiTheme="majorHAnsi" w:hAnsiTheme="majorHAnsi"/>
          <w:sz w:val="22"/>
          <w:szCs w:val="22"/>
          <w:lang w:val="es-VE"/>
        </w:rPr>
      </w:pPr>
    </w:p>
    <w:p w14:paraId="5CC041A4" w14:textId="77777777" w:rsidR="00040C3A" w:rsidRPr="00404BF5" w:rsidRDefault="00040C3A" w:rsidP="00040C3A">
      <w:pPr>
        <w:tabs>
          <w:tab w:val="center" w:pos="5400"/>
        </w:tabs>
        <w:suppressAutoHyphens/>
        <w:jc w:val="both"/>
        <w:rPr>
          <w:rFonts w:asciiTheme="majorHAnsi" w:hAnsiTheme="majorHAnsi"/>
          <w:sz w:val="22"/>
          <w:szCs w:val="22"/>
          <w:lang w:val="es-VE"/>
        </w:rPr>
      </w:pPr>
    </w:p>
    <w:p w14:paraId="56A30B64" w14:textId="77777777" w:rsidR="005128E4" w:rsidRPr="00404BF5" w:rsidRDefault="005128E4" w:rsidP="00040C3A">
      <w:pPr>
        <w:tabs>
          <w:tab w:val="center" w:pos="5400"/>
        </w:tabs>
        <w:suppressAutoHyphens/>
        <w:rPr>
          <w:rFonts w:asciiTheme="majorHAnsi" w:hAnsiTheme="majorHAnsi"/>
          <w:sz w:val="22"/>
          <w:szCs w:val="22"/>
          <w:lang w:val="es-VE"/>
        </w:rPr>
      </w:pPr>
    </w:p>
    <w:p w14:paraId="47F8DADD" w14:textId="77777777" w:rsidR="005128E4" w:rsidRPr="00404BF5" w:rsidRDefault="005128E4" w:rsidP="00040C3A">
      <w:pPr>
        <w:tabs>
          <w:tab w:val="center" w:pos="5400"/>
        </w:tabs>
        <w:suppressAutoHyphens/>
        <w:rPr>
          <w:rFonts w:asciiTheme="majorHAnsi" w:hAnsiTheme="majorHAnsi"/>
          <w:sz w:val="22"/>
          <w:szCs w:val="22"/>
          <w:lang w:val="es-VE"/>
        </w:rPr>
      </w:pPr>
    </w:p>
    <w:p w14:paraId="30F11A77" w14:textId="77777777" w:rsidR="005128E4" w:rsidRPr="00404BF5" w:rsidRDefault="005128E4" w:rsidP="00040C3A">
      <w:pPr>
        <w:tabs>
          <w:tab w:val="center" w:pos="5400"/>
        </w:tabs>
        <w:suppressAutoHyphens/>
        <w:rPr>
          <w:rFonts w:asciiTheme="majorHAnsi" w:hAnsiTheme="majorHAnsi"/>
          <w:sz w:val="22"/>
          <w:szCs w:val="22"/>
          <w:lang w:val="es-VE"/>
        </w:rPr>
      </w:pPr>
    </w:p>
    <w:p w14:paraId="2C911A54" w14:textId="77777777" w:rsidR="00040C3A" w:rsidRPr="00404BF5" w:rsidRDefault="00040C3A" w:rsidP="005128E4">
      <w:pPr>
        <w:tabs>
          <w:tab w:val="center" w:pos="5400"/>
        </w:tabs>
        <w:suppressAutoHyphens/>
        <w:jc w:val="center"/>
        <w:rPr>
          <w:rFonts w:asciiTheme="majorHAnsi" w:hAnsiTheme="majorHAnsi"/>
          <w:sz w:val="22"/>
          <w:szCs w:val="22"/>
          <w:lang w:val="es-VE"/>
        </w:rPr>
      </w:pPr>
    </w:p>
    <w:p w14:paraId="55ABCCD9" w14:textId="77777777" w:rsidR="00040C3A" w:rsidRPr="00404BF5" w:rsidRDefault="00040C3A" w:rsidP="005128E4">
      <w:pPr>
        <w:tabs>
          <w:tab w:val="center" w:pos="5400"/>
        </w:tabs>
        <w:suppressAutoHyphens/>
        <w:jc w:val="center"/>
        <w:rPr>
          <w:rFonts w:asciiTheme="majorHAnsi" w:hAnsiTheme="majorHAnsi"/>
          <w:sz w:val="22"/>
          <w:szCs w:val="22"/>
          <w:lang w:val="es-VE"/>
        </w:rPr>
      </w:pPr>
    </w:p>
    <w:p w14:paraId="3ADE93D9" w14:textId="77777777" w:rsidR="005B52B0" w:rsidRPr="00404BF5" w:rsidRDefault="005B52B0" w:rsidP="005128E4">
      <w:pPr>
        <w:tabs>
          <w:tab w:val="center" w:pos="5400"/>
        </w:tabs>
        <w:suppressAutoHyphens/>
        <w:jc w:val="center"/>
        <w:rPr>
          <w:rFonts w:asciiTheme="majorHAnsi" w:hAnsiTheme="majorHAnsi"/>
          <w:sz w:val="22"/>
          <w:szCs w:val="22"/>
          <w:lang w:val="es-VE"/>
        </w:rPr>
      </w:pPr>
    </w:p>
    <w:p w14:paraId="07DABEB5" w14:textId="77777777" w:rsidR="005B52B0" w:rsidRPr="00404BF5" w:rsidRDefault="005B52B0" w:rsidP="005128E4">
      <w:pPr>
        <w:tabs>
          <w:tab w:val="center" w:pos="5400"/>
        </w:tabs>
        <w:suppressAutoHyphens/>
        <w:jc w:val="center"/>
        <w:rPr>
          <w:rFonts w:asciiTheme="majorHAnsi" w:hAnsiTheme="majorHAnsi"/>
          <w:sz w:val="22"/>
          <w:szCs w:val="22"/>
          <w:lang w:val="es-VE"/>
        </w:rPr>
      </w:pPr>
    </w:p>
    <w:p w14:paraId="6DD2D52E" w14:textId="77777777" w:rsidR="005B52B0" w:rsidRPr="00404BF5" w:rsidRDefault="005B52B0" w:rsidP="005128E4">
      <w:pPr>
        <w:tabs>
          <w:tab w:val="center" w:pos="5400"/>
        </w:tabs>
        <w:suppressAutoHyphens/>
        <w:jc w:val="center"/>
        <w:rPr>
          <w:rFonts w:asciiTheme="majorHAnsi" w:hAnsiTheme="majorHAnsi"/>
          <w:sz w:val="22"/>
          <w:szCs w:val="22"/>
          <w:lang w:val="es-VE"/>
        </w:rPr>
      </w:pPr>
    </w:p>
    <w:p w14:paraId="4C494517"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31EC551A"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5289A6CD" w14:textId="77777777" w:rsidR="00040C3A" w:rsidRPr="00404BF5" w:rsidRDefault="003D3BC2" w:rsidP="00040C3A">
      <w:pPr>
        <w:tabs>
          <w:tab w:val="center" w:pos="5400"/>
        </w:tabs>
        <w:suppressAutoHyphens/>
        <w:jc w:val="center"/>
        <w:rPr>
          <w:rFonts w:asciiTheme="majorHAnsi" w:hAnsiTheme="majorHAnsi"/>
          <w:sz w:val="22"/>
          <w:szCs w:val="22"/>
          <w:lang w:val="es-VE"/>
        </w:rPr>
      </w:pPr>
      <w:r w:rsidRPr="00404BF5">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1A797CDB" wp14:editId="41B79F9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B50B7" w14:textId="3198F5FC" w:rsidR="007F619D" w:rsidRPr="004E2649" w:rsidRDefault="007F619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74E2D">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DB5808">
                              <w:rPr>
                                <w:rFonts w:asciiTheme="majorHAnsi" w:hAnsiTheme="majorHAnsi" w:cs="Arial"/>
                                <w:b/>
                                <w:bCs/>
                                <w:color w:val="0D0D0D" w:themeColor="text1" w:themeTint="F2"/>
                                <w:sz w:val="36"/>
                                <w:szCs w:val="22"/>
                                <w:lang w:val="es-ES_tradnl"/>
                              </w:rPr>
                              <w:t>2</w:t>
                            </w:r>
                          </w:p>
                          <w:p w14:paraId="41143487" w14:textId="5F2CA1C2" w:rsidR="007F619D" w:rsidRDefault="007F619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776-08</w:t>
                            </w:r>
                            <w:r w:rsidRPr="004E2649">
                              <w:rPr>
                                <w:rFonts w:asciiTheme="majorHAnsi" w:hAnsiTheme="majorHAnsi" w:cs="Arial"/>
                                <w:b/>
                                <w:color w:val="0D0D0D" w:themeColor="text1" w:themeTint="F2"/>
                                <w:sz w:val="36"/>
                                <w:szCs w:val="22"/>
                                <w:lang w:val="es-ES_tradnl"/>
                              </w:rPr>
                              <w:t xml:space="preserve"> </w:t>
                            </w:r>
                          </w:p>
                          <w:p w14:paraId="3F2FFF4A" w14:textId="6D298C2E" w:rsidR="007F619D" w:rsidRPr="0010736F" w:rsidRDefault="007F619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F618CC1" w14:textId="77777777" w:rsidR="007F619D" w:rsidRPr="0010736F" w:rsidRDefault="007F619D" w:rsidP="00997BC5">
                            <w:pPr>
                              <w:spacing w:line="276" w:lineRule="auto"/>
                              <w:rPr>
                                <w:rFonts w:asciiTheme="majorHAnsi" w:hAnsiTheme="majorHAnsi" w:cs="Arial"/>
                                <w:color w:val="0D0D0D" w:themeColor="text1" w:themeTint="F2"/>
                                <w:szCs w:val="22"/>
                                <w:lang w:val="es-ES_tradnl"/>
                              </w:rPr>
                            </w:pPr>
                            <w:bookmarkStart w:id="0" w:name="_ftnref1"/>
                          </w:p>
                          <w:p w14:paraId="4C619DE8" w14:textId="6BFEE779" w:rsidR="007F619D" w:rsidRPr="0010736F" w:rsidRDefault="001273C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CASTRO VÁSQUEZ Y FAMILIA</w:t>
                            </w:r>
                          </w:p>
                          <w:bookmarkEnd w:id="0"/>
                          <w:p w14:paraId="393F835B" w14:textId="4B6C9AC4" w:rsidR="007F619D" w:rsidRPr="00AE5488" w:rsidRDefault="001273C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97CDB"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4BB50B7" w14:textId="3198F5FC" w:rsidR="007F619D" w:rsidRPr="004E2649" w:rsidRDefault="007F619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74E2D">
                        <w:rPr>
                          <w:rFonts w:asciiTheme="majorHAnsi" w:hAnsiTheme="majorHAnsi" w:cs="Arial"/>
                          <w:b/>
                          <w:bCs/>
                          <w:color w:val="0D0D0D" w:themeColor="text1" w:themeTint="F2"/>
                          <w:sz w:val="36"/>
                          <w:szCs w:val="22"/>
                          <w:lang w:val="es-ES_tradnl"/>
                        </w:rPr>
                        <w:t>7</w:t>
                      </w:r>
                      <w:r>
                        <w:rPr>
                          <w:rFonts w:asciiTheme="majorHAnsi" w:hAnsiTheme="majorHAnsi" w:cs="Arial"/>
                          <w:b/>
                          <w:bCs/>
                          <w:color w:val="0D0D0D" w:themeColor="text1" w:themeTint="F2"/>
                          <w:sz w:val="36"/>
                          <w:szCs w:val="22"/>
                          <w:lang w:val="es-ES_tradnl"/>
                        </w:rPr>
                        <w:t>/2</w:t>
                      </w:r>
                      <w:r w:rsidR="00DB5808">
                        <w:rPr>
                          <w:rFonts w:asciiTheme="majorHAnsi" w:hAnsiTheme="majorHAnsi" w:cs="Arial"/>
                          <w:b/>
                          <w:bCs/>
                          <w:color w:val="0D0D0D" w:themeColor="text1" w:themeTint="F2"/>
                          <w:sz w:val="36"/>
                          <w:szCs w:val="22"/>
                          <w:lang w:val="es-ES_tradnl"/>
                        </w:rPr>
                        <w:t>2</w:t>
                      </w:r>
                    </w:p>
                    <w:p w14:paraId="41143487" w14:textId="5F2CA1C2" w:rsidR="007F619D" w:rsidRDefault="007F619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776-08</w:t>
                      </w:r>
                      <w:r w:rsidRPr="004E2649">
                        <w:rPr>
                          <w:rFonts w:asciiTheme="majorHAnsi" w:hAnsiTheme="majorHAnsi" w:cs="Arial"/>
                          <w:b/>
                          <w:color w:val="0D0D0D" w:themeColor="text1" w:themeTint="F2"/>
                          <w:sz w:val="36"/>
                          <w:szCs w:val="22"/>
                          <w:lang w:val="es-ES_tradnl"/>
                        </w:rPr>
                        <w:t xml:space="preserve"> </w:t>
                      </w:r>
                    </w:p>
                    <w:p w14:paraId="3F2FFF4A" w14:textId="6D298C2E" w:rsidR="007F619D" w:rsidRPr="0010736F" w:rsidRDefault="007F619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2F618CC1" w14:textId="77777777" w:rsidR="007F619D" w:rsidRPr="0010736F" w:rsidRDefault="007F619D" w:rsidP="00997BC5">
                      <w:pPr>
                        <w:spacing w:line="276" w:lineRule="auto"/>
                        <w:rPr>
                          <w:rFonts w:asciiTheme="majorHAnsi" w:hAnsiTheme="majorHAnsi" w:cs="Arial"/>
                          <w:color w:val="0D0D0D" w:themeColor="text1" w:themeTint="F2"/>
                          <w:szCs w:val="22"/>
                          <w:lang w:val="es-ES_tradnl"/>
                        </w:rPr>
                      </w:pPr>
                      <w:bookmarkStart w:id="1" w:name="_ftnref1"/>
                    </w:p>
                    <w:p w14:paraId="4C619DE8" w14:textId="6BFEE779" w:rsidR="007F619D" w:rsidRPr="0010736F" w:rsidRDefault="001273C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WILSON CASTRO VÁSQUEZ Y FAMILIA</w:t>
                      </w:r>
                    </w:p>
                    <w:bookmarkEnd w:id="1"/>
                    <w:p w14:paraId="393F835B" w14:textId="4B6C9AC4" w:rsidR="007F619D" w:rsidRPr="00AE5488" w:rsidRDefault="001273C0"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404BF5">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C717EDA" wp14:editId="691C50B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544F9" w14:textId="0651DF0B" w:rsidR="007F619D" w:rsidRPr="00046879" w:rsidRDefault="007F619D" w:rsidP="007A5817">
                            <w:pPr>
                              <w:spacing w:line="276" w:lineRule="auto"/>
                              <w:jc w:val="right"/>
                              <w:rPr>
                                <w:rFonts w:asciiTheme="minorHAnsi" w:hAnsiTheme="minorHAnsi"/>
                                <w:color w:val="FFFFFF" w:themeColor="background1"/>
                                <w:sz w:val="22"/>
                                <w:lang w:val="es-419"/>
                              </w:rPr>
                            </w:pPr>
                            <w:r w:rsidRPr="00046879">
                              <w:rPr>
                                <w:rFonts w:asciiTheme="minorHAnsi" w:hAnsiTheme="minorHAnsi"/>
                                <w:color w:val="FFFFFF" w:themeColor="background1"/>
                                <w:sz w:val="22"/>
                                <w:lang w:val="es-419"/>
                              </w:rPr>
                              <w:t>OEA/</w:t>
                            </w:r>
                            <w:proofErr w:type="spellStart"/>
                            <w:r w:rsidRPr="00046879">
                              <w:rPr>
                                <w:rFonts w:asciiTheme="minorHAnsi" w:hAnsiTheme="minorHAnsi"/>
                                <w:color w:val="FFFFFF" w:themeColor="background1"/>
                                <w:sz w:val="22"/>
                                <w:lang w:val="es-419"/>
                              </w:rPr>
                              <w:t>Ser.L</w:t>
                            </w:r>
                            <w:proofErr w:type="spellEnd"/>
                            <w:r w:rsidRPr="00046879">
                              <w:rPr>
                                <w:rFonts w:asciiTheme="minorHAnsi" w:hAnsiTheme="minorHAnsi"/>
                                <w:color w:val="FFFFFF" w:themeColor="background1"/>
                                <w:sz w:val="22"/>
                                <w:lang w:val="es-419"/>
                              </w:rPr>
                              <w:t>/V/II</w:t>
                            </w:r>
                          </w:p>
                          <w:p w14:paraId="08F3F6F3" w14:textId="2802966F" w:rsidR="007F619D" w:rsidRPr="00046879" w:rsidRDefault="007F619D" w:rsidP="007A5817">
                            <w:pPr>
                              <w:spacing w:line="276" w:lineRule="auto"/>
                              <w:jc w:val="right"/>
                              <w:rPr>
                                <w:rFonts w:asciiTheme="minorHAnsi" w:hAnsiTheme="minorHAnsi"/>
                                <w:color w:val="FFFFFF" w:themeColor="background1"/>
                                <w:sz w:val="22"/>
                                <w:lang w:val="es-419"/>
                              </w:rPr>
                            </w:pPr>
                            <w:r w:rsidRPr="00046879">
                              <w:rPr>
                                <w:rFonts w:asciiTheme="minorHAnsi" w:hAnsiTheme="minorHAnsi"/>
                                <w:color w:val="FFFFFF" w:themeColor="background1"/>
                                <w:sz w:val="22"/>
                                <w:lang w:val="es-419"/>
                              </w:rPr>
                              <w:t xml:space="preserve">Doc. </w:t>
                            </w:r>
                            <w:r w:rsidR="00974E2D" w:rsidRPr="00046879">
                              <w:rPr>
                                <w:rFonts w:asciiTheme="minorHAnsi" w:hAnsiTheme="minorHAnsi"/>
                                <w:color w:val="FFFFFF" w:themeColor="background1"/>
                                <w:sz w:val="22"/>
                                <w:lang w:val="es-419"/>
                              </w:rPr>
                              <w:t>8</w:t>
                            </w:r>
                          </w:p>
                          <w:p w14:paraId="125590BC" w14:textId="2D732ABF" w:rsidR="007F619D" w:rsidRPr="00C25ADB" w:rsidRDefault="00974E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7F619D" w:rsidRPr="00C25ADB">
                              <w:rPr>
                                <w:rFonts w:asciiTheme="minorHAnsi" w:hAnsiTheme="minorHAnsi"/>
                                <w:color w:val="FFFFFF" w:themeColor="background1"/>
                                <w:sz w:val="22"/>
                                <w:lang w:val="es-PA"/>
                              </w:rPr>
                              <w:t xml:space="preserve"> 202</w:t>
                            </w:r>
                            <w:r w:rsidR="00DB5808">
                              <w:rPr>
                                <w:rFonts w:asciiTheme="minorHAnsi" w:hAnsiTheme="minorHAnsi"/>
                                <w:color w:val="FFFFFF" w:themeColor="background1"/>
                                <w:sz w:val="22"/>
                                <w:lang w:val="es-PA"/>
                              </w:rPr>
                              <w:t>2</w:t>
                            </w:r>
                          </w:p>
                          <w:p w14:paraId="779E4892" w14:textId="77777777" w:rsidR="007F619D" w:rsidRPr="00C25ADB" w:rsidRDefault="007F619D"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17EDA"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6C544F9" w14:textId="0651DF0B" w:rsidR="007F619D" w:rsidRPr="00046879" w:rsidRDefault="007F619D" w:rsidP="007A5817">
                      <w:pPr>
                        <w:spacing w:line="276" w:lineRule="auto"/>
                        <w:jc w:val="right"/>
                        <w:rPr>
                          <w:rFonts w:asciiTheme="minorHAnsi" w:hAnsiTheme="minorHAnsi"/>
                          <w:color w:val="FFFFFF" w:themeColor="background1"/>
                          <w:sz w:val="22"/>
                          <w:lang w:val="es-419"/>
                        </w:rPr>
                      </w:pPr>
                      <w:r w:rsidRPr="00046879">
                        <w:rPr>
                          <w:rFonts w:asciiTheme="minorHAnsi" w:hAnsiTheme="minorHAnsi"/>
                          <w:color w:val="FFFFFF" w:themeColor="background1"/>
                          <w:sz w:val="22"/>
                          <w:lang w:val="es-419"/>
                        </w:rPr>
                        <w:t>OEA/Ser.L/V/II</w:t>
                      </w:r>
                    </w:p>
                    <w:p w14:paraId="08F3F6F3" w14:textId="2802966F" w:rsidR="007F619D" w:rsidRPr="00046879" w:rsidRDefault="007F619D" w:rsidP="007A5817">
                      <w:pPr>
                        <w:spacing w:line="276" w:lineRule="auto"/>
                        <w:jc w:val="right"/>
                        <w:rPr>
                          <w:rFonts w:asciiTheme="minorHAnsi" w:hAnsiTheme="minorHAnsi"/>
                          <w:color w:val="FFFFFF" w:themeColor="background1"/>
                          <w:sz w:val="22"/>
                          <w:lang w:val="es-419"/>
                        </w:rPr>
                      </w:pPr>
                      <w:r w:rsidRPr="00046879">
                        <w:rPr>
                          <w:rFonts w:asciiTheme="minorHAnsi" w:hAnsiTheme="minorHAnsi"/>
                          <w:color w:val="FFFFFF" w:themeColor="background1"/>
                          <w:sz w:val="22"/>
                          <w:lang w:val="es-419"/>
                        </w:rPr>
                        <w:t xml:space="preserve">Doc. </w:t>
                      </w:r>
                      <w:r w:rsidR="00974E2D" w:rsidRPr="00046879">
                        <w:rPr>
                          <w:rFonts w:asciiTheme="minorHAnsi" w:hAnsiTheme="minorHAnsi"/>
                          <w:color w:val="FFFFFF" w:themeColor="background1"/>
                          <w:sz w:val="22"/>
                          <w:lang w:val="es-419"/>
                        </w:rPr>
                        <w:t>8</w:t>
                      </w:r>
                    </w:p>
                    <w:p w14:paraId="125590BC" w14:textId="2D732ABF" w:rsidR="007F619D" w:rsidRPr="00C25ADB" w:rsidRDefault="00974E2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febrero</w:t>
                      </w:r>
                      <w:r w:rsidR="007F619D" w:rsidRPr="00C25ADB">
                        <w:rPr>
                          <w:rFonts w:asciiTheme="minorHAnsi" w:hAnsiTheme="minorHAnsi"/>
                          <w:color w:val="FFFFFF" w:themeColor="background1"/>
                          <w:sz w:val="22"/>
                          <w:lang w:val="es-PA"/>
                        </w:rPr>
                        <w:t xml:space="preserve"> 202</w:t>
                      </w:r>
                      <w:r w:rsidR="00DB5808">
                        <w:rPr>
                          <w:rFonts w:asciiTheme="minorHAnsi" w:hAnsiTheme="minorHAnsi"/>
                          <w:color w:val="FFFFFF" w:themeColor="background1"/>
                          <w:sz w:val="22"/>
                          <w:lang w:val="es-PA"/>
                        </w:rPr>
                        <w:t>2</w:t>
                      </w:r>
                    </w:p>
                    <w:p w14:paraId="779E4892" w14:textId="77777777" w:rsidR="007F619D" w:rsidRPr="00C25ADB" w:rsidRDefault="007F619D"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5D0F6F2"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3C9E47AE"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1F30A6AB" w14:textId="77777777" w:rsidR="00040C3A" w:rsidRPr="00404BF5" w:rsidRDefault="00040C3A" w:rsidP="00040C3A">
      <w:pPr>
        <w:tabs>
          <w:tab w:val="center" w:pos="5400"/>
        </w:tabs>
        <w:suppressAutoHyphens/>
        <w:jc w:val="center"/>
        <w:rPr>
          <w:rFonts w:asciiTheme="majorHAnsi" w:hAnsiTheme="majorHAnsi" w:cs="Arial"/>
          <w:sz w:val="22"/>
          <w:szCs w:val="22"/>
          <w:lang w:val="es-VE"/>
        </w:rPr>
      </w:pPr>
    </w:p>
    <w:p w14:paraId="2876BA66"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6DD9B172"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53794CD0"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6F849EB4"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4DC942BF" w14:textId="77777777" w:rsidR="005128E4" w:rsidRPr="00404BF5" w:rsidRDefault="005128E4" w:rsidP="00040C3A">
      <w:pPr>
        <w:tabs>
          <w:tab w:val="center" w:pos="5400"/>
        </w:tabs>
        <w:suppressAutoHyphens/>
        <w:jc w:val="center"/>
        <w:rPr>
          <w:rFonts w:asciiTheme="majorHAnsi" w:hAnsiTheme="majorHAnsi"/>
          <w:sz w:val="22"/>
          <w:szCs w:val="22"/>
          <w:lang w:val="es-VE"/>
        </w:rPr>
      </w:pPr>
    </w:p>
    <w:p w14:paraId="3D126DD5"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070C530F" w14:textId="77777777" w:rsidR="005128E4" w:rsidRPr="00404BF5" w:rsidRDefault="005128E4" w:rsidP="00040C3A">
      <w:pPr>
        <w:tabs>
          <w:tab w:val="center" w:pos="5400"/>
        </w:tabs>
        <w:suppressAutoHyphens/>
        <w:jc w:val="center"/>
        <w:rPr>
          <w:rFonts w:asciiTheme="majorHAnsi" w:hAnsiTheme="majorHAnsi"/>
          <w:sz w:val="22"/>
          <w:szCs w:val="22"/>
          <w:lang w:val="es-VE"/>
        </w:rPr>
      </w:pPr>
    </w:p>
    <w:p w14:paraId="7EDB0F48" w14:textId="77777777" w:rsidR="005128E4" w:rsidRPr="00404BF5" w:rsidRDefault="005128E4" w:rsidP="00040C3A">
      <w:pPr>
        <w:tabs>
          <w:tab w:val="center" w:pos="5400"/>
        </w:tabs>
        <w:suppressAutoHyphens/>
        <w:jc w:val="center"/>
        <w:rPr>
          <w:rFonts w:asciiTheme="majorHAnsi" w:hAnsiTheme="majorHAnsi"/>
          <w:sz w:val="22"/>
          <w:szCs w:val="22"/>
          <w:lang w:val="es-VE"/>
        </w:rPr>
      </w:pPr>
    </w:p>
    <w:p w14:paraId="34E63D23" w14:textId="77777777" w:rsidR="005128E4" w:rsidRPr="00404BF5" w:rsidRDefault="005128E4" w:rsidP="00040C3A">
      <w:pPr>
        <w:tabs>
          <w:tab w:val="center" w:pos="5400"/>
        </w:tabs>
        <w:suppressAutoHyphens/>
        <w:jc w:val="center"/>
        <w:rPr>
          <w:rFonts w:asciiTheme="majorHAnsi" w:hAnsiTheme="majorHAnsi"/>
          <w:sz w:val="22"/>
          <w:szCs w:val="22"/>
          <w:lang w:val="es-VE"/>
        </w:rPr>
      </w:pPr>
    </w:p>
    <w:p w14:paraId="7FC4247A"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22B86870" w14:textId="77777777" w:rsidR="00040C3A" w:rsidRPr="00404BF5" w:rsidRDefault="00040C3A" w:rsidP="00040C3A">
      <w:pPr>
        <w:tabs>
          <w:tab w:val="center" w:pos="5400"/>
        </w:tabs>
        <w:suppressAutoHyphens/>
        <w:jc w:val="center"/>
        <w:rPr>
          <w:rFonts w:asciiTheme="majorHAnsi" w:hAnsiTheme="majorHAnsi"/>
          <w:sz w:val="22"/>
          <w:szCs w:val="22"/>
          <w:lang w:val="es-VE"/>
        </w:rPr>
      </w:pPr>
    </w:p>
    <w:p w14:paraId="178B5DF1"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589FA471"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7F745E3C"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2E50262C"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53D541EC"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374ECFB4"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6583057A"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6E761865"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4392DD4B"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744050CC"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6268980B"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619DDA9A"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7FD82267"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21ACCF2B"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7D9460EF" w14:textId="77777777" w:rsidR="00A50FCF" w:rsidRPr="00404BF5" w:rsidRDefault="0090270B" w:rsidP="00040C3A">
      <w:pPr>
        <w:tabs>
          <w:tab w:val="center" w:pos="5400"/>
        </w:tabs>
        <w:suppressAutoHyphens/>
        <w:jc w:val="center"/>
        <w:rPr>
          <w:rFonts w:asciiTheme="majorHAnsi" w:hAnsiTheme="majorHAnsi"/>
          <w:sz w:val="18"/>
          <w:szCs w:val="22"/>
          <w:lang w:val="es-VE"/>
        </w:rPr>
      </w:pPr>
      <w:r w:rsidRPr="00404BF5">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E51E01C" wp14:editId="260F8BA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76D75" w14:textId="14768BA2" w:rsidR="007F619D" w:rsidRPr="00890650" w:rsidRDefault="007F619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05B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205B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B5808">
                              <w:rPr>
                                <w:rFonts w:asciiTheme="majorHAnsi" w:hAnsiTheme="majorHAnsi"/>
                                <w:color w:val="0D0D0D" w:themeColor="text1" w:themeTint="F2"/>
                                <w:sz w:val="18"/>
                                <w:szCs w:val="22"/>
                                <w:lang w:val="es-ES"/>
                              </w:rPr>
                              <w:t>2</w:t>
                            </w:r>
                            <w:r w:rsidR="00046879">
                              <w:rPr>
                                <w:rFonts w:asciiTheme="majorHAnsi" w:hAnsiTheme="majorHAnsi"/>
                                <w:color w:val="0D0D0D" w:themeColor="text1" w:themeTint="F2"/>
                                <w:sz w:val="18"/>
                                <w:szCs w:val="22"/>
                                <w:lang w:val="es-ES"/>
                              </w:rPr>
                              <w:t>.</w:t>
                            </w:r>
                          </w:p>
                          <w:p w14:paraId="59AEDA60" w14:textId="77777777" w:rsidR="007F619D" w:rsidRPr="007A5817" w:rsidRDefault="007F619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FC698C" w14:textId="77777777" w:rsidR="007F619D" w:rsidRPr="00167A34" w:rsidRDefault="007F619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E01C"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D776D75" w14:textId="14768BA2" w:rsidR="007F619D" w:rsidRPr="00890650" w:rsidRDefault="007F619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205B8">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205B8">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DB5808">
                        <w:rPr>
                          <w:rFonts w:asciiTheme="majorHAnsi" w:hAnsiTheme="majorHAnsi"/>
                          <w:color w:val="0D0D0D" w:themeColor="text1" w:themeTint="F2"/>
                          <w:sz w:val="18"/>
                          <w:szCs w:val="22"/>
                          <w:lang w:val="es-ES"/>
                        </w:rPr>
                        <w:t>2</w:t>
                      </w:r>
                      <w:r w:rsidR="00046879">
                        <w:rPr>
                          <w:rFonts w:asciiTheme="majorHAnsi" w:hAnsiTheme="majorHAnsi"/>
                          <w:color w:val="0D0D0D" w:themeColor="text1" w:themeTint="F2"/>
                          <w:sz w:val="18"/>
                          <w:szCs w:val="22"/>
                          <w:lang w:val="es-ES"/>
                        </w:rPr>
                        <w:t>.</w:t>
                      </w:r>
                    </w:p>
                    <w:p w14:paraId="59AEDA60" w14:textId="77777777" w:rsidR="007F619D" w:rsidRPr="007A5817" w:rsidRDefault="007F619D" w:rsidP="00247403">
                      <w:pPr>
                        <w:tabs>
                          <w:tab w:val="center" w:pos="5400"/>
                        </w:tabs>
                        <w:suppressAutoHyphens/>
                        <w:spacing w:before="60"/>
                        <w:rPr>
                          <w:rFonts w:asciiTheme="minorHAnsi" w:hAnsiTheme="minorHAnsi" w:cs="Univers"/>
                          <w:color w:val="0D0D0D" w:themeColor="text1" w:themeTint="F2"/>
                          <w:sz w:val="20"/>
                          <w:szCs w:val="20"/>
                          <w:lang w:val="es-ES"/>
                        </w:rPr>
                      </w:pPr>
                    </w:p>
                    <w:p w14:paraId="23FC698C" w14:textId="77777777" w:rsidR="007F619D" w:rsidRPr="00167A34" w:rsidRDefault="007F619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057B97E"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0073FC9B"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7CAE7403"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4BA58FA6"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2984C2BA" w14:textId="77777777" w:rsidR="00A50FCF" w:rsidRPr="00404BF5" w:rsidRDefault="0090270B" w:rsidP="00040C3A">
      <w:pPr>
        <w:tabs>
          <w:tab w:val="center" w:pos="5400"/>
        </w:tabs>
        <w:suppressAutoHyphens/>
        <w:jc w:val="center"/>
        <w:rPr>
          <w:rFonts w:asciiTheme="majorHAnsi" w:hAnsiTheme="majorHAnsi"/>
          <w:sz w:val="18"/>
          <w:szCs w:val="22"/>
          <w:lang w:val="es-VE"/>
        </w:rPr>
      </w:pPr>
      <w:r w:rsidRPr="00404BF5">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3D6C8A43" wp14:editId="0800FFF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30B19" w14:textId="6D4294A3" w:rsidR="007F619D" w:rsidRPr="007B05C4" w:rsidRDefault="007F619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05B8" w:rsidRPr="001205B8">
                              <w:rPr>
                                <w:rFonts w:asciiTheme="majorHAnsi" w:hAnsiTheme="majorHAnsi"/>
                                <w:color w:val="595959" w:themeColor="text1" w:themeTint="A6"/>
                                <w:sz w:val="18"/>
                                <w:szCs w:val="18"/>
                                <w:lang w:val="pt-BR"/>
                              </w:rPr>
                              <w:t>7</w:t>
                            </w:r>
                            <w:r w:rsidRPr="001205B8">
                              <w:rPr>
                                <w:rFonts w:asciiTheme="majorHAnsi" w:hAnsiTheme="majorHAnsi"/>
                                <w:color w:val="595959" w:themeColor="text1" w:themeTint="A6"/>
                                <w:sz w:val="18"/>
                                <w:szCs w:val="18"/>
                                <w:lang w:val="pt-BR"/>
                              </w:rPr>
                              <w:t>/</w:t>
                            </w:r>
                            <w:r w:rsidR="001205B8">
                              <w:rPr>
                                <w:rFonts w:asciiTheme="majorHAnsi" w:hAnsiTheme="majorHAnsi"/>
                                <w:color w:val="595959" w:themeColor="text1" w:themeTint="A6"/>
                                <w:sz w:val="18"/>
                                <w:szCs w:val="18"/>
                                <w:lang w:val="pt-BR"/>
                              </w:rPr>
                              <w:t>2</w:t>
                            </w:r>
                            <w:r w:rsidR="001205B8" w:rsidRPr="001205B8">
                              <w:rPr>
                                <w:rFonts w:asciiTheme="majorHAnsi" w:hAnsiTheme="majorHAnsi"/>
                                <w:color w:val="595959" w:themeColor="text1" w:themeTint="A6"/>
                                <w:sz w:val="18"/>
                                <w:szCs w:val="18"/>
                                <w:lang w:val="pt-BR"/>
                              </w:rPr>
                              <w:t>2</w:t>
                            </w:r>
                            <w:r w:rsidRPr="001205B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273C0">
                              <w:rPr>
                                <w:rFonts w:asciiTheme="majorHAnsi" w:hAnsiTheme="majorHAnsi"/>
                                <w:color w:val="595959" w:themeColor="text1" w:themeTint="A6"/>
                                <w:sz w:val="18"/>
                                <w:szCs w:val="18"/>
                                <w:lang w:val="es-ES"/>
                              </w:rPr>
                              <w:t>776-08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273C0">
                              <w:rPr>
                                <w:rFonts w:asciiTheme="majorHAnsi" w:hAnsiTheme="majorHAnsi"/>
                                <w:color w:val="595959" w:themeColor="text1" w:themeTint="A6"/>
                                <w:sz w:val="18"/>
                                <w:szCs w:val="18"/>
                                <w:lang w:val="es-ES_tradnl"/>
                              </w:rPr>
                              <w:t>Wilson Castro V</w:t>
                            </w:r>
                            <w:r w:rsidR="00AE0A4A">
                              <w:rPr>
                                <w:rFonts w:asciiTheme="majorHAnsi" w:hAnsiTheme="majorHAnsi"/>
                                <w:color w:val="595959" w:themeColor="text1" w:themeTint="A6"/>
                                <w:sz w:val="18"/>
                                <w:szCs w:val="18"/>
                                <w:lang w:val="es-ES_tradnl"/>
                              </w:rPr>
                              <w:t>ásquez y familia</w:t>
                            </w:r>
                            <w:r w:rsidRPr="00890650">
                              <w:rPr>
                                <w:rFonts w:asciiTheme="majorHAnsi" w:hAnsiTheme="majorHAnsi"/>
                                <w:color w:val="595959" w:themeColor="text1" w:themeTint="A6"/>
                                <w:sz w:val="18"/>
                                <w:szCs w:val="18"/>
                                <w:lang w:val="es-ES_tradnl"/>
                              </w:rPr>
                              <w:t xml:space="preserve">. </w:t>
                            </w:r>
                            <w:r w:rsidR="00AE0A4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205B8">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C8A43"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9530B19" w14:textId="6D4294A3" w:rsidR="007F619D" w:rsidRPr="007B05C4" w:rsidRDefault="007F619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05B8" w:rsidRPr="001205B8">
                        <w:rPr>
                          <w:rFonts w:asciiTheme="majorHAnsi" w:hAnsiTheme="majorHAnsi"/>
                          <w:color w:val="595959" w:themeColor="text1" w:themeTint="A6"/>
                          <w:sz w:val="18"/>
                          <w:szCs w:val="18"/>
                          <w:lang w:val="pt-BR"/>
                        </w:rPr>
                        <w:t>7</w:t>
                      </w:r>
                      <w:r w:rsidRPr="001205B8">
                        <w:rPr>
                          <w:rFonts w:asciiTheme="majorHAnsi" w:hAnsiTheme="majorHAnsi"/>
                          <w:color w:val="595959" w:themeColor="text1" w:themeTint="A6"/>
                          <w:sz w:val="18"/>
                          <w:szCs w:val="18"/>
                          <w:lang w:val="pt-BR"/>
                        </w:rPr>
                        <w:t>/</w:t>
                      </w:r>
                      <w:r w:rsidR="001205B8">
                        <w:rPr>
                          <w:rFonts w:asciiTheme="majorHAnsi" w:hAnsiTheme="majorHAnsi"/>
                          <w:color w:val="595959" w:themeColor="text1" w:themeTint="A6"/>
                          <w:sz w:val="18"/>
                          <w:szCs w:val="18"/>
                          <w:lang w:val="pt-BR"/>
                        </w:rPr>
                        <w:t>2</w:t>
                      </w:r>
                      <w:r w:rsidR="001205B8" w:rsidRPr="001205B8">
                        <w:rPr>
                          <w:rFonts w:asciiTheme="majorHAnsi" w:hAnsiTheme="majorHAnsi"/>
                          <w:color w:val="595959" w:themeColor="text1" w:themeTint="A6"/>
                          <w:sz w:val="18"/>
                          <w:szCs w:val="18"/>
                          <w:lang w:val="pt-BR"/>
                        </w:rPr>
                        <w:t>2</w:t>
                      </w:r>
                      <w:r w:rsidRPr="001205B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273C0">
                        <w:rPr>
                          <w:rFonts w:asciiTheme="majorHAnsi" w:hAnsiTheme="majorHAnsi"/>
                          <w:color w:val="595959" w:themeColor="text1" w:themeTint="A6"/>
                          <w:sz w:val="18"/>
                          <w:szCs w:val="18"/>
                          <w:lang w:val="es-ES"/>
                        </w:rPr>
                        <w:t>776-08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273C0">
                        <w:rPr>
                          <w:rFonts w:asciiTheme="majorHAnsi" w:hAnsiTheme="majorHAnsi"/>
                          <w:color w:val="595959" w:themeColor="text1" w:themeTint="A6"/>
                          <w:sz w:val="18"/>
                          <w:szCs w:val="18"/>
                          <w:lang w:val="es-ES_tradnl"/>
                        </w:rPr>
                        <w:t>Wilson Castro V</w:t>
                      </w:r>
                      <w:r w:rsidR="00AE0A4A">
                        <w:rPr>
                          <w:rFonts w:asciiTheme="majorHAnsi" w:hAnsiTheme="majorHAnsi"/>
                          <w:color w:val="595959" w:themeColor="text1" w:themeTint="A6"/>
                          <w:sz w:val="18"/>
                          <w:szCs w:val="18"/>
                          <w:lang w:val="es-ES_tradnl"/>
                        </w:rPr>
                        <w:t>ásquez y familia</w:t>
                      </w:r>
                      <w:r w:rsidRPr="00890650">
                        <w:rPr>
                          <w:rFonts w:asciiTheme="majorHAnsi" w:hAnsiTheme="majorHAnsi"/>
                          <w:color w:val="595959" w:themeColor="text1" w:themeTint="A6"/>
                          <w:sz w:val="18"/>
                          <w:szCs w:val="18"/>
                          <w:lang w:val="es-ES_tradnl"/>
                        </w:rPr>
                        <w:t xml:space="preserve">. </w:t>
                      </w:r>
                      <w:r w:rsidR="00AE0A4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205B8">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652F10DE" w14:textId="77777777" w:rsidR="00A50FCF" w:rsidRPr="00404BF5" w:rsidRDefault="00A50FCF" w:rsidP="00040C3A">
      <w:pPr>
        <w:tabs>
          <w:tab w:val="center" w:pos="5400"/>
        </w:tabs>
        <w:suppressAutoHyphens/>
        <w:jc w:val="center"/>
        <w:rPr>
          <w:rFonts w:asciiTheme="majorHAnsi" w:hAnsiTheme="majorHAnsi"/>
          <w:sz w:val="18"/>
          <w:szCs w:val="22"/>
          <w:lang w:val="es-VE"/>
        </w:rPr>
      </w:pPr>
    </w:p>
    <w:p w14:paraId="59A6F06F" w14:textId="7CD9DA47" w:rsidR="0090270B" w:rsidRPr="00404BF5" w:rsidRDefault="00D306D1" w:rsidP="005516A1">
      <w:pPr>
        <w:tabs>
          <w:tab w:val="center" w:pos="5400"/>
        </w:tabs>
        <w:suppressAutoHyphens/>
        <w:jc w:val="center"/>
        <w:rPr>
          <w:rFonts w:asciiTheme="majorHAnsi" w:hAnsiTheme="majorHAnsi"/>
          <w:b/>
          <w:sz w:val="20"/>
          <w:lang w:val="es-VE"/>
        </w:rPr>
      </w:pPr>
      <w:r w:rsidRPr="00404BF5">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793249AA" wp14:editId="77B74C4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9BD75" w14:textId="77777777" w:rsidR="007F619D" w:rsidRPr="004B7EB6" w:rsidRDefault="007F619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49AA"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5E9BD75" w14:textId="77777777" w:rsidR="007F619D" w:rsidRPr="004B7EB6" w:rsidRDefault="007F619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462BFB7" w14:textId="4C97D445" w:rsidR="0070697F" w:rsidRPr="00404BF5" w:rsidRDefault="001205B8" w:rsidP="005516A1">
      <w:pPr>
        <w:tabs>
          <w:tab w:val="center" w:pos="5400"/>
        </w:tabs>
        <w:suppressAutoHyphens/>
        <w:jc w:val="center"/>
        <w:rPr>
          <w:rFonts w:asciiTheme="majorHAnsi" w:hAnsiTheme="majorHAnsi"/>
          <w:b/>
          <w:sz w:val="20"/>
          <w:lang w:val="es-VE"/>
        </w:rPr>
        <w:sectPr w:rsidR="0070697F" w:rsidRPr="00404BF5"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404BF5">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9684F1E" wp14:editId="11980D6B">
                <wp:simplePos x="0" y="0"/>
                <wp:positionH relativeFrom="column">
                  <wp:posOffset>1329690</wp:posOffset>
                </wp:positionH>
                <wp:positionV relativeFrom="paragraph">
                  <wp:posOffset>593725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C46A4" w14:textId="77777777" w:rsidR="007F619D" w:rsidRPr="00D72DC6" w:rsidRDefault="007F619D" w:rsidP="00F02AD1">
                            <w:pPr>
                              <w:rPr>
                                <w:color w:val="FFFFFF" w:themeColor="background1"/>
                                <w14:textFill>
                                  <w14:noFill/>
                                </w14:textFill>
                              </w:rPr>
                            </w:pPr>
                            <w:r>
                              <w:rPr>
                                <w:noProof/>
                                <w:color w:val="FFFFFF" w:themeColor="background1"/>
                              </w:rPr>
                              <w:drawing>
                                <wp:inline distT="0" distB="0" distL="0" distR="0" wp14:anchorId="09151E1E" wp14:editId="0A311A6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4F1E" id="Text Box 9" o:spid="_x0000_s1032" type="#_x0000_t202" style="position:absolute;left:0;text-align:left;margin-left:104.7pt;margin-top:46.7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alZDl&#10;4QAAAAoBAAAPAAAAZHJzL2Rvd25yZXYueG1sTI9NT4QwEIbvJv6HZky8GLcIi7JI2RjjR+LNxY94&#10;69IRiHRKaBfw3zue9DaTefLO8xbbxfZiwtF3jhRcrCIQSLUzHTUKXqr78wyED5qM7h2hgm/0sC2P&#10;jwqdGzfTM0670AgOIZ9rBW0IQy6lr1u02q/cgMS3TzdaHXgdG2lGPXO47WUcRZfS6o74Q6sHvG2x&#10;/todrIKPs+b9yS8Pr3OSJsPd41RdvZlKqdOT5eYaRMAl/MHwq8/qULLT3h3IeNEriKPNmlEFmyQF&#10;wUCWrnnYM5nFGciykP8rlD8AAAD//wMAUEsBAi0AFAAGAAgAAAAhALaDOJL+AAAA4QEAABMAAAAA&#10;AAAAAAAAAAAAAAAAAFtDb250ZW50X1R5cGVzXS54bWxQSwECLQAUAAYACAAAACEAOP0h/9YAAACU&#10;AQAACwAAAAAAAAAAAAAAAAAvAQAAX3JlbHMvLnJlbHNQSwECLQAUAAYACAAAACEAWVqe3HoCAABs&#10;BQAADgAAAAAAAAAAAAAAAAAuAgAAZHJzL2Uyb0RvYy54bWxQSwECLQAUAAYACAAAACEAmpWQ5eEA&#10;AAAKAQAADwAAAAAAAAAAAAAAAADUBAAAZHJzL2Rvd25yZXYueG1sUEsFBgAAAAAEAAQA8wAAAOIF&#10;AAAAAA==&#10;" fillcolor="white [3201]" stroked="f" strokeweight=".5pt">
                <v:textbox>
                  <w:txbxContent>
                    <w:p w14:paraId="22FC46A4" w14:textId="77777777" w:rsidR="007F619D" w:rsidRPr="00D72DC6" w:rsidRDefault="007F619D" w:rsidP="00F02AD1">
                      <w:pPr>
                        <w:rPr>
                          <w:color w:val="FFFFFF" w:themeColor="background1"/>
                          <w14:textFill>
                            <w14:noFill/>
                          </w14:textFill>
                        </w:rPr>
                      </w:pPr>
                      <w:r>
                        <w:rPr>
                          <w:noProof/>
                          <w:color w:val="FFFFFF" w:themeColor="background1"/>
                        </w:rPr>
                        <w:drawing>
                          <wp:inline distT="0" distB="0" distL="0" distR="0" wp14:anchorId="09151E1E" wp14:editId="0A311A6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04BF5">
        <w:rPr>
          <w:rFonts w:asciiTheme="majorHAnsi" w:hAnsiTheme="majorHAnsi"/>
          <w:b/>
          <w:sz w:val="20"/>
          <w:lang w:val="es-VE"/>
        </w:rPr>
        <w:tab/>
      </w:r>
    </w:p>
    <w:p w14:paraId="0B61D72E" w14:textId="77777777" w:rsidR="003239B8" w:rsidRPr="00404BF5" w:rsidRDefault="003239B8" w:rsidP="004A6A54">
      <w:pPr>
        <w:spacing w:after="240"/>
        <w:ind w:firstLine="720"/>
        <w:jc w:val="both"/>
        <w:rPr>
          <w:rFonts w:asciiTheme="majorHAnsi" w:hAnsiTheme="majorHAnsi"/>
          <w:b/>
          <w:bCs/>
          <w:sz w:val="20"/>
          <w:szCs w:val="20"/>
          <w:lang w:val="es-VE"/>
        </w:rPr>
      </w:pPr>
      <w:r w:rsidRPr="00404BF5">
        <w:rPr>
          <w:rFonts w:asciiTheme="majorHAnsi" w:hAnsiTheme="majorHAnsi"/>
          <w:b/>
          <w:bCs/>
          <w:sz w:val="20"/>
          <w:szCs w:val="20"/>
          <w:lang w:val="es-VE"/>
        </w:rPr>
        <w:lastRenderedPageBreak/>
        <w:t>I.</w:t>
      </w:r>
      <w:r w:rsidRPr="00404BF5">
        <w:rPr>
          <w:rFonts w:asciiTheme="majorHAnsi" w:hAnsiTheme="majorHAnsi"/>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37495" w14:paraId="12A9C030" w14:textId="77777777" w:rsidTr="004A6A54">
        <w:tc>
          <w:tcPr>
            <w:tcW w:w="3600" w:type="dxa"/>
            <w:tcBorders>
              <w:top w:val="single" w:sz="4" w:space="0" w:color="auto"/>
              <w:bottom w:val="single" w:sz="6" w:space="0" w:color="auto"/>
            </w:tcBorders>
            <w:shd w:val="clear" w:color="auto" w:fill="386294"/>
            <w:vAlign w:val="center"/>
          </w:tcPr>
          <w:p w14:paraId="4388B163"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Parte peticionaria:</w:t>
            </w:r>
          </w:p>
        </w:tc>
        <w:tc>
          <w:tcPr>
            <w:tcW w:w="5760" w:type="dxa"/>
            <w:vAlign w:val="center"/>
          </w:tcPr>
          <w:p w14:paraId="6E0A0D36" w14:textId="746028BC" w:rsidR="003239B8" w:rsidRPr="00404BF5" w:rsidRDefault="00673E5F" w:rsidP="00FC41C8">
            <w:pPr>
              <w:jc w:val="both"/>
              <w:rPr>
                <w:rFonts w:ascii="Cambria" w:hAnsi="Cambria"/>
                <w:bCs/>
                <w:sz w:val="20"/>
                <w:szCs w:val="20"/>
                <w:lang w:val="es-VE"/>
              </w:rPr>
            </w:pPr>
            <w:r w:rsidRPr="00404BF5">
              <w:rPr>
                <w:rFonts w:ascii="Cambria" w:hAnsi="Cambria"/>
                <w:bCs/>
                <w:sz w:val="20"/>
                <w:szCs w:val="20"/>
                <w:lang w:val="es-VE"/>
              </w:rPr>
              <w:t xml:space="preserve">Alfredo Castro Ramírez, Cecilia Vásquez Paredes, Diana Yamile Castro Vásquez, Juan David Castro Vásquez, </w:t>
            </w:r>
            <w:r w:rsidR="00404BF5" w:rsidRPr="00404BF5">
              <w:rPr>
                <w:rFonts w:ascii="Cambria" w:hAnsi="Cambria"/>
                <w:bCs/>
                <w:sz w:val="20"/>
                <w:szCs w:val="20"/>
                <w:lang w:val="es-VE"/>
              </w:rPr>
              <w:t>Rocío Vásquez Castro</w:t>
            </w:r>
            <w:r w:rsidR="00404BF5">
              <w:rPr>
                <w:rFonts w:ascii="Cambria" w:hAnsi="Cambria"/>
                <w:bCs/>
                <w:sz w:val="20"/>
                <w:szCs w:val="20"/>
                <w:lang w:val="es-VE"/>
              </w:rPr>
              <w:t xml:space="preserve">, </w:t>
            </w:r>
            <w:r w:rsidR="00A47E5D" w:rsidRPr="00404BF5">
              <w:rPr>
                <w:rFonts w:ascii="Cambria" w:hAnsi="Cambria"/>
                <w:bCs/>
                <w:sz w:val="20"/>
                <w:szCs w:val="20"/>
                <w:lang w:val="es-VE"/>
              </w:rPr>
              <w:t>Alberto Vásquez Mejía</w:t>
            </w:r>
            <w:r w:rsidR="00A47E5D">
              <w:rPr>
                <w:rFonts w:ascii="Cambria" w:hAnsi="Cambria"/>
                <w:bCs/>
                <w:sz w:val="20"/>
                <w:szCs w:val="20"/>
                <w:lang w:val="es-VE"/>
              </w:rPr>
              <w:t xml:space="preserve"> y </w:t>
            </w:r>
            <w:r w:rsidRPr="00404BF5">
              <w:rPr>
                <w:rFonts w:ascii="Cambria" w:hAnsi="Cambria"/>
                <w:bCs/>
                <w:sz w:val="20"/>
                <w:szCs w:val="20"/>
                <w:lang w:val="es-VE"/>
              </w:rPr>
              <w:t>Juan de la Cruz Castro España</w:t>
            </w:r>
          </w:p>
        </w:tc>
      </w:tr>
      <w:tr w:rsidR="003239B8" w:rsidRPr="00637495" w14:paraId="65D13C94" w14:textId="77777777" w:rsidTr="004A6A54">
        <w:tc>
          <w:tcPr>
            <w:tcW w:w="3600" w:type="dxa"/>
            <w:tcBorders>
              <w:top w:val="single" w:sz="6" w:space="0" w:color="auto"/>
              <w:bottom w:val="single" w:sz="6" w:space="0" w:color="auto"/>
            </w:tcBorders>
            <w:shd w:val="clear" w:color="auto" w:fill="386294"/>
            <w:vAlign w:val="center"/>
          </w:tcPr>
          <w:p w14:paraId="153EB6C0" w14:textId="77777777" w:rsidR="003239B8" w:rsidRPr="00404BF5" w:rsidRDefault="00152EE0" w:rsidP="00FC41C8">
            <w:pPr>
              <w:jc w:val="center"/>
              <w:rPr>
                <w:rFonts w:ascii="Cambria" w:hAnsi="Cambria"/>
                <w:b/>
                <w:bCs/>
                <w:color w:val="FFFFFF" w:themeColor="background1"/>
                <w:sz w:val="20"/>
                <w:szCs w:val="20"/>
                <w:lang w:val="es-VE"/>
              </w:rPr>
            </w:pPr>
            <w:sdt>
              <w:sdtPr>
                <w:rPr>
                  <w:rFonts w:ascii="Cambria" w:hAnsi="Cambria"/>
                  <w:b/>
                  <w:bCs/>
                  <w:color w:val="FFFFFF" w:themeColor="background1"/>
                  <w:sz w:val="20"/>
                  <w:szCs w:val="20"/>
                  <w:lang w:val="es-V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04BF5">
                  <w:rPr>
                    <w:rFonts w:ascii="Cambria" w:hAnsi="Cambria"/>
                    <w:b/>
                    <w:bCs/>
                    <w:color w:val="FFFFFF" w:themeColor="background1"/>
                    <w:sz w:val="20"/>
                    <w:szCs w:val="20"/>
                    <w:lang w:val="es-VE"/>
                  </w:rPr>
                  <w:t>Presunta víctima</w:t>
                </w:r>
              </w:sdtContent>
            </w:sdt>
            <w:r w:rsidR="003239B8" w:rsidRPr="00404BF5">
              <w:rPr>
                <w:rFonts w:ascii="Cambria" w:hAnsi="Cambria"/>
                <w:b/>
                <w:bCs/>
                <w:color w:val="FFFFFF" w:themeColor="background1"/>
                <w:sz w:val="20"/>
                <w:szCs w:val="20"/>
                <w:lang w:val="es-VE"/>
              </w:rPr>
              <w:t>:</w:t>
            </w:r>
          </w:p>
        </w:tc>
        <w:tc>
          <w:tcPr>
            <w:tcW w:w="5760" w:type="dxa"/>
            <w:vAlign w:val="center"/>
          </w:tcPr>
          <w:p w14:paraId="21F597E7" w14:textId="4C79519E" w:rsidR="003239B8" w:rsidRPr="00404BF5" w:rsidRDefault="00673E5F" w:rsidP="00FC41C8">
            <w:pPr>
              <w:jc w:val="both"/>
              <w:rPr>
                <w:rFonts w:ascii="Cambria" w:hAnsi="Cambria"/>
                <w:bCs/>
                <w:sz w:val="20"/>
                <w:szCs w:val="20"/>
                <w:lang w:val="es-VE"/>
              </w:rPr>
            </w:pPr>
            <w:r w:rsidRPr="00404BF5">
              <w:rPr>
                <w:rFonts w:ascii="Cambria" w:hAnsi="Cambria"/>
                <w:bCs/>
                <w:sz w:val="20"/>
                <w:szCs w:val="20"/>
                <w:lang w:val="es-VE"/>
              </w:rPr>
              <w:t>Wilson Castro Vásquez y familia</w:t>
            </w:r>
            <w:r w:rsidR="00404BF5">
              <w:rPr>
                <w:rStyle w:val="FootnoteReference"/>
                <w:rFonts w:ascii="Cambria" w:hAnsi="Cambria"/>
                <w:bCs/>
                <w:sz w:val="20"/>
                <w:szCs w:val="20"/>
                <w:lang w:val="es-VE"/>
              </w:rPr>
              <w:footnoteReference w:id="2"/>
            </w:r>
          </w:p>
        </w:tc>
      </w:tr>
      <w:tr w:rsidR="003239B8" w:rsidRPr="00404BF5" w14:paraId="5994AD5E" w14:textId="77777777" w:rsidTr="004A6A54">
        <w:tc>
          <w:tcPr>
            <w:tcW w:w="3600" w:type="dxa"/>
            <w:tcBorders>
              <w:top w:val="single" w:sz="6" w:space="0" w:color="auto"/>
              <w:bottom w:val="single" w:sz="6" w:space="0" w:color="auto"/>
            </w:tcBorders>
            <w:shd w:val="clear" w:color="auto" w:fill="386294"/>
            <w:vAlign w:val="center"/>
          </w:tcPr>
          <w:p w14:paraId="270DD46E"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Estado denunciado:</w:t>
            </w:r>
          </w:p>
        </w:tc>
        <w:tc>
          <w:tcPr>
            <w:tcW w:w="5760" w:type="dxa"/>
            <w:vAlign w:val="center"/>
          </w:tcPr>
          <w:p w14:paraId="589B518F" w14:textId="4550D506" w:rsidR="003239B8" w:rsidRPr="00404BF5" w:rsidRDefault="00460F30" w:rsidP="00FC41C8">
            <w:pPr>
              <w:jc w:val="both"/>
              <w:rPr>
                <w:rFonts w:ascii="Cambria" w:hAnsi="Cambria"/>
                <w:bCs/>
                <w:sz w:val="20"/>
                <w:szCs w:val="20"/>
                <w:lang w:val="es-VE"/>
              </w:rPr>
            </w:pPr>
            <w:r w:rsidRPr="00404BF5">
              <w:rPr>
                <w:rFonts w:ascii="Cambria" w:hAnsi="Cambria"/>
                <w:bCs/>
                <w:sz w:val="20"/>
                <w:szCs w:val="20"/>
                <w:lang w:val="es-VE"/>
              </w:rPr>
              <w:t>Colombia</w:t>
            </w:r>
            <w:r w:rsidR="008E686D">
              <w:rPr>
                <w:rStyle w:val="FootnoteReference"/>
                <w:rFonts w:ascii="Cambria" w:hAnsi="Cambria"/>
                <w:bCs/>
                <w:sz w:val="20"/>
                <w:szCs w:val="20"/>
                <w:lang w:val="es-VE"/>
              </w:rPr>
              <w:footnoteReference w:id="3"/>
            </w:r>
          </w:p>
        </w:tc>
      </w:tr>
      <w:tr w:rsidR="00223A29" w:rsidRPr="00637495" w14:paraId="774D8F78" w14:textId="77777777" w:rsidTr="004A6A54">
        <w:tc>
          <w:tcPr>
            <w:tcW w:w="3600" w:type="dxa"/>
            <w:tcBorders>
              <w:top w:val="single" w:sz="6" w:space="0" w:color="auto"/>
              <w:bottom w:val="single" w:sz="6" w:space="0" w:color="auto"/>
            </w:tcBorders>
            <w:shd w:val="clear" w:color="auto" w:fill="386294"/>
            <w:vAlign w:val="center"/>
          </w:tcPr>
          <w:p w14:paraId="37CBE7DC" w14:textId="77777777" w:rsidR="00223A29" w:rsidRPr="00404BF5" w:rsidRDefault="001B3A00" w:rsidP="00E4118C">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 xml:space="preserve">Derechos </w:t>
            </w:r>
            <w:r w:rsidR="00E4118C" w:rsidRPr="00404BF5">
              <w:rPr>
                <w:rFonts w:ascii="Cambria" w:hAnsi="Cambria"/>
                <w:b/>
                <w:bCs/>
                <w:color w:val="FFFFFF" w:themeColor="background1"/>
                <w:sz w:val="20"/>
                <w:szCs w:val="20"/>
                <w:lang w:val="es-VE"/>
              </w:rPr>
              <w:t>invocados</w:t>
            </w:r>
            <w:r w:rsidRPr="00404BF5">
              <w:rPr>
                <w:rFonts w:ascii="Cambria" w:hAnsi="Cambria"/>
                <w:b/>
                <w:bCs/>
                <w:color w:val="FFFFFF" w:themeColor="background1"/>
                <w:sz w:val="20"/>
                <w:szCs w:val="20"/>
                <w:lang w:val="es-VE"/>
              </w:rPr>
              <w:t>:</w:t>
            </w:r>
          </w:p>
        </w:tc>
        <w:tc>
          <w:tcPr>
            <w:tcW w:w="5760" w:type="dxa"/>
            <w:vAlign w:val="center"/>
          </w:tcPr>
          <w:p w14:paraId="248AAE4D" w14:textId="4DD627FA" w:rsidR="00223A29" w:rsidRPr="00404BF5" w:rsidRDefault="002C4D6E" w:rsidP="00FC41C8">
            <w:pPr>
              <w:jc w:val="both"/>
              <w:rPr>
                <w:rFonts w:ascii="Cambria" w:hAnsi="Cambria"/>
                <w:bCs/>
                <w:sz w:val="20"/>
                <w:szCs w:val="20"/>
                <w:lang w:val="es-VE"/>
              </w:rPr>
            </w:pPr>
            <w:r>
              <w:rPr>
                <w:rFonts w:ascii="Cambria" w:hAnsi="Cambria"/>
                <w:bCs/>
                <w:sz w:val="20"/>
                <w:szCs w:val="20"/>
                <w:lang w:val="es-VE"/>
              </w:rPr>
              <w:t xml:space="preserve">Artículos 4 (derecho a la vida), 8 (garantías judiciales) y 25 (protección judicial) de la </w:t>
            </w:r>
            <w:r w:rsidRPr="00404BF5">
              <w:rPr>
                <w:rFonts w:ascii="Cambria" w:hAnsi="Cambria"/>
                <w:bCs/>
                <w:sz w:val="20"/>
                <w:szCs w:val="20"/>
                <w:lang w:val="es-VE"/>
              </w:rPr>
              <w:t>Convención Americana sobre Derechos Humanos</w:t>
            </w:r>
            <w:r w:rsidRPr="00404BF5">
              <w:rPr>
                <w:rStyle w:val="FootnoteReference"/>
                <w:rFonts w:ascii="Cambria" w:hAnsi="Cambria"/>
                <w:bCs/>
                <w:sz w:val="20"/>
                <w:szCs w:val="20"/>
                <w:lang w:val="es-VE"/>
              </w:rPr>
              <w:footnoteReference w:id="4"/>
            </w:r>
            <w:r w:rsidR="00DB5808">
              <w:rPr>
                <w:rFonts w:ascii="Cambria" w:hAnsi="Cambria"/>
                <w:bCs/>
                <w:sz w:val="20"/>
                <w:szCs w:val="20"/>
                <w:lang w:val="es-VE"/>
              </w:rPr>
              <w:t xml:space="preserve"> </w:t>
            </w:r>
            <w:r w:rsidR="00756CA0">
              <w:rPr>
                <w:rFonts w:ascii="Cambria" w:hAnsi="Cambria"/>
                <w:bCs/>
                <w:sz w:val="20"/>
                <w:szCs w:val="20"/>
                <w:lang w:val="es-VE"/>
              </w:rPr>
              <w:t>con relación al</w:t>
            </w:r>
            <w:r w:rsidR="00DB5808">
              <w:rPr>
                <w:rFonts w:ascii="Cambria" w:hAnsi="Cambria"/>
                <w:bCs/>
                <w:sz w:val="20"/>
                <w:szCs w:val="20"/>
                <w:lang w:val="es-VE"/>
              </w:rPr>
              <w:t xml:space="preserve"> artículo 1.1 del mismo instrumento</w:t>
            </w:r>
          </w:p>
        </w:tc>
      </w:tr>
    </w:tbl>
    <w:p w14:paraId="7585E414" w14:textId="77777777" w:rsidR="003239B8" w:rsidRPr="00404BF5" w:rsidRDefault="003239B8" w:rsidP="003239B8">
      <w:pPr>
        <w:spacing w:before="240" w:after="240"/>
        <w:ind w:firstLine="720"/>
        <w:jc w:val="both"/>
        <w:rPr>
          <w:rFonts w:asciiTheme="majorHAnsi" w:hAnsiTheme="majorHAnsi"/>
          <w:b/>
          <w:bCs/>
          <w:sz w:val="20"/>
          <w:szCs w:val="20"/>
          <w:lang w:val="es-VE"/>
        </w:rPr>
      </w:pPr>
      <w:r w:rsidRPr="00404BF5">
        <w:rPr>
          <w:rFonts w:asciiTheme="majorHAnsi" w:hAnsiTheme="majorHAnsi"/>
          <w:b/>
          <w:bCs/>
          <w:sz w:val="20"/>
          <w:szCs w:val="20"/>
          <w:lang w:val="es-VE"/>
        </w:rPr>
        <w:t>II.</w:t>
      </w:r>
      <w:r w:rsidRPr="00404BF5">
        <w:rPr>
          <w:rFonts w:asciiTheme="majorHAnsi" w:hAnsiTheme="majorHAnsi"/>
          <w:b/>
          <w:bCs/>
          <w:sz w:val="20"/>
          <w:szCs w:val="20"/>
          <w:lang w:val="es-VE"/>
        </w:rPr>
        <w:tab/>
        <w:t>TRÁMITE ANTE LA CIDH</w:t>
      </w:r>
      <w:r w:rsidR="008E3BFE" w:rsidRPr="00404BF5">
        <w:rPr>
          <w:rStyle w:val="FootnoteReference"/>
          <w:rFonts w:ascii="Cambria" w:hAnsi="Cambria"/>
          <w:b/>
          <w:sz w:val="20"/>
          <w:szCs w:val="20"/>
          <w:lang w:val="es-VE"/>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04BF5" w14:paraId="4EE05876" w14:textId="77777777" w:rsidTr="004A6A54">
        <w:tc>
          <w:tcPr>
            <w:tcW w:w="3600" w:type="dxa"/>
            <w:tcBorders>
              <w:top w:val="single" w:sz="6" w:space="0" w:color="auto"/>
              <w:bottom w:val="single" w:sz="6" w:space="0" w:color="auto"/>
            </w:tcBorders>
            <w:shd w:val="clear" w:color="auto" w:fill="386294"/>
            <w:vAlign w:val="center"/>
          </w:tcPr>
          <w:p w14:paraId="2C8BCC47" w14:textId="77777777" w:rsidR="004C2312" w:rsidRPr="00404BF5" w:rsidRDefault="004A6A54" w:rsidP="004A6A54">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P</w:t>
            </w:r>
            <w:r w:rsidR="004C2312" w:rsidRPr="00404BF5">
              <w:rPr>
                <w:rFonts w:ascii="Cambria" w:hAnsi="Cambria"/>
                <w:b/>
                <w:bCs/>
                <w:color w:val="FFFFFF" w:themeColor="background1"/>
                <w:sz w:val="20"/>
                <w:szCs w:val="20"/>
                <w:lang w:val="es-VE"/>
              </w:rPr>
              <w:t>resentación de la petición:</w:t>
            </w:r>
          </w:p>
        </w:tc>
        <w:tc>
          <w:tcPr>
            <w:tcW w:w="5760" w:type="dxa"/>
            <w:vAlign w:val="center"/>
          </w:tcPr>
          <w:p w14:paraId="0A2880C2" w14:textId="367A59D2" w:rsidR="004C2312" w:rsidRPr="00404BF5" w:rsidRDefault="00673E5F" w:rsidP="00FC41C8">
            <w:pPr>
              <w:jc w:val="both"/>
              <w:rPr>
                <w:rFonts w:ascii="Cambria" w:hAnsi="Cambria"/>
                <w:bCs/>
                <w:sz w:val="20"/>
                <w:szCs w:val="20"/>
                <w:lang w:val="es-VE"/>
              </w:rPr>
            </w:pPr>
            <w:r w:rsidRPr="00404BF5">
              <w:rPr>
                <w:rFonts w:ascii="Cambria" w:hAnsi="Cambria"/>
                <w:bCs/>
                <w:sz w:val="20"/>
                <w:szCs w:val="20"/>
                <w:lang w:val="es-VE"/>
              </w:rPr>
              <w:t>10 de junio de 2008</w:t>
            </w:r>
          </w:p>
        </w:tc>
      </w:tr>
      <w:tr w:rsidR="00131425" w:rsidRPr="00637495" w14:paraId="5DF29B73" w14:textId="77777777" w:rsidTr="004A6A54">
        <w:tc>
          <w:tcPr>
            <w:tcW w:w="3600" w:type="dxa"/>
            <w:tcBorders>
              <w:top w:val="single" w:sz="6" w:space="0" w:color="auto"/>
              <w:bottom w:val="single" w:sz="6" w:space="0" w:color="auto"/>
            </w:tcBorders>
            <w:shd w:val="clear" w:color="auto" w:fill="386294"/>
            <w:vAlign w:val="center"/>
          </w:tcPr>
          <w:p w14:paraId="0FAE735F" w14:textId="77777777" w:rsidR="00131425" w:rsidRPr="00404BF5" w:rsidRDefault="00131425" w:rsidP="004A6A54">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Información adicional recibida durante la etapa de estudio:</w:t>
            </w:r>
          </w:p>
        </w:tc>
        <w:tc>
          <w:tcPr>
            <w:tcW w:w="5760" w:type="dxa"/>
            <w:vAlign w:val="center"/>
          </w:tcPr>
          <w:p w14:paraId="328CC872" w14:textId="5FAE94DC" w:rsidR="00131425" w:rsidRPr="00404BF5" w:rsidRDefault="00673E5F" w:rsidP="00FC41C8">
            <w:pPr>
              <w:jc w:val="both"/>
              <w:rPr>
                <w:rFonts w:ascii="Cambria" w:hAnsi="Cambria"/>
                <w:bCs/>
                <w:sz w:val="20"/>
                <w:szCs w:val="20"/>
                <w:lang w:val="es-VE"/>
              </w:rPr>
            </w:pPr>
            <w:r w:rsidRPr="00404BF5">
              <w:rPr>
                <w:rFonts w:ascii="Cambria" w:hAnsi="Cambria"/>
                <w:bCs/>
                <w:sz w:val="20"/>
                <w:szCs w:val="20"/>
                <w:lang w:val="es-VE"/>
              </w:rPr>
              <w:t>26 de febrero</w:t>
            </w:r>
            <w:r w:rsidR="000F3EF9" w:rsidRPr="00404BF5">
              <w:rPr>
                <w:rFonts w:ascii="Cambria" w:hAnsi="Cambria"/>
                <w:bCs/>
                <w:sz w:val="20"/>
                <w:szCs w:val="20"/>
                <w:lang w:val="es-VE"/>
              </w:rPr>
              <w:t xml:space="preserve">, 12 de agosto y 9 de septiembre </w:t>
            </w:r>
            <w:r w:rsidRPr="00404BF5">
              <w:rPr>
                <w:rFonts w:ascii="Cambria" w:hAnsi="Cambria"/>
                <w:bCs/>
                <w:sz w:val="20"/>
                <w:szCs w:val="20"/>
                <w:lang w:val="es-VE"/>
              </w:rPr>
              <w:t>de 2014</w:t>
            </w:r>
            <w:r w:rsidR="000F3EF9" w:rsidRPr="00404BF5">
              <w:rPr>
                <w:rFonts w:ascii="Cambria" w:hAnsi="Cambria"/>
                <w:bCs/>
                <w:sz w:val="20"/>
                <w:szCs w:val="20"/>
                <w:lang w:val="es-VE"/>
              </w:rPr>
              <w:t>, 6 de diciembre de 2016</w:t>
            </w:r>
            <w:r w:rsidR="00FF6D39">
              <w:rPr>
                <w:rFonts w:ascii="Cambria" w:hAnsi="Cambria"/>
                <w:bCs/>
                <w:sz w:val="20"/>
                <w:szCs w:val="20"/>
                <w:lang w:val="es-VE"/>
              </w:rPr>
              <w:t xml:space="preserve"> y</w:t>
            </w:r>
            <w:r w:rsidR="000F3EF9" w:rsidRPr="00404BF5">
              <w:rPr>
                <w:rFonts w:ascii="Cambria" w:hAnsi="Cambria"/>
                <w:bCs/>
                <w:sz w:val="20"/>
                <w:szCs w:val="20"/>
                <w:lang w:val="es-VE"/>
              </w:rPr>
              <w:t xml:space="preserve"> 23 de febrero de 2017</w:t>
            </w:r>
          </w:p>
        </w:tc>
      </w:tr>
      <w:tr w:rsidR="004C2312" w:rsidRPr="00404BF5" w14:paraId="2159833A" w14:textId="77777777" w:rsidTr="004A6A54">
        <w:tc>
          <w:tcPr>
            <w:tcW w:w="3600" w:type="dxa"/>
            <w:tcBorders>
              <w:top w:val="single" w:sz="6" w:space="0" w:color="auto"/>
              <w:bottom w:val="single" w:sz="6" w:space="0" w:color="auto"/>
            </w:tcBorders>
            <w:shd w:val="clear" w:color="auto" w:fill="386294"/>
            <w:vAlign w:val="center"/>
          </w:tcPr>
          <w:p w14:paraId="3F42630B" w14:textId="77777777" w:rsidR="004C2312" w:rsidRPr="00404BF5" w:rsidRDefault="004A6A54" w:rsidP="004A6A54">
            <w:pPr>
              <w:jc w:val="center"/>
              <w:rPr>
                <w:rFonts w:ascii="Cambria" w:hAnsi="Cambria"/>
                <w:b/>
                <w:bCs/>
                <w:color w:val="FFFFFF" w:themeColor="background1"/>
                <w:sz w:val="20"/>
                <w:szCs w:val="20"/>
                <w:lang w:val="es-VE"/>
              </w:rPr>
            </w:pPr>
            <w:r w:rsidRPr="00404BF5">
              <w:rPr>
                <w:rFonts w:ascii="Cambria" w:hAnsi="Cambria"/>
                <w:b/>
                <w:color w:val="FFFFFF" w:themeColor="background1"/>
                <w:sz w:val="20"/>
                <w:szCs w:val="20"/>
                <w:lang w:val="es-VE"/>
              </w:rPr>
              <w:t>N</w:t>
            </w:r>
            <w:r w:rsidR="004C2312" w:rsidRPr="00404BF5">
              <w:rPr>
                <w:rFonts w:ascii="Cambria" w:hAnsi="Cambria"/>
                <w:b/>
                <w:color w:val="FFFFFF" w:themeColor="background1"/>
                <w:sz w:val="20"/>
                <w:szCs w:val="20"/>
                <w:lang w:val="es-VE"/>
              </w:rPr>
              <w:t>otificación de la petición al Estado:</w:t>
            </w:r>
          </w:p>
        </w:tc>
        <w:tc>
          <w:tcPr>
            <w:tcW w:w="5760" w:type="dxa"/>
            <w:vAlign w:val="center"/>
          </w:tcPr>
          <w:p w14:paraId="70DE75C9" w14:textId="5CC9ADCE" w:rsidR="004C2312" w:rsidRPr="00404BF5" w:rsidRDefault="00460F30" w:rsidP="00FC41C8">
            <w:pPr>
              <w:jc w:val="both"/>
              <w:rPr>
                <w:rFonts w:ascii="Cambria" w:hAnsi="Cambria"/>
                <w:bCs/>
                <w:sz w:val="20"/>
                <w:szCs w:val="20"/>
                <w:lang w:val="es-VE"/>
              </w:rPr>
            </w:pPr>
            <w:r w:rsidRPr="00404BF5">
              <w:rPr>
                <w:rFonts w:ascii="Cambria" w:hAnsi="Cambria"/>
                <w:bCs/>
                <w:sz w:val="20"/>
                <w:szCs w:val="20"/>
                <w:lang w:val="es-VE"/>
              </w:rPr>
              <w:t>7 de mayo de 2019</w:t>
            </w:r>
          </w:p>
        </w:tc>
      </w:tr>
      <w:tr w:rsidR="004C2312" w:rsidRPr="00404BF5" w14:paraId="40B7A63F" w14:textId="77777777" w:rsidTr="004A6A54">
        <w:tc>
          <w:tcPr>
            <w:tcW w:w="3600" w:type="dxa"/>
            <w:tcBorders>
              <w:top w:val="single" w:sz="6" w:space="0" w:color="auto"/>
              <w:bottom w:val="single" w:sz="6" w:space="0" w:color="auto"/>
            </w:tcBorders>
            <w:shd w:val="clear" w:color="auto" w:fill="386294"/>
            <w:vAlign w:val="center"/>
          </w:tcPr>
          <w:p w14:paraId="020C0E6F" w14:textId="77777777" w:rsidR="004C2312" w:rsidRPr="00404BF5" w:rsidRDefault="004A6A54" w:rsidP="004A6A54">
            <w:pPr>
              <w:jc w:val="center"/>
              <w:rPr>
                <w:rFonts w:ascii="Cambria" w:hAnsi="Cambria"/>
                <w:b/>
                <w:bCs/>
                <w:color w:val="FFFFFF" w:themeColor="background1"/>
                <w:sz w:val="20"/>
                <w:szCs w:val="20"/>
                <w:lang w:val="es-VE"/>
              </w:rPr>
            </w:pPr>
            <w:r w:rsidRPr="00404BF5">
              <w:rPr>
                <w:rFonts w:ascii="Cambria" w:hAnsi="Cambria"/>
                <w:b/>
                <w:color w:val="FFFFFF" w:themeColor="background1"/>
                <w:sz w:val="20"/>
                <w:szCs w:val="20"/>
                <w:lang w:val="es-VE"/>
              </w:rPr>
              <w:t>P</w:t>
            </w:r>
            <w:r w:rsidR="004C2312" w:rsidRPr="00404BF5">
              <w:rPr>
                <w:rFonts w:ascii="Cambria" w:hAnsi="Cambria"/>
                <w:b/>
                <w:color w:val="FFFFFF" w:themeColor="background1"/>
                <w:sz w:val="20"/>
                <w:szCs w:val="20"/>
                <w:lang w:val="es-VE"/>
              </w:rPr>
              <w:t>rimera respuesta del Estado:</w:t>
            </w:r>
          </w:p>
        </w:tc>
        <w:tc>
          <w:tcPr>
            <w:tcW w:w="5760" w:type="dxa"/>
            <w:vAlign w:val="center"/>
          </w:tcPr>
          <w:p w14:paraId="23925AF1" w14:textId="105D2B9D" w:rsidR="004C2312" w:rsidRPr="00404BF5" w:rsidRDefault="00460F30" w:rsidP="00FC41C8">
            <w:pPr>
              <w:jc w:val="both"/>
              <w:rPr>
                <w:rFonts w:ascii="Cambria" w:hAnsi="Cambria"/>
                <w:bCs/>
                <w:sz w:val="20"/>
                <w:szCs w:val="20"/>
                <w:lang w:val="es-VE"/>
              </w:rPr>
            </w:pPr>
            <w:r w:rsidRPr="00404BF5">
              <w:rPr>
                <w:rFonts w:ascii="Cambria" w:hAnsi="Cambria"/>
                <w:bCs/>
                <w:sz w:val="20"/>
                <w:szCs w:val="20"/>
                <w:lang w:val="es-VE"/>
              </w:rPr>
              <w:t>22 de noviembre de 2019</w:t>
            </w:r>
          </w:p>
        </w:tc>
      </w:tr>
      <w:tr w:rsidR="00DB5808" w:rsidRPr="00DB5808" w14:paraId="493B5EE6" w14:textId="77777777" w:rsidTr="004A6A54">
        <w:tc>
          <w:tcPr>
            <w:tcW w:w="3600" w:type="dxa"/>
            <w:tcBorders>
              <w:top w:val="single" w:sz="6" w:space="0" w:color="auto"/>
              <w:bottom w:val="single" w:sz="6" w:space="0" w:color="auto"/>
            </w:tcBorders>
            <w:shd w:val="clear" w:color="auto" w:fill="386294"/>
            <w:vAlign w:val="center"/>
          </w:tcPr>
          <w:p w14:paraId="3CC414F7" w14:textId="3285E639" w:rsidR="00DB5808" w:rsidRPr="00404BF5" w:rsidRDefault="00DB5808" w:rsidP="004A6A54">
            <w:pPr>
              <w:jc w:val="center"/>
              <w:rPr>
                <w:rFonts w:ascii="Cambria" w:hAnsi="Cambria"/>
                <w:b/>
                <w:color w:val="FFFFFF" w:themeColor="background1"/>
                <w:sz w:val="20"/>
                <w:szCs w:val="20"/>
                <w:lang w:val="es-VE"/>
              </w:rPr>
            </w:pPr>
            <w:r>
              <w:rPr>
                <w:rFonts w:ascii="Cambria" w:hAnsi="Cambria"/>
                <w:b/>
                <w:color w:val="FFFFFF" w:themeColor="background1"/>
                <w:sz w:val="20"/>
                <w:szCs w:val="20"/>
                <w:lang w:val="es-VE"/>
              </w:rPr>
              <w:t xml:space="preserve">Observaciones adicionales de la parte peticionaria </w:t>
            </w:r>
          </w:p>
        </w:tc>
        <w:tc>
          <w:tcPr>
            <w:tcW w:w="5760" w:type="dxa"/>
            <w:vAlign w:val="center"/>
          </w:tcPr>
          <w:p w14:paraId="49652B4F" w14:textId="3D7288D4" w:rsidR="00DB5808" w:rsidRPr="00404BF5" w:rsidRDefault="00DB5808" w:rsidP="00FC41C8">
            <w:pPr>
              <w:jc w:val="both"/>
              <w:rPr>
                <w:rFonts w:ascii="Cambria" w:hAnsi="Cambria"/>
                <w:bCs/>
                <w:sz w:val="20"/>
                <w:szCs w:val="20"/>
                <w:lang w:val="es-VE"/>
              </w:rPr>
            </w:pPr>
            <w:r>
              <w:rPr>
                <w:rFonts w:ascii="Cambria" w:hAnsi="Cambria"/>
                <w:bCs/>
                <w:sz w:val="20"/>
                <w:szCs w:val="20"/>
                <w:lang w:val="es-VE"/>
              </w:rPr>
              <w:t>7 de febrero de 2020</w:t>
            </w:r>
          </w:p>
        </w:tc>
      </w:tr>
    </w:tbl>
    <w:p w14:paraId="00D577FE" w14:textId="77777777" w:rsidR="003239B8" w:rsidRPr="00404BF5" w:rsidRDefault="003239B8" w:rsidP="003239B8">
      <w:pPr>
        <w:spacing w:before="240" w:after="240"/>
        <w:ind w:firstLine="720"/>
        <w:jc w:val="both"/>
        <w:rPr>
          <w:rFonts w:asciiTheme="majorHAnsi" w:hAnsiTheme="majorHAnsi"/>
          <w:b/>
          <w:bCs/>
          <w:sz w:val="20"/>
          <w:szCs w:val="20"/>
          <w:lang w:val="es-VE"/>
        </w:rPr>
      </w:pPr>
      <w:r w:rsidRPr="00404BF5">
        <w:rPr>
          <w:rFonts w:asciiTheme="majorHAnsi" w:hAnsiTheme="majorHAnsi"/>
          <w:b/>
          <w:bCs/>
          <w:sz w:val="20"/>
          <w:szCs w:val="20"/>
          <w:lang w:val="es-VE"/>
        </w:rPr>
        <w:t xml:space="preserve">III. </w:t>
      </w:r>
      <w:r w:rsidRPr="00404BF5">
        <w:rPr>
          <w:rFonts w:asciiTheme="majorHAnsi" w:hAnsiTheme="majorHAnsi"/>
          <w:b/>
          <w:bCs/>
          <w:sz w:val="20"/>
          <w:szCs w:val="20"/>
          <w:lang w:val="es-VE"/>
        </w:rPr>
        <w:tab/>
        <w:t>COMPETENCIA</w:t>
      </w:r>
      <w:r w:rsidR="00EE00E9" w:rsidRPr="00404BF5">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04BF5" w14:paraId="344A4F2F" w14:textId="77777777" w:rsidTr="004A6A54">
        <w:trPr>
          <w:cantSplit/>
        </w:trPr>
        <w:tc>
          <w:tcPr>
            <w:tcW w:w="3600" w:type="dxa"/>
            <w:tcBorders>
              <w:top w:val="single" w:sz="4" w:space="0" w:color="auto"/>
              <w:bottom w:val="single" w:sz="6" w:space="0" w:color="auto"/>
            </w:tcBorders>
            <w:shd w:val="clear" w:color="auto" w:fill="386294"/>
            <w:vAlign w:val="center"/>
          </w:tcPr>
          <w:p w14:paraId="1868F7DC" w14:textId="77777777" w:rsidR="003239B8" w:rsidRPr="00404BF5" w:rsidRDefault="003239B8" w:rsidP="00FC41C8">
            <w:pPr>
              <w:jc w:val="center"/>
              <w:rPr>
                <w:rFonts w:ascii="Cambria" w:hAnsi="Cambria"/>
                <w:b/>
                <w:bCs/>
                <w:i/>
                <w:color w:val="FFFFFF" w:themeColor="background1"/>
                <w:sz w:val="20"/>
                <w:szCs w:val="20"/>
                <w:lang w:val="es-VE"/>
              </w:rPr>
            </w:pPr>
            <w:r w:rsidRPr="00404BF5">
              <w:rPr>
                <w:rFonts w:ascii="Cambria" w:hAnsi="Cambria"/>
                <w:b/>
                <w:bCs/>
                <w:color w:val="FFFFFF" w:themeColor="background1"/>
                <w:sz w:val="20"/>
                <w:szCs w:val="20"/>
                <w:lang w:val="es-VE"/>
              </w:rPr>
              <w:t>Competencia</w:t>
            </w:r>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Ratione</w:t>
            </w:r>
            <w:proofErr w:type="spellEnd"/>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personae</w:t>
            </w:r>
            <w:proofErr w:type="spellEnd"/>
            <w:r w:rsidRPr="00404BF5">
              <w:rPr>
                <w:rFonts w:ascii="Cambria" w:hAnsi="Cambria"/>
                <w:b/>
                <w:bCs/>
                <w:i/>
                <w:color w:val="FFFFFF" w:themeColor="background1"/>
                <w:sz w:val="20"/>
                <w:szCs w:val="20"/>
                <w:lang w:val="es-VE"/>
              </w:rPr>
              <w:t>:</w:t>
            </w:r>
          </w:p>
        </w:tc>
        <w:tc>
          <w:tcPr>
            <w:tcW w:w="5760" w:type="dxa"/>
            <w:vAlign w:val="center"/>
          </w:tcPr>
          <w:p w14:paraId="0DF96953" w14:textId="774F9A5B" w:rsidR="003239B8" w:rsidRPr="00404BF5" w:rsidRDefault="00404BF5" w:rsidP="00FC41C8">
            <w:pPr>
              <w:rPr>
                <w:rFonts w:ascii="Cambria" w:hAnsi="Cambria"/>
                <w:bCs/>
                <w:sz w:val="20"/>
                <w:szCs w:val="20"/>
                <w:lang w:val="es-VE"/>
              </w:rPr>
            </w:pPr>
            <w:r w:rsidRPr="00404BF5">
              <w:rPr>
                <w:rFonts w:ascii="Cambria" w:hAnsi="Cambria"/>
                <w:bCs/>
                <w:sz w:val="20"/>
                <w:szCs w:val="20"/>
                <w:lang w:val="es-VE"/>
              </w:rPr>
              <w:t>Sí</w:t>
            </w:r>
          </w:p>
        </w:tc>
      </w:tr>
      <w:tr w:rsidR="003239B8" w:rsidRPr="00404BF5" w14:paraId="2DA6D87D" w14:textId="77777777" w:rsidTr="004A6A54">
        <w:trPr>
          <w:cantSplit/>
        </w:trPr>
        <w:tc>
          <w:tcPr>
            <w:tcW w:w="3600" w:type="dxa"/>
            <w:tcBorders>
              <w:top w:val="single" w:sz="6" w:space="0" w:color="auto"/>
              <w:bottom w:val="single" w:sz="6" w:space="0" w:color="auto"/>
            </w:tcBorders>
            <w:shd w:val="clear" w:color="auto" w:fill="386294"/>
            <w:vAlign w:val="center"/>
          </w:tcPr>
          <w:p w14:paraId="21CC9ED9"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Competencia</w:t>
            </w:r>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Ratione</w:t>
            </w:r>
            <w:proofErr w:type="spellEnd"/>
            <w:r w:rsidRPr="00404BF5">
              <w:rPr>
                <w:rFonts w:ascii="Cambria" w:hAnsi="Cambria"/>
                <w:b/>
                <w:bCs/>
                <w:i/>
                <w:color w:val="FFFFFF" w:themeColor="background1"/>
                <w:sz w:val="20"/>
                <w:szCs w:val="20"/>
                <w:lang w:val="es-VE"/>
              </w:rPr>
              <w:t xml:space="preserve"> loci</w:t>
            </w:r>
            <w:r w:rsidRPr="00404BF5">
              <w:rPr>
                <w:rFonts w:ascii="Cambria" w:hAnsi="Cambria"/>
                <w:b/>
                <w:bCs/>
                <w:color w:val="FFFFFF" w:themeColor="background1"/>
                <w:sz w:val="20"/>
                <w:szCs w:val="20"/>
                <w:lang w:val="es-VE"/>
              </w:rPr>
              <w:t>:</w:t>
            </w:r>
          </w:p>
        </w:tc>
        <w:tc>
          <w:tcPr>
            <w:tcW w:w="5760" w:type="dxa"/>
            <w:vAlign w:val="center"/>
          </w:tcPr>
          <w:p w14:paraId="41F6A1B8" w14:textId="40F6F3C7" w:rsidR="003239B8" w:rsidRPr="00404BF5" w:rsidRDefault="00404BF5" w:rsidP="00FC41C8">
            <w:pPr>
              <w:rPr>
                <w:rFonts w:ascii="Cambria" w:hAnsi="Cambria"/>
                <w:bCs/>
                <w:sz w:val="20"/>
                <w:szCs w:val="20"/>
                <w:lang w:val="es-VE"/>
              </w:rPr>
            </w:pPr>
            <w:r w:rsidRPr="00404BF5">
              <w:rPr>
                <w:rFonts w:ascii="Cambria" w:hAnsi="Cambria"/>
                <w:bCs/>
                <w:sz w:val="20"/>
                <w:szCs w:val="20"/>
                <w:lang w:val="es-VE"/>
              </w:rPr>
              <w:t>Sí</w:t>
            </w:r>
          </w:p>
        </w:tc>
      </w:tr>
      <w:tr w:rsidR="003239B8" w:rsidRPr="00404BF5" w14:paraId="0430689E" w14:textId="77777777" w:rsidTr="004A6A54">
        <w:trPr>
          <w:cantSplit/>
        </w:trPr>
        <w:tc>
          <w:tcPr>
            <w:tcW w:w="3600" w:type="dxa"/>
            <w:tcBorders>
              <w:top w:val="single" w:sz="6" w:space="0" w:color="auto"/>
              <w:bottom w:val="single" w:sz="6" w:space="0" w:color="auto"/>
            </w:tcBorders>
            <w:shd w:val="clear" w:color="auto" w:fill="386294"/>
            <w:vAlign w:val="center"/>
          </w:tcPr>
          <w:p w14:paraId="74CBFDE3" w14:textId="40F6022B" w:rsidR="00404BF5" w:rsidRPr="00404BF5" w:rsidRDefault="003239B8" w:rsidP="00404BF5">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Competencia</w:t>
            </w:r>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Ratione</w:t>
            </w:r>
            <w:proofErr w:type="spellEnd"/>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temporis</w:t>
            </w:r>
            <w:proofErr w:type="spellEnd"/>
            <w:r w:rsidRPr="00404BF5">
              <w:rPr>
                <w:rFonts w:ascii="Cambria" w:hAnsi="Cambria"/>
                <w:b/>
                <w:bCs/>
                <w:color w:val="FFFFFF" w:themeColor="background1"/>
                <w:sz w:val="20"/>
                <w:szCs w:val="20"/>
                <w:lang w:val="es-VE"/>
              </w:rPr>
              <w:t>:</w:t>
            </w:r>
          </w:p>
        </w:tc>
        <w:tc>
          <w:tcPr>
            <w:tcW w:w="5760" w:type="dxa"/>
            <w:vAlign w:val="center"/>
          </w:tcPr>
          <w:p w14:paraId="50D7DC6F" w14:textId="6C2C59D0" w:rsidR="003239B8" w:rsidRPr="00404BF5" w:rsidRDefault="00404BF5" w:rsidP="00FC41C8">
            <w:pPr>
              <w:rPr>
                <w:rFonts w:ascii="Cambria" w:hAnsi="Cambria"/>
                <w:bCs/>
                <w:sz w:val="20"/>
                <w:szCs w:val="20"/>
                <w:lang w:val="es-VE"/>
              </w:rPr>
            </w:pPr>
            <w:r w:rsidRPr="00404BF5">
              <w:rPr>
                <w:rFonts w:ascii="Cambria" w:hAnsi="Cambria"/>
                <w:bCs/>
                <w:sz w:val="20"/>
                <w:szCs w:val="20"/>
                <w:lang w:val="es-VE"/>
              </w:rPr>
              <w:t>Sí</w:t>
            </w:r>
          </w:p>
        </w:tc>
      </w:tr>
      <w:tr w:rsidR="003239B8" w:rsidRPr="00637495" w14:paraId="22E7F5A4" w14:textId="77777777" w:rsidTr="004A6A54">
        <w:trPr>
          <w:cantSplit/>
        </w:trPr>
        <w:tc>
          <w:tcPr>
            <w:tcW w:w="3600" w:type="dxa"/>
            <w:tcBorders>
              <w:top w:val="single" w:sz="6" w:space="0" w:color="auto"/>
              <w:bottom w:val="single" w:sz="6" w:space="0" w:color="auto"/>
            </w:tcBorders>
            <w:shd w:val="clear" w:color="auto" w:fill="386294"/>
            <w:vAlign w:val="center"/>
          </w:tcPr>
          <w:p w14:paraId="502A2427"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Competencia</w:t>
            </w:r>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Ratione</w:t>
            </w:r>
            <w:proofErr w:type="spellEnd"/>
            <w:r w:rsidRPr="00404BF5">
              <w:rPr>
                <w:rFonts w:ascii="Cambria" w:hAnsi="Cambria"/>
                <w:b/>
                <w:bCs/>
                <w:i/>
                <w:color w:val="FFFFFF" w:themeColor="background1"/>
                <w:sz w:val="20"/>
                <w:szCs w:val="20"/>
                <w:lang w:val="es-VE"/>
              </w:rPr>
              <w:t xml:space="preserve"> </w:t>
            </w:r>
            <w:proofErr w:type="spellStart"/>
            <w:r w:rsidRPr="00404BF5">
              <w:rPr>
                <w:rFonts w:ascii="Cambria" w:hAnsi="Cambria"/>
                <w:b/>
                <w:bCs/>
                <w:i/>
                <w:color w:val="FFFFFF" w:themeColor="background1"/>
                <w:sz w:val="20"/>
                <w:szCs w:val="20"/>
                <w:lang w:val="es-VE"/>
              </w:rPr>
              <w:t>materia</w:t>
            </w:r>
            <w:r w:rsidR="00EE00E9" w:rsidRPr="00404BF5">
              <w:rPr>
                <w:rFonts w:ascii="Cambria" w:hAnsi="Cambria"/>
                <w:b/>
                <w:bCs/>
                <w:i/>
                <w:color w:val="FFFFFF" w:themeColor="background1"/>
                <w:sz w:val="20"/>
                <w:szCs w:val="20"/>
                <w:lang w:val="es-VE"/>
              </w:rPr>
              <w:t>e</w:t>
            </w:r>
            <w:proofErr w:type="spellEnd"/>
            <w:r w:rsidRPr="00404BF5">
              <w:rPr>
                <w:rFonts w:ascii="Cambria" w:hAnsi="Cambria"/>
                <w:b/>
                <w:bCs/>
                <w:color w:val="FFFFFF" w:themeColor="background1"/>
                <w:sz w:val="20"/>
                <w:szCs w:val="20"/>
                <w:lang w:val="es-VE"/>
              </w:rPr>
              <w:t>:</w:t>
            </w:r>
          </w:p>
        </w:tc>
        <w:tc>
          <w:tcPr>
            <w:tcW w:w="5760" w:type="dxa"/>
            <w:vAlign w:val="center"/>
          </w:tcPr>
          <w:p w14:paraId="7BB9D331" w14:textId="3DB1B113" w:rsidR="003239B8" w:rsidRPr="00404BF5" w:rsidRDefault="00404BF5" w:rsidP="00FC41C8">
            <w:pPr>
              <w:jc w:val="both"/>
              <w:rPr>
                <w:rFonts w:ascii="Cambria" w:hAnsi="Cambria"/>
                <w:bCs/>
                <w:sz w:val="20"/>
                <w:szCs w:val="20"/>
                <w:lang w:val="es-VE"/>
              </w:rPr>
            </w:pPr>
            <w:r w:rsidRPr="00404BF5">
              <w:rPr>
                <w:rFonts w:ascii="Cambria" w:hAnsi="Cambria"/>
                <w:bCs/>
                <w:sz w:val="20"/>
                <w:szCs w:val="20"/>
                <w:lang w:val="es-VE"/>
              </w:rPr>
              <w:t>Sí, Convención Americana (depósito de instrumento de ratificación realizado el 31 de julio de 1973)</w:t>
            </w:r>
          </w:p>
        </w:tc>
      </w:tr>
    </w:tbl>
    <w:p w14:paraId="37C74B5A" w14:textId="64E30489" w:rsidR="003239B8" w:rsidRPr="00404BF5" w:rsidRDefault="003239B8" w:rsidP="00FD2691">
      <w:pPr>
        <w:spacing w:before="240" w:after="240"/>
        <w:ind w:firstLine="720"/>
        <w:jc w:val="both"/>
        <w:rPr>
          <w:rFonts w:asciiTheme="majorHAnsi" w:hAnsiTheme="majorHAnsi"/>
          <w:b/>
          <w:bCs/>
          <w:sz w:val="20"/>
          <w:szCs w:val="20"/>
          <w:lang w:val="es-VE"/>
        </w:rPr>
      </w:pPr>
      <w:r w:rsidRPr="00404BF5">
        <w:rPr>
          <w:rFonts w:asciiTheme="majorHAnsi" w:hAnsiTheme="majorHAnsi"/>
          <w:b/>
          <w:bCs/>
          <w:sz w:val="20"/>
          <w:szCs w:val="20"/>
          <w:lang w:val="es-VE"/>
        </w:rPr>
        <w:t xml:space="preserve">IV. </w:t>
      </w:r>
      <w:r w:rsidRPr="00404BF5">
        <w:rPr>
          <w:rFonts w:asciiTheme="majorHAnsi" w:hAnsiTheme="majorHAnsi"/>
          <w:b/>
          <w:bCs/>
          <w:sz w:val="20"/>
          <w:szCs w:val="20"/>
          <w:lang w:val="es-VE"/>
        </w:rPr>
        <w:tab/>
      </w:r>
      <w:r w:rsidR="00EE00E9" w:rsidRPr="00404BF5">
        <w:rPr>
          <w:rFonts w:asciiTheme="majorHAnsi" w:hAnsiTheme="majorHAnsi"/>
          <w:b/>
          <w:bCs/>
          <w:sz w:val="20"/>
          <w:szCs w:val="20"/>
          <w:lang w:val="es-VE"/>
        </w:rPr>
        <w:t>DUPLICACIÓN</w:t>
      </w:r>
      <w:r w:rsidR="00EE00E9" w:rsidRPr="00404BF5">
        <w:rPr>
          <w:rFonts w:asciiTheme="majorHAnsi" w:hAnsiTheme="majorHAnsi"/>
          <w:b/>
          <w:bCs/>
          <w:color w:val="FFFFFF" w:themeColor="background1"/>
          <w:sz w:val="20"/>
          <w:szCs w:val="20"/>
          <w:lang w:val="es-VE"/>
        </w:rPr>
        <w:t xml:space="preserve"> </w:t>
      </w:r>
      <w:r w:rsidR="00EE00E9" w:rsidRPr="00404BF5">
        <w:rPr>
          <w:rFonts w:asciiTheme="majorHAnsi" w:hAnsiTheme="majorHAnsi"/>
          <w:b/>
          <w:bCs/>
          <w:sz w:val="20"/>
          <w:szCs w:val="20"/>
          <w:lang w:val="es-VE"/>
        </w:rPr>
        <w:t>DE PROCEDIMIENTOS Y COSA JUZGADA</w:t>
      </w:r>
      <w:r w:rsidR="00EE00E9" w:rsidRPr="00404BF5">
        <w:rPr>
          <w:rFonts w:asciiTheme="majorHAnsi" w:hAnsiTheme="majorHAnsi"/>
          <w:b/>
          <w:bCs/>
          <w:i/>
          <w:sz w:val="20"/>
          <w:szCs w:val="20"/>
          <w:lang w:val="es-VE"/>
        </w:rPr>
        <w:t xml:space="preserve"> </w:t>
      </w:r>
      <w:r w:rsidR="00EE00E9" w:rsidRPr="00404BF5">
        <w:rPr>
          <w:rFonts w:asciiTheme="majorHAnsi" w:hAnsiTheme="majorHAnsi"/>
          <w:b/>
          <w:bCs/>
          <w:sz w:val="20"/>
          <w:szCs w:val="20"/>
          <w:lang w:val="es-VE"/>
        </w:rPr>
        <w:t xml:space="preserve">INTERNACIONAL, </w:t>
      </w:r>
      <w:r w:rsidRPr="00404BF5">
        <w:rPr>
          <w:rFonts w:asciiTheme="majorHAnsi" w:hAnsiTheme="majorHAnsi"/>
          <w:b/>
          <w:bCs/>
          <w:sz w:val="20"/>
          <w:szCs w:val="20"/>
          <w:lang w:val="es-VE"/>
        </w:rPr>
        <w:t xml:space="preserve">CARACTERIZACIÓN, </w:t>
      </w:r>
      <w:r w:rsidRPr="00404BF5">
        <w:rPr>
          <w:rFonts w:asciiTheme="majorHAnsi" w:hAnsiTheme="majorHAnsi"/>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04BF5" w14:paraId="3A045CDF" w14:textId="77777777" w:rsidTr="004A6A54">
        <w:trPr>
          <w:cantSplit/>
        </w:trPr>
        <w:tc>
          <w:tcPr>
            <w:tcW w:w="3600" w:type="dxa"/>
            <w:tcBorders>
              <w:top w:val="single" w:sz="4" w:space="0" w:color="auto"/>
              <w:bottom w:val="single" w:sz="6" w:space="0" w:color="auto"/>
            </w:tcBorders>
            <w:shd w:val="clear" w:color="auto" w:fill="386294"/>
            <w:vAlign w:val="center"/>
          </w:tcPr>
          <w:p w14:paraId="73A28D11" w14:textId="77777777" w:rsidR="00EE00E9" w:rsidRPr="00404BF5" w:rsidRDefault="00EE00E9"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Duplicación de procedimientos y cosa juzgada internacional:</w:t>
            </w:r>
          </w:p>
        </w:tc>
        <w:tc>
          <w:tcPr>
            <w:tcW w:w="5760" w:type="dxa"/>
            <w:vAlign w:val="center"/>
          </w:tcPr>
          <w:p w14:paraId="3E0AA90E" w14:textId="2B16B75D" w:rsidR="00EE00E9" w:rsidRPr="00404BF5" w:rsidRDefault="00404BF5" w:rsidP="00FC41C8">
            <w:pPr>
              <w:jc w:val="both"/>
              <w:rPr>
                <w:rFonts w:ascii="Cambria" w:hAnsi="Cambria"/>
                <w:bCs/>
                <w:sz w:val="20"/>
                <w:szCs w:val="20"/>
                <w:lang w:val="es-VE"/>
              </w:rPr>
            </w:pPr>
            <w:r>
              <w:rPr>
                <w:rFonts w:ascii="Cambria" w:hAnsi="Cambria"/>
                <w:bCs/>
                <w:sz w:val="20"/>
                <w:szCs w:val="20"/>
                <w:lang w:val="es-VE"/>
              </w:rPr>
              <w:t>No</w:t>
            </w:r>
          </w:p>
        </w:tc>
      </w:tr>
      <w:tr w:rsidR="003239B8" w:rsidRPr="00637495" w14:paraId="4AF7C89C" w14:textId="77777777" w:rsidTr="004A6A54">
        <w:trPr>
          <w:cantSplit/>
        </w:trPr>
        <w:tc>
          <w:tcPr>
            <w:tcW w:w="3600" w:type="dxa"/>
            <w:tcBorders>
              <w:top w:val="single" w:sz="4" w:space="0" w:color="auto"/>
              <w:bottom w:val="single" w:sz="6" w:space="0" w:color="auto"/>
            </w:tcBorders>
            <w:shd w:val="clear" w:color="auto" w:fill="386294"/>
            <w:vAlign w:val="center"/>
          </w:tcPr>
          <w:p w14:paraId="546BA83C" w14:textId="77777777" w:rsidR="003239B8" w:rsidRPr="00404BF5" w:rsidRDefault="003239B8" w:rsidP="00FC41C8">
            <w:pPr>
              <w:jc w:val="center"/>
              <w:rPr>
                <w:rFonts w:ascii="Cambria" w:hAnsi="Cambria"/>
                <w:b/>
                <w:bCs/>
                <w:i/>
                <w:color w:val="FFFFFF" w:themeColor="background1"/>
                <w:sz w:val="20"/>
                <w:szCs w:val="20"/>
                <w:lang w:val="es-VE"/>
              </w:rPr>
            </w:pPr>
            <w:r w:rsidRPr="00404BF5">
              <w:rPr>
                <w:rFonts w:ascii="Cambria" w:hAnsi="Cambria"/>
                <w:b/>
                <w:bCs/>
                <w:color w:val="FFFFFF" w:themeColor="background1"/>
                <w:sz w:val="20"/>
                <w:szCs w:val="20"/>
                <w:lang w:val="es-VE"/>
              </w:rPr>
              <w:t>Derechos declarados admisibles</w:t>
            </w:r>
            <w:r w:rsidRPr="00404BF5">
              <w:rPr>
                <w:rFonts w:ascii="Cambria" w:hAnsi="Cambria"/>
                <w:b/>
                <w:bCs/>
                <w:i/>
                <w:color w:val="FFFFFF" w:themeColor="background1"/>
                <w:sz w:val="20"/>
                <w:szCs w:val="20"/>
                <w:lang w:val="es-VE"/>
              </w:rPr>
              <w:t>:</w:t>
            </w:r>
          </w:p>
        </w:tc>
        <w:tc>
          <w:tcPr>
            <w:tcW w:w="5760" w:type="dxa"/>
            <w:vAlign w:val="center"/>
          </w:tcPr>
          <w:p w14:paraId="4121DBBD" w14:textId="42AE082E" w:rsidR="003239B8" w:rsidRPr="00404BF5" w:rsidRDefault="00404BF5" w:rsidP="00FC41C8">
            <w:pPr>
              <w:jc w:val="both"/>
              <w:rPr>
                <w:rFonts w:ascii="Cambria" w:hAnsi="Cambria"/>
                <w:bCs/>
                <w:sz w:val="20"/>
                <w:szCs w:val="20"/>
                <w:lang w:val="es-VE"/>
              </w:rPr>
            </w:pPr>
            <w:r>
              <w:rPr>
                <w:rFonts w:ascii="Cambria" w:hAnsi="Cambria"/>
                <w:bCs/>
                <w:sz w:val="20"/>
                <w:szCs w:val="20"/>
                <w:lang w:val="es-VE"/>
              </w:rPr>
              <w:t xml:space="preserve">Artículos </w:t>
            </w:r>
            <w:r w:rsidR="00D27788" w:rsidRPr="00D27788">
              <w:rPr>
                <w:rFonts w:ascii="Cambria" w:hAnsi="Cambria"/>
                <w:bCs/>
                <w:sz w:val="20"/>
                <w:szCs w:val="20"/>
                <w:lang w:val="es-VE"/>
              </w:rPr>
              <w:t xml:space="preserve">4 (derecho a la vida), 5 (derecho a la integridad personal), 8 (garantías judiciales), </w:t>
            </w:r>
            <w:r w:rsidR="00D27788">
              <w:rPr>
                <w:rFonts w:ascii="Cambria" w:hAnsi="Cambria"/>
                <w:bCs/>
                <w:sz w:val="20"/>
                <w:szCs w:val="20"/>
                <w:lang w:val="es-VE"/>
              </w:rPr>
              <w:t xml:space="preserve">22 (derecho de circulación y de residencia), </w:t>
            </w:r>
            <w:r w:rsidR="00D27788" w:rsidRPr="00D27788">
              <w:rPr>
                <w:rFonts w:ascii="Cambria" w:hAnsi="Cambria"/>
                <w:bCs/>
                <w:sz w:val="20"/>
                <w:szCs w:val="20"/>
                <w:lang w:val="es-VE"/>
              </w:rPr>
              <w:t xml:space="preserve">25 (protección judicial) </w:t>
            </w:r>
            <w:r w:rsidR="00D27788">
              <w:rPr>
                <w:rFonts w:ascii="Cambria" w:hAnsi="Cambria"/>
                <w:bCs/>
                <w:sz w:val="20"/>
                <w:szCs w:val="20"/>
                <w:lang w:val="es-VE"/>
              </w:rPr>
              <w:t xml:space="preserve">y 26 (derechos económicos, sociales y culturales) de la </w:t>
            </w:r>
            <w:r>
              <w:rPr>
                <w:rFonts w:ascii="Cambria" w:hAnsi="Cambria"/>
                <w:bCs/>
                <w:sz w:val="20"/>
                <w:szCs w:val="20"/>
                <w:lang w:val="es-VE"/>
              </w:rPr>
              <w:t>Convención Americana</w:t>
            </w:r>
            <w:r w:rsidR="002C4D6E">
              <w:rPr>
                <w:rFonts w:ascii="Cambria" w:hAnsi="Cambria"/>
                <w:bCs/>
                <w:sz w:val="20"/>
                <w:szCs w:val="20"/>
                <w:lang w:val="es-VE"/>
              </w:rPr>
              <w:t xml:space="preserve"> </w:t>
            </w:r>
            <w:proofErr w:type="gramStart"/>
            <w:r w:rsidR="002C4D6E">
              <w:rPr>
                <w:rFonts w:ascii="Cambria" w:hAnsi="Cambria"/>
                <w:bCs/>
                <w:sz w:val="20"/>
                <w:szCs w:val="20"/>
                <w:lang w:val="es-VE"/>
              </w:rPr>
              <w:t>en relación al</w:t>
            </w:r>
            <w:proofErr w:type="gramEnd"/>
            <w:r w:rsidR="002C4D6E">
              <w:rPr>
                <w:rFonts w:ascii="Cambria" w:hAnsi="Cambria"/>
                <w:bCs/>
                <w:sz w:val="20"/>
                <w:szCs w:val="20"/>
                <w:lang w:val="es-VE"/>
              </w:rPr>
              <w:t xml:space="preserve"> artículo 1.1 del mismo instrumento</w:t>
            </w:r>
          </w:p>
        </w:tc>
      </w:tr>
      <w:tr w:rsidR="003239B8" w:rsidRPr="00637495" w14:paraId="232AB896" w14:textId="77777777" w:rsidTr="004A6A54">
        <w:trPr>
          <w:cantSplit/>
        </w:trPr>
        <w:tc>
          <w:tcPr>
            <w:tcW w:w="3600" w:type="dxa"/>
            <w:tcBorders>
              <w:top w:val="single" w:sz="6" w:space="0" w:color="auto"/>
              <w:bottom w:val="single" w:sz="6" w:space="0" w:color="auto"/>
            </w:tcBorders>
            <w:shd w:val="clear" w:color="auto" w:fill="386294"/>
            <w:vAlign w:val="center"/>
          </w:tcPr>
          <w:p w14:paraId="1ED7F88B"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Agotamiento de recursos internos</w:t>
            </w:r>
            <w:r w:rsidR="00EE00E9" w:rsidRPr="00404BF5">
              <w:rPr>
                <w:rFonts w:ascii="Cambria" w:hAnsi="Cambria"/>
                <w:b/>
                <w:bCs/>
                <w:color w:val="FFFFFF" w:themeColor="background1"/>
                <w:sz w:val="20"/>
                <w:szCs w:val="20"/>
                <w:lang w:val="es-VE"/>
              </w:rPr>
              <w:t xml:space="preserve"> o procedencia de una excepción</w:t>
            </w:r>
            <w:r w:rsidRPr="00404BF5">
              <w:rPr>
                <w:rFonts w:ascii="Cambria" w:hAnsi="Cambria"/>
                <w:b/>
                <w:bCs/>
                <w:color w:val="FFFFFF" w:themeColor="background1"/>
                <w:sz w:val="20"/>
                <w:szCs w:val="20"/>
                <w:lang w:val="es-VE"/>
              </w:rPr>
              <w:t>:</w:t>
            </w:r>
          </w:p>
        </w:tc>
        <w:tc>
          <w:tcPr>
            <w:tcW w:w="5760" w:type="dxa"/>
            <w:vAlign w:val="center"/>
          </w:tcPr>
          <w:p w14:paraId="5E66A73D" w14:textId="1149CB04" w:rsidR="003239B8" w:rsidRPr="00404BF5" w:rsidRDefault="00404BF5" w:rsidP="00FC41C8">
            <w:pPr>
              <w:rPr>
                <w:rFonts w:ascii="Cambria" w:hAnsi="Cambria"/>
                <w:bCs/>
                <w:sz w:val="20"/>
                <w:szCs w:val="20"/>
                <w:lang w:val="es-VE"/>
              </w:rPr>
            </w:pPr>
            <w:r>
              <w:rPr>
                <w:rFonts w:ascii="Cambria" w:hAnsi="Cambria"/>
                <w:bCs/>
                <w:sz w:val="20"/>
                <w:szCs w:val="20"/>
                <w:lang w:val="es-VE"/>
              </w:rPr>
              <w:t>Sí, en los términos de la Sección VI</w:t>
            </w:r>
          </w:p>
        </w:tc>
      </w:tr>
      <w:tr w:rsidR="003239B8" w:rsidRPr="00637495" w14:paraId="530BB2C6" w14:textId="77777777" w:rsidTr="004A6A54">
        <w:trPr>
          <w:cantSplit/>
        </w:trPr>
        <w:tc>
          <w:tcPr>
            <w:tcW w:w="3600" w:type="dxa"/>
            <w:tcBorders>
              <w:top w:val="single" w:sz="6" w:space="0" w:color="auto"/>
              <w:bottom w:val="single" w:sz="6" w:space="0" w:color="auto"/>
            </w:tcBorders>
            <w:shd w:val="clear" w:color="auto" w:fill="386294"/>
            <w:vAlign w:val="center"/>
          </w:tcPr>
          <w:p w14:paraId="38F81BC6" w14:textId="77777777" w:rsidR="003239B8" w:rsidRPr="00404BF5" w:rsidRDefault="003239B8" w:rsidP="00FC41C8">
            <w:pPr>
              <w:jc w:val="center"/>
              <w:rPr>
                <w:rFonts w:ascii="Cambria" w:hAnsi="Cambria"/>
                <w:b/>
                <w:bCs/>
                <w:color w:val="FFFFFF" w:themeColor="background1"/>
                <w:sz w:val="20"/>
                <w:szCs w:val="20"/>
                <w:lang w:val="es-VE"/>
              </w:rPr>
            </w:pPr>
            <w:r w:rsidRPr="00404BF5">
              <w:rPr>
                <w:rFonts w:ascii="Cambria" w:hAnsi="Cambria"/>
                <w:b/>
                <w:bCs/>
                <w:color w:val="FFFFFF" w:themeColor="background1"/>
                <w:sz w:val="20"/>
                <w:szCs w:val="20"/>
                <w:lang w:val="es-VE"/>
              </w:rPr>
              <w:t>Presentación dentro de plazo:</w:t>
            </w:r>
          </w:p>
        </w:tc>
        <w:tc>
          <w:tcPr>
            <w:tcW w:w="5760" w:type="dxa"/>
            <w:vAlign w:val="center"/>
          </w:tcPr>
          <w:p w14:paraId="214E4722" w14:textId="6B057C2A" w:rsidR="003239B8" w:rsidRPr="00404BF5" w:rsidRDefault="00404BF5" w:rsidP="00FC41C8">
            <w:pPr>
              <w:rPr>
                <w:rFonts w:ascii="Cambria" w:hAnsi="Cambria"/>
                <w:bCs/>
                <w:sz w:val="20"/>
                <w:szCs w:val="20"/>
                <w:lang w:val="es-VE"/>
              </w:rPr>
            </w:pPr>
            <w:r>
              <w:rPr>
                <w:rFonts w:ascii="Cambria" w:hAnsi="Cambria"/>
                <w:bCs/>
                <w:sz w:val="20"/>
                <w:szCs w:val="20"/>
                <w:lang w:val="es-VE"/>
              </w:rPr>
              <w:t>Sí, en los términos de la Sección VI</w:t>
            </w:r>
          </w:p>
        </w:tc>
      </w:tr>
    </w:tbl>
    <w:p w14:paraId="53F1674E" w14:textId="3994A61A" w:rsidR="009264A1" w:rsidRDefault="009264A1" w:rsidP="003239B8">
      <w:pPr>
        <w:spacing w:before="240" w:after="240"/>
        <w:ind w:firstLine="720"/>
        <w:jc w:val="both"/>
        <w:rPr>
          <w:rFonts w:asciiTheme="majorHAnsi" w:hAnsiTheme="majorHAnsi"/>
          <w:b/>
          <w:sz w:val="20"/>
          <w:szCs w:val="20"/>
          <w:lang w:val="es-VE"/>
        </w:rPr>
      </w:pPr>
    </w:p>
    <w:p w14:paraId="02D64474" w14:textId="42674103" w:rsidR="003239B8" w:rsidRPr="00404BF5" w:rsidRDefault="009264A1" w:rsidP="00DB758B">
      <w:pPr>
        <w:rPr>
          <w:rFonts w:asciiTheme="majorHAnsi" w:hAnsiTheme="majorHAnsi"/>
          <w:b/>
          <w:sz w:val="20"/>
          <w:szCs w:val="20"/>
          <w:lang w:val="es-VE"/>
        </w:rPr>
      </w:pPr>
      <w:r>
        <w:rPr>
          <w:rFonts w:asciiTheme="majorHAnsi" w:hAnsiTheme="majorHAnsi"/>
          <w:b/>
          <w:sz w:val="20"/>
          <w:szCs w:val="20"/>
          <w:lang w:val="es-VE"/>
        </w:rPr>
        <w:br w:type="page"/>
      </w:r>
      <w:r w:rsidR="00DB758B">
        <w:rPr>
          <w:rFonts w:asciiTheme="majorHAnsi" w:hAnsiTheme="majorHAnsi"/>
          <w:b/>
          <w:sz w:val="20"/>
          <w:szCs w:val="20"/>
          <w:lang w:val="es-VE"/>
        </w:rPr>
        <w:lastRenderedPageBreak/>
        <w:tab/>
      </w:r>
      <w:r w:rsidR="00223A29" w:rsidRPr="00404BF5">
        <w:rPr>
          <w:rFonts w:asciiTheme="majorHAnsi" w:hAnsiTheme="majorHAnsi"/>
          <w:b/>
          <w:sz w:val="20"/>
          <w:szCs w:val="20"/>
          <w:lang w:val="es-VE"/>
        </w:rPr>
        <w:t xml:space="preserve">V. </w:t>
      </w:r>
      <w:r w:rsidR="00223A29" w:rsidRPr="00404BF5">
        <w:rPr>
          <w:rFonts w:asciiTheme="majorHAnsi" w:hAnsiTheme="majorHAnsi"/>
          <w:b/>
          <w:sz w:val="20"/>
          <w:szCs w:val="20"/>
          <w:lang w:val="es-VE"/>
        </w:rPr>
        <w:tab/>
      </w:r>
      <w:r w:rsidR="003239B8" w:rsidRPr="00404BF5">
        <w:rPr>
          <w:rFonts w:asciiTheme="majorHAnsi" w:hAnsiTheme="majorHAnsi"/>
          <w:b/>
          <w:sz w:val="20"/>
          <w:szCs w:val="20"/>
          <w:lang w:val="es-VE"/>
        </w:rPr>
        <w:t xml:space="preserve">HECHOS ALEGADOS </w:t>
      </w:r>
    </w:p>
    <w:p w14:paraId="33120635" w14:textId="77777777" w:rsid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46C1AFCE" w14:textId="6F6A82ED" w:rsidR="00D102DD" w:rsidRPr="009264A1" w:rsidRDefault="00A47E5D"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sidRPr="00B32573">
        <w:rPr>
          <w:sz w:val="20"/>
          <w:szCs w:val="20"/>
          <w:lang w:val="es-VE"/>
        </w:rPr>
        <w:t xml:space="preserve">La </w:t>
      </w:r>
      <w:r w:rsidR="009264A1">
        <w:rPr>
          <w:sz w:val="20"/>
          <w:szCs w:val="20"/>
          <w:lang w:val="es-VE"/>
        </w:rPr>
        <w:t xml:space="preserve">parte peticionaria </w:t>
      </w:r>
      <w:r w:rsidRPr="00B32573">
        <w:rPr>
          <w:sz w:val="20"/>
          <w:szCs w:val="20"/>
          <w:lang w:val="es-VE"/>
        </w:rPr>
        <w:t xml:space="preserve">denuncia </w:t>
      </w:r>
      <w:r w:rsidR="00BD0686">
        <w:rPr>
          <w:sz w:val="20"/>
          <w:szCs w:val="20"/>
          <w:lang w:val="es-VE"/>
        </w:rPr>
        <w:t xml:space="preserve">que </w:t>
      </w:r>
      <w:r w:rsidR="009264A1" w:rsidRPr="00B32573">
        <w:rPr>
          <w:sz w:val="20"/>
          <w:szCs w:val="20"/>
          <w:lang w:val="es-VE"/>
        </w:rPr>
        <w:t>Wilson Castro Vásquez (en adelante “la presunta víctima”)</w:t>
      </w:r>
      <w:r w:rsidR="009B4508">
        <w:rPr>
          <w:sz w:val="20"/>
          <w:szCs w:val="20"/>
          <w:lang w:val="es-VE"/>
        </w:rPr>
        <w:t xml:space="preserve">, </w:t>
      </w:r>
      <w:r w:rsidR="00BD0686">
        <w:rPr>
          <w:sz w:val="20"/>
          <w:szCs w:val="20"/>
          <w:lang w:val="es-VE"/>
        </w:rPr>
        <w:t xml:space="preserve">fue asesinado </w:t>
      </w:r>
      <w:r w:rsidR="009264A1">
        <w:rPr>
          <w:sz w:val="20"/>
          <w:szCs w:val="20"/>
          <w:lang w:val="es-VE"/>
        </w:rPr>
        <w:t>el</w:t>
      </w:r>
      <w:r w:rsidR="009264A1" w:rsidRPr="00B32573">
        <w:rPr>
          <w:sz w:val="20"/>
          <w:szCs w:val="20"/>
          <w:lang w:val="es-VE"/>
        </w:rPr>
        <w:t xml:space="preserve"> </w:t>
      </w:r>
      <w:r w:rsidR="009264A1">
        <w:rPr>
          <w:sz w:val="20"/>
          <w:szCs w:val="20"/>
          <w:lang w:val="es-VE"/>
        </w:rPr>
        <w:t xml:space="preserve">22 de mayo </w:t>
      </w:r>
      <w:r w:rsidR="009264A1" w:rsidRPr="00B32573">
        <w:rPr>
          <w:sz w:val="20"/>
          <w:szCs w:val="20"/>
          <w:lang w:val="es-VE"/>
        </w:rPr>
        <w:t xml:space="preserve">de 2003 </w:t>
      </w:r>
      <w:r w:rsidR="009264A1">
        <w:rPr>
          <w:sz w:val="20"/>
          <w:szCs w:val="20"/>
          <w:lang w:val="es-VE"/>
        </w:rPr>
        <w:t xml:space="preserve">por miembros de las Autodefensas Unidas de Colombia </w:t>
      </w:r>
      <w:r w:rsidR="009A1AAB">
        <w:rPr>
          <w:sz w:val="20"/>
          <w:szCs w:val="20"/>
          <w:lang w:val="es-VE"/>
        </w:rPr>
        <w:t>(AUC)</w:t>
      </w:r>
      <w:r w:rsidR="00F50634">
        <w:rPr>
          <w:rStyle w:val="FootnoteReference"/>
          <w:sz w:val="20"/>
          <w:szCs w:val="20"/>
          <w:lang w:val="es-VE"/>
        </w:rPr>
        <w:footnoteReference w:id="6"/>
      </w:r>
      <w:r w:rsidR="009A1AAB" w:rsidRPr="00B32573">
        <w:rPr>
          <w:sz w:val="20"/>
          <w:szCs w:val="20"/>
          <w:lang w:val="es-VE"/>
        </w:rPr>
        <w:t xml:space="preserve">. </w:t>
      </w:r>
      <w:r w:rsidR="009A1AAB">
        <w:rPr>
          <w:sz w:val="20"/>
          <w:szCs w:val="20"/>
          <w:lang w:val="es-VE"/>
        </w:rPr>
        <w:t>S</w:t>
      </w:r>
      <w:r w:rsidR="00D62416" w:rsidRPr="00D102DD">
        <w:rPr>
          <w:color w:val="auto"/>
          <w:sz w:val="20"/>
          <w:szCs w:val="20"/>
          <w:lang w:val="es-VE"/>
        </w:rPr>
        <w:t xml:space="preserve">ostiene que hasta la fecha el Estado no ha sancionado a los responsables y </w:t>
      </w:r>
      <w:r w:rsidR="009A1AAB">
        <w:rPr>
          <w:color w:val="auto"/>
          <w:sz w:val="20"/>
          <w:szCs w:val="20"/>
          <w:lang w:val="es-VE"/>
        </w:rPr>
        <w:t xml:space="preserve">que </w:t>
      </w:r>
      <w:r w:rsidR="00D62416" w:rsidRPr="00D102DD">
        <w:rPr>
          <w:color w:val="auto"/>
          <w:sz w:val="20"/>
          <w:szCs w:val="20"/>
          <w:lang w:val="es-VE"/>
        </w:rPr>
        <w:t xml:space="preserve">no se le ha permitido acceso los recursos de </w:t>
      </w:r>
      <w:r w:rsidR="00BA43C8">
        <w:rPr>
          <w:color w:val="auto"/>
          <w:sz w:val="20"/>
          <w:szCs w:val="20"/>
          <w:lang w:val="es-VE"/>
        </w:rPr>
        <w:t xml:space="preserve">la </w:t>
      </w:r>
      <w:r w:rsidR="00D62416" w:rsidRPr="00D102DD">
        <w:rPr>
          <w:color w:val="auto"/>
          <w:sz w:val="20"/>
          <w:szCs w:val="20"/>
          <w:lang w:val="es-VE"/>
        </w:rPr>
        <w:t>jurisdicción interna.</w:t>
      </w:r>
      <w:r w:rsidR="003F5BCB" w:rsidRPr="00B32573">
        <w:rPr>
          <w:sz w:val="20"/>
          <w:szCs w:val="20"/>
          <w:lang w:val="es-VE"/>
        </w:rPr>
        <w:t xml:space="preserve"> </w:t>
      </w:r>
      <w:r w:rsidR="00D62416" w:rsidRPr="00D102DD">
        <w:rPr>
          <w:color w:val="auto"/>
          <w:sz w:val="20"/>
          <w:szCs w:val="20"/>
          <w:lang w:val="es-VE"/>
        </w:rPr>
        <w:t xml:space="preserve">Asimismo, </w:t>
      </w:r>
      <w:r w:rsidR="003F5BCB" w:rsidRPr="00B32573">
        <w:rPr>
          <w:sz w:val="20"/>
          <w:szCs w:val="20"/>
          <w:lang w:val="es-VE"/>
        </w:rPr>
        <w:t>a</w:t>
      </w:r>
      <w:r w:rsidR="00B657DD" w:rsidRPr="00B32573">
        <w:rPr>
          <w:sz w:val="20"/>
          <w:szCs w:val="20"/>
          <w:lang w:val="es-VE"/>
        </w:rPr>
        <w:t xml:space="preserve">lega que </w:t>
      </w:r>
      <w:r w:rsidR="00AE0A4A">
        <w:rPr>
          <w:sz w:val="20"/>
          <w:szCs w:val="20"/>
          <w:lang w:val="es-VE"/>
        </w:rPr>
        <w:t>el homicidio ocurrió en un contexto de amenazas</w:t>
      </w:r>
      <w:r w:rsidR="00D102DD">
        <w:rPr>
          <w:sz w:val="20"/>
          <w:szCs w:val="20"/>
          <w:lang w:val="es-VE"/>
        </w:rPr>
        <w:t xml:space="preserve"> a la familia</w:t>
      </w:r>
      <w:r w:rsidR="009A1AAB">
        <w:rPr>
          <w:sz w:val="20"/>
          <w:szCs w:val="20"/>
          <w:lang w:val="es-VE"/>
        </w:rPr>
        <w:t>, que</w:t>
      </w:r>
      <w:r w:rsidR="00AE0A4A" w:rsidRPr="00D102DD">
        <w:rPr>
          <w:color w:val="auto"/>
          <w:sz w:val="20"/>
          <w:szCs w:val="20"/>
          <w:lang w:val="es-VE"/>
        </w:rPr>
        <w:t xml:space="preserve"> </w:t>
      </w:r>
      <w:r w:rsidR="009A1AAB">
        <w:rPr>
          <w:color w:val="auto"/>
          <w:sz w:val="20"/>
          <w:szCs w:val="20"/>
          <w:lang w:val="es-VE"/>
        </w:rPr>
        <w:t>se</w:t>
      </w:r>
      <w:r w:rsidR="001A12A0" w:rsidRPr="00D102DD">
        <w:rPr>
          <w:color w:val="auto"/>
          <w:sz w:val="20"/>
          <w:szCs w:val="20"/>
          <w:lang w:val="es-VE"/>
        </w:rPr>
        <w:t xml:space="preserve"> </w:t>
      </w:r>
      <w:r w:rsidR="00AE0A4A" w:rsidRPr="00D102DD">
        <w:rPr>
          <w:color w:val="auto"/>
          <w:sz w:val="20"/>
          <w:szCs w:val="20"/>
          <w:lang w:val="es-VE"/>
        </w:rPr>
        <w:t xml:space="preserve">incrementaron </w:t>
      </w:r>
      <w:r w:rsidR="009A1AAB">
        <w:rPr>
          <w:color w:val="auto"/>
          <w:sz w:val="20"/>
          <w:szCs w:val="20"/>
          <w:lang w:val="es-VE"/>
        </w:rPr>
        <w:t xml:space="preserve">luego de </w:t>
      </w:r>
      <w:r w:rsidR="00AE0A4A" w:rsidRPr="00D102DD">
        <w:rPr>
          <w:color w:val="auto"/>
          <w:sz w:val="20"/>
          <w:szCs w:val="20"/>
          <w:lang w:val="es-VE"/>
        </w:rPr>
        <w:t>la muerte de la presunta víctima</w:t>
      </w:r>
      <w:r w:rsidR="009A1AAB">
        <w:rPr>
          <w:color w:val="auto"/>
          <w:sz w:val="20"/>
          <w:szCs w:val="20"/>
          <w:lang w:val="es-VE"/>
        </w:rPr>
        <w:t>;</w:t>
      </w:r>
      <w:r w:rsidR="001A12A0" w:rsidRPr="00D102DD">
        <w:rPr>
          <w:color w:val="auto"/>
          <w:sz w:val="20"/>
          <w:szCs w:val="20"/>
          <w:lang w:val="es-VE"/>
        </w:rPr>
        <w:t xml:space="preserve"> </w:t>
      </w:r>
      <w:r w:rsidR="009A1AAB">
        <w:rPr>
          <w:color w:val="auto"/>
          <w:sz w:val="20"/>
          <w:szCs w:val="20"/>
          <w:lang w:val="es-VE"/>
        </w:rPr>
        <w:t xml:space="preserve">y que, en </w:t>
      </w:r>
      <w:r w:rsidR="001A12A0" w:rsidRPr="00D102DD">
        <w:rPr>
          <w:color w:val="auto"/>
          <w:sz w:val="20"/>
          <w:szCs w:val="20"/>
          <w:lang w:val="es-VE"/>
        </w:rPr>
        <w:t xml:space="preserve">consecuencia, la familia se vio </w:t>
      </w:r>
      <w:r w:rsidR="00B657DD" w:rsidRPr="00D102DD">
        <w:rPr>
          <w:color w:val="auto"/>
          <w:sz w:val="20"/>
          <w:szCs w:val="20"/>
          <w:lang w:val="es-VE"/>
        </w:rPr>
        <w:t>obligad</w:t>
      </w:r>
      <w:r w:rsidR="001A12A0" w:rsidRPr="00D102DD">
        <w:rPr>
          <w:color w:val="auto"/>
          <w:sz w:val="20"/>
          <w:szCs w:val="20"/>
          <w:lang w:val="es-VE"/>
        </w:rPr>
        <w:t>a</w:t>
      </w:r>
      <w:r w:rsidR="00B657DD" w:rsidRPr="00D102DD">
        <w:rPr>
          <w:color w:val="auto"/>
          <w:sz w:val="20"/>
          <w:szCs w:val="20"/>
          <w:lang w:val="es-VE"/>
        </w:rPr>
        <w:t xml:space="preserve"> a </w:t>
      </w:r>
      <w:r w:rsidR="009A1AAB">
        <w:rPr>
          <w:color w:val="auto"/>
          <w:sz w:val="20"/>
          <w:szCs w:val="20"/>
          <w:lang w:val="es-VE"/>
        </w:rPr>
        <w:t>traslada</w:t>
      </w:r>
      <w:r w:rsidR="00AE0A4A" w:rsidRPr="00D102DD">
        <w:rPr>
          <w:color w:val="auto"/>
          <w:sz w:val="20"/>
          <w:szCs w:val="20"/>
          <w:lang w:val="es-VE"/>
        </w:rPr>
        <w:t xml:space="preserve">rse </w:t>
      </w:r>
      <w:r w:rsidR="00B657DD" w:rsidRPr="00D102DD">
        <w:rPr>
          <w:color w:val="auto"/>
          <w:sz w:val="20"/>
          <w:szCs w:val="20"/>
          <w:lang w:val="es-VE"/>
        </w:rPr>
        <w:t>a Ecuador</w:t>
      </w:r>
      <w:r w:rsidR="009A1AAB">
        <w:rPr>
          <w:color w:val="auto"/>
          <w:sz w:val="20"/>
          <w:szCs w:val="20"/>
          <w:lang w:val="es-VE"/>
        </w:rPr>
        <w:t>,</w:t>
      </w:r>
      <w:r w:rsidR="00B657DD" w:rsidRPr="00D102DD">
        <w:rPr>
          <w:color w:val="auto"/>
          <w:sz w:val="20"/>
          <w:szCs w:val="20"/>
          <w:lang w:val="es-VE"/>
        </w:rPr>
        <w:t xml:space="preserve"> donde fueron reconocidos como refugiados. </w:t>
      </w:r>
    </w:p>
    <w:p w14:paraId="6D4CC512" w14:textId="77777777" w:rsidR="009264A1" w:rsidRPr="009A1AAB"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60D97024" w14:textId="29999E8A" w:rsidR="0036407A" w:rsidRPr="00FC450D" w:rsidRDefault="00710ADF"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sz w:val="20"/>
          <w:szCs w:val="20"/>
          <w:lang w:val="es-VE"/>
        </w:rPr>
        <w:t>A</w:t>
      </w:r>
      <w:r w:rsidRPr="00B32573">
        <w:rPr>
          <w:sz w:val="20"/>
          <w:szCs w:val="20"/>
          <w:lang w:val="es-VE"/>
        </w:rPr>
        <w:t xml:space="preserve"> inicios de 2002 </w:t>
      </w:r>
      <w:r>
        <w:rPr>
          <w:sz w:val="20"/>
          <w:szCs w:val="20"/>
          <w:lang w:val="es-VE"/>
        </w:rPr>
        <w:t xml:space="preserve">integrantes de la familia de la presunta víctima tomaron </w:t>
      </w:r>
      <w:r w:rsidR="009B4508" w:rsidRPr="00B32573">
        <w:rPr>
          <w:sz w:val="20"/>
          <w:szCs w:val="20"/>
          <w:lang w:val="es-VE"/>
        </w:rPr>
        <w:t xml:space="preserve">posesión de un inmueble </w:t>
      </w:r>
      <w:r w:rsidR="009B4508">
        <w:rPr>
          <w:sz w:val="20"/>
          <w:szCs w:val="20"/>
          <w:lang w:val="es-VE"/>
        </w:rPr>
        <w:t xml:space="preserve">en </w:t>
      </w:r>
      <w:r w:rsidR="009B4508" w:rsidRPr="00B32573">
        <w:rPr>
          <w:sz w:val="20"/>
          <w:szCs w:val="20"/>
          <w:lang w:val="es-VE"/>
        </w:rPr>
        <w:t>Arroyo</w:t>
      </w:r>
      <w:r w:rsidR="00B31D9E">
        <w:rPr>
          <w:sz w:val="20"/>
          <w:szCs w:val="20"/>
          <w:lang w:val="es-VE"/>
        </w:rPr>
        <w:t xml:space="preserve"> H</w:t>
      </w:r>
      <w:r w:rsidR="009B4508" w:rsidRPr="00B32573">
        <w:rPr>
          <w:sz w:val="20"/>
          <w:szCs w:val="20"/>
          <w:lang w:val="es-VE"/>
        </w:rPr>
        <w:t>ondo</w:t>
      </w:r>
      <w:r w:rsidR="00B31D9E">
        <w:rPr>
          <w:sz w:val="20"/>
          <w:szCs w:val="20"/>
          <w:lang w:val="es-VE"/>
        </w:rPr>
        <w:t>, Valle del Cauca,</w:t>
      </w:r>
      <w:r w:rsidR="009B4508" w:rsidRPr="00B32573">
        <w:rPr>
          <w:sz w:val="20"/>
          <w:szCs w:val="20"/>
          <w:lang w:val="es-VE"/>
        </w:rPr>
        <w:t xml:space="preserve"> </w:t>
      </w:r>
      <w:r w:rsidR="009B4508">
        <w:rPr>
          <w:sz w:val="20"/>
          <w:szCs w:val="20"/>
          <w:lang w:val="es-VE"/>
        </w:rPr>
        <w:t xml:space="preserve">que </w:t>
      </w:r>
      <w:r w:rsidR="009B4508" w:rsidRPr="00B32573">
        <w:rPr>
          <w:sz w:val="20"/>
          <w:szCs w:val="20"/>
          <w:lang w:val="es-VE"/>
        </w:rPr>
        <w:t>había sido incautado por la Fiscalía</w:t>
      </w:r>
      <w:r>
        <w:rPr>
          <w:sz w:val="20"/>
          <w:szCs w:val="20"/>
          <w:lang w:val="es-VE"/>
        </w:rPr>
        <w:t>;</w:t>
      </w:r>
      <w:r w:rsidR="009B4508">
        <w:rPr>
          <w:sz w:val="20"/>
          <w:szCs w:val="20"/>
          <w:lang w:val="es-VE"/>
        </w:rPr>
        <w:t xml:space="preserve"> </w:t>
      </w:r>
      <w:r>
        <w:rPr>
          <w:sz w:val="20"/>
          <w:szCs w:val="20"/>
          <w:lang w:val="es-VE"/>
        </w:rPr>
        <w:t xml:space="preserve">conforme a la petición, poco después de ello </w:t>
      </w:r>
      <w:r w:rsidR="00C34D36" w:rsidRPr="00B32573">
        <w:rPr>
          <w:sz w:val="20"/>
          <w:szCs w:val="20"/>
          <w:lang w:val="es-VE"/>
        </w:rPr>
        <w:t>empez</w:t>
      </w:r>
      <w:r>
        <w:rPr>
          <w:sz w:val="20"/>
          <w:szCs w:val="20"/>
          <w:lang w:val="es-VE"/>
        </w:rPr>
        <w:t>aron</w:t>
      </w:r>
      <w:r w:rsidR="00D422A1">
        <w:rPr>
          <w:sz w:val="20"/>
          <w:szCs w:val="20"/>
          <w:lang w:val="es-VE"/>
        </w:rPr>
        <w:t xml:space="preserve"> </w:t>
      </w:r>
      <w:r w:rsidR="00C34D36" w:rsidRPr="00B32573">
        <w:rPr>
          <w:sz w:val="20"/>
          <w:szCs w:val="20"/>
          <w:lang w:val="es-VE"/>
        </w:rPr>
        <w:t xml:space="preserve">a recibir constantes visitas y amenazas a su vida e integridad </w:t>
      </w:r>
      <w:r w:rsidR="00312F8E">
        <w:rPr>
          <w:sz w:val="20"/>
          <w:szCs w:val="20"/>
          <w:lang w:val="es-VE"/>
        </w:rPr>
        <w:t>por</w:t>
      </w:r>
      <w:r w:rsidR="002E68FA" w:rsidRPr="00B32573">
        <w:rPr>
          <w:sz w:val="20"/>
          <w:szCs w:val="20"/>
          <w:lang w:val="es-VE"/>
        </w:rPr>
        <w:t xml:space="preserve"> parte de </w:t>
      </w:r>
      <w:r w:rsidR="00C34D36">
        <w:rPr>
          <w:sz w:val="20"/>
          <w:szCs w:val="20"/>
          <w:lang w:val="es-VE"/>
        </w:rPr>
        <w:t>varios</w:t>
      </w:r>
      <w:r w:rsidR="002E68FA" w:rsidRPr="00B32573">
        <w:rPr>
          <w:sz w:val="20"/>
          <w:szCs w:val="20"/>
          <w:lang w:val="es-VE"/>
        </w:rPr>
        <w:t xml:space="preserve"> hombres que se identificaban </w:t>
      </w:r>
      <w:r w:rsidR="008554E4" w:rsidRPr="00B32573">
        <w:rPr>
          <w:sz w:val="20"/>
          <w:szCs w:val="20"/>
          <w:lang w:val="es-VE"/>
        </w:rPr>
        <w:t xml:space="preserve">como trabajadores de </w:t>
      </w:r>
      <w:r w:rsidR="002E68FA" w:rsidRPr="00B32573">
        <w:rPr>
          <w:sz w:val="20"/>
          <w:szCs w:val="20"/>
          <w:lang w:val="es-VE"/>
        </w:rPr>
        <w:t xml:space="preserve">un </w:t>
      </w:r>
      <w:r w:rsidR="008554E4" w:rsidRPr="00B32573">
        <w:rPr>
          <w:sz w:val="20"/>
          <w:szCs w:val="20"/>
          <w:lang w:val="es-VE"/>
        </w:rPr>
        <w:t xml:space="preserve">conocido narcotraficante. </w:t>
      </w:r>
      <w:r w:rsidR="0083708B">
        <w:rPr>
          <w:sz w:val="20"/>
          <w:szCs w:val="20"/>
          <w:lang w:val="es-VE"/>
        </w:rPr>
        <w:t xml:space="preserve">Narra la parte peticionaria </w:t>
      </w:r>
      <w:r w:rsidR="009A1AAB">
        <w:rPr>
          <w:sz w:val="20"/>
          <w:szCs w:val="20"/>
          <w:lang w:val="es-VE"/>
        </w:rPr>
        <w:t>que, e</w:t>
      </w:r>
      <w:r w:rsidR="00C34D36">
        <w:rPr>
          <w:sz w:val="20"/>
          <w:szCs w:val="20"/>
          <w:lang w:val="es-VE"/>
        </w:rPr>
        <w:t xml:space="preserve">n </w:t>
      </w:r>
      <w:r w:rsidR="009A1AAB">
        <w:rPr>
          <w:sz w:val="20"/>
          <w:szCs w:val="20"/>
          <w:lang w:val="es-VE"/>
        </w:rPr>
        <w:t>dicho</w:t>
      </w:r>
      <w:r w:rsidR="00C34D36">
        <w:rPr>
          <w:sz w:val="20"/>
          <w:szCs w:val="20"/>
          <w:lang w:val="es-VE"/>
        </w:rPr>
        <w:t xml:space="preserve"> contexto, e</w:t>
      </w:r>
      <w:r w:rsidR="008554E4" w:rsidRPr="00B32573">
        <w:rPr>
          <w:sz w:val="20"/>
          <w:szCs w:val="20"/>
          <w:lang w:val="es-VE"/>
        </w:rPr>
        <w:t>l 7 de agosto de 2002</w:t>
      </w:r>
      <w:r w:rsidR="00D62416">
        <w:rPr>
          <w:sz w:val="20"/>
          <w:szCs w:val="20"/>
          <w:lang w:val="es-VE"/>
        </w:rPr>
        <w:t xml:space="preserve"> varios</w:t>
      </w:r>
      <w:r w:rsidR="008554E4" w:rsidRPr="00B32573">
        <w:rPr>
          <w:sz w:val="20"/>
          <w:szCs w:val="20"/>
          <w:lang w:val="es-VE"/>
        </w:rPr>
        <w:t xml:space="preserve"> hombres vestidos de civil con armas cortas </w:t>
      </w:r>
      <w:r w:rsidR="004C4D49">
        <w:rPr>
          <w:sz w:val="20"/>
          <w:szCs w:val="20"/>
          <w:lang w:val="es-VE"/>
        </w:rPr>
        <w:t xml:space="preserve">y granadas </w:t>
      </w:r>
      <w:r w:rsidR="006A51B1">
        <w:rPr>
          <w:sz w:val="20"/>
          <w:szCs w:val="20"/>
          <w:lang w:val="es-VE"/>
        </w:rPr>
        <w:t xml:space="preserve">visitaron el </w:t>
      </w:r>
      <w:r w:rsidR="003C242B">
        <w:rPr>
          <w:sz w:val="20"/>
          <w:szCs w:val="20"/>
          <w:lang w:val="es-VE"/>
        </w:rPr>
        <w:t>restaurante</w:t>
      </w:r>
      <w:r w:rsidR="006A51B1">
        <w:rPr>
          <w:sz w:val="20"/>
          <w:szCs w:val="20"/>
          <w:lang w:val="es-VE"/>
        </w:rPr>
        <w:t xml:space="preserve"> de la familia y </w:t>
      </w:r>
      <w:r w:rsidR="008554E4" w:rsidRPr="00B32573">
        <w:rPr>
          <w:sz w:val="20"/>
          <w:szCs w:val="20"/>
          <w:lang w:val="es-VE"/>
        </w:rPr>
        <w:t>hablar</w:t>
      </w:r>
      <w:r w:rsidR="009A1AAB">
        <w:rPr>
          <w:sz w:val="20"/>
          <w:szCs w:val="20"/>
          <w:lang w:val="es-VE"/>
        </w:rPr>
        <w:t>on</w:t>
      </w:r>
      <w:r w:rsidR="008554E4" w:rsidRPr="00B32573">
        <w:rPr>
          <w:sz w:val="20"/>
          <w:szCs w:val="20"/>
          <w:lang w:val="es-VE"/>
        </w:rPr>
        <w:t xml:space="preserve"> a solas</w:t>
      </w:r>
      <w:r w:rsidR="009A1AAB">
        <w:rPr>
          <w:sz w:val="20"/>
          <w:szCs w:val="20"/>
          <w:lang w:val="es-VE"/>
        </w:rPr>
        <w:t xml:space="preserve"> con</w:t>
      </w:r>
      <w:r w:rsidR="00D62416">
        <w:rPr>
          <w:sz w:val="20"/>
          <w:szCs w:val="20"/>
          <w:lang w:val="es-VE"/>
        </w:rPr>
        <w:t xml:space="preserve"> la presunta víctim</w:t>
      </w:r>
      <w:r w:rsidR="00C34D36">
        <w:rPr>
          <w:sz w:val="20"/>
          <w:szCs w:val="20"/>
          <w:lang w:val="es-VE"/>
        </w:rPr>
        <w:t>a</w:t>
      </w:r>
      <w:r w:rsidR="009A1AAB">
        <w:rPr>
          <w:sz w:val="20"/>
          <w:szCs w:val="20"/>
          <w:lang w:val="es-VE"/>
        </w:rPr>
        <w:t>. Luego</w:t>
      </w:r>
      <w:r w:rsidR="00FF28DA">
        <w:rPr>
          <w:sz w:val="20"/>
          <w:szCs w:val="20"/>
          <w:lang w:val="es-VE"/>
        </w:rPr>
        <w:t xml:space="preserve"> </w:t>
      </w:r>
      <w:r w:rsidR="009A1AAB">
        <w:rPr>
          <w:sz w:val="20"/>
          <w:szCs w:val="20"/>
          <w:lang w:val="es-VE"/>
        </w:rPr>
        <w:t>est</w:t>
      </w:r>
      <w:r w:rsidR="0083708B">
        <w:rPr>
          <w:sz w:val="20"/>
          <w:szCs w:val="20"/>
          <w:lang w:val="es-VE"/>
        </w:rPr>
        <w:t>a</w:t>
      </w:r>
      <w:r w:rsidR="009A1AAB">
        <w:rPr>
          <w:sz w:val="20"/>
          <w:szCs w:val="20"/>
          <w:lang w:val="es-VE"/>
        </w:rPr>
        <w:t xml:space="preserve"> </w:t>
      </w:r>
      <w:r w:rsidR="00C34D36">
        <w:rPr>
          <w:sz w:val="20"/>
          <w:szCs w:val="20"/>
          <w:lang w:val="es-VE"/>
        </w:rPr>
        <w:t xml:space="preserve">se retiró con </w:t>
      </w:r>
      <w:r w:rsidR="009A1AAB">
        <w:rPr>
          <w:sz w:val="20"/>
          <w:szCs w:val="20"/>
          <w:lang w:val="es-VE"/>
        </w:rPr>
        <w:t>dichas personas</w:t>
      </w:r>
      <w:r w:rsidR="00744D32" w:rsidRPr="00744D32">
        <w:rPr>
          <w:sz w:val="20"/>
          <w:szCs w:val="20"/>
          <w:lang w:val="es-VE"/>
        </w:rPr>
        <w:t xml:space="preserve"> </w:t>
      </w:r>
      <w:r w:rsidR="00744D32">
        <w:rPr>
          <w:sz w:val="20"/>
          <w:szCs w:val="20"/>
          <w:lang w:val="es-VE"/>
        </w:rPr>
        <w:t>con actitud temerosa y preocupada</w:t>
      </w:r>
      <w:r w:rsidR="009A1AAB">
        <w:rPr>
          <w:sz w:val="20"/>
          <w:szCs w:val="20"/>
          <w:lang w:val="es-VE"/>
        </w:rPr>
        <w:t xml:space="preserve">, </w:t>
      </w:r>
      <w:r w:rsidR="0083708B">
        <w:rPr>
          <w:sz w:val="20"/>
          <w:szCs w:val="20"/>
          <w:lang w:val="es-VE"/>
        </w:rPr>
        <w:t xml:space="preserve">y se limitó a expresar que tenía que irse, </w:t>
      </w:r>
      <w:r w:rsidR="00744D32" w:rsidRPr="00B32573">
        <w:rPr>
          <w:sz w:val="20"/>
          <w:szCs w:val="20"/>
          <w:lang w:val="es-VE"/>
        </w:rPr>
        <w:t xml:space="preserve">sin dar </w:t>
      </w:r>
      <w:r w:rsidR="00744D32">
        <w:rPr>
          <w:sz w:val="20"/>
          <w:szCs w:val="20"/>
          <w:lang w:val="es-VE"/>
        </w:rPr>
        <w:t xml:space="preserve">mayor </w:t>
      </w:r>
      <w:r w:rsidR="00744D32" w:rsidRPr="00B32573">
        <w:rPr>
          <w:sz w:val="20"/>
          <w:szCs w:val="20"/>
          <w:lang w:val="es-VE"/>
        </w:rPr>
        <w:t>explicación a sus padres</w:t>
      </w:r>
      <w:r w:rsidR="008554E4" w:rsidRPr="00B32573">
        <w:rPr>
          <w:sz w:val="20"/>
          <w:szCs w:val="20"/>
          <w:lang w:val="es-VE"/>
        </w:rPr>
        <w:t xml:space="preserve">. </w:t>
      </w:r>
      <w:r w:rsidR="00744D32">
        <w:rPr>
          <w:sz w:val="20"/>
          <w:szCs w:val="20"/>
          <w:lang w:val="es-VE"/>
        </w:rPr>
        <w:t>La parte peticionaria r</w:t>
      </w:r>
      <w:r w:rsidR="00CE73DC">
        <w:rPr>
          <w:sz w:val="20"/>
          <w:szCs w:val="20"/>
          <w:lang w:val="es-VE"/>
        </w:rPr>
        <w:t xml:space="preserve">elata que </w:t>
      </w:r>
      <w:r w:rsidR="004C4D49">
        <w:rPr>
          <w:sz w:val="20"/>
          <w:szCs w:val="20"/>
          <w:lang w:val="es-VE"/>
        </w:rPr>
        <w:t>en</w:t>
      </w:r>
      <w:r w:rsidR="00744D32">
        <w:rPr>
          <w:sz w:val="20"/>
          <w:szCs w:val="20"/>
          <w:lang w:val="es-VE"/>
        </w:rPr>
        <w:t xml:space="preserve"> el momento que se llevaron a la presunta víctima, dichas personas </w:t>
      </w:r>
      <w:r w:rsidR="004C4D49">
        <w:rPr>
          <w:sz w:val="20"/>
          <w:szCs w:val="20"/>
          <w:lang w:val="es-VE"/>
        </w:rPr>
        <w:t>amenaza</w:t>
      </w:r>
      <w:r w:rsidR="00744D32">
        <w:rPr>
          <w:sz w:val="20"/>
          <w:szCs w:val="20"/>
          <w:lang w:val="es-VE"/>
        </w:rPr>
        <w:t>ron</w:t>
      </w:r>
      <w:r w:rsidR="00B31D9E">
        <w:rPr>
          <w:sz w:val="20"/>
          <w:szCs w:val="20"/>
          <w:lang w:val="es-VE"/>
        </w:rPr>
        <w:t xml:space="preserve"> a sus familiares, por lo que no pudieron reaccionar</w:t>
      </w:r>
      <w:r w:rsidR="004C4D49">
        <w:rPr>
          <w:sz w:val="20"/>
          <w:szCs w:val="20"/>
          <w:lang w:val="es-VE"/>
        </w:rPr>
        <w:t xml:space="preserve">. </w:t>
      </w:r>
      <w:r w:rsidR="00744D32">
        <w:rPr>
          <w:sz w:val="20"/>
          <w:szCs w:val="20"/>
          <w:lang w:val="es-VE"/>
        </w:rPr>
        <w:t>S</w:t>
      </w:r>
      <w:r w:rsidR="004C4D49">
        <w:rPr>
          <w:sz w:val="20"/>
          <w:szCs w:val="20"/>
          <w:lang w:val="es-VE"/>
        </w:rPr>
        <w:t xml:space="preserve">ostiene que </w:t>
      </w:r>
      <w:r w:rsidR="00CE73DC">
        <w:rPr>
          <w:sz w:val="20"/>
          <w:szCs w:val="20"/>
          <w:lang w:val="es-VE"/>
        </w:rPr>
        <w:t xml:space="preserve">continuaron e </w:t>
      </w:r>
      <w:r w:rsidR="0036407A">
        <w:rPr>
          <w:sz w:val="20"/>
          <w:szCs w:val="20"/>
          <w:lang w:val="es-VE"/>
        </w:rPr>
        <w:t>increment</w:t>
      </w:r>
      <w:r w:rsidR="00CE73DC">
        <w:rPr>
          <w:sz w:val="20"/>
          <w:szCs w:val="20"/>
          <w:lang w:val="es-VE"/>
        </w:rPr>
        <w:t>aron</w:t>
      </w:r>
      <w:r w:rsidR="0036407A">
        <w:rPr>
          <w:sz w:val="20"/>
          <w:szCs w:val="20"/>
          <w:lang w:val="es-VE"/>
        </w:rPr>
        <w:t xml:space="preserve"> notable</w:t>
      </w:r>
      <w:r w:rsidR="00CE73DC">
        <w:rPr>
          <w:sz w:val="20"/>
          <w:szCs w:val="20"/>
          <w:lang w:val="es-VE"/>
        </w:rPr>
        <w:t>mente</w:t>
      </w:r>
      <w:r w:rsidR="0036407A">
        <w:rPr>
          <w:sz w:val="20"/>
          <w:szCs w:val="20"/>
          <w:lang w:val="es-VE"/>
        </w:rPr>
        <w:t xml:space="preserve"> las visitas de estos hombres</w:t>
      </w:r>
      <w:r w:rsidR="00B31D9E">
        <w:rPr>
          <w:sz w:val="20"/>
          <w:szCs w:val="20"/>
          <w:lang w:val="es-VE"/>
        </w:rPr>
        <w:t>,</w:t>
      </w:r>
      <w:r w:rsidR="00CE73DC">
        <w:rPr>
          <w:sz w:val="20"/>
          <w:szCs w:val="20"/>
          <w:lang w:val="es-VE"/>
        </w:rPr>
        <w:t xml:space="preserve"> por lo que </w:t>
      </w:r>
      <w:r w:rsidR="00641CC8" w:rsidRPr="00FC450D">
        <w:rPr>
          <w:color w:val="auto"/>
          <w:sz w:val="20"/>
          <w:szCs w:val="20"/>
          <w:lang w:val="es-VE"/>
        </w:rPr>
        <w:t>en noviembre de 2002</w:t>
      </w:r>
      <w:r w:rsidR="00641CC8">
        <w:rPr>
          <w:color w:val="auto"/>
          <w:sz w:val="20"/>
          <w:szCs w:val="20"/>
          <w:lang w:val="es-VE"/>
        </w:rPr>
        <w:t xml:space="preserve"> </w:t>
      </w:r>
      <w:r w:rsidR="00CE73DC">
        <w:rPr>
          <w:sz w:val="20"/>
          <w:szCs w:val="20"/>
          <w:lang w:val="es-VE"/>
        </w:rPr>
        <w:t>s</w:t>
      </w:r>
      <w:r w:rsidR="008554E4" w:rsidRPr="00B32573">
        <w:rPr>
          <w:sz w:val="20"/>
          <w:szCs w:val="20"/>
          <w:lang w:val="es-VE"/>
        </w:rPr>
        <w:t xml:space="preserve">e vieron </w:t>
      </w:r>
      <w:r w:rsidR="008554E4" w:rsidRPr="00FC450D">
        <w:rPr>
          <w:color w:val="auto"/>
          <w:sz w:val="20"/>
          <w:szCs w:val="20"/>
          <w:lang w:val="es-VE"/>
        </w:rPr>
        <w:t xml:space="preserve">obligados a abandonar </w:t>
      </w:r>
      <w:r w:rsidR="0036407A" w:rsidRPr="00FC450D">
        <w:rPr>
          <w:color w:val="auto"/>
          <w:sz w:val="20"/>
          <w:szCs w:val="20"/>
          <w:lang w:val="es-VE"/>
        </w:rPr>
        <w:t>Arroyo</w:t>
      </w:r>
      <w:r w:rsidR="00641CC8">
        <w:rPr>
          <w:color w:val="auto"/>
          <w:sz w:val="20"/>
          <w:szCs w:val="20"/>
          <w:lang w:val="es-VE"/>
        </w:rPr>
        <w:t xml:space="preserve"> H</w:t>
      </w:r>
      <w:r w:rsidR="0036407A" w:rsidRPr="00FC450D">
        <w:rPr>
          <w:color w:val="auto"/>
          <w:sz w:val="20"/>
          <w:szCs w:val="20"/>
          <w:lang w:val="es-VE"/>
        </w:rPr>
        <w:t xml:space="preserve">ondo </w:t>
      </w:r>
      <w:r w:rsidR="008554E4" w:rsidRPr="00FC450D">
        <w:rPr>
          <w:color w:val="auto"/>
          <w:sz w:val="20"/>
          <w:szCs w:val="20"/>
          <w:lang w:val="es-VE"/>
        </w:rPr>
        <w:t>y desplazar</w:t>
      </w:r>
      <w:r w:rsidR="00CE73DC" w:rsidRPr="00FC450D">
        <w:rPr>
          <w:color w:val="auto"/>
          <w:sz w:val="20"/>
          <w:szCs w:val="20"/>
          <w:lang w:val="es-VE"/>
        </w:rPr>
        <w:t>se</w:t>
      </w:r>
      <w:r w:rsidR="008554E4" w:rsidRPr="00FC450D">
        <w:rPr>
          <w:color w:val="auto"/>
          <w:sz w:val="20"/>
          <w:szCs w:val="20"/>
          <w:lang w:val="es-VE"/>
        </w:rPr>
        <w:t xml:space="preserve"> a </w:t>
      </w:r>
      <w:r w:rsidR="0036407A" w:rsidRPr="00FC450D">
        <w:rPr>
          <w:color w:val="auto"/>
          <w:sz w:val="20"/>
          <w:szCs w:val="20"/>
          <w:lang w:val="es-VE"/>
        </w:rPr>
        <w:t xml:space="preserve">la ciudad </w:t>
      </w:r>
      <w:r w:rsidR="004C4D49">
        <w:rPr>
          <w:color w:val="auto"/>
          <w:sz w:val="20"/>
          <w:szCs w:val="20"/>
          <w:lang w:val="es-VE"/>
        </w:rPr>
        <w:t xml:space="preserve">de </w:t>
      </w:r>
      <w:r w:rsidR="008554E4" w:rsidRPr="00FC450D">
        <w:rPr>
          <w:color w:val="auto"/>
          <w:sz w:val="20"/>
          <w:szCs w:val="20"/>
          <w:lang w:val="es-VE"/>
        </w:rPr>
        <w:t>Cali.</w:t>
      </w:r>
      <w:r w:rsidR="00D3647F" w:rsidRPr="00FC450D">
        <w:rPr>
          <w:color w:val="auto"/>
          <w:sz w:val="20"/>
          <w:szCs w:val="20"/>
          <w:lang w:val="es-VE"/>
        </w:rPr>
        <w:t xml:space="preserve"> </w:t>
      </w:r>
    </w:p>
    <w:p w14:paraId="3DD59AB7" w14:textId="77777777" w:rsidR="009264A1" w:rsidRPr="009B4508"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303C8F96" w14:textId="25FEC349" w:rsidR="007F619D" w:rsidRDefault="00641CC8"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t>La parte peticionaria s</w:t>
      </w:r>
      <w:r w:rsidR="0036407A" w:rsidRPr="00FC450D">
        <w:rPr>
          <w:color w:val="auto"/>
          <w:sz w:val="20"/>
          <w:szCs w:val="20"/>
          <w:lang w:val="es-VE"/>
        </w:rPr>
        <w:t xml:space="preserve">ostiene que </w:t>
      </w:r>
      <w:r>
        <w:rPr>
          <w:color w:val="auto"/>
          <w:sz w:val="20"/>
          <w:szCs w:val="20"/>
          <w:lang w:val="es-VE"/>
        </w:rPr>
        <w:t>la</w:t>
      </w:r>
      <w:r w:rsidR="0036407A" w:rsidRPr="00FC450D">
        <w:rPr>
          <w:color w:val="auto"/>
          <w:sz w:val="20"/>
          <w:szCs w:val="20"/>
          <w:lang w:val="es-VE"/>
        </w:rPr>
        <w:t xml:space="preserve"> familia no volvió </w:t>
      </w:r>
      <w:r w:rsidR="00D3647F" w:rsidRPr="00FC450D">
        <w:rPr>
          <w:color w:val="auto"/>
          <w:sz w:val="20"/>
          <w:szCs w:val="20"/>
          <w:lang w:val="es-VE"/>
        </w:rPr>
        <w:t xml:space="preserve">a tener contacto directo con </w:t>
      </w:r>
      <w:r w:rsidR="00A634D4" w:rsidRPr="00FC450D">
        <w:rPr>
          <w:color w:val="auto"/>
          <w:sz w:val="20"/>
          <w:szCs w:val="20"/>
          <w:lang w:val="es-VE"/>
        </w:rPr>
        <w:t xml:space="preserve">la presunta víctima </w:t>
      </w:r>
      <w:r w:rsidRPr="00FC450D">
        <w:rPr>
          <w:color w:val="auto"/>
          <w:sz w:val="20"/>
          <w:szCs w:val="20"/>
          <w:lang w:val="es-VE"/>
        </w:rPr>
        <w:t xml:space="preserve">desde </w:t>
      </w:r>
      <w:r>
        <w:rPr>
          <w:color w:val="auto"/>
          <w:sz w:val="20"/>
          <w:szCs w:val="20"/>
          <w:lang w:val="es-VE"/>
        </w:rPr>
        <w:t>su</w:t>
      </w:r>
      <w:r w:rsidRPr="00FC450D">
        <w:rPr>
          <w:color w:val="auto"/>
          <w:sz w:val="20"/>
          <w:szCs w:val="20"/>
          <w:lang w:val="es-VE"/>
        </w:rPr>
        <w:t xml:space="preserve"> desaparición </w:t>
      </w:r>
      <w:r w:rsidR="0036407A" w:rsidRPr="00FC450D">
        <w:rPr>
          <w:color w:val="auto"/>
          <w:sz w:val="20"/>
          <w:szCs w:val="20"/>
          <w:lang w:val="es-VE"/>
        </w:rPr>
        <w:t>hasta</w:t>
      </w:r>
      <w:r w:rsidR="00D3647F" w:rsidRPr="00FC450D">
        <w:rPr>
          <w:color w:val="auto"/>
          <w:sz w:val="20"/>
          <w:szCs w:val="20"/>
          <w:lang w:val="es-VE"/>
        </w:rPr>
        <w:t xml:space="preserve"> diciembre de 2002</w:t>
      </w:r>
      <w:r>
        <w:rPr>
          <w:color w:val="auto"/>
          <w:sz w:val="20"/>
          <w:szCs w:val="20"/>
          <w:lang w:val="es-VE"/>
        </w:rPr>
        <w:t xml:space="preserve">. En dicho mes y año </w:t>
      </w:r>
      <w:r w:rsidR="0036407A" w:rsidRPr="00FC450D">
        <w:rPr>
          <w:color w:val="auto"/>
          <w:sz w:val="20"/>
          <w:szCs w:val="20"/>
          <w:lang w:val="es-VE"/>
        </w:rPr>
        <w:t xml:space="preserve">su madre </w:t>
      </w:r>
      <w:r w:rsidR="00D3647F" w:rsidRPr="00FC450D">
        <w:rPr>
          <w:color w:val="auto"/>
          <w:sz w:val="20"/>
          <w:szCs w:val="20"/>
          <w:lang w:val="es-VE"/>
        </w:rPr>
        <w:t>rec</w:t>
      </w:r>
      <w:r w:rsidR="0036407A" w:rsidRPr="00FC450D">
        <w:rPr>
          <w:color w:val="auto"/>
          <w:sz w:val="20"/>
          <w:szCs w:val="20"/>
          <w:lang w:val="es-VE"/>
        </w:rPr>
        <w:t>i</w:t>
      </w:r>
      <w:r w:rsidR="00D3647F" w:rsidRPr="00FC450D">
        <w:rPr>
          <w:color w:val="auto"/>
          <w:sz w:val="20"/>
          <w:szCs w:val="20"/>
          <w:lang w:val="es-VE"/>
        </w:rPr>
        <w:t>bi</w:t>
      </w:r>
      <w:r w:rsidR="0036407A" w:rsidRPr="00FC450D">
        <w:rPr>
          <w:color w:val="auto"/>
          <w:sz w:val="20"/>
          <w:szCs w:val="20"/>
          <w:lang w:val="es-VE"/>
        </w:rPr>
        <w:t>ó</w:t>
      </w:r>
      <w:r w:rsidR="00D3647F" w:rsidRPr="00FC450D">
        <w:rPr>
          <w:color w:val="auto"/>
          <w:sz w:val="20"/>
          <w:szCs w:val="20"/>
          <w:lang w:val="es-VE"/>
        </w:rPr>
        <w:t xml:space="preserve"> una llamada </w:t>
      </w:r>
      <w:r>
        <w:rPr>
          <w:color w:val="auto"/>
          <w:sz w:val="20"/>
          <w:szCs w:val="20"/>
          <w:lang w:val="es-VE"/>
        </w:rPr>
        <w:t xml:space="preserve">de una persona </w:t>
      </w:r>
      <w:r w:rsidR="00BB222E">
        <w:rPr>
          <w:color w:val="auto"/>
          <w:sz w:val="20"/>
          <w:szCs w:val="20"/>
          <w:lang w:val="es-VE"/>
        </w:rPr>
        <w:t>–supuestamente</w:t>
      </w:r>
      <w:r w:rsidR="00A634D4">
        <w:rPr>
          <w:color w:val="auto"/>
          <w:sz w:val="20"/>
          <w:szCs w:val="20"/>
          <w:lang w:val="es-VE"/>
        </w:rPr>
        <w:t xml:space="preserve"> la </w:t>
      </w:r>
      <w:r w:rsidR="0036407A" w:rsidRPr="00FC450D">
        <w:rPr>
          <w:color w:val="auto"/>
          <w:sz w:val="20"/>
          <w:szCs w:val="20"/>
          <w:lang w:val="es-VE"/>
        </w:rPr>
        <w:t>presunta</w:t>
      </w:r>
      <w:r w:rsidR="00A634D4">
        <w:rPr>
          <w:color w:val="auto"/>
          <w:sz w:val="20"/>
          <w:szCs w:val="20"/>
          <w:lang w:val="es-VE"/>
        </w:rPr>
        <w:t xml:space="preserve"> víctima</w:t>
      </w:r>
      <w:r>
        <w:rPr>
          <w:color w:val="auto"/>
          <w:sz w:val="20"/>
          <w:szCs w:val="20"/>
          <w:lang w:val="es-VE"/>
        </w:rPr>
        <w:t>--</w:t>
      </w:r>
      <w:r w:rsidR="00D3647F" w:rsidRPr="00FC450D">
        <w:rPr>
          <w:color w:val="auto"/>
          <w:sz w:val="20"/>
          <w:szCs w:val="20"/>
          <w:lang w:val="es-VE"/>
        </w:rPr>
        <w:t xml:space="preserve"> qu</w:t>
      </w:r>
      <w:r>
        <w:rPr>
          <w:color w:val="auto"/>
          <w:sz w:val="20"/>
          <w:szCs w:val="20"/>
          <w:lang w:val="es-VE"/>
        </w:rPr>
        <w:t>e</w:t>
      </w:r>
      <w:r w:rsidR="00D3647F" w:rsidRPr="00FC450D">
        <w:rPr>
          <w:color w:val="auto"/>
          <w:sz w:val="20"/>
          <w:szCs w:val="20"/>
          <w:lang w:val="es-VE"/>
        </w:rPr>
        <w:t xml:space="preserve"> </w:t>
      </w:r>
      <w:r w:rsidR="0036407A" w:rsidRPr="00FC450D">
        <w:rPr>
          <w:color w:val="auto"/>
          <w:sz w:val="20"/>
          <w:szCs w:val="20"/>
          <w:lang w:val="es-VE"/>
        </w:rPr>
        <w:t xml:space="preserve">sostuvo </w:t>
      </w:r>
      <w:r w:rsidR="00D3647F" w:rsidRPr="00FC450D">
        <w:rPr>
          <w:color w:val="auto"/>
          <w:sz w:val="20"/>
          <w:szCs w:val="20"/>
          <w:lang w:val="es-VE"/>
        </w:rPr>
        <w:t xml:space="preserve">que </w:t>
      </w:r>
      <w:r w:rsidR="00A634D4">
        <w:rPr>
          <w:color w:val="auto"/>
          <w:sz w:val="20"/>
          <w:szCs w:val="20"/>
          <w:lang w:val="es-VE"/>
        </w:rPr>
        <w:t>estaba</w:t>
      </w:r>
      <w:r w:rsidR="00D3647F" w:rsidRPr="00FC450D">
        <w:rPr>
          <w:color w:val="auto"/>
          <w:sz w:val="20"/>
          <w:szCs w:val="20"/>
          <w:lang w:val="es-VE"/>
        </w:rPr>
        <w:t xml:space="preserve"> detenid</w:t>
      </w:r>
      <w:r w:rsidR="00A634D4">
        <w:rPr>
          <w:color w:val="auto"/>
          <w:sz w:val="20"/>
          <w:szCs w:val="20"/>
          <w:lang w:val="es-VE"/>
        </w:rPr>
        <w:t>a</w:t>
      </w:r>
      <w:r w:rsidR="003C242B">
        <w:rPr>
          <w:color w:val="auto"/>
          <w:sz w:val="20"/>
          <w:szCs w:val="20"/>
          <w:lang w:val="es-VE"/>
        </w:rPr>
        <w:t xml:space="preserve"> </w:t>
      </w:r>
      <w:r w:rsidR="00D3647F" w:rsidRPr="00FC450D">
        <w:rPr>
          <w:color w:val="auto"/>
          <w:sz w:val="20"/>
          <w:szCs w:val="20"/>
          <w:lang w:val="es-VE"/>
        </w:rPr>
        <w:t>en un lugar llamado “El Ermitaño”</w:t>
      </w:r>
      <w:r>
        <w:rPr>
          <w:color w:val="auto"/>
          <w:sz w:val="20"/>
          <w:szCs w:val="20"/>
          <w:lang w:val="es-VE"/>
        </w:rPr>
        <w:t>, donde lo tenían</w:t>
      </w:r>
      <w:r w:rsidR="00D3647F" w:rsidRPr="00FC450D">
        <w:rPr>
          <w:color w:val="auto"/>
          <w:sz w:val="20"/>
          <w:szCs w:val="20"/>
          <w:lang w:val="es-VE"/>
        </w:rPr>
        <w:t xml:space="preserve"> </w:t>
      </w:r>
      <w:r w:rsidR="00A634D4">
        <w:rPr>
          <w:color w:val="auto"/>
          <w:sz w:val="20"/>
          <w:szCs w:val="20"/>
          <w:lang w:val="es-VE"/>
        </w:rPr>
        <w:t>contra su voluntad</w:t>
      </w:r>
      <w:r w:rsidR="00A634D4" w:rsidRPr="00FC450D">
        <w:rPr>
          <w:color w:val="auto"/>
          <w:sz w:val="20"/>
          <w:szCs w:val="20"/>
          <w:lang w:val="es-VE"/>
        </w:rPr>
        <w:t xml:space="preserve"> </w:t>
      </w:r>
      <w:r w:rsidR="00D3647F" w:rsidRPr="00FC450D">
        <w:rPr>
          <w:color w:val="auto"/>
          <w:sz w:val="20"/>
          <w:szCs w:val="20"/>
          <w:lang w:val="es-VE"/>
        </w:rPr>
        <w:t>cargando toneladas de</w:t>
      </w:r>
      <w:r w:rsidR="0036407A" w:rsidRPr="00FC450D">
        <w:rPr>
          <w:color w:val="auto"/>
          <w:sz w:val="20"/>
          <w:szCs w:val="20"/>
          <w:lang w:val="es-VE"/>
        </w:rPr>
        <w:t xml:space="preserve"> </w:t>
      </w:r>
      <w:r w:rsidR="00D3647F" w:rsidRPr="00FC450D">
        <w:rPr>
          <w:color w:val="auto"/>
          <w:sz w:val="20"/>
          <w:szCs w:val="20"/>
          <w:lang w:val="es-VE"/>
        </w:rPr>
        <w:t xml:space="preserve">drogas en un barco propiedad de un paramilitar. </w:t>
      </w:r>
      <w:r w:rsidR="00A634D4">
        <w:rPr>
          <w:color w:val="auto"/>
          <w:sz w:val="20"/>
          <w:szCs w:val="20"/>
          <w:lang w:val="es-VE"/>
        </w:rPr>
        <w:t xml:space="preserve">Agrega </w:t>
      </w:r>
      <w:r w:rsidR="007F619D" w:rsidRPr="00FC450D">
        <w:rPr>
          <w:color w:val="auto"/>
          <w:sz w:val="20"/>
          <w:szCs w:val="20"/>
          <w:lang w:val="es-VE"/>
        </w:rPr>
        <w:t xml:space="preserve">que </w:t>
      </w:r>
      <w:r w:rsidR="0036407A" w:rsidRPr="00FC450D">
        <w:rPr>
          <w:color w:val="auto"/>
          <w:sz w:val="20"/>
          <w:szCs w:val="20"/>
          <w:lang w:val="es-VE"/>
        </w:rPr>
        <w:t>e</w:t>
      </w:r>
      <w:r w:rsidR="00D3647F" w:rsidRPr="00FC450D">
        <w:rPr>
          <w:color w:val="auto"/>
          <w:sz w:val="20"/>
          <w:szCs w:val="20"/>
          <w:lang w:val="es-VE"/>
        </w:rPr>
        <w:t>l 22 de</w:t>
      </w:r>
      <w:r w:rsidR="0036407A" w:rsidRPr="00FC450D">
        <w:rPr>
          <w:color w:val="auto"/>
          <w:sz w:val="20"/>
          <w:szCs w:val="20"/>
          <w:lang w:val="es-VE"/>
        </w:rPr>
        <w:t xml:space="preserve"> </w:t>
      </w:r>
      <w:r w:rsidR="00D3647F" w:rsidRPr="00FC450D">
        <w:rPr>
          <w:color w:val="auto"/>
          <w:sz w:val="20"/>
          <w:szCs w:val="20"/>
          <w:lang w:val="es-VE"/>
        </w:rPr>
        <w:t xml:space="preserve">mayo de 2003 </w:t>
      </w:r>
      <w:r w:rsidR="00B07BE3">
        <w:rPr>
          <w:color w:val="auto"/>
          <w:sz w:val="20"/>
          <w:szCs w:val="20"/>
          <w:lang w:val="es-VE"/>
        </w:rPr>
        <w:t xml:space="preserve">la familia </w:t>
      </w:r>
      <w:r w:rsidR="007F619D" w:rsidRPr="00FC450D">
        <w:rPr>
          <w:color w:val="auto"/>
          <w:sz w:val="20"/>
          <w:szCs w:val="20"/>
          <w:lang w:val="es-VE"/>
        </w:rPr>
        <w:t>recibi</w:t>
      </w:r>
      <w:r w:rsidR="00B07BE3">
        <w:rPr>
          <w:color w:val="auto"/>
          <w:sz w:val="20"/>
          <w:szCs w:val="20"/>
          <w:lang w:val="es-VE"/>
        </w:rPr>
        <w:t xml:space="preserve">ó </w:t>
      </w:r>
      <w:r w:rsidR="00DD6F02">
        <w:rPr>
          <w:color w:val="auto"/>
          <w:sz w:val="20"/>
          <w:szCs w:val="20"/>
          <w:lang w:val="es-VE"/>
        </w:rPr>
        <w:t>otra</w:t>
      </w:r>
      <w:r w:rsidR="007F619D" w:rsidRPr="00FC450D">
        <w:rPr>
          <w:color w:val="auto"/>
          <w:sz w:val="20"/>
          <w:szCs w:val="20"/>
          <w:lang w:val="es-VE"/>
        </w:rPr>
        <w:t xml:space="preserve"> llamada </w:t>
      </w:r>
      <w:r w:rsidR="004C4D49">
        <w:rPr>
          <w:color w:val="auto"/>
          <w:sz w:val="20"/>
          <w:szCs w:val="20"/>
          <w:lang w:val="es-VE"/>
        </w:rPr>
        <w:t>en horas de la noche</w:t>
      </w:r>
      <w:r w:rsidR="009F1047">
        <w:rPr>
          <w:color w:val="auto"/>
          <w:sz w:val="20"/>
          <w:szCs w:val="20"/>
          <w:lang w:val="es-VE"/>
        </w:rPr>
        <w:t>, durante</w:t>
      </w:r>
      <w:r w:rsidR="004C4D49">
        <w:rPr>
          <w:color w:val="auto"/>
          <w:sz w:val="20"/>
          <w:szCs w:val="20"/>
          <w:lang w:val="es-VE"/>
        </w:rPr>
        <w:t xml:space="preserve"> </w:t>
      </w:r>
      <w:r w:rsidR="007F619D" w:rsidRPr="00FC450D">
        <w:rPr>
          <w:color w:val="auto"/>
          <w:sz w:val="20"/>
          <w:szCs w:val="20"/>
          <w:lang w:val="es-VE"/>
        </w:rPr>
        <w:t xml:space="preserve">la cual </w:t>
      </w:r>
      <w:r w:rsidR="00D3647F" w:rsidRPr="00FC450D">
        <w:rPr>
          <w:color w:val="auto"/>
          <w:sz w:val="20"/>
          <w:szCs w:val="20"/>
          <w:lang w:val="es-VE"/>
        </w:rPr>
        <w:t>una mujer le</w:t>
      </w:r>
      <w:r w:rsidR="007F619D" w:rsidRPr="00FC450D">
        <w:rPr>
          <w:color w:val="auto"/>
          <w:sz w:val="20"/>
          <w:szCs w:val="20"/>
          <w:lang w:val="es-VE"/>
        </w:rPr>
        <w:t xml:space="preserve">s informó </w:t>
      </w:r>
      <w:r w:rsidR="005140EE" w:rsidRPr="00FC450D">
        <w:rPr>
          <w:color w:val="auto"/>
          <w:sz w:val="20"/>
          <w:szCs w:val="20"/>
          <w:lang w:val="es-VE"/>
        </w:rPr>
        <w:t xml:space="preserve">que </w:t>
      </w:r>
      <w:r w:rsidR="007F619D" w:rsidRPr="00FC450D">
        <w:rPr>
          <w:color w:val="auto"/>
          <w:sz w:val="20"/>
          <w:szCs w:val="20"/>
          <w:lang w:val="es-VE"/>
        </w:rPr>
        <w:t>la presunta víctima</w:t>
      </w:r>
      <w:r w:rsidR="005140EE" w:rsidRPr="00FC450D">
        <w:rPr>
          <w:color w:val="auto"/>
          <w:sz w:val="20"/>
          <w:szCs w:val="20"/>
          <w:lang w:val="es-VE"/>
        </w:rPr>
        <w:t xml:space="preserve"> </w:t>
      </w:r>
      <w:r w:rsidR="00D62416">
        <w:rPr>
          <w:color w:val="auto"/>
          <w:sz w:val="20"/>
          <w:szCs w:val="20"/>
          <w:lang w:val="es-VE"/>
        </w:rPr>
        <w:t xml:space="preserve">había fallecido </w:t>
      </w:r>
      <w:r w:rsidR="005140EE" w:rsidRPr="00FC450D">
        <w:rPr>
          <w:color w:val="auto"/>
          <w:sz w:val="20"/>
          <w:szCs w:val="20"/>
          <w:lang w:val="es-VE"/>
        </w:rPr>
        <w:t>y</w:t>
      </w:r>
      <w:r w:rsidR="00D3647F" w:rsidRPr="00FC450D">
        <w:rPr>
          <w:color w:val="auto"/>
          <w:sz w:val="20"/>
          <w:szCs w:val="20"/>
          <w:lang w:val="es-VE"/>
        </w:rPr>
        <w:t xml:space="preserve"> </w:t>
      </w:r>
      <w:r w:rsidR="007F619D" w:rsidRPr="00FC450D">
        <w:rPr>
          <w:color w:val="auto"/>
          <w:sz w:val="20"/>
          <w:szCs w:val="20"/>
          <w:lang w:val="es-VE"/>
        </w:rPr>
        <w:t xml:space="preserve">debían </w:t>
      </w:r>
      <w:r w:rsidR="00D3647F" w:rsidRPr="00FC450D">
        <w:rPr>
          <w:color w:val="auto"/>
          <w:sz w:val="20"/>
          <w:szCs w:val="20"/>
          <w:lang w:val="es-VE"/>
        </w:rPr>
        <w:t>recogerl</w:t>
      </w:r>
      <w:r w:rsidR="00BB222E">
        <w:rPr>
          <w:color w:val="auto"/>
          <w:sz w:val="20"/>
          <w:szCs w:val="20"/>
          <w:lang w:val="es-VE"/>
        </w:rPr>
        <w:t>a</w:t>
      </w:r>
      <w:r w:rsidR="00D3647F" w:rsidRPr="00FC450D">
        <w:rPr>
          <w:color w:val="auto"/>
          <w:sz w:val="20"/>
          <w:szCs w:val="20"/>
          <w:lang w:val="es-VE"/>
        </w:rPr>
        <w:t xml:space="preserve"> en </w:t>
      </w:r>
      <w:r>
        <w:rPr>
          <w:color w:val="auto"/>
          <w:sz w:val="20"/>
          <w:szCs w:val="20"/>
          <w:lang w:val="es-VE"/>
        </w:rPr>
        <w:t>L</w:t>
      </w:r>
      <w:r w:rsidR="00D3647F" w:rsidRPr="00FC450D">
        <w:rPr>
          <w:color w:val="auto"/>
          <w:sz w:val="20"/>
          <w:szCs w:val="20"/>
          <w:lang w:val="es-VE"/>
        </w:rPr>
        <w:t xml:space="preserve">a Dorada, </w:t>
      </w:r>
      <w:r>
        <w:rPr>
          <w:color w:val="auto"/>
          <w:sz w:val="20"/>
          <w:szCs w:val="20"/>
          <w:lang w:val="es-VE"/>
        </w:rPr>
        <w:t xml:space="preserve">Departamento de </w:t>
      </w:r>
      <w:r w:rsidR="00D3647F" w:rsidRPr="00FC450D">
        <w:rPr>
          <w:color w:val="auto"/>
          <w:sz w:val="20"/>
          <w:szCs w:val="20"/>
          <w:lang w:val="es-VE"/>
        </w:rPr>
        <w:t>Caldas</w:t>
      </w:r>
      <w:r w:rsidR="005140EE" w:rsidRPr="00FC450D">
        <w:rPr>
          <w:color w:val="auto"/>
          <w:sz w:val="20"/>
          <w:szCs w:val="20"/>
          <w:lang w:val="es-VE"/>
        </w:rPr>
        <w:t>. Sostiene que</w:t>
      </w:r>
      <w:r w:rsidR="003E578F">
        <w:rPr>
          <w:color w:val="auto"/>
          <w:sz w:val="20"/>
          <w:szCs w:val="20"/>
          <w:lang w:val="es-VE"/>
        </w:rPr>
        <w:t xml:space="preserve"> </w:t>
      </w:r>
      <w:r w:rsidR="00187428" w:rsidRPr="00FC450D">
        <w:rPr>
          <w:color w:val="auto"/>
          <w:sz w:val="20"/>
          <w:szCs w:val="20"/>
          <w:lang w:val="es-VE"/>
        </w:rPr>
        <w:t>el padre y la hermana de la presunta víctima</w:t>
      </w:r>
      <w:r w:rsidR="00187428">
        <w:rPr>
          <w:color w:val="auto"/>
          <w:sz w:val="20"/>
          <w:szCs w:val="20"/>
          <w:lang w:val="es-VE"/>
        </w:rPr>
        <w:t xml:space="preserve"> </w:t>
      </w:r>
      <w:r w:rsidR="00A634D4">
        <w:rPr>
          <w:color w:val="auto"/>
          <w:sz w:val="20"/>
          <w:szCs w:val="20"/>
          <w:lang w:val="es-VE"/>
        </w:rPr>
        <w:t>se trasladaron a</w:t>
      </w:r>
      <w:r w:rsidR="003E578F">
        <w:rPr>
          <w:color w:val="auto"/>
          <w:sz w:val="20"/>
          <w:szCs w:val="20"/>
          <w:lang w:val="es-VE"/>
        </w:rPr>
        <w:t xml:space="preserve"> dicha localidad</w:t>
      </w:r>
      <w:r w:rsidR="00072AEE">
        <w:rPr>
          <w:color w:val="auto"/>
          <w:sz w:val="20"/>
          <w:szCs w:val="20"/>
          <w:lang w:val="es-VE"/>
        </w:rPr>
        <w:t>, donde</w:t>
      </w:r>
      <w:r w:rsidR="003E578F">
        <w:rPr>
          <w:color w:val="auto"/>
          <w:sz w:val="20"/>
          <w:szCs w:val="20"/>
          <w:lang w:val="es-VE"/>
        </w:rPr>
        <w:t xml:space="preserve"> se encontraron con una mujer qu</w:t>
      </w:r>
      <w:r w:rsidR="00187428">
        <w:rPr>
          <w:color w:val="auto"/>
          <w:sz w:val="20"/>
          <w:szCs w:val="20"/>
          <w:lang w:val="es-VE"/>
        </w:rPr>
        <w:t>e</w:t>
      </w:r>
      <w:r w:rsidR="003E578F">
        <w:rPr>
          <w:color w:val="auto"/>
          <w:sz w:val="20"/>
          <w:szCs w:val="20"/>
          <w:lang w:val="es-VE"/>
        </w:rPr>
        <w:t xml:space="preserve"> los envió a Puerto Boyacá</w:t>
      </w:r>
      <w:r w:rsidR="00187428">
        <w:rPr>
          <w:color w:val="auto"/>
          <w:sz w:val="20"/>
          <w:szCs w:val="20"/>
          <w:lang w:val="es-VE"/>
        </w:rPr>
        <w:t>;</w:t>
      </w:r>
      <w:r w:rsidR="003E578F">
        <w:rPr>
          <w:color w:val="auto"/>
          <w:sz w:val="20"/>
          <w:szCs w:val="20"/>
          <w:lang w:val="es-VE"/>
        </w:rPr>
        <w:t xml:space="preserve"> luego</w:t>
      </w:r>
      <w:r w:rsidR="005140EE" w:rsidRPr="00FC450D">
        <w:rPr>
          <w:color w:val="auto"/>
          <w:sz w:val="20"/>
          <w:szCs w:val="20"/>
          <w:lang w:val="es-VE"/>
        </w:rPr>
        <w:t xml:space="preserve"> de distintas llamada</w:t>
      </w:r>
      <w:r w:rsidR="003E578F">
        <w:rPr>
          <w:color w:val="auto"/>
          <w:sz w:val="20"/>
          <w:szCs w:val="20"/>
          <w:lang w:val="es-VE"/>
        </w:rPr>
        <w:t xml:space="preserve">s y de visitar </w:t>
      </w:r>
      <w:r w:rsidR="00D3647F" w:rsidRPr="00FC450D">
        <w:rPr>
          <w:color w:val="auto"/>
          <w:sz w:val="20"/>
          <w:szCs w:val="20"/>
          <w:lang w:val="es-VE"/>
        </w:rPr>
        <w:t>varios lugares sin éxito</w:t>
      </w:r>
      <w:r w:rsidR="00187428">
        <w:rPr>
          <w:color w:val="auto"/>
          <w:sz w:val="20"/>
          <w:szCs w:val="20"/>
          <w:lang w:val="es-VE"/>
        </w:rPr>
        <w:t>,</w:t>
      </w:r>
      <w:r w:rsidR="00122C9C">
        <w:rPr>
          <w:color w:val="auto"/>
          <w:sz w:val="20"/>
          <w:szCs w:val="20"/>
          <w:lang w:val="es-VE"/>
        </w:rPr>
        <w:t xml:space="preserve"> </w:t>
      </w:r>
      <w:r w:rsidR="003E578F" w:rsidRPr="00FC450D">
        <w:rPr>
          <w:color w:val="auto"/>
          <w:sz w:val="20"/>
          <w:szCs w:val="20"/>
          <w:lang w:val="es-VE"/>
        </w:rPr>
        <w:t xml:space="preserve">fueron </w:t>
      </w:r>
      <w:r w:rsidR="003E578F">
        <w:rPr>
          <w:color w:val="auto"/>
          <w:sz w:val="20"/>
          <w:szCs w:val="20"/>
          <w:lang w:val="es-VE"/>
        </w:rPr>
        <w:t>dirigido</w:t>
      </w:r>
      <w:r w:rsidR="003E578F" w:rsidRPr="00FC450D">
        <w:rPr>
          <w:color w:val="auto"/>
          <w:sz w:val="20"/>
          <w:szCs w:val="20"/>
          <w:lang w:val="es-VE"/>
        </w:rPr>
        <w:t xml:space="preserve">s </w:t>
      </w:r>
      <w:r w:rsidR="00187428">
        <w:rPr>
          <w:color w:val="auto"/>
          <w:sz w:val="20"/>
          <w:szCs w:val="20"/>
          <w:lang w:val="es-VE"/>
        </w:rPr>
        <w:t>h</w:t>
      </w:r>
      <w:r w:rsidR="00D3647F" w:rsidRPr="00FC450D">
        <w:rPr>
          <w:color w:val="auto"/>
          <w:sz w:val="20"/>
          <w:szCs w:val="20"/>
          <w:lang w:val="es-VE"/>
        </w:rPr>
        <w:t xml:space="preserve">ospital de </w:t>
      </w:r>
      <w:r w:rsidR="00187428">
        <w:rPr>
          <w:color w:val="auto"/>
          <w:sz w:val="20"/>
          <w:szCs w:val="20"/>
          <w:lang w:val="es-VE"/>
        </w:rPr>
        <w:t>dicha localidad</w:t>
      </w:r>
      <w:r w:rsidR="003E578F">
        <w:rPr>
          <w:color w:val="auto"/>
          <w:sz w:val="20"/>
          <w:szCs w:val="20"/>
          <w:lang w:val="es-VE"/>
        </w:rPr>
        <w:t>.</w:t>
      </w:r>
      <w:r w:rsidR="00DD6F02">
        <w:rPr>
          <w:color w:val="auto"/>
          <w:sz w:val="20"/>
          <w:szCs w:val="20"/>
          <w:lang w:val="es-VE"/>
        </w:rPr>
        <w:t xml:space="preserve"> R</w:t>
      </w:r>
      <w:r w:rsidR="00D969BC" w:rsidRPr="00FC450D">
        <w:rPr>
          <w:color w:val="auto"/>
          <w:sz w:val="20"/>
          <w:szCs w:val="20"/>
          <w:lang w:val="es-VE"/>
        </w:rPr>
        <w:t xml:space="preserve">elata que </w:t>
      </w:r>
      <w:r w:rsidR="003E578F">
        <w:rPr>
          <w:color w:val="auto"/>
          <w:sz w:val="20"/>
          <w:szCs w:val="20"/>
          <w:lang w:val="es-VE"/>
        </w:rPr>
        <w:t xml:space="preserve">ahí fueron recibidos </w:t>
      </w:r>
      <w:r w:rsidR="003E578F" w:rsidRPr="00FC450D">
        <w:rPr>
          <w:color w:val="auto"/>
          <w:sz w:val="20"/>
          <w:szCs w:val="20"/>
          <w:lang w:val="es-VE"/>
        </w:rPr>
        <w:t>por varios hombres</w:t>
      </w:r>
      <w:r w:rsidR="00187428">
        <w:rPr>
          <w:color w:val="auto"/>
          <w:sz w:val="20"/>
          <w:szCs w:val="20"/>
          <w:lang w:val="es-VE"/>
        </w:rPr>
        <w:t>, que</w:t>
      </w:r>
      <w:r w:rsidR="003E578F">
        <w:rPr>
          <w:color w:val="auto"/>
          <w:sz w:val="20"/>
          <w:szCs w:val="20"/>
          <w:lang w:val="es-VE"/>
        </w:rPr>
        <w:t xml:space="preserve"> </w:t>
      </w:r>
      <w:r w:rsidR="007F619D" w:rsidRPr="00FC450D">
        <w:rPr>
          <w:color w:val="auto"/>
          <w:sz w:val="20"/>
          <w:szCs w:val="20"/>
          <w:lang w:val="es-VE"/>
        </w:rPr>
        <w:t xml:space="preserve">los </w:t>
      </w:r>
      <w:r w:rsidR="00DD6F02">
        <w:rPr>
          <w:color w:val="auto"/>
          <w:sz w:val="20"/>
          <w:szCs w:val="20"/>
          <w:lang w:val="es-VE"/>
        </w:rPr>
        <w:t>guiaron</w:t>
      </w:r>
      <w:r w:rsidR="007F619D" w:rsidRPr="00FC450D">
        <w:rPr>
          <w:color w:val="auto"/>
          <w:sz w:val="20"/>
          <w:szCs w:val="20"/>
          <w:lang w:val="es-VE"/>
        </w:rPr>
        <w:t xml:space="preserve"> a</w:t>
      </w:r>
      <w:r w:rsidR="003E578F">
        <w:rPr>
          <w:color w:val="auto"/>
          <w:sz w:val="20"/>
          <w:szCs w:val="20"/>
          <w:lang w:val="es-VE"/>
        </w:rPr>
        <w:t>l anfiteatro</w:t>
      </w:r>
      <w:r w:rsidR="00187428">
        <w:rPr>
          <w:color w:val="auto"/>
          <w:sz w:val="20"/>
          <w:szCs w:val="20"/>
          <w:lang w:val="es-VE"/>
        </w:rPr>
        <w:t xml:space="preserve"> donde</w:t>
      </w:r>
      <w:r w:rsidR="00BB222E">
        <w:rPr>
          <w:color w:val="auto"/>
          <w:sz w:val="20"/>
          <w:szCs w:val="20"/>
          <w:lang w:val="es-VE"/>
        </w:rPr>
        <w:t xml:space="preserve"> estaba el cuerpo sin vida de la presunta víctima. En dicho lugar</w:t>
      </w:r>
      <w:r w:rsidR="003E578F">
        <w:rPr>
          <w:color w:val="auto"/>
          <w:sz w:val="20"/>
          <w:szCs w:val="20"/>
          <w:lang w:val="es-VE"/>
        </w:rPr>
        <w:t xml:space="preserve"> </w:t>
      </w:r>
      <w:r w:rsidR="007F619D" w:rsidRPr="00FC450D">
        <w:rPr>
          <w:color w:val="auto"/>
          <w:sz w:val="20"/>
          <w:szCs w:val="20"/>
          <w:lang w:val="es-VE"/>
        </w:rPr>
        <w:t>se encontraban distintas personas</w:t>
      </w:r>
      <w:r w:rsidR="003E578F">
        <w:rPr>
          <w:color w:val="auto"/>
          <w:sz w:val="20"/>
          <w:szCs w:val="20"/>
          <w:lang w:val="es-VE"/>
        </w:rPr>
        <w:t>, entre ellas el fiscal del poblado</w:t>
      </w:r>
      <w:r w:rsidR="00BB222E">
        <w:rPr>
          <w:color w:val="auto"/>
          <w:sz w:val="20"/>
          <w:szCs w:val="20"/>
          <w:lang w:val="es-VE"/>
        </w:rPr>
        <w:t xml:space="preserve"> que</w:t>
      </w:r>
      <w:r w:rsidR="00187428">
        <w:rPr>
          <w:color w:val="auto"/>
          <w:sz w:val="20"/>
          <w:szCs w:val="20"/>
          <w:lang w:val="es-VE"/>
        </w:rPr>
        <w:t xml:space="preserve"> </w:t>
      </w:r>
      <w:r w:rsidR="00D969BC" w:rsidRPr="00FC450D">
        <w:rPr>
          <w:color w:val="auto"/>
          <w:sz w:val="20"/>
          <w:szCs w:val="20"/>
          <w:lang w:val="es-VE"/>
        </w:rPr>
        <w:t xml:space="preserve">constató </w:t>
      </w:r>
      <w:r w:rsidR="00187428">
        <w:rPr>
          <w:color w:val="auto"/>
          <w:sz w:val="20"/>
          <w:szCs w:val="20"/>
          <w:lang w:val="es-VE"/>
        </w:rPr>
        <w:t xml:space="preserve">que </w:t>
      </w:r>
      <w:r w:rsidR="00D969BC" w:rsidRPr="00FC450D">
        <w:rPr>
          <w:color w:val="auto"/>
          <w:sz w:val="20"/>
          <w:szCs w:val="20"/>
          <w:lang w:val="es-VE"/>
        </w:rPr>
        <w:t xml:space="preserve">la muerte </w:t>
      </w:r>
      <w:r w:rsidR="003E578F">
        <w:rPr>
          <w:color w:val="auto"/>
          <w:sz w:val="20"/>
          <w:szCs w:val="20"/>
          <w:lang w:val="es-VE"/>
        </w:rPr>
        <w:t xml:space="preserve">de la presunta víctima </w:t>
      </w:r>
      <w:r w:rsidR="00187428">
        <w:rPr>
          <w:color w:val="auto"/>
          <w:sz w:val="20"/>
          <w:szCs w:val="20"/>
          <w:lang w:val="es-VE"/>
        </w:rPr>
        <w:t xml:space="preserve">tuvo lugar </w:t>
      </w:r>
      <w:r w:rsidR="00223D01">
        <w:rPr>
          <w:color w:val="auto"/>
          <w:sz w:val="20"/>
          <w:szCs w:val="20"/>
          <w:lang w:val="es-VE"/>
        </w:rPr>
        <w:t xml:space="preserve">el 22 de mayo de 2003 </w:t>
      </w:r>
      <w:r w:rsidR="00D969BC" w:rsidRPr="00FC450D">
        <w:rPr>
          <w:color w:val="auto"/>
          <w:sz w:val="20"/>
          <w:szCs w:val="20"/>
          <w:lang w:val="es-VE"/>
        </w:rPr>
        <w:t>a causa de una herida de bala en el abdomen</w:t>
      </w:r>
      <w:r w:rsidR="00B07BE3">
        <w:rPr>
          <w:color w:val="auto"/>
          <w:sz w:val="20"/>
          <w:szCs w:val="20"/>
          <w:lang w:val="es-VE"/>
        </w:rPr>
        <w:t xml:space="preserve">. </w:t>
      </w:r>
      <w:r w:rsidR="00D07896">
        <w:rPr>
          <w:color w:val="auto"/>
          <w:sz w:val="20"/>
          <w:szCs w:val="20"/>
          <w:lang w:val="es-VE"/>
        </w:rPr>
        <w:t xml:space="preserve">El </w:t>
      </w:r>
      <w:r w:rsidR="00D969BC" w:rsidRPr="00FC450D">
        <w:rPr>
          <w:color w:val="auto"/>
          <w:sz w:val="20"/>
          <w:szCs w:val="20"/>
          <w:lang w:val="es-VE"/>
        </w:rPr>
        <w:t xml:space="preserve">padre observó que </w:t>
      </w:r>
      <w:r w:rsidR="00BB222E">
        <w:rPr>
          <w:color w:val="auto"/>
          <w:sz w:val="20"/>
          <w:szCs w:val="20"/>
          <w:lang w:val="es-VE"/>
        </w:rPr>
        <w:t xml:space="preserve">el cuerpo de </w:t>
      </w:r>
      <w:r w:rsidR="00D969BC" w:rsidRPr="00FC450D">
        <w:rPr>
          <w:color w:val="auto"/>
          <w:sz w:val="20"/>
          <w:szCs w:val="20"/>
          <w:lang w:val="es-VE"/>
        </w:rPr>
        <w:t>la presunta víctima tenía</w:t>
      </w:r>
      <w:r w:rsidR="00B07BE3">
        <w:rPr>
          <w:color w:val="auto"/>
          <w:sz w:val="20"/>
          <w:szCs w:val="20"/>
          <w:lang w:val="es-VE"/>
        </w:rPr>
        <w:t xml:space="preserve"> además</w:t>
      </w:r>
      <w:r w:rsidR="00D969BC" w:rsidRPr="00FC450D">
        <w:rPr>
          <w:color w:val="auto"/>
          <w:sz w:val="20"/>
          <w:szCs w:val="20"/>
          <w:lang w:val="es-VE"/>
        </w:rPr>
        <w:t xml:space="preserve"> claros signos de tortura en varias partes</w:t>
      </w:r>
      <w:r w:rsidR="00D07896">
        <w:rPr>
          <w:color w:val="auto"/>
          <w:sz w:val="20"/>
          <w:szCs w:val="20"/>
          <w:lang w:val="es-VE"/>
        </w:rPr>
        <w:t>,</w:t>
      </w:r>
      <w:r w:rsidR="00D969BC" w:rsidRPr="00FC450D">
        <w:rPr>
          <w:color w:val="auto"/>
          <w:sz w:val="20"/>
          <w:szCs w:val="20"/>
          <w:lang w:val="es-VE"/>
        </w:rPr>
        <w:t xml:space="preserve"> </w:t>
      </w:r>
      <w:r w:rsidR="00BB222E">
        <w:rPr>
          <w:color w:val="auto"/>
          <w:sz w:val="20"/>
          <w:szCs w:val="20"/>
          <w:lang w:val="es-VE"/>
        </w:rPr>
        <w:t xml:space="preserve">tales como </w:t>
      </w:r>
      <w:r w:rsidR="00D969BC" w:rsidRPr="00FC450D">
        <w:rPr>
          <w:color w:val="auto"/>
          <w:sz w:val="20"/>
          <w:szCs w:val="20"/>
          <w:lang w:val="es-VE"/>
        </w:rPr>
        <w:t>los brazos quemados y golpes en la cabeza y la frente</w:t>
      </w:r>
      <w:r w:rsidR="00D07896">
        <w:rPr>
          <w:color w:val="auto"/>
          <w:sz w:val="20"/>
          <w:szCs w:val="20"/>
          <w:lang w:val="es-VE"/>
        </w:rPr>
        <w:t>.</w:t>
      </w:r>
      <w:r w:rsidR="00B07BE3">
        <w:rPr>
          <w:color w:val="auto"/>
          <w:sz w:val="20"/>
          <w:szCs w:val="20"/>
          <w:lang w:val="es-VE"/>
        </w:rPr>
        <w:t xml:space="preserve"> </w:t>
      </w:r>
      <w:r w:rsidR="00D07896">
        <w:rPr>
          <w:color w:val="auto"/>
          <w:sz w:val="20"/>
          <w:szCs w:val="20"/>
          <w:lang w:val="es-VE"/>
        </w:rPr>
        <w:t>S</w:t>
      </w:r>
      <w:r w:rsidR="00B07BE3">
        <w:rPr>
          <w:color w:val="auto"/>
          <w:sz w:val="20"/>
          <w:szCs w:val="20"/>
          <w:lang w:val="es-VE"/>
        </w:rPr>
        <w:t xml:space="preserve">in embargo, </w:t>
      </w:r>
      <w:r w:rsidR="00D07896">
        <w:rPr>
          <w:color w:val="auto"/>
          <w:sz w:val="20"/>
          <w:szCs w:val="20"/>
          <w:lang w:val="es-VE"/>
        </w:rPr>
        <w:t xml:space="preserve">en ese momento </w:t>
      </w:r>
      <w:r w:rsidR="005B48C0">
        <w:rPr>
          <w:color w:val="auto"/>
          <w:sz w:val="20"/>
          <w:szCs w:val="20"/>
          <w:lang w:val="es-VE"/>
        </w:rPr>
        <w:t xml:space="preserve">se acercó </w:t>
      </w:r>
      <w:r w:rsidR="00BB222E">
        <w:rPr>
          <w:color w:val="auto"/>
          <w:sz w:val="20"/>
          <w:szCs w:val="20"/>
          <w:lang w:val="es-VE"/>
        </w:rPr>
        <w:t xml:space="preserve">al padre </w:t>
      </w:r>
      <w:r w:rsidR="005B48C0">
        <w:rPr>
          <w:color w:val="auto"/>
          <w:sz w:val="20"/>
          <w:szCs w:val="20"/>
          <w:lang w:val="es-VE"/>
        </w:rPr>
        <w:t>un hombre qu</w:t>
      </w:r>
      <w:r w:rsidR="00D07896">
        <w:rPr>
          <w:color w:val="auto"/>
          <w:sz w:val="20"/>
          <w:szCs w:val="20"/>
          <w:lang w:val="es-VE"/>
        </w:rPr>
        <w:t>e</w:t>
      </w:r>
      <w:r w:rsidR="005B48C0">
        <w:rPr>
          <w:color w:val="auto"/>
          <w:sz w:val="20"/>
          <w:szCs w:val="20"/>
          <w:lang w:val="es-VE"/>
        </w:rPr>
        <w:t xml:space="preserve"> </w:t>
      </w:r>
      <w:r w:rsidR="00BB222E">
        <w:rPr>
          <w:color w:val="auto"/>
          <w:sz w:val="20"/>
          <w:szCs w:val="20"/>
          <w:lang w:val="es-VE"/>
        </w:rPr>
        <w:t xml:space="preserve">lo </w:t>
      </w:r>
      <w:r w:rsidR="005B48C0">
        <w:rPr>
          <w:color w:val="auto"/>
          <w:sz w:val="20"/>
          <w:szCs w:val="20"/>
          <w:lang w:val="es-VE"/>
        </w:rPr>
        <w:t xml:space="preserve">amenazó en dos oportunidades </w:t>
      </w:r>
      <w:r w:rsidR="00BB222E">
        <w:rPr>
          <w:color w:val="auto"/>
          <w:sz w:val="20"/>
          <w:szCs w:val="20"/>
          <w:lang w:val="es-VE"/>
        </w:rPr>
        <w:t>para</w:t>
      </w:r>
      <w:r w:rsidR="00D07896">
        <w:rPr>
          <w:color w:val="auto"/>
          <w:sz w:val="20"/>
          <w:szCs w:val="20"/>
          <w:lang w:val="es-VE"/>
        </w:rPr>
        <w:t xml:space="preserve"> que no diera</w:t>
      </w:r>
      <w:r w:rsidR="005B48C0">
        <w:rPr>
          <w:color w:val="auto"/>
          <w:sz w:val="20"/>
          <w:szCs w:val="20"/>
          <w:lang w:val="es-VE"/>
        </w:rPr>
        <w:t xml:space="preserve"> información al fiscal, razón por la cual</w:t>
      </w:r>
      <w:r w:rsidR="00FC450D" w:rsidRPr="00FC450D">
        <w:rPr>
          <w:color w:val="auto"/>
          <w:sz w:val="20"/>
          <w:szCs w:val="20"/>
          <w:lang w:val="es-VE"/>
        </w:rPr>
        <w:t xml:space="preserve"> no </w:t>
      </w:r>
      <w:r w:rsidR="00DD6F02">
        <w:rPr>
          <w:color w:val="auto"/>
          <w:sz w:val="20"/>
          <w:szCs w:val="20"/>
          <w:lang w:val="es-VE"/>
        </w:rPr>
        <w:t>realizó denuncia</w:t>
      </w:r>
      <w:r w:rsidR="00D07896">
        <w:rPr>
          <w:color w:val="auto"/>
          <w:sz w:val="20"/>
          <w:szCs w:val="20"/>
          <w:lang w:val="es-VE"/>
        </w:rPr>
        <w:t xml:space="preserve"> alguna</w:t>
      </w:r>
      <w:r w:rsidR="00FC450D" w:rsidRPr="00FC450D">
        <w:rPr>
          <w:color w:val="auto"/>
          <w:sz w:val="20"/>
          <w:szCs w:val="20"/>
          <w:lang w:val="es-VE"/>
        </w:rPr>
        <w:t xml:space="preserve">. </w:t>
      </w:r>
    </w:p>
    <w:p w14:paraId="15E8B199" w14:textId="77777777" w:rsidR="009264A1" w:rsidRPr="00FC450D"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4AE53AE7" w14:textId="6ADB07A4" w:rsidR="00DB2E41" w:rsidRPr="003C242B" w:rsidRDefault="00BB222E"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t>La parte peticionaria indica que el</w:t>
      </w:r>
      <w:r w:rsidR="00FC450D" w:rsidRPr="003C242B">
        <w:rPr>
          <w:color w:val="auto"/>
          <w:sz w:val="20"/>
          <w:szCs w:val="20"/>
          <w:lang w:val="es-VE"/>
        </w:rPr>
        <w:t xml:space="preserve"> padre y la hermana de la presunta víctima </w:t>
      </w:r>
      <w:r w:rsidR="00D3647F" w:rsidRPr="003C242B">
        <w:rPr>
          <w:color w:val="auto"/>
          <w:sz w:val="20"/>
          <w:szCs w:val="20"/>
          <w:lang w:val="es-VE"/>
        </w:rPr>
        <w:t xml:space="preserve">fueron </w:t>
      </w:r>
      <w:r>
        <w:rPr>
          <w:color w:val="auto"/>
          <w:sz w:val="20"/>
          <w:szCs w:val="20"/>
          <w:lang w:val="es-VE"/>
        </w:rPr>
        <w:t xml:space="preserve">luego </w:t>
      </w:r>
      <w:r w:rsidR="00D3647F" w:rsidRPr="003C242B">
        <w:rPr>
          <w:color w:val="auto"/>
          <w:sz w:val="20"/>
          <w:szCs w:val="20"/>
          <w:lang w:val="es-VE"/>
        </w:rPr>
        <w:t>trasladado</w:t>
      </w:r>
      <w:r w:rsidR="00FC450D" w:rsidRPr="003C242B">
        <w:rPr>
          <w:color w:val="auto"/>
          <w:sz w:val="20"/>
          <w:szCs w:val="20"/>
          <w:lang w:val="es-VE"/>
        </w:rPr>
        <w:t>s</w:t>
      </w:r>
      <w:r w:rsidR="00D3647F" w:rsidRPr="003C242B">
        <w:rPr>
          <w:color w:val="auto"/>
          <w:sz w:val="20"/>
          <w:szCs w:val="20"/>
          <w:lang w:val="es-VE"/>
        </w:rPr>
        <w:t xml:space="preserve"> a un lugar desconocido</w:t>
      </w:r>
      <w:r w:rsidR="00972A25">
        <w:rPr>
          <w:color w:val="auto"/>
          <w:sz w:val="20"/>
          <w:szCs w:val="20"/>
          <w:lang w:val="es-VE"/>
        </w:rPr>
        <w:t>,</w:t>
      </w:r>
      <w:r w:rsidR="00D3647F" w:rsidRPr="003C242B">
        <w:rPr>
          <w:color w:val="auto"/>
          <w:sz w:val="20"/>
          <w:szCs w:val="20"/>
          <w:lang w:val="es-VE"/>
        </w:rPr>
        <w:t xml:space="preserve"> donde los esperaban </w:t>
      </w:r>
      <w:r w:rsidR="00FC450D" w:rsidRPr="003C242B">
        <w:rPr>
          <w:color w:val="auto"/>
          <w:sz w:val="20"/>
          <w:szCs w:val="20"/>
          <w:lang w:val="es-VE"/>
        </w:rPr>
        <w:t xml:space="preserve">distintos </w:t>
      </w:r>
      <w:r w:rsidR="003C242B" w:rsidRPr="003C242B">
        <w:rPr>
          <w:color w:val="auto"/>
          <w:sz w:val="20"/>
          <w:szCs w:val="20"/>
          <w:lang w:val="es-VE"/>
        </w:rPr>
        <w:t>miembros de las AUC</w:t>
      </w:r>
      <w:r w:rsidR="00D3647F" w:rsidRPr="003C242B">
        <w:rPr>
          <w:color w:val="auto"/>
          <w:sz w:val="20"/>
          <w:szCs w:val="20"/>
          <w:lang w:val="es-VE"/>
        </w:rPr>
        <w:t xml:space="preserve">. </w:t>
      </w:r>
      <w:r w:rsidR="001A6C34">
        <w:rPr>
          <w:color w:val="auto"/>
          <w:sz w:val="20"/>
          <w:szCs w:val="20"/>
          <w:lang w:val="es-VE"/>
        </w:rPr>
        <w:t>En ese sitio</w:t>
      </w:r>
      <w:r w:rsidR="00FC450D" w:rsidRPr="003C242B">
        <w:rPr>
          <w:color w:val="auto"/>
          <w:sz w:val="20"/>
          <w:szCs w:val="20"/>
          <w:lang w:val="es-VE"/>
        </w:rPr>
        <w:t xml:space="preserve"> </w:t>
      </w:r>
      <w:r w:rsidR="001A6C34">
        <w:rPr>
          <w:color w:val="auto"/>
          <w:sz w:val="20"/>
          <w:szCs w:val="20"/>
          <w:lang w:val="es-VE"/>
        </w:rPr>
        <w:t xml:space="preserve">fueron nuevamente </w:t>
      </w:r>
      <w:r w:rsidR="00D3647F" w:rsidRPr="003C242B">
        <w:rPr>
          <w:color w:val="auto"/>
          <w:sz w:val="20"/>
          <w:szCs w:val="20"/>
          <w:lang w:val="es-VE"/>
        </w:rPr>
        <w:t>amenaza</w:t>
      </w:r>
      <w:r w:rsidR="001A6C34">
        <w:rPr>
          <w:color w:val="auto"/>
          <w:sz w:val="20"/>
          <w:szCs w:val="20"/>
          <w:lang w:val="es-VE"/>
        </w:rPr>
        <w:t xml:space="preserve">dos para que no </w:t>
      </w:r>
      <w:r w:rsidR="00D3647F" w:rsidRPr="003C242B">
        <w:rPr>
          <w:color w:val="auto"/>
          <w:sz w:val="20"/>
          <w:szCs w:val="20"/>
          <w:lang w:val="es-VE"/>
        </w:rPr>
        <w:t>denunciar</w:t>
      </w:r>
      <w:r w:rsidR="001A6C34">
        <w:rPr>
          <w:color w:val="auto"/>
          <w:sz w:val="20"/>
          <w:szCs w:val="20"/>
          <w:lang w:val="es-VE"/>
        </w:rPr>
        <w:t>an</w:t>
      </w:r>
      <w:r w:rsidR="00D3647F" w:rsidRPr="003C242B">
        <w:rPr>
          <w:color w:val="auto"/>
          <w:sz w:val="20"/>
          <w:szCs w:val="20"/>
          <w:lang w:val="es-VE"/>
        </w:rPr>
        <w:t xml:space="preserve"> </w:t>
      </w:r>
      <w:r w:rsidR="001A6C34">
        <w:rPr>
          <w:color w:val="auto"/>
          <w:sz w:val="20"/>
          <w:szCs w:val="20"/>
          <w:lang w:val="es-VE"/>
        </w:rPr>
        <w:t xml:space="preserve">que dicho grupo armado estaba </w:t>
      </w:r>
      <w:r w:rsidR="00FC450D" w:rsidRPr="003C242B">
        <w:rPr>
          <w:color w:val="auto"/>
          <w:sz w:val="20"/>
          <w:szCs w:val="20"/>
          <w:lang w:val="es-VE"/>
        </w:rPr>
        <w:t>involucra</w:t>
      </w:r>
      <w:r w:rsidR="001A6C34">
        <w:rPr>
          <w:color w:val="auto"/>
          <w:sz w:val="20"/>
          <w:szCs w:val="20"/>
          <w:lang w:val="es-VE"/>
        </w:rPr>
        <w:t xml:space="preserve">do en </w:t>
      </w:r>
      <w:r w:rsidR="00D3647F" w:rsidRPr="003C242B">
        <w:rPr>
          <w:color w:val="auto"/>
          <w:sz w:val="20"/>
          <w:szCs w:val="20"/>
          <w:lang w:val="es-VE"/>
        </w:rPr>
        <w:t xml:space="preserve">la muerte de </w:t>
      </w:r>
      <w:r w:rsidR="001A6C34">
        <w:rPr>
          <w:color w:val="auto"/>
          <w:sz w:val="20"/>
          <w:szCs w:val="20"/>
          <w:lang w:val="es-VE"/>
        </w:rPr>
        <w:t>la presunta víctima</w:t>
      </w:r>
      <w:r w:rsidR="005B48C0">
        <w:rPr>
          <w:color w:val="auto"/>
          <w:sz w:val="20"/>
          <w:szCs w:val="20"/>
          <w:lang w:val="es-VE"/>
        </w:rPr>
        <w:t xml:space="preserve">, </w:t>
      </w:r>
      <w:r w:rsidR="00FC450D" w:rsidRPr="003C242B">
        <w:rPr>
          <w:color w:val="auto"/>
          <w:sz w:val="20"/>
          <w:szCs w:val="20"/>
          <w:lang w:val="es-VE"/>
        </w:rPr>
        <w:t xml:space="preserve">por </w:t>
      </w:r>
      <w:r w:rsidR="001A6C34">
        <w:rPr>
          <w:color w:val="auto"/>
          <w:sz w:val="20"/>
          <w:szCs w:val="20"/>
          <w:lang w:val="es-VE"/>
        </w:rPr>
        <w:t xml:space="preserve">lo que regresaron </w:t>
      </w:r>
      <w:r w:rsidR="00D3647F" w:rsidRPr="003C242B">
        <w:rPr>
          <w:color w:val="auto"/>
          <w:sz w:val="20"/>
          <w:szCs w:val="20"/>
          <w:lang w:val="es-VE"/>
        </w:rPr>
        <w:t xml:space="preserve">a Cali con el cadáver </w:t>
      </w:r>
      <w:r w:rsidR="00FC450D" w:rsidRPr="003C242B">
        <w:rPr>
          <w:color w:val="auto"/>
          <w:sz w:val="20"/>
          <w:szCs w:val="20"/>
          <w:lang w:val="es-VE"/>
        </w:rPr>
        <w:t xml:space="preserve">de </w:t>
      </w:r>
      <w:r w:rsidR="001A6C34">
        <w:rPr>
          <w:color w:val="auto"/>
          <w:sz w:val="20"/>
          <w:szCs w:val="20"/>
          <w:lang w:val="es-VE"/>
        </w:rPr>
        <w:t xml:space="preserve">esta </w:t>
      </w:r>
      <w:r w:rsidR="00D3647F" w:rsidRPr="003C242B">
        <w:rPr>
          <w:color w:val="auto"/>
          <w:sz w:val="20"/>
          <w:szCs w:val="20"/>
          <w:lang w:val="es-VE"/>
        </w:rPr>
        <w:t>sin interponer de</w:t>
      </w:r>
      <w:r w:rsidR="00FC450D" w:rsidRPr="003C242B">
        <w:rPr>
          <w:color w:val="auto"/>
          <w:sz w:val="20"/>
          <w:szCs w:val="20"/>
          <w:lang w:val="es-VE"/>
        </w:rPr>
        <w:t>n</w:t>
      </w:r>
      <w:r w:rsidR="00D3647F" w:rsidRPr="003C242B">
        <w:rPr>
          <w:color w:val="auto"/>
          <w:sz w:val="20"/>
          <w:szCs w:val="20"/>
          <w:lang w:val="es-VE"/>
        </w:rPr>
        <w:t>uncia</w:t>
      </w:r>
      <w:r w:rsidR="001A6C34">
        <w:rPr>
          <w:color w:val="auto"/>
          <w:sz w:val="20"/>
          <w:szCs w:val="20"/>
          <w:lang w:val="es-VE"/>
        </w:rPr>
        <w:t xml:space="preserve"> alguna</w:t>
      </w:r>
      <w:r w:rsidR="00D3647F" w:rsidRPr="003C242B">
        <w:rPr>
          <w:color w:val="auto"/>
          <w:sz w:val="20"/>
          <w:szCs w:val="20"/>
          <w:lang w:val="es-VE"/>
        </w:rPr>
        <w:t>.</w:t>
      </w:r>
      <w:r w:rsidR="003C242B" w:rsidRPr="003C242B">
        <w:rPr>
          <w:color w:val="auto"/>
          <w:sz w:val="20"/>
          <w:szCs w:val="20"/>
          <w:lang w:val="es-VE"/>
        </w:rPr>
        <w:t xml:space="preserve"> </w:t>
      </w:r>
      <w:r w:rsidR="006B468A" w:rsidRPr="003C242B">
        <w:rPr>
          <w:color w:val="auto"/>
          <w:sz w:val="20"/>
          <w:szCs w:val="20"/>
          <w:lang w:val="es-VE"/>
        </w:rPr>
        <w:t xml:space="preserve">Argumenta que a </w:t>
      </w:r>
      <w:r w:rsidR="00D3647F" w:rsidRPr="003C242B">
        <w:rPr>
          <w:color w:val="auto"/>
          <w:sz w:val="20"/>
          <w:szCs w:val="20"/>
          <w:lang w:val="es-VE"/>
        </w:rPr>
        <w:t xml:space="preserve">los pocos días </w:t>
      </w:r>
      <w:r w:rsidR="001A7827" w:rsidRPr="003C242B">
        <w:rPr>
          <w:color w:val="auto"/>
          <w:sz w:val="20"/>
          <w:szCs w:val="20"/>
          <w:lang w:val="es-VE"/>
        </w:rPr>
        <w:t xml:space="preserve">el padre de la presunta víctima </w:t>
      </w:r>
      <w:r w:rsidR="00D3647F" w:rsidRPr="003C242B">
        <w:rPr>
          <w:color w:val="auto"/>
          <w:sz w:val="20"/>
          <w:szCs w:val="20"/>
          <w:lang w:val="es-VE"/>
        </w:rPr>
        <w:t xml:space="preserve">fue citado por la fiscalía en </w:t>
      </w:r>
      <w:r w:rsidR="006B468A" w:rsidRPr="003C242B">
        <w:rPr>
          <w:color w:val="auto"/>
          <w:sz w:val="20"/>
          <w:szCs w:val="20"/>
          <w:lang w:val="es-VE"/>
        </w:rPr>
        <w:t>C</w:t>
      </w:r>
      <w:r w:rsidR="00D3647F" w:rsidRPr="003C242B">
        <w:rPr>
          <w:color w:val="auto"/>
          <w:sz w:val="20"/>
          <w:szCs w:val="20"/>
          <w:lang w:val="es-VE"/>
        </w:rPr>
        <w:t xml:space="preserve">ali </w:t>
      </w:r>
      <w:r w:rsidR="001A6C34">
        <w:rPr>
          <w:color w:val="auto"/>
          <w:sz w:val="20"/>
          <w:szCs w:val="20"/>
          <w:lang w:val="es-VE"/>
        </w:rPr>
        <w:t>y acudió a</w:t>
      </w:r>
      <w:r w:rsidR="00D3647F" w:rsidRPr="003C242B">
        <w:rPr>
          <w:color w:val="auto"/>
          <w:sz w:val="20"/>
          <w:szCs w:val="20"/>
          <w:lang w:val="es-VE"/>
        </w:rPr>
        <w:t xml:space="preserve"> </w:t>
      </w:r>
      <w:r w:rsidR="001A6C34">
        <w:rPr>
          <w:color w:val="auto"/>
          <w:sz w:val="20"/>
          <w:szCs w:val="20"/>
          <w:lang w:val="es-VE"/>
        </w:rPr>
        <w:t>ampliar</w:t>
      </w:r>
      <w:r w:rsidR="00D3647F" w:rsidRPr="003C242B">
        <w:rPr>
          <w:color w:val="auto"/>
          <w:sz w:val="20"/>
          <w:szCs w:val="20"/>
          <w:lang w:val="es-VE"/>
        </w:rPr>
        <w:t xml:space="preserve"> </w:t>
      </w:r>
      <w:r w:rsidR="001A7827" w:rsidRPr="003C242B">
        <w:rPr>
          <w:color w:val="auto"/>
          <w:sz w:val="20"/>
          <w:szCs w:val="20"/>
          <w:lang w:val="es-VE"/>
        </w:rPr>
        <w:t>su</w:t>
      </w:r>
      <w:r w:rsidR="00D3647F" w:rsidRPr="003C242B">
        <w:rPr>
          <w:color w:val="auto"/>
          <w:sz w:val="20"/>
          <w:szCs w:val="20"/>
          <w:lang w:val="es-VE"/>
        </w:rPr>
        <w:t xml:space="preserve"> declaración</w:t>
      </w:r>
      <w:r w:rsidR="001A7827" w:rsidRPr="003C242B">
        <w:rPr>
          <w:color w:val="auto"/>
          <w:sz w:val="20"/>
          <w:szCs w:val="20"/>
          <w:lang w:val="es-VE"/>
        </w:rPr>
        <w:t xml:space="preserve">, </w:t>
      </w:r>
      <w:r w:rsidR="001A6C34">
        <w:rPr>
          <w:color w:val="auto"/>
          <w:sz w:val="20"/>
          <w:szCs w:val="20"/>
          <w:lang w:val="es-VE"/>
        </w:rPr>
        <w:t xml:space="preserve">momento en el cual </w:t>
      </w:r>
      <w:r w:rsidR="001A7827" w:rsidRPr="003C242B">
        <w:rPr>
          <w:color w:val="auto"/>
          <w:sz w:val="20"/>
          <w:szCs w:val="20"/>
          <w:lang w:val="es-VE"/>
        </w:rPr>
        <w:t xml:space="preserve">denunció </w:t>
      </w:r>
      <w:r w:rsidR="001A6C34">
        <w:rPr>
          <w:color w:val="auto"/>
          <w:sz w:val="20"/>
          <w:szCs w:val="20"/>
          <w:lang w:val="es-VE"/>
        </w:rPr>
        <w:t xml:space="preserve">que conocía a </w:t>
      </w:r>
      <w:r w:rsidR="00DA4C09">
        <w:rPr>
          <w:color w:val="auto"/>
          <w:sz w:val="20"/>
          <w:szCs w:val="20"/>
          <w:lang w:val="es-VE"/>
        </w:rPr>
        <w:t>los responsables del homicidio de su hijo</w:t>
      </w:r>
      <w:r w:rsidR="0029421E">
        <w:rPr>
          <w:color w:val="auto"/>
          <w:sz w:val="20"/>
          <w:szCs w:val="20"/>
          <w:lang w:val="es-VE"/>
        </w:rPr>
        <w:t xml:space="preserve"> y </w:t>
      </w:r>
      <w:r w:rsidR="001A6C34">
        <w:rPr>
          <w:color w:val="auto"/>
          <w:sz w:val="20"/>
          <w:szCs w:val="20"/>
          <w:lang w:val="es-VE"/>
        </w:rPr>
        <w:t xml:space="preserve">que </w:t>
      </w:r>
      <w:r w:rsidR="0029421E" w:rsidRPr="003C242B">
        <w:rPr>
          <w:color w:val="auto"/>
          <w:sz w:val="20"/>
          <w:szCs w:val="20"/>
          <w:lang w:val="es-VE"/>
        </w:rPr>
        <w:t>esta</w:t>
      </w:r>
      <w:r w:rsidR="001A6C34">
        <w:rPr>
          <w:color w:val="auto"/>
          <w:sz w:val="20"/>
          <w:szCs w:val="20"/>
          <w:lang w:val="es-VE"/>
        </w:rPr>
        <w:t>ba</w:t>
      </w:r>
      <w:r w:rsidR="0029421E" w:rsidRPr="003C242B">
        <w:rPr>
          <w:color w:val="auto"/>
          <w:sz w:val="20"/>
          <w:szCs w:val="20"/>
          <w:lang w:val="es-VE"/>
        </w:rPr>
        <w:t xml:space="preserve"> amenazado de muerte</w:t>
      </w:r>
      <w:r w:rsidR="001A6C34">
        <w:rPr>
          <w:color w:val="auto"/>
          <w:sz w:val="20"/>
          <w:szCs w:val="20"/>
          <w:lang w:val="es-VE"/>
        </w:rPr>
        <w:t>;</w:t>
      </w:r>
      <w:r w:rsidR="00DA4C09">
        <w:rPr>
          <w:color w:val="auto"/>
          <w:sz w:val="20"/>
          <w:szCs w:val="20"/>
          <w:lang w:val="es-VE"/>
        </w:rPr>
        <w:t xml:space="preserve"> sin embargo</w:t>
      </w:r>
      <w:r w:rsidR="00B07BE3">
        <w:rPr>
          <w:color w:val="auto"/>
          <w:sz w:val="20"/>
          <w:szCs w:val="20"/>
          <w:lang w:val="es-VE"/>
        </w:rPr>
        <w:t>,</w:t>
      </w:r>
      <w:r w:rsidR="00DA4C09">
        <w:rPr>
          <w:color w:val="auto"/>
          <w:sz w:val="20"/>
          <w:szCs w:val="20"/>
          <w:lang w:val="es-VE"/>
        </w:rPr>
        <w:t xml:space="preserve"> </w:t>
      </w:r>
      <w:r w:rsidR="001A7827" w:rsidRPr="003C242B">
        <w:rPr>
          <w:color w:val="auto"/>
          <w:sz w:val="20"/>
          <w:szCs w:val="20"/>
          <w:lang w:val="es-VE"/>
        </w:rPr>
        <w:t>no d</w:t>
      </w:r>
      <w:r w:rsidR="00DA4C09">
        <w:rPr>
          <w:color w:val="auto"/>
          <w:sz w:val="20"/>
          <w:szCs w:val="20"/>
          <w:lang w:val="es-VE"/>
        </w:rPr>
        <w:t>io una</w:t>
      </w:r>
      <w:r w:rsidR="001A7827" w:rsidRPr="003C242B">
        <w:rPr>
          <w:color w:val="auto"/>
          <w:sz w:val="20"/>
          <w:szCs w:val="20"/>
          <w:lang w:val="es-VE"/>
        </w:rPr>
        <w:t xml:space="preserve"> declaración específica</w:t>
      </w:r>
      <w:r w:rsidR="00DA4C09">
        <w:rPr>
          <w:color w:val="auto"/>
          <w:sz w:val="20"/>
          <w:szCs w:val="20"/>
          <w:lang w:val="es-VE"/>
        </w:rPr>
        <w:t xml:space="preserve"> sobre la identidad de </w:t>
      </w:r>
      <w:r w:rsidR="001A6C34">
        <w:rPr>
          <w:color w:val="auto"/>
          <w:sz w:val="20"/>
          <w:szCs w:val="20"/>
          <w:lang w:val="es-VE"/>
        </w:rPr>
        <w:t>dichas personas</w:t>
      </w:r>
      <w:r w:rsidR="00D01773" w:rsidRPr="003C242B">
        <w:rPr>
          <w:color w:val="auto"/>
          <w:sz w:val="20"/>
          <w:szCs w:val="20"/>
          <w:lang w:val="es-VE"/>
        </w:rPr>
        <w:t>.</w:t>
      </w:r>
      <w:r w:rsidR="001A7827" w:rsidRPr="003C242B">
        <w:rPr>
          <w:color w:val="auto"/>
          <w:sz w:val="20"/>
          <w:szCs w:val="20"/>
          <w:lang w:val="es-VE"/>
        </w:rPr>
        <w:t xml:space="preserve"> </w:t>
      </w:r>
      <w:r w:rsidR="001A6C34">
        <w:rPr>
          <w:color w:val="auto"/>
          <w:sz w:val="20"/>
          <w:szCs w:val="20"/>
          <w:lang w:val="es-VE"/>
        </w:rPr>
        <w:t xml:space="preserve">El </w:t>
      </w:r>
      <w:r w:rsidR="00D01773" w:rsidRPr="003C242B">
        <w:rPr>
          <w:color w:val="auto"/>
          <w:sz w:val="20"/>
          <w:szCs w:val="20"/>
          <w:lang w:val="es-VE"/>
        </w:rPr>
        <w:t>expediente regres</w:t>
      </w:r>
      <w:r w:rsidR="001A7827" w:rsidRPr="003C242B">
        <w:rPr>
          <w:color w:val="auto"/>
          <w:sz w:val="20"/>
          <w:szCs w:val="20"/>
          <w:lang w:val="es-VE"/>
        </w:rPr>
        <w:t>ó</w:t>
      </w:r>
      <w:r w:rsidR="00D01773" w:rsidRPr="003C242B">
        <w:rPr>
          <w:color w:val="auto"/>
          <w:sz w:val="20"/>
          <w:szCs w:val="20"/>
          <w:lang w:val="es-VE"/>
        </w:rPr>
        <w:t xml:space="preserve"> a Boyacá</w:t>
      </w:r>
      <w:r w:rsidR="001A6C34">
        <w:rPr>
          <w:color w:val="auto"/>
          <w:sz w:val="20"/>
          <w:szCs w:val="20"/>
          <w:lang w:val="es-VE"/>
        </w:rPr>
        <w:t>,</w:t>
      </w:r>
      <w:r w:rsidR="00D01773" w:rsidRPr="003C242B">
        <w:rPr>
          <w:color w:val="auto"/>
          <w:sz w:val="20"/>
          <w:szCs w:val="20"/>
          <w:lang w:val="es-VE"/>
        </w:rPr>
        <w:t xml:space="preserve"> </w:t>
      </w:r>
      <w:r w:rsidR="00DB2E41" w:rsidRPr="003C242B">
        <w:rPr>
          <w:color w:val="auto"/>
          <w:sz w:val="20"/>
          <w:szCs w:val="20"/>
          <w:lang w:val="es-VE"/>
        </w:rPr>
        <w:t xml:space="preserve">e inmediatamente </w:t>
      </w:r>
      <w:r w:rsidR="001A6C34">
        <w:rPr>
          <w:color w:val="auto"/>
          <w:sz w:val="20"/>
          <w:szCs w:val="20"/>
          <w:lang w:val="es-VE"/>
        </w:rPr>
        <w:t xml:space="preserve">después </w:t>
      </w:r>
      <w:r w:rsidR="001A6C34" w:rsidRPr="003C242B">
        <w:rPr>
          <w:color w:val="auto"/>
          <w:sz w:val="20"/>
          <w:szCs w:val="20"/>
          <w:lang w:val="es-VE"/>
        </w:rPr>
        <w:t xml:space="preserve">nuevamente </w:t>
      </w:r>
      <w:r w:rsidR="00DB2E41" w:rsidRPr="003C242B">
        <w:rPr>
          <w:color w:val="auto"/>
          <w:sz w:val="20"/>
          <w:szCs w:val="20"/>
          <w:lang w:val="es-VE"/>
        </w:rPr>
        <w:t xml:space="preserve">comenzó a recibir </w:t>
      </w:r>
      <w:r w:rsidR="00D3647F" w:rsidRPr="003C242B">
        <w:rPr>
          <w:color w:val="auto"/>
          <w:sz w:val="20"/>
          <w:szCs w:val="20"/>
          <w:lang w:val="es-VE"/>
        </w:rPr>
        <w:t xml:space="preserve">amenazas </w:t>
      </w:r>
      <w:r w:rsidR="001A6C34">
        <w:rPr>
          <w:color w:val="auto"/>
          <w:sz w:val="20"/>
          <w:szCs w:val="20"/>
          <w:lang w:val="es-VE"/>
        </w:rPr>
        <w:t xml:space="preserve">en su teléfono </w:t>
      </w:r>
      <w:r w:rsidR="00D3647F" w:rsidRPr="003C242B">
        <w:rPr>
          <w:color w:val="auto"/>
          <w:sz w:val="20"/>
          <w:szCs w:val="20"/>
          <w:lang w:val="es-VE"/>
        </w:rPr>
        <w:t>celular y</w:t>
      </w:r>
      <w:r w:rsidR="001A6C34">
        <w:rPr>
          <w:color w:val="auto"/>
          <w:sz w:val="20"/>
          <w:szCs w:val="20"/>
          <w:lang w:val="es-VE"/>
        </w:rPr>
        <w:t xml:space="preserve"> </w:t>
      </w:r>
      <w:r w:rsidR="00D3647F" w:rsidRPr="003C242B">
        <w:rPr>
          <w:color w:val="auto"/>
          <w:sz w:val="20"/>
          <w:szCs w:val="20"/>
          <w:lang w:val="es-VE"/>
        </w:rPr>
        <w:t xml:space="preserve">por </w:t>
      </w:r>
      <w:r w:rsidR="001A6C34">
        <w:rPr>
          <w:color w:val="auto"/>
          <w:sz w:val="20"/>
          <w:szCs w:val="20"/>
          <w:lang w:val="es-VE"/>
        </w:rPr>
        <w:t xml:space="preserve">medio de </w:t>
      </w:r>
      <w:r w:rsidR="00DB2E41" w:rsidRPr="003C242B">
        <w:rPr>
          <w:color w:val="auto"/>
          <w:sz w:val="20"/>
          <w:szCs w:val="20"/>
          <w:lang w:val="es-VE"/>
        </w:rPr>
        <w:t>panfletos enviados a su trabajo de parte de miembros de las AUC</w:t>
      </w:r>
      <w:r w:rsidR="00D3647F" w:rsidRPr="003C242B">
        <w:rPr>
          <w:color w:val="auto"/>
          <w:sz w:val="20"/>
          <w:szCs w:val="20"/>
          <w:lang w:val="es-VE"/>
        </w:rPr>
        <w:t xml:space="preserve">. </w:t>
      </w:r>
      <w:r w:rsidR="00C006C9">
        <w:rPr>
          <w:color w:val="auto"/>
          <w:sz w:val="20"/>
          <w:szCs w:val="20"/>
          <w:lang w:val="es-VE"/>
        </w:rPr>
        <w:t>La parte peticionaria s</w:t>
      </w:r>
      <w:r w:rsidR="00DB2E41" w:rsidRPr="003C242B">
        <w:rPr>
          <w:color w:val="auto"/>
          <w:sz w:val="20"/>
          <w:szCs w:val="20"/>
          <w:lang w:val="es-VE"/>
        </w:rPr>
        <w:t>ostiene que</w:t>
      </w:r>
      <w:r w:rsidR="00C006C9">
        <w:rPr>
          <w:color w:val="auto"/>
          <w:sz w:val="20"/>
          <w:szCs w:val="20"/>
          <w:lang w:val="es-VE"/>
        </w:rPr>
        <w:t xml:space="preserve"> además de</w:t>
      </w:r>
      <w:r w:rsidR="00DB2E41" w:rsidRPr="003C242B">
        <w:rPr>
          <w:color w:val="auto"/>
          <w:sz w:val="20"/>
          <w:szCs w:val="20"/>
          <w:lang w:val="es-VE"/>
        </w:rPr>
        <w:t xml:space="preserve"> dichas amenazas</w:t>
      </w:r>
      <w:r w:rsidR="00C006C9">
        <w:rPr>
          <w:color w:val="auto"/>
          <w:sz w:val="20"/>
          <w:szCs w:val="20"/>
          <w:lang w:val="es-VE"/>
        </w:rPr>
        <w:t>, la hermana de la presunta víctima</w:t>
      </w:r>
      <w:r w:rsidR="00DB2E41" w:rsidRPr="003C242B">
        <w:rPr>
          <w:color w:val="auto"/>
          <w:sz w:val="20"/>
          <w:szCs w:val="20"/>
          <w:lang w:val="es-VE"/>
        </w:rPr>
        <w:t xml:space="preserve"> </w:t>
      </w:r>
      <w:r w:rsidR="00C006C9">
        <w:rPr>
          <w:color w:val="auto"/>
          <w:sz w:val="20"/>
          <w:szCs w:val="20"/>
          <w:lang w:val="es-VE"/>
        </w:rPr>
        <w:t xml:space="preserve">sufrió </w:t>
      </w:r>
      <w:r w:rsidR="00DB2E41" w:rsidRPr="003C242B">
        <w:rPr>
          <w:color w:val="auto"/>
          <w:sz w:val="20"/>
          <w:szCs w:val="20"/>
          <w:lang w:val="es-VE"/>
        </w:rPr>
        <w:t xml:space="preserve">violencia física </w:t>
      </w:r>
      <w:r w:rsidR="00DB2E41" w:rsidRPr="003C242B">
        <w:rPr>
          <w:color w:val="auto"/>
          <w:sz w:val="20"/>
          <w:szCs w:val="20"/>
          <w:lang w:val="es-VE"/>
        </w:rPr>
        <w:lastRenderedPageBreak/>
        <w:t xml:space="preserve">y sexual a finales de agosto de 2004, </w:t>
      </w:r>
      <w:r w:rsidR="00C006C9">
        <w:rPr>
          <w:color w:val="auto"/>
          <w:sz w:val="20"/>
          <w:szCs w:val="20"/>
          <w:lang w:val="es-VE"/>
        </w:rPr>
        <w:t xml:space="preserve">por lo que </w:t>
      </w:r>
      <w:r w:rsidR="00DB2E41" w:rsidRPr="003C242B">
        <w:rPr>
          <w:color w:val="auto"/>
          <w:sz w:val="20"/>
          <w:szCs w:val="20"/>
          <w:lang w:val="es-VE"/>
        </w:rPr>
        <w:t xml:space="preserve">la familia víctima se desplazó a Ecuador el 14 de septiembre de 2004 </w:t>
      </w:r>
      <w:r w:rsidR="00C006C9">
        <w:rPr>
          <w:color w:val="auto"/>
          <w:sz w:val="20"/>
          <w:szCs w:val="20"/>
          <w:lang w:val="es-VE"/>
        </w:rPr>
        <w:t xml:space="preserve">y </w:t>
      </w:r>
      <w:r w:rsidR="00DB2E41" w:rsidRPr="003C242B">
        <w:rPr>
          <w:color w:val="auto"/>
          <w:sz w:val="20"/>
          <w:szCs w:val="20"/>
          <w:lang w:val="es-VE"/>
        </w:rPr>
        <w:t>abandon</w:t>
      </w:r>
      <w:r w:rsidR="00C006C9">
        <w:rPr>
          <w:color w:val="auto"/>
          <w:sz w:val="20"/>
          <w:szCs w:val="20"/>
          <w:lang w:val="es-VE"/>
        </w:rPr>
        <w:t>ó</w:t>
      </w:r>
      <w:r w:rsidR="00DB2E41" w:rsidRPr="003C242B">
        <w:rPr>
          <w:color w:val="auto"/>
          <w:sz w:val="20"/>
          <w:szCs w:val="20"/>
          <w:lang w:val="es-VE"/>
        </w:rPr>
        <w:t xml:space="preserve"> </w:t>
      </w:r>
      <w:r w:rsidR="00C02734" w:rsidRPr="003C242B">
        <w:rPr>
          <w:rFonts w:cs="Arial"/>
          <w:color w:val="auto"/>
          <w:sz w:val="20"/>
          <w:szCs w:val="20"/>
          <w:lang w:val="es-VE"/>
        </w:rPr>
        <w:t>todo lo que habí</w:t>
      </w:r>
      <w:r w:rsidR="00DB2E41" w:rsidRPr="003C242B">
        <w:rPr>
          <w:rFonts w:cs="Arial"/>
          <w:color w:val="auto"/>
          <w:sz w:val="20"/>
          <w:szCs w:val="20"/>
          <w:lang w:val="es-VE"/>
        </w:rPr>
        <w:t xml:space="preserve">an </w:t>
      </w:r>
      <w:r w:rsidR="00C02734" w:rsidRPr="003C242B">
        <w:rPr>
          <w:rFonts w:cs="Arial"/>
          <w:color w:val="auto"/>
          <w:sz w:val="20"/>
          <w:szCs w:val="20"/>
          <w:lang w:val="es-VE"/>
        </w:rPr>
        <w:t xml:space="preserve">logrado </w:t>
      </w:r>
      <w:r w:rsidR="00C006C9">
        <w:rPr>
          <w:rFonts w:cs="Arial"/>
          <w:color w:val="auto"/>
          <w:sz w:val="20"/>
          <w:szCs w:val="20"/>
          <w:lang w:val="es-VE"/>
        </w:rPr>
        <w:t>con</w:t>
      </w:r>
      <w:r w:rsidR="00C02734" w:rsidRPr="003C242B">
        <w:rPr>
          <w:rFonts w:cs="Arial"/>
          <w:color w:val="auto"/>
          <w:sz w:val="20"/>
          <w:szCs w:val="20"/>
          <w:lang w:val="es-VE"/>
        </w:rPr>
        <w:t xml:space="preserve"> </w:t>
      </w:r>
      <w:r w:rsidR="00DB2E41" w:rsidRPr="003C242B">
        <w:rPr>
          <w:rFonts w:cs="Arial"/>
          <w:color w:val="auto"/>
          <w:sz w:val="20"/>
          <w:szCs w:val="20"/>
          <w:lang w:val="es-VE"/>
        </w:rPr>
        <w:t xml:space="preserve">su </w:t>
      </w:r>
      <w:r w:rsidR="00C02734" w:rsidRPr="003C242B">
        <w:rPr>
          <w:rFonts w:cs="Arial"/>
          <w:color w:val="auto"/>
          <w:sz w:val="20"/>
          <w:szCs w:val="20"/>
          <w:lang w:val="es-VE"/>
        </w:rPr>
        <w:t>esfuerzo y trabajo</w:t>
      </w:r>
      <w:r w:rsidR="00972A25">
        <w:rPr>
          <w:rStyle w:val="FootnoteReference"/>
          <w:color w:val="auto"/>
          <w:sz w:val="20"/>
          <w:szCs w:val="20"/>
          <w:lang w:val="es-VE"/>
        </w:rPr>
        <w:footnoteReference w:id="7"/>
      </w:r>
      <w:r w:rsidR="00DB2E41" w:rsidRPr="003C242B">
        <w:rPr>
          <w:rFonts w:cs="Arial"/>
          <w:color w:val="auto"/>
          <w:sz w:val="20"/>
          <w:szCs w:val="20"/>
          <w:lang w:val="es-VE"/>
        </w:rPr>
        <w:t xml:space="preserve">. </w:t>
      </w:r>
      <w:r w:rsidR="00C02734" w:rsidRPr="003C242B">
        <w:rPr>
          <w:rFonts w:cs="Arial"/>
          <w:color w:val="auto"/>
          <w:sz w:val="20"/>
          <w:szCs w:val="20"/>
          <w:lang w:val="es-VE"/>
        </w:rPr>
        <w:t xml:space="preserve"> </w:t>
      </w:r>
    </w:p>
    <w:p w14:paraId="4E6065F5" w14:textId="77777777" w:rsidR="009264A1" w:rsidRPr="009264A1"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3625C424" w14:textId="1F4C505A" w:rsidR="00D97DE4" w:rsidRDefault="00561053"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D35817">
        <w:rPr>
          <w:color w:val="auto"/>
          <w:sz w:val="20"/>
          <w:szCs w:val="20"/>
          <w:lang w:val="es-VE"/>
        </w:rPr>
        <w:t>La</w:t>
      </w:r>
      <w:r w:rsidR="00B07BE3" w:rsidRPr="00D35817">
        <w:rPr>
          <w:color w:val="auto"/>
          <w:sz w:val="20"/>
          <w:szCs w:val="20"/>
          <w:lang w:val="es-VE"/>
        </w:rPr>
        <w:t xml:space="preserve"> investigación penal </w:t>
      </w:r>
      <w:r w:rsidR="00137341" w:rsidRPr="00D35817">
        <w:rPr>
          <w:color w:val="auto"/>
          <w:sz w:val="20"/>
          <w:szCs w:val="20"/>
          <w:lang w:val="es-VE"/>
        </w:rPr>
        <w:t>en relación con el</w:t>
      </w:r>
      <w:r w:rsidR="00B07BE3" w:rsidRPr="00D35817">
        <w:rPr>
          <w:color w:val="auto"/>
          <w:sz w:val="20"/>
          <w:szCs w:val="20"/>
          <w:lang w:val="es-VE"/>
        </w:rPr>
        <w:t xml:space="preserve"> homicidio </w:t>
      </w:r>
      <w:r w:rsidR="00D62416">
        <w:rPr>
          <w:color w:val="auto"/>
          <w:sz w:val="20"/>
          <w:szCs w:val="20"/>
          <w:lang w:val="es-VE"/>
        </w:rPr>
        <w:t xml:space="preserve">fue </w:t>
      </w:r>
      <w:r w:rsidRPr="00D35817">
        <w:rPr>
          <w:color w:val="auto"/>
          <w:sz w:val="20"/>
          <w:szCs w:val="20"/>
          <w:lang w:val="es-VE"/>
        </w:rPr>
        <w:t>inici</w:t>
      </w:r>
      <w:r w:rsidR="00D62416">
        <w:rPr>
          <w:color w:val="auto"/>
          <w:sz w:val="20"/>
          <w:szCs w:val="20"/>
          <w:lang w:val="es-VE"/>
        </w:rPr>
        <w:t xml:space="preserve">ada el mismo día </w:t>
      </w:r>
      <w:r w:rsidR="00053BF4">
        <w:rPr>
          <w:color w:val="auto"/>
          <w:sz w:val="20"/>
          <w:szCs w:val="20"/>
          <w:lang w:val="es-VE"/>
        </w:rPr>
        <w:t>por</w:t>
      </w:r>
      <w:r w:rsidR="00240937" w:rsidRPr="00D35817">
        <w:rPr>
          <w:color w:val="auto"/>
          <w:sz w:val="20"/>
          <w:szCs w:val="20"/>
          <w:lang w:val="es-VE"/>
        </w:rPr>
        <w:t xml:space="preserve"> </w:t>
      </w:r>
      <w:r w:rsidRPr="00D35817">
        <w:rPr>
          <w:color w:val="auto"/>
          <w:sz w:val="20"/>
          <w:szCs w:val="20"/>
          <w:lang w:val="es-VE"/>
        </w:rPr>
        <w:t xml:space="preserve">la </w:t>
      </w:r>
      <w:r w:rsidR="00240937" w:rsidRPr="00D35817">
        <w:rPr>
          <w:color w:val="auto"/>
          <w:sz w:val="20"/>
          <w:szCs w:val="20"/>
          <w:lang w:val="es-VE"/>
        </w:rPr>
        <w:t>Fiscalía</w:t>
      </w:r>
      <w:r w:rsidRPr="00D35817">
        <w:rPr>
          <w:color w:val="auto"/>
          <w:sz w:val="20"/>
          <w:szCs w:val="20"/>
          <w:lang w:val="es-VE"/>
        </w:rPr>
        <w:t xml:space="preserve"> I delegada ante los Jueces Penales del Circuito Puerto de Boyac</w:t>
      </w:r>
      <w:r w:rsidR="00240937" w:rsidRPr="00D35817">
        <w:rPr>
          <w:color w:val="auto"/>
          <w:sz w:val="20"/>
          <w:szCs w:val="20"/>
          <w:lang w:val="es-VE"/>
        </w:rPr>
        <w:t>á</w:t>
      </w:r>
      <w:r w:rsidR="00137341">
        <w:rPr>
          <w:color w:val="auto"/>
          <w:sz w:val="20"/>
          <w:szCs w:val="20"/>
          <w:lang w:val="es-VE"/>
        </w:rPr>
        <w:t>.</w:t>
      </w:r>
      <w:r w:rsidR="00D35817">
        <w:rPr>
          <w:color w:val="auto"/>
          <w:sz w:val="20"/>
          <w:szCs w:val="20"/>
          <w:lang w:val="es-VE"/>
        </w:rPr>
        <w:t xml:space="preserve"> </w:t>
      </w:r>
      <w:r w:rsidR="00137341">
        <w:rPr>
          <w:color w:val="auto"/>
          <w:sz w:val="20"/>
          <w:szCs w:val="20"/>
          <w:lang w:val="es-VE"/>
        </w:rPr>
        <w:t>D</w:t>
      </w:r>
      <w:r w:rsidR="00D35817" w:rsidRPr="00D35817">
        <w:rPr>
          <w:color w:val="auto"/>
          <w:sz w:val="20"/>
          <w:szCs w:val="20"/>
          <w:lang w:val="es-VE"/>
        </w:rPr>
        <w:t xml:space="preserve">ebido al traslado de la familia a Ecuador, </w:t>
      </w:r>
      <w:r w:rsidR="00137341">
        <w:rPr>
          <w:color w:val="auto"/>
          <w:sz w:val="20"/>
          <w:szCs w:val="20"/>
          <w:lang w:val="es-VE"/>
        </w:rPr>
        <w:t xml:space="preserve">la familia </w:t>
      </w:r>
      <w:r w:rsidR="00D35817">
        <w:rPr>
          <w:color w:val="auto"/>
          <w:sz w:val="20"/>
          <w:szCs w:val="20"/>
          <w:lang w:val="es-VE"/>
        </w:rPr>
        <w:t>intent</w:t>
      </w:r>
      <w:r w:rsidR="00137341">
        <w:rPr>
          <w:color w:val="auto"/>
          <w:sz w:val="20"/>
          <w:szCs w:val="20"/>
          <w:lang w:val="es-VE"/>
        </w:rPr>
        <w:t>ó</w:t>
      </w:r>
      <w:r w:rsidR="00D35817">
        <w:rPr>
          <w:color w:val="auto"/>
          <w:sz w:val="20"/>
          <w:szCs w:val="20"/>
          <w:lang w:val="es-VE"/>
        </w:rPr>
        <w:t xml:space="preserve"> </w:t>
      </w:r>
      <w:r w:rsidR="00D62416">
        <w:rPr>
          <w:color w:val="auto"/>
          <w:sz w:val="20"/>
          <w:szCs w:val="20"/>
          <w:lang w:val="es-VE"/>
        </w:rPr>
        <w:t xml:space="preserve">sin mayor éxito </w:t>
      </w:r>
      <w:r w:rsidR="00D35817">
        <w:rPr>
          <w:color w:val="auto"/>
          <w:sz w:val="20"/>
          <w:szCs w:val="20"/>
          <w:lang w:val="es-VE"/>
        </w:rPr>
        <w:t xml:space="preserve">hacer </w:t>
      </w:r>
      <w:r w:rsidR="00D35817" w:rsidRPr="00D35817">
        <w:rPr>
          <w:color w:val="auto"/>
          <w:sz w:val="20"/>
          <w:szCs w:val="20"/>
          <w:lang w:val="es-VE"/>
        </w:rPr>
        <w:t>seguimiento al</w:t>
      </w:r>
      <w:r w:rsidR="00D35817">
        <w:rPr>
          <w:color w:val="auto"/>
          <w:sz w:val="20"/>
          <w:szCs w:val="20"/>
          <w:lang w:val="es-VE"/>
        </w:rPr>
        <w:t xml:space="preserve"> </w:t>
      </w:r>
      <w:r w:rsidR="00D35817" w:rsidRPr="00D35817">
        <w:rPr>
          <w:color w:val="auto"/>
          <w:sz w:val="20"/>
          <w:szCs w:val="20"/>
          <w:lang w:val="es-VE"/>
        </w:rPr>
        <w:t>proceso</w:t>
      </w:r>
      <w:r w:rsidR="00D35817">
        <w:rPr>
          <w:color w:val="auto"/>
          <w:sz w:val="20"/>
          <w:szCs w:val="20"/>
          <w:lang w:val="es-VE"/>
        </w:rPr>
        <w:t xml:space="preserve"> por medio de la </w:t>
      </w:r>
      <w:r w:rsidR="00972A25">
        <w:rPr>
          <w:color w:val="auto"/>
          <w:sz w:val="20"/>
          <w:szCs w:val="20"/>
          <w:lang w:val="es-VE"/>
        </w:rPr>
        <w:t xml:space="preserve">Oficina del Alto Comisionado de </w:t>
      </w:r>
      <w:r w:rsidR="00D35817">
        <w:rPr>
          <w:color w:val="auto"/>
          <w:sz w:val="20"/>
          <w:szCs w:val="20"/>
          <w:lang w:val="es-VE"/>
        </w:rPr>
        <w:t>las Naciones Unidas para los Refugiados</w:t>
      </w:r>
      <w:r w:rsidR="00972A25">
        <w:rPr>
          <w:color w:val="auto"/>
          <w:sz w:val="20"/>
          <w:szCs w:val="20"/>
          <w:lang w:val="es-VE"/>
        </w:rPr>
        <w:t xml:space="preserve"> </w:t>
      </w:r>
      <w:r w:rsidR="00D35817">
        <w:rPr>
          <w:color w:val="auto"/>
          <w:sz w:val="20"/>
          <w:szCs w:val="20"/>
          <w:lang w:val="es-VE"/>
        </w:rPr>
        <w:t>(ACNUR)</w:t>
      </w:r>
      <w:r w:rsidR="008B2AF5" w:rsidRPr="00D35817">
        <w:rPr>
          <w:color w:val="auto"/>
          <w:sz w:val="20"/>
          <w:szCs w:val="20"/>
          <w:lang w:val="es-VE"/>
        </w:rPr>
        <w:t>.</w:t>
      </w:r>
      <w:r w:rsidR="00D35817" w:rsidRPr="00D35817">
        <w:rPr>
          <w:color w:val="auto"/>
          <w:sz w:val="20"/>
          <w:szCs w:val="20"/>
          <w:lang w:val="es-VE"/>
        </w:rPr>
        <w:t xml:space="preserve"> </w:t>
      </w:r>
      <w:r w:rsidR="00D62416">
        <w:rPr>
          <w:color w:val="auto"/>
          <w:sz w:val="20"/>
          <w:szCs w:val="20"/>
          <w:lang w:val="es-VE"/>
        </w:rPr>
        <w:t xml:space="preserve">En dicho sentido, </w:t>
      </w:r>
      <w:r w:rsidR="00137341">
        <w:rPr>
          <w:color w:val="auto"/>
          <w:sz w:val="20"/>
          <w:szCs w:val="20"/>
          <w:lang w:val="es-VE"/>
        </w:rPr>
        <w:t xml:space="preserve">la parte peticionaria </w:t>
      </w:r>
      <w:r w:rsidR="00D62416">
        <w:rPr>
          <w:color w:val="auto"/>
          <w:sz w:val="20"/>
          <w:szCs w:val="20"/>
          <w:lang w:val="es-VE"/>
        </w:rPr>
        <w:t>i</w:t>
      </w:r>
      <w:r w:rsidR="00D35817" w:rsidRPr="00D35817">
        <w:rPr>
          <w:color w:val="auto"/>
          <w:sz w:val="20"/>
          <w:szCs w:val="20"/>
          <w:lang w:val="es-VE"/>
        </w:rPr>
        <w:t xml:space="preserve">ndica que </w:t>
      </w:r>
      <w:r w:rsidR="00137341">
        <w:rPr>
          <w:color w:val="auto"/>
          <w:sz w:val="20"/>
          <w:szCs w:val="20"/>
          <w:lang w:val="es-VE"/>
        </w:rPr>
        <w:t xml:space="preserve">la familia </w:t>
      </w:r>
      <w:r w:rsidR="00D35817" w:rsidRPr="00D35817">
        <w:rPr>
          <w:color w:val="auto"/>
          <w:sz w:val="20"/>
          <w:szCs w:val="20"/>
          <w:lang w:val="es-VE"/>
        </w:rPr>
        <w:t>interpus</w:t>
      </w:r>
      <w:r w:rsidR="00137341">
        <w:rPr>
          <w:color w:val="auto"/>
          <w:sz w:val="20"/>
          <w:szCs w:val="20"/>
          <w:lang w:val="es-VE"/>
        </w:rPr>
        <w:t xml:space="preserve">o una </w:t>
      </w:r>
      <w:r w:rsidR="00D35817" w:rsidRPr="00D35817">
        <w:rPr>
          <w:color w:val="auto"/>
          <w:sz w:val="20"/>
          <w:szCs w:val="20"/>
          <w:lang w:val="es-VE"/>
        </w:rPr>
        <w:t xml:space="preserve">petición </w:t>
      </w:r>
      <w:r w:rsidR="00137341">
        <w:rPr>
          <w:color w:val="auto"/>
          <w:sz w:val="20"/>
          <w:szCs w:val="20"/>
          <w:lang w:val="es-VE"/>
        </w:rPr>
        <w:t xml:space="preserve">para averiguar </w:t>
      </w:r>
      <w:r w:rsidR="00D35817" w:rsidRPr="00D35817">
        <w:rPr>
          <w:color w:val="auto"/>
          <w:sz w:val="20"/>
          <w:szCs w:val="20"/>
          <w:lang w:val="es-VE"/>
        </w:rPr>
        <w:t xml:space="preserve">el estado de la investigación ante la </w:t>
      </w:r>
      <w:proofErr w:type="gramStart"/>
      <w:r w:rsidR="00D35817" w:rsidRPr="00D35817">
        <w:rPr>
          <w:color w:val="auto"/>
          <w:sz w:val="20"/>
          <w:szCs w:val="20"/>
          <w:lang w:val="es-VE"/>
        </w:rPr>
        <w:t>Fiscalía General</w:t>
      </w:r>
      <w:proofErr w:type="gramEnd"/>
      <w:r w:rsidR="00D35817" w:rsidRPr="00D35817">
        <w:rPr>
          <w:color w:val="auto"/>
          <w:sz w:val="20"/>
          <w:szCs w:val="20"/>
          <w:lang w:val="es-VE"/>
        </w:rPr>
        <w:t xml:space="preserve"> de la Nación</w:t>
      </w:r>
      <w:r w:rsidR="00137341">
        <w:rPr>
          <w:color w:val="auto"/>
          <w:sz w:val="20"/>
          <w:szCs w:val="20"/>
          <w:lang w:val="es-VE"/>
        </w:rPr>
        <w:t>;</w:t>
      </w:r>
      <w:r w:rsidR="00D35817" w:rsidRPr="00D35817">
        <w:rPr>
          <w:color w:val="auto"/>
          <w:sz w:val="20"/>
          <w:szCs w:val="20"/>
          <w:lang w:val="es-VE"/>
        </w:rPr>
        <w:t xml:space="preserve"> a través de oficio No. DFGN-00413 de 14 de febrero de 2014</w:t>
      </w:r>
      <w:r w:rsidR="00137341">
        <w:rPr>
          <w:color w:val="auto"/>
          <w:sz w:val="20"/>
          <w:szCs w:val="20"/>
          <w:lang w:val="es-VE"/>
        </w:rPr>
        <w:t xml:space="preserve">, este órgano </w:t>
      </w:r>
      <w:r w:rsidR="00D35817" w:rsidRPr="00D35817">
        <w:rPr>
          <w:color w:val="auto"/>
          <w:sz w:val="20"/>
          <w:szCs w:val="20"/>
          <w:lang w:val="es-VE"/>
        </w:rPr>
        <w:t xml:space="preserve">comunicó que tenía una </w:t>
      </w:r>
      <w:r w:rsidRPr="00D35817">
        <w:rPr>
          <w:color w:val="auto"/>
          <w:sz w:val="20"/>
          <w:szCs w:val="20"/>
          <w:lang w:val="es-VE"/>
        </w:rPr>
        <w:t xml:space="preserve">ejecutoria de inhibitoria </w:t>
      </w:r>
      <w:r w:rsidR="00D35817" w:rsidRPr="00D35817">
        <w:rPr>
          <w:color w:val="auto"/>
          <w:sz w:val="20"/>
          <w:szCs w:val="20"/>
          <w:lang w:val="es-VE"/>
        </w:rPr>
        <w:t xml:space="preserve">de </w:t>
      </w:r>
      <w:r w:rsidRPr="00D35817">
        <w:rPr>
          <w:color w:val="auto"/>
          <w:sz w:val="20"/>
          <w:szCs w:val="20"/>
          <w:lang w:val="es-VE"/>
        </w:rPr>
        <w:t>28 de junio</w:t>
      </w:r>
      <w:r w:rsidR="00D35817" w:rsidRPr="00D35817">
        <w:rPr>
          <w:color w:val="auto"/>
          <w:sz w:val="20"/>
          <w:szCs w:val="20"/>
          <w:lang w:val="es-VE"/>
        </w:rPr>
        <w:t xml:space="preserve"> </w:t>
      </w:r>
      <w:r w:rsidRPr="00D35817">
        <w:rPr>
          <w:color w:val="auto"/>
          <w:sz w:val="20"/>
          <w:szCs w:val="20"/>
          <w:lang w:val="es-VE"/>
        </w:rPr>
        <w:t xml:space="preserve">de 2004. </w:t>
      </w:r>
    </w:p>
    <w:p w14:paraId="70893809" w14:textId="77777777" w:rsidR="009264A1" w:rsidRPr="00137341"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5081C046" w14:textId="76DDB4FB" w:rsidR="00D35817" w:rsidRPr="00D35817" w:rsidRDefault="00D35817"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t xml:space="preserve">Por otra parte, alega que el 25 de marzo de 2014 </w:t>
      </w:r>
      <w:r w:rsidR="00137341">
        <w:rPr>
          <w:color w:val="auto"/>
          <w:sz w:val="20"/>
          <w:szCs w:val="20"/>
          <w:lang w:val="es-VE"/>
        </w:rPr>
        <w:t xml:space="preserve">el padre planteó una </w:t>
      </w:r>
      <w:r w:rsidR="00D97DE4">
        <w:rPr>
          <w:color w:val="auto"/>
          <w:sz w:val="20"/>
          <w:szCs w:val="20"/>
          <w:lang w:val="es-VE"/>
        </w:rPr>
        <w:t xml:space="preserve">petición a la </w:t>
      </w:r>
      <w:r w:rsidR="00137341">
        <w:rPr>
          <w:color w:val="auto"/>
          <w:sz w:val="20"/>
          <w:szCs w:val="20"/>
          <w:lang w:val="es-VE"/>
        </w:rPr>
        <w:t xml:space="preserve">Seccional Bogotá de la </w:t>
      </w:r>
      <w:r w:rsidR="00D97DE4">
        <w:rPr>
          <w:color w:val="auto"/>
          <w:sz w:val="20"/>
          <w:szCs w:val="20"/>
          <w:lang w:val="es-VE"/>
        </w:rPr>
        <w:t>Unidad para la Atención y Reparación Integral a las Víctimas</w:t>
      </w:r>
      <w:r w:rsidR="0019498F">
        <w:rPr>
          <w:color w:val="auto"/>
          <w:sz w:val="20"/>
          <w:szCs w:val="20"/>
          <w:lang w:val="es-VE"/>
        </w:rPr>
        <w:t xml:space="preserve"> (UARIV)</w:t>
      </w:r>
      <w:r w:rsidR="001B5DDF">
        <w:rPr>
          <w:color w:val="auto"/>
          <w:sz w:val="20"/>
          <w:szCs w:val="20"/>
          <w:lang w:val="es-VE"/>
        </w:rPr>
        <w:t xml:space="preserve"> para</w:t>
      </w:r>
      <w:r w:rsidR="0019498F">
        <w:rPr>
          <w:color w:val="auto"/>
          <w:sz w:val="20"/>
          <w:szCs w:val="20"/>
          <w:lang w:val="es-VE"/>
        </w:rPr>
        <w:t xml:space="preserve"> </w:t>
      </w:r>
      <w:r w:rsidR="00137341">
        <w:rPr>
          <w:color w:val="auto"/>
          <w:sz w:val="20"/>
          <w:szCs w:val="20"/>
          <w:lang w:val="es-VE"/>
        </w:rPr>
        <w:t>solicit</w:t>
      </w:r>
      <w:r w:rsidR="0019498F">
        <w:rPr>
          <w:color w:val="auto"/>
          <w:sz w:val="20"/>
          <w:szCs w:val="20"/>
          <w:lang w:val="es-VE"/>
        </w:rPr>
        <w:t>ar</w:t>
      </w:r>
      <w:r w:rsidR="00137341">
        <w:rPr>
          <w:color w:val="auto"/>
          <w:sz w:val="20"/>
          <w:szCs w:val="20"/>
          <w:lang w:val="es-VE"/>
        </w:rPr>
        <w:t xml:space="preserve"> </w:t>
      </w:r>
      <w:r w:rsidR="00D97DE4">
        <w:rPr>
          <w:color w:val="auto"/>
          <w:sz w:val="20"/>
          <w:szCs w:val="20"/>
          <w:lang w:val="es-VE"/>
        </w:rPr>
        <w:t xml:space="preserve">reparación administrativa por la muerte de </w:t>
      </w:r>
      <w:r w:rsidR="00137341">
        <w:rPr>
          <w:color w:val="auto"/>
          <w:sz w:val="20"/>
          <w:szCs w:val="20"/>
          <w:lang w:val="es-VE"/>
        </w:rPr>
        <w:t xml:space="preserve">la presunta víctima; </w:t>
      </w:r>
      <w:r w:rsidR="00D97DE4">
        <w:rPr>
          <w:color w:val="auto"/>
          <w:sz w:val="20"/>
          <w:szCs w:val="20"/>
          <w:lang w:val="es-VE"/>
        </w:rPr>
        <w:t>sin embargo</w:t>
      </w:r>
      <w:r w:rsidR="00137341">
        <w:rPr>
          <w:color w:val="auto"/>
          <w:sz w:val="20"/>
          <w:szCs w:val="20"/>
          <w:lang w:val="es-VE"/>
        </w:rPr>
        <w:t>,</w:t>
      </w:r>
      <w:r w:rsidR="00D97DE4">
        <w:rPr>
          <w:color w:val="auto"/>
          <w:sz w:val="20"/>
          <w:szCs w:val="20"/>
          <w:lang w:val="es-VE"/>
        </w:rPr>
        <w:t xml:space="preserve"> no obtuvo respuesta. En mayo de 2014 </w:t>
      </w:r>
      <w:r w:rsidR="0019498F">
        <w:rPr>
          <w:color w:val="auto"/>
          <w:sz w:val="20"/>
          <w:szCs w:val="20"/>
          <w:lang w:val="es-VE"/>
        </w:rPr>
        <w:t xml:space="preserve">interpuso </w:t>
      </w:r>
      <w:r w:rsidR="00D97DE4">
        <w:rPr>
          <w:color w:val="auto"/>
          <w:sz w:val="20"/>
          <w:szCs w:val="20"/>
          <w:lang w:val="es-VE"/>
        </w:rPr>
        <w:t xml:space="preserve">una acción de tutela contra dicha autoridad por la violación </w:t>
      </w:r>
      <w:r w:rsidR="0019498F">
        <w:rPr>
          <w:color w:val="auto"/>
          <w:sz w:val="20"/>
          <w:szCs w:val="20"/>
          <w:lang w:val="es-VE"/>
        </w:rPr>
        <w:t>de</w:t>
      </w:r>
      <w:r w:rsidR="00D97DE4">
        <w:rPr>
          <w:color w:val="auto"/>
          <w:sz w:val="20"/>
          <w:szCs w:val="20"/>
          <w:lang w:val="es-VE"/>
        </w:rPr>
        <w:t xml:space="preserve"> los derechos de la familia</w:t>
      </w:r>
      <w:r w:rsidR="0019498F">
        <w:rPr>
          <w:color w:val="auto"/>
          <w:sz w:val="20"/>
          <w:szCs w:val="20"/>
          <w:lang w:val="es-VE"/>
        </w:rPr>
        <w:t>, que</w:t>
      </w:r>
      <w:r w:rsidR="00D97DE4">
        <w:rPr>
          <w:color w:val="auto"/>
          <w:sz w:val="20"/>
          <w:szCs w:val="20"/>
          <w:lang w:val="es-VE"/>
        </w:rPr>
        <w:t xml:space="preserve"> fue resuelta </w:t>
      </w:r>
      <w:r w:rsidR="0019498F">
        <w:rPr>
          <w:color w:val="auto"/>
          <w:sz w:val="20"/>
          <w:szCs w:val="20"/>
          <w:lang w:val="es-VE"/>
        </w:rPr>
        <w:t xml:space="preserve">el </w:t>
      </w:r>
      <w:r w:rsidR="00D97DE4">
        <w:rPr>
          <w:color w:val="auto"/>
          <w:sz w:val="20"/>
          <w:szCs w:val="20"/>
          <w:lang w:val="es-VE"/>
        </w:rPr>
        <w:t xml:space="preserve">21 de mayo de 2014 por el Juzgado Primero de Ejecución de Penas y Medidas de Seguridad. </w:t>
      </w:r>
      <w:r w:rsidR="0019498F">
        <w:rPr>
          <w:color w:val="auto"/>
          <w:sz w:val="20"/>
          <w:szCs w:val="20"/>
          <w:lang w:val="es-VE"/>
        </w:rPr>
        <w:t xml:space="preserve">Dicha </w:t>
      </w:r>
      <w:r w:rsidR="00D97DE4">
        <w:rPr>
          <w:color w:val="auto"/>
          <w:sz w:val="20"/>
          <w:szCs w:val="20"/>
          <w:lang w:val="es-VE"/>
        </w:rPr>
        <w:t xml:space="preserve">autoridad ordenó a la </w:t>
      </w:r>
      <w:r w:rsidR="0019498F">
        <w:rPr>
          <w:color w:val="auto"/>
          <w:sz w:val="20"/>
          <w:szCs w:val="20"/>
          <w:lang w:val="es-VE"/>
        </w:rPr>
        <w:t>UARIV</w:t>
      </w:r>
      <w:r w:rsidR="00D97DE4">
        <w:rPr>
          <w:color w:val="auto"/>
          <w:sz w:val="20"/>
          <w:szCs w:val="20"/>
          <w:lang w:val="es-VE"/>
        </w:rPr>
        <w:t xml:space="preserve"> </w:t>
      </w:r>
      <w:r w:rsidR="0019498F">
        <w:rPr>
          <w:color w:val="auto"/>
          <w:sz w:val="20"/>
          <w:szCs w:val="20"/>
          <w:lang w:val="es-VE"/>
        </w:rPr>
        <w:t xml:space="preserve">que </w:t>
      </w:r>
      <w:r w:rsidR="00D97DE4">
        <w:rPr>
          <w:color w:val="auto"/>
          <w:sz w:val="20"/>
          <w:szCs w:val="20"/>
          <w:lang w:val="es-VE"/>
        </w:rPr>
        <w:t>d</w:t>
      </w:r>
      <w:r w:rsidR="0019498F">
        <w:rPr>
          <w:color w:val="auto"/>
          <w:sz w:val="20"/>
          <w:szCs w:val="20"/>
          <w:lang w:val="es-VE"/>
        </w:rPr>
        <w:t>ie</w:t>
      </w:r>
      <w:r w:rsidR="00D97DE4">
        <w:rPr>
          <w:color w:val="auto"/>
          <w:sz w:val="20"/>
          <w:szCs w:val="20"/>
          <w:lang w:val="es-VE"/>
        </w:rPr>
        <w:t>r</w:t>
      </w:r>
      <w:r w:rsidR="0019498F">
        <w:rPr>
          <w:color w:val="auto"/>
          <w:sz w:val="20"/>
          <w:szCs w:val="20"/>
          <w:lang w:val="es-VE"/>
        </w:rPr>
        <w:t>a</w:t>
      </w:r>
      <w:r w:rsidR="00D97DE4">
        <w:rPr>
          <w:color w:val="auto"/>
          <w:sz w:val="20"/>
          <w:szCs w:val="20"/>
          <w:lang w:val="es-VE"/>
        </w:rPr>
        <w:t xml:space="preserve"> una respuesta clara, precisa y de fondo a la petición de 25 de marzo del 2014. </w:t>
      </w:r>
      <w:r w:rsidR="0019498F">
        <w:rPr>
          <w:color w:val="auto"/>
          <w:sz w:val="20"/>
          <w:szCs w:val="20"/>
          <w:lang w:val="es-VE"/>
        </w:rPr>
        <w:t>El padre</w:t>
      </w:r>
      <w:r w:rsidR="00A643F9">
        <w:rPr>
          <w:color w:val="auto"/>
          <w:sz w:val="20"/>
          <w:szCs w:val="20"/>
          <w:lang w:val="es-VE"/>
        </w:rPr>
        <w:t xml:space="preserve"> rindió declaración ante la Personería Municipal de Ibagué el 28 de mayo de 2014 para que </w:t>
      </w:r>
      <w:r w:rsidR="0019498F">
        <w:rPr>
          <w:color w:val="auto"/>
          <w:sz w:val="20"/>
          <w:szCs w:val="20"/>
          <w:lang w:val="es-VE"/>
        </w:rPr>
        <w:t xml:space="preserve">se le inscribiera en el Registro Único de Víctimas </w:t>
      </w:r>
      <w:r w:rsidR="00A643F9">
        <w:rPr>
          <w:color w:val="auto"/>
          <w:sz w:val="20"/>
          <w:szCs w:val="20"/>
          <w:lang w:val="es-VE"/>
        </w:rPr>
        <w:t>conform</w:t>
      </w:r>
      <w:r w:rsidR="0019498F">
        <w:rPr>
          <w:color w:val="auto"/>
          <w:sz w:val="20"/>
          <w:szCs w:val="20"/>
          <w:lang w:val="es-VE"/>
        </w:rPr>
        <w:t>e</w:t>
      </w:r>
      <w:r w:rsidR="00A643F9">
        <w:rPr>
          <w:color w:val="auto"/>
          <w:sz w:val="20"/>
          <w:szCs w:val="20"/>
          <w:lang w:val="es-VE"/>
        </w:rPr>
        <w:t xml:space="preserve"> a la Ley 1448 de 2011 y al Decreto 4800 del mismo año</w:t>
      </w:r>
      <w:r w:rsidR="001B5DDF">
        <w:rPr>
          <w:color w:val="auto"/>
          <w:sz w:val="20"/>
          <w:szCs w:val="20"/>
          <w:lang w:val="es-VE"/>
        </w:rPr>
        <w:t>. M</w:t>
      </w:r>
      <w:r w:rsidR="00A643F9">
        <w:rPr>
          <w:color w:val="auto"/>
          <w:sz w:val="20"/>
          <w:szCs w:val="20"/>
          <w:lang w:val="es-VE"/>
        </w:rPr>
        <w:t xml:space="preserve">ediante Resolución No. 2014-533326 </w:t>
      </w:r>
      <w:r w:rsidR="001B5DDF">
        <w:rPr>
          <w:color w:val="auto"/>
          <w:sz w:val="20"/>
          <w:szCs w:val="20"/>
          <w:lang w:val="es-VE"/>
        </w:rPr>
        <w:t>de</w:t>
      </w:r>
      <w:r w:rsidR="00A643F9">
        <w:rPr>
          <w:color w:val="auto"/>
          <w:sz w:val="20"/>
          <w:szCs w:val="20"/>
          <w:lang w:val="es-VE"/>
        </w:rPr>
        <w:t xml:space="preserve"> 18 de julio de 2014 del </w:t>
      </w:r>
      <w:proofErr w:type="gramStart"/>
      <w:r w:rsidR="00A643F9">
        <w:rPr>
          <w:color w:val="auto"/>
          <w:sz w:val="20"/>
          <w:szCs w:val="20"/>
          <w:lang w:val="es-VE"/>
        </w:rPr>
        <w:t>Director Técnico</w:t>
      </w:r>
      <w:proofErr w:type="gramEnd"/>
      <w:r w:rsidR="00A643F9">
        <w:rPr>
          <w:color w:val="auto"/>
          <w:sz w:val="20"/>
          <w:szCs w:val="20"/>
          <w:lang w:val="es-VE"/>
        </w:rPr>
        <w:t xml:space="preserve"> de la </w:t>
      </w:r>
      <w:r w:rsidR="0019498F">
        <w:rPr>
          <w:color w:val="auto"/>
          <w:sz w:val="20"/>
          <w:szCs w:val="20"/>
          <w:lang w:val="es-VE"/>
        </w:rPr>
        <w:t>UARIV</w:t>
      </w:r>
      <w:r w:rsidR="00D62416">
        <w:rPr>
          <w:color w:val="auto"/>
          <w:sz w:val="20"/>
          <w:szCs w:val="20"/>
          <w:lang w:val="es-VE"/>
        </w:rPr>
        <w:t>,</w:t>
      </w:r>
      <w:r w:rsidR="00A643F9">
        <w:rPr>
          <w:color w:val="auto"/>
          <w:sz w:val="20"/>
          <w:szCs w:val="20"/>
          <w:lang w:val="es-VE"/>
        </w:rPr>
        <w:t xml:space="preserve"> él y su familia fueron incluidos en dicho </w:t>
      </w:r>
      <w:r w:rsidR="001B5DDF">
        <w:rPr>
          <w:color w:val="auto"/>
          <w:sz w:val="20"/>
          <w:szCs w:val="20"/>
          <w:lang w:val="es-VE"/>
        </w:rPr>
        <w:t>r</w:t>
      </w:r>
      <w:r w:rsidR="00A643F9">
        <w:rPr>
          <w:color w:val="auto"/>
          <w:sz w:val="20"/>
          <w:szCs w:val="20"/>
          <w:lang w:val="es-VE"/>
        </w:rPr>
        <w:t xml:space="preserve">egistro por los hechos </w:t>
      </w:r>
      <w:proofErr w:type="spellStart"/>
      <w:r w:rsidR="00A643F9">
        <w:rPr>
          <w:color w:val="auto"/>
          <w:sz w:val="20"/>
          <w:szCs w:val="20"/>
          <w:lang w:val="es-VE"/>
        </w:rPr>
        <w:t>victimizantes</w:t>
      </w:r>
      <w:proofErr w:type="spellEnd"/>
      <w:r w:rsidR="00A643F9">
        <w:rPr>
          <w:color w:val="auto"/>
          <w:sz w:val="20"/>
          <w:szCs w:val="20"/>
          <w:lang w:val="es-VE"/>
        </w:rPr>
        <w:t xml:space="preserve"> de homicidio y desplazamiento forzado</w:t>
      </w:r>
      <w:r w:rsidR="002B2DCF">
        <w:rPr>
          <w:rStyle w:val="FootnoteReference"/>
          <w:color w:val="auto"/>
          <w:sz w:val="20"/>
          <w:szCs w:val="20"/>
          <w:lang w:val="es-VE"/>
        </w:rPr>
        <w:footnoteReference w:id="8"/>
      </w:r>
      <w:r w:rsidR="00A643F9">
        <w:rPr>
          <w:color w:val="auto"/>
          <w:sz w:val="20"/>
          <w:szCs w:val="20"/>
          <w:lang w:val="es-VE"/>
        </w:rPr>
        <w:t xml:space="preserve">. </w:t>
      </w:r>
    </w:p>
    <w:p w14:paraId="018C4D20" w14:textId="77777777" w:rsidR="009264A1" w:rsidRP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3E2802B9" w14:textId="71F593C9" w:rsidR="00F251B0" w:rsidRPr="00D91CE7" w:rsidRDefault="00396E08"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VE"/>
        </w:rPr>
        <w:t>Por su parte</w:t>
      </w:r>
      <w:r w:rsidR="007B1706" w:rsidRPr="00053BF4">
        <w:rPr>
          <w:sz w:val="20"/>
          <w:szCs w:val="20"/>
          <w:lang w:val="es-VE"/>
        </w:rPr>
        <w:t xml:space="preserve">, el Estado </w:t>
      </w:r>
      <w:r>
        <w:rPr>
          <w:sz w:val="20"/>
          <w:szCs w:val="20"/>
          <w:lang w:val="es-VE"/>
        </w:rPr>
        <w:t xml:space="preserve">señala </w:t>
      </w:r>
      <w:r w:rsidR="007B1706" w:rsidRPr="00053BF4">
        <w:rPr>
          <w:sz w:val="20"/>
          <w:szCs w:val="20"/>
          <w:lang w:val="es-VE"/>
        </w:rPr>
        <w:t xml:space="preserve">que la Fiscalía Única Local de Puerto Boyacá inició de oficio </w:t>
      </w:r>
      <w:r w:rsidR="009F6145" w:rsidRPr="00053BF4">
        <w:rPr>
          <w:sz w:val="20"/>
          <w:szCs w:val="20"/>
          <w:lang w:val="es-VE"/>
        </w:rPr>
        <w:t>un</w:t>
      </w:r>
      <w:r w:rsidR="007B1706" w:rsidRPr="00053BF4">
        <w:rPr>
          <w:sz w:val="20"/>
          <w:szCs w:val="20"/>
          <w:lang w:val="es-VE"/>
        </w:rPr>
        <w:t>a investigación penal por homicidio</w:t>
      </w:r>
      <w:r w:rsidR="009F6145" w:rsidRPr="00053BF4">
        <w:rPr>
          <w:sz w:val="20"/>
          <w:szCs w:val="20"/>
          <w:lang w:val="es-VE"/>
        </w:rPr>
        <w:t xml:space="preserve"> de la presunta víctima</w:t>
      </w:r>
      <w:r>
        <w:rPr>
          <w:sz w:val="20"/>
          <w:szCs w:val="20"/>
          <w:lang w:val="es-VE"/>
        </w:rPr>
        <w:t>;</w:t>
      </w:r>
      <w:r w:rsidR="007B1706" w:rsidRPr="00053BF4">
        <w:rPr>
          <w:sz w:val="20"/>
          <w:szCs w:val="20"/>
          <w:lang w:val="es-VE"/>
        </w:rPr>
        <w:t xml:space="preserve"> sin embargo, conform</w:t>
      </w:r>
      <w:r>
        <w:rPr>
          <w:sz w:val="20"/>
          <w:szCs w:val="20"/>
          <w:lang w:val="es-VE"/>
        </w:rPr>
        <w:t>e</w:t>
      </w:r>
      <w:r w:rsidR="007B1706" w:rsidRPr="00053BF4">
        <w:rPr>
          <w:sz w:val="20"/>
          <w:szCs w:val="20"/>
          <w:lang w:val="es-VE"/>
        </w:rPr>
        <w:t xml:space="preserve"> con el acervo probatorio recaudado, se determinó la imposibilidad de </w:t>
      </w:r>
      <w:r>
        <w:rPr>
          <w:sz w:val="20"/>
          <w:szCs w:val="20"/>
          <w:lang w:val="es-VE"/>
        </w:rPr>
        <w:t xml:space="preserve">abrir </w:t>
      </w:r>
      <w:r w:rsidR="007B1706" w:rsidRPr="00053BF4">
        <w:rPr>
          <w:sz w:val="20"/>
          <w:szCs w:val="20"/>
          <w:lang w:val="es-VE"/>
        </w:rPr>
        <w:t xml:space="preserve">la instrucción </w:t>
      </w:r>
      <w:r>
        <w:rPr>
          <w:sz w:val="20"/>
          <w:szCs w:val="20"/>
          <w:lang w:val="es-VE"/>
        </w:rPr>
        <w:t xml:space="preserve">puesto </w:t>
      </w:r>
      <w:r w:rsidR="007B1706" w:rsidRPr="00053BF4">
        <w:rPr>
          <w:sz w:val="20"/>
          <w:szCs w:val="20"/>
          <w:lang w:val="es-VE"/>
        </w:rPr>
        <w:t xml:space="preserve">que se desconocía el autor de los hechos. En tal sentido, argumenta que la mencionada fiscalía </w:t>
      </w:r>
      <w:r>
        <w:rPr>
          <w:sz w:val="20"/>
          <w:szCs w:val="20"/>
          <w:lang w:val="es-VE"/>
        </w:rPr>
        <w:t>emiti</w:t>
      </w:r>
      <w:r w:rsidR="007B1706" w:rsidRPr="00053BF4">
        <w:rPr>
          <w:sz w:val="20"/>
          <w:szCs w:val="20"/>
          <w:lang w:val="es-VE"/>
        </w:rPr>
        <w:t xml:space="preserve">ó </w:t>
      </w:r>
      <w:r>
        <w:rPr>
          <w:sz w:val="20"/>
          <w:szCs w:val="20"/>
          <w:lang w:val="es-VE"/>
        </w:rPr>
        <w:t xml:space="preserve">una </w:t>
      </w:r>
      <w:r w:rsidR="007B1706" w:rsidRPr="00053BF4">
        <w:rPr>
          <w:sz w:val="20"/>
          <w:szCs w:val="20"/>
          <w:lang w:val="es-VE"/>
        </w:rPr>
        <w:t>resolución inhibitoria el 18 de junio de 2004</w:t>
      </w:r>
      <w:r>
        <w:rPr>
          <w:sz w:val="20"/>
          <w:szCs w:val="20"/>
          <w:lang w:val="es-VE"/>
        </w:rPr>
        <w:t>, que</w:t>
      </w:r>
      <w:r w:rsidR="007B1706" w:rsidRPr="00053BF4">
        <w:rPr>
          <w:sz w:val="20"/>
          <w:szCs w:val="20"/>
          <w:lang w:val="es-VE"/>
        </w:rPr>
        <w:t xml:space="preserve"> quedó ejecutoriada el 25 de junio del mismo año</w:t>
      </w:r>
      <w:r w:rsidR="00F251B0" w:rsidRPr="00053BF4">
        <w:rPr>
          <w:sz w:val="20"/>
          <w:szCs w:val="20"/>
          <w:lang w:val="es-VE"/>
        </w:rPr>
        <w:t xml:space="preserve"> </w:t>
      </w:r>
      <w:r w:rsidR="0044739F">
        <w:rPr>
          <w:sz w:val="20"/>
          <w:szCs w:val="20"/>
          <w:lang w:val="es-VE"/>
        </w:rPr>
        <w:t xml:space="preserve">ya que </w:t>
      </w:r>
      <w:r w:rsidR="0044739F" w:rsidRPr="00053BF4">
        <w:rPr>
          <w:sz w:val="20"/>
          <w:szCs w:val="20"/>
          <w:lang w:val="es-VE"/>
        </w:rPr>
        <w:t>los familiares de la presunta</w:t>
      </w:r>
      <w:r w:rsidR="0044739F" w:rsidRPr="00FF6D39">
        <w:rPr>
          <w:sz w:val="20"/>
          <w:szCs w:val="20"/>
          <w:lang w:val="es-VE"/>
        </w:rPr>
        <w:t xml:space="preserve"> víctima</w:t>
      </w:r>
      <w:r w:rsidR="0044739F" w:rsidRPr="00053BF4">
        <w:rPr>
          <w:sz w:val="20"/>
          <w:szCs w:val="20"/>
          <w:lang w:val="es-VE"/>
        </w:rPr>
        <w:t xml:space="preserve"> </w:t>
      </w:r>
      <w:r w:rsidR="00D91CE7" w:rsidRPr="00053BF4">
        <w:rPr>
          <w:sz w:val="20"/>
          <w:szCs w:val="20"/>
          <w:lang w:val="es-VE"/>
        </w:rPr>
        <w:t xml:space="preserve">no </w:t>
      </w:r>
      <w:r w:rsidR="00F251B0" w:rsidRPr="00053BF4">
        <w:rPr>
          <w:sz w:val="20"/>
          <w:szCs w:val="20"/>
          <w:lang w:val="es-VE"/>
        </w:rPr>
        <w:t>interpu</w:t>
      </w:r>
      <w:r w:rsidR="0044739F">
        <w:rPr>
          <w:sz w:val="20"/>
          <w:szCs w:val="20"/>
          <w:lang w:val="es-VE"/>
        </w:rPr>
        <w:t>sieron</w:t>
      </w:r>
      <w:r w:rsidR="00F251B0" w:rsidRPr="00053BF4">
        <w:rPr>
          <w:sz w:val="20"/>
          <w:szCs w:val="20"/>
          <w:lang w:val="es-VE"/>
        </w:rPr>
        <w:t xml:space="preserve"> recurso alguno</w:t>
      </w:r>
      <w:r w:rsidR="00F251B0" w:rsidRPr="00FF6D39">
        <w:rPr>
          <w:sz w:val="20"/>
          <w:szCs w:val="20"/>
          <w:lang w:val="es-VE"/>
        </w:rPr>
        <w:t xml:space="preserve">. </w:t>
      </w:r>
    </w:p>
    <w:p w14:paraId="71836A54" w14:textId="77777777" w:rsidR="009264A1" w:rsidRPr="0044739F"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36EB6A78" w14:textId="15D680C2" w:rsidR="00C250A3" w:rsidRDefault="00D91CE7"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VE"/>
        </w:rPr>
        <w:t>I</w:t>
      </w:r>
      <w:r w:rsidR="00C250A3">
        <w:rPr>
          <w:sz w:val="20"/>
          <w:szCs w:val="20"/>
          <w:lang w:val="es-VE"/>
        </w:rPr>
        <w:t>ndica que el 25 de enero de 2010</w:t>
      </w:r>
      <w:r w:rsidR="001871BA">
        <w:rPr>
          <w:sz w:val="20"/>
          <w:szCs w:val="20"/>
          <w:lang w:val="es-VE"/>
        </w:rPr>
        <w:t xml:space="preserve"> </w:t>
      </w:r>
      <w:r w:rsidR="00C250A3">
        <w:rPr>
          <w:sz w:val="20"/>
          <w:szCs w:val="20"/>
          <w:lang w:val="es-VE"/>
        </w:rPr>
        <w:t xml:space="preserve">el padre de la presunta </w:t>
      </w:r>
      <w:r w:rsidR="0044739F">
        <w:rPr>
          <w:sz w:val="20"/>
          <w:szCs w:val="20"/>
          <w:lang w:val="es-VE"/>
        </w:rPr>
        <w:t>víctima</w:t>
      </w:r>
      <w:r w:rsidR="00C250A3">
        <w:rPr>
          <w:sz w:val="20"/>
          <w:szCs w:val="20"/>
          <w:lang w:val="es-VE"/>
        </w:rPr>
        <w:t xml:space="preserve"> acudió a la Jurisdicción de Justicia y Paz para averiguar si </w:t>
      </w:r>
      <w:r w:rsidR="0044739F">
        <w:rPr>
          <w:sz w:val="20"/>
          <w:szCs w:val="20"/>
          <w:lang w:val="es-VE"/>
        </w:rPr>
        <w:t>habían recibido alguna denuncia de tales</w:t>
      </w:r>
      <w:r w:rsidR="00C250A3">
        <w:rPr>
          <w:sz w:val="20"/>
          <w:szCs w:val="20"/>
          <w:lang w:val="es-VE"/>
        </w:rPr>
        <w:t xml:space="preserve"> hechos</w:t>
      </w:r>
      <w:r w:rsidR="0044739F">
        <w:rPr>
          <w:sz w:val="20"/>
          <w:szCs w:val="20"/>
          <w:lang w:val="es-VE"/>
        </w:rPr>
        <w:t>,</w:t>
      </w:r>
      <w:r w:rsidR="00C250A3">
        <w:rPr>
          <w:sz w:val="20"/>
          <w:szCs w:val="20"/>
          <w:lang w:val="es-VE"/>
        </w:rPr>
        <w:t xml:space="preserve"> </w:t>
      </w:r>
      <w:r>
        <w:rPr>
          <w:sz w:val="20"/>
          <w:szCs w:val="20"/>
          <w:lang w:val="es-VE"/>
        </w:rPr>
        <w:t xml:space="preserve">lo </w:t>
      </w:r>
      <w:r w:rsidR="0044739F">
        <w:rPr>
          <w:sz w:val="20"/>
          <w:szCs w:val="20"/>
          <w:lang w:val="es-VE"/>
        </w:rPr>
        <w:t>que</w:t>
      </w:r>
      <w:r>
        <w:rPr>
          <w:sz w:val="20"/>
          <w:szCs w:val="20"/>
          <w:lang w:val="es-VE"/>
        </w:rPr>
        <w:t xml:space="preserve"> quedó registrado por</w:t>
      </w:r>
      <w:r w:rsidR="00C250A3">
        <w:rPr>
          <w:sz w:val="20"/>
          <w:szCs w:val="20"/>
          <w:lang w:val="es-VE"/>
        </w:rPr>
        <w:t xml:space="preserve"> la entonces Fiscalía 2 delegada ante el Tribunal de Justicia y Paz. </w:t>
      </w:r>
      <w:r w:rsidR="0044739F">
        <w:rPr>
          <w:sz w:val="20"/>
          <w:szCs w:val="20"/>
          <w:lang w:val="es-VE"/>
        </w:rPr>
        <w:t>En</w:t>
      </w:r>
      <w:r w:rsidR="00C250A3">
        <w:rPr>
          <w:sz w:val="20"/>
          <w:szCs w:val="20"/>
          <w:lang w:val="es-VE"/>
        </w:rPr>
        <w:t xml:space="preserve"> dicha oportunidad, el </w:t>
      </w:r>
      <w:r w:rsidR="0044739F">
        <w:rPr>
          <w:sz w:val="20"/>
          <w:szCs w:val="20"/>
          <w:lang w:val="es-VE"/>
        </w:rPr>
        <w:t>padre</w:t>
      </w:r>
      <w:r w:rsidR="00C250A3">
        <w:rPr>
          <w:sz w:val="20"/>
          <w:szCs w:val="20"/>
          <w:lang w:val="es-VE"/>
        </w:rPr>
        <w:t xml:space="preserve"> indicó que él y su familia fueron amenazados por miembros de las autodefensas adscritos al Cartel de Cali</w:t>
      </w:r>
      <w:r w:rsidR="0044739F">
        <w:rPr>
          <w:sz w:val="20"/>
          <w:szCs w:val="20"/>
          <w:lang w:val="es-VE"/>
        </w:rPr>
        <w:t>,</w:t>
      </w:r>
      <w:r w:rsidR="00C250A3">
        <w:rPr>
          <w:sz w:val="20"/>
          <w:szCs w:val="20"/>
          <w:lang w:val="es-VE"/>
        </w:rPr>
        <w:t xml:space="preserve"> </w:t>
      </w:r>
      <w:r w:rsidR="0044739F">
        <w:rPr>
          <w:sz w:val="20"/>
          <w:szCs w:val="20"/>
          <w:lang w:val="es-VE"/>
        </w:rPr>
        <w:t xml:space="preserve">que </w:t>
      </w:r>
      <w:r w:rsidR="00C250A3">
        <w:rPr>
          <w:sz w:val="20"/>
          <w:szCs w:val="20"/>
          <w:lang w:val="es-VE"/>
        </w:rPr>
        <w:t>posteriormente</w:t>
      </w:r>
      <w:r w:rsidR="00F3055D">
        <w:rPr>
          <w:sz w:val="20"/>
          <w:szCs w:val="20"/>
          <w:lang w:val="es-VE"/>
        </w:rPr>
        <w:t xml:space="preserve"> asesinaron a </w:t>
      </w:r>
      <w:r w:rsidR="00C250A3">
        <w:rPr>
          <w:sz w:val="20"/>
          <w:szCs w:val="20"/>
          <w:lang w:val="es-VE"/>
        </w:rPr>
        <w:t>la presunta víctima</w:t>
      </w:r>
      <w:r w:rsidR="0044739F">
        <w:rPr>
          <w:sz w:val="20"/>
          <w:szCs w:val="20"/>
          <w:lang w:val="es-VE"/>
        </w:rPr>
        <w:t>;</w:t>
      </w:r>
      <w:r w:rsidR="001871BA">
        <w:rPr>
          <w:sz w:val="20"/>
          <w:szCs w:val="20"/>
          <w:lang w:val="es-VE"/>
        </w:rPr>
        <w:t xml:space="preserve"> y </w:t>
      </w:r>
      <w:r w:rsidR="00C250A3">
        <w:rPr>
          <w:sz w:val="20"/>
          <w:szCs w:val="20"/>
          <w:lang w:val="es-VE"/>
        </w:rPr>
        <w:t>que</w:t>
      </w:r>
      <w:r w:rsidR="001871BA">
        <w:rPr>
          <w:sz w:val="20"/>
          <w:szCs w:val="20"/>
          <w:lang w:val="es-VE"/>
        </w:rPr>
        <w:t xml:space="preserve"> por temor</w:t>
      </w:r>
      <w:r w:rsidR="00C250A3">
        <w:rPr>
          <w:sz w:val="20"/>
          <w:szCs w:val="20"/>
          <w:lang w:val="es-VE"/>
        </w:rPr>
        <w:t xml:space="preserve"> no pudieron denunciar los hechos y decidieron desplazarse</w:t>
      </w:r>
      <w:r w:rsidR="001871BA">
        <w:rPr>
          <w:sz w:val="20"/>
          <w:szCs w:val="20"/>
          <w:lang w:val="es-VE"/>
        </w:rPr>
        <w:t xml:space="preserve"> a Ecuador</w:t>
      </w:r>
      <w:r w:rsidR="00C250A3">
        <w:rPr>
          <w:sz w:val="20"/>
          <w:szCs w:val="20"/>
          <w:lang w:val="es-VE"/>
        </w:rPr>
        <w:t xml:space="preserve">. </w:t>
      </w:r>
      <w:r>
        <w:rPr>
          <w:sz w:val="20"/>
          <w:szCs w:val="20"/>
          <w:lang w:val="es-VE"/>
        </w:rPr>
        <w:t>Al respecto, e</w:t>
      </w:r>
      <w:r w:rsidR="00C250A3">
        <w:rPr>
          <w:sz w:val="20"/>
          <w:szCs w:val="20"/>
          <w:lang w:val="es-VE"/>
        </w:rPr>
        <w:t xml:space="preserve">l Estado </w:t>
      </w:r>
      <w:r>
        <w:rPr>
          <w:sz w:val="20"/>
          <w:szCs w:val="20"/>
          <w:lang w:val="es-VE"/>
        </w:rPr>
        <w:t xml:space="preserve">alega </w:t>
      </w:r>
      <w:r w:rsidR="00C250A3">
        <w:rPr>
          <w:sz w:val="20"/>
          <w:szCs w:val="20"/>
          <w:lang w:val="es-VE"/>
        </w:rPr>
        <w:t>que</w:t>
      </w:r>
      <w:r w:rsidR="00BE1518">
        <w:rPr>
          <w:sz w:val="20"/>
          <w:szCs w:val="20"/>
          <w:lang w:val="es-VE"/>
        </w:rPr>
        <w:t>,</w:t>
      </w:r>
      <w:r w:rsidR="00C250A3">
        <w:rPr>
          <w:sz w:val="20"/>
          <w:szCs w:val="20"/>
          <w:lang w:val="es-VE"/>
        </w:rPr>
        <w:t xml:space="preserve"> </w:t>
      </w:r>
      <w:r w:rsidR="00ED34DF">
        <w:rPr>
          <w:sz w:val="20"/>
          <w:szCs w:val="20"/>
          <w:lang w:val="es-VE"/>
        </w:rPr>
        <w:t xml:space="preserve">en </w:t>
      </w:r>
      <w:r>
        <w:rPr>
          <w:sz w:val="20"/>
          <w:szCs w:val="20"/>
          <w:lang w:val="es-VE"/>
        </w:rPr>
        <w:t>el marco</w:t>
      </w:r>
      <w:r w:rsidR="00ED34DF">
        <w:rPr>
          <w:sz w:val="20"/>
          <w:szCs w:val="20"/>
          <w:lang w:val="es-VE"/>
        </w:rPr>
        <w:t xml:space="preserve"> del proceso de documentación de los hechos ocurridos en la zona de </w:t>
      </w:r>
      <w:r w:rsidR="00B37189">
        <w:rPr>
          <w:sz w:val="20"/>
          <w:szCs w:val="20"/>
          <w:lang w:val="es-VE"/>
        </w:rPr>
        <w:t>georreferenciación</w:t>
      </w:r>
      <w:r w:rsidR="00ED34DF">
        <w:rPr>
          <w:sz w:val="20"/>
          <w:szCs w:val="20"/>
          <w:lang w:val="es-VE"/>
        </w:rPr>
        <w:t xml:space="preserve"> de la estructura desmovilizada de Autodefensas Campesinas de Puerto Boyacá, se concretó el informe de la Policía </w:t>
      </w:r>
      <w:r w:rsidR="0044739F">
        <w:rPr>
          <w:sz w:val="20"/>
          <w:szCs w:val="20"/>
          <w:lang w:val="es-VE"/>
        </w:rPr>
        <w:t>J</w:t>
      </w:r>
      <w:r w:rsidR="00ED34DF">
        <w:rPr>
          <w:sz w:val="20"/>
          <w:szCs w:val="20"/>
          <w:lang w:val="es-VE"/>
        </w:rPr>
        <w:t>udicial No. 255 de 26 de septiembre de 2015</w:t>
      </w:r>
      <w:r w:rsidR="0044739F">
        <w:rPr>
          <w:sz w:val="20"/>
          <w:szCs w:val="20"/>
          <w:lang w:val="es-VE"/>
        </w:rPr>
        <w:t>, que</w:t>
      </w:r>
      <w:r w:rsidR="00ED34DF">
        <w:rPr>
          <w:sz w:val="20"/>
          <w:szCs w:val="20"/>
          <w:lang w:val="es-VE"/>
        </w:rPr>
        <w:t xml:space="preserve"> tuvo como base el </w:t>
      </w:r>
      <w:r w:rsidR="0044739F">
        <w:rPr>
          <w:sz w:val="20"/>
          <w:szCs w:val="20"/>
          <w:lang w:val="es-VE"/>
        </w:rPr>
        <w:t>informe</w:t>
      </w:r>
      <w:r w:rsidR="00ED34DF">
        <w:rPr>
          <w:sz w:val="20"/>
          <w:szCs w:val="20"/>
          <w:lang w:val="es-VE"/>
        </w:rPr>
        <w:t xml:space="preserve"> de los hechos realizado por </w:t>
      </w:r>
      <w:r w:rsidR="00190D7C">
        <w:rPr>
          <w:sz w:val="20"/>
          <w:szCs w:val="20"/>
          <w:lang w:val="es-VE"/>
        </w:rPr>
        <w:t>el padre de la presunta víctima</w:t>
      </w:r>
      <w:r w:rsidR="00ED34DF">
        <w:rPr>
          <w:sz w:val="20"/>
          <w:szCs w:val="20"/>
          <w:lang w:val="es-VE"/>
        </w:rPr>
        <w:t xml:space="preserve">. </w:t>
      </w:r>
      <w:r w:rsidR="00190D7C">
        <w:rPr>
          <w:sz w:val="20"/>
          <w:szCs w:val="20"/>
          <w:lang w:val="es-VE"/>
        </w:rPr>
        <w:t xml:space="preserve">Sin embargo, </w:t>
      </w:r>
      <w:r w:rsidR="0044739F">
        <w:rPr>
          <w:sz w:val="20"/>
          <w:szCs w:val="20"/>
          <w:lang w:val="es-VE"/>
        </w:rPr>
        <w:t xml:space="preserve">señala </w:t>
      </w:r>
      <w:r w:rsidR="00ED34DF">
        <w:rPr>
          <w:sz w:val="20"/>
          <w:szCs w:val="20"/>
          <w:lang w:val="es-VE"/>
        </w:rPr>
        <w:t xml:space="preserve">que en </w:t>
      </w:r>
      <w:r w:rsidR="00341267">
        <w:rPr>
          <w:sz w:val="20"/>
          <w:szCs w:val="20"/>
          <w:lang w:val="es-VE"/>
        </w:rPr>
        <w:t xml:space="preserve">la </w:t>
      </w:r>
      <w:r w:rsidR="00ED34DF">
        <w:rPr>
          <w:sz w:val="20"/>
          <w:szCs w:val="20"/>
          <w:lang w:val="es-VE"/>
        </w:rPr>
        <w:t xml:space="preserve">diligencia de versión libre realizada </w:t>
      </w:r>
      <w:r w:rsidR="00341267">
        <w:rPr>
          <w:sz w:val="20"/>
          <w:szCs w:val="20"/>
          <w:lang w:val="es-VE"/>
        </w:rPr>
        <w:t xml:space="preserve">el 26 de enero de 2017, </w:t>
      </w:r>
      <w:r w:rsidR="00ED34DF">
        <w:rPr>
          <w:sz w:val="20"/>
          <w:szCs w:val="20"/>
          <w:lang w:val="es-VE"/>
        </w:rPr>
        <w:t xml:space="preserve">el Fiscal 34 de Justicia Transicional </w:t>
      </w:r>
      <w:r w:rsidR="00341267">
        <w:rPr>
          <w:sz w:val="20"/>
          <w:szCs w:val="20"/>
          <w:lang w:val="es-VE"/>
        </w:rPr>
        <w:t xml:space="preserve">preguntó por los hechos a un </w:t>
      </w:r>
      <w:r w:rsidR="00341267" w:rsidRPr="00341267">
        <w:rPr>
          <w:sz w:val="20"/>
          <w:szCs w:val="20"/>
          <w:lang w:val="es-VE"/>
        </w:rPr>
        <w:t xml:space="preserve">ex comandante de </w:t>
      </w:r>
      <w:r w:rsidR="00DB758B">
        <w:rPr>
          <w:sz w:val="20"/>
          <w:szCs w:val="20"/>
          <w:lang w:val="es-VE"/>
        </w:rPr>
        <w:t xml:space="preserve">las </w:t>
      </w:r>
      <w:hyperlink r:id="rId18" w:tooltip="Autodefensas de Puerto Boyacá" w:history="1">
        <w:r w:rsidR="00DB758B" w:rsidRPr="00DB758B">
          <w:rPr>
            <w:sz w:val="20"/>
            <w:szCs w:val="20"/>
            <w:lang w:val="es-VE"/>
          </w:rPr>
          <w:t>Autodefensas de Puerto Boyacá</w:t>
        </w:r>
      </w:hyperlink>
      <w:r w:rsidR="00DB758B" w:rsidRPr="00DB758B">
        <w:rPr>
          <w:sz w:val="20"/>
          <w:szCs w:val="20"/>
          <w:lang w:val="es-VE"/>
        </w:rPr>
        <w:t> (APB) cuya actividad se centraba en el </w:t>
      </w:r>
      <w:hyperlink r:id="rId19" w:tooltip="Magdalena Medio" w:history="1">
        <w:r w:rsidR="00DB758B" w:rsidRPr="00DB758B">
          <w:rPr>
            <w:sz w:val="20"/>
            <w:szCs w:val="20"/>
            <w:lang w:val="es-VE"/>
          </w:rPr>
          <w:t>Magdalena Medio</w:t>
        </w:r>
      </w:hyperlink>
      <w:r w:rsidR="00DB758B">
        <w:rPr>
          <w:sz w:val="20"/>
          <w:szCs w:val="20"/>
          <w:lang w:val="es-VE"/>
        </w:rPr>
        <w:t>; este</w:t>
      </w:r>
      <w:r w:rsidR="00ED34DF">
        <w:rPr>
          <w:sz w:val="20"/>
          <w:szCs w:val="20"/>
          <w:lang w:val="es-VE"/>
        </w:rPr>
        <w:t xml:space="preserve"> </w:t>
      </w:r>
      <w:r w:rsidR="00341267">
        <w:rPr>
          <w:sz w:val="20"/>
          <w:szCs w:val="20"/>
          <w:lang w:val="es-VE"/>
        </w:rPr>
        <w:t xml:space="preserve">manifestó que </w:t>
      </w:r>
      <w:r w:rsidR="00ED34DF">
        <w:rPr>
          <w:sz w:val="20"/>
          <w:szCs w:val="20"/>
          <w:lang w:val="es-VE"/>
        </w:rPr>
        <w:t xml:space="preserve">no </w:t>
      </w:r>
      <w:r w:rsidR="00341267">
        <w:rPr>
          <w:sz w:val="20"/>
          <w:szCs w:val="20"/>
          <w:lang w:val="es-VE"/>
        </w:rPr>
        <w:t xml:space="preserve">habían sido </w:t>
      </w:r>
      <w:r w:rsidR="00ED34DF">
        <w:rPr>
          <w:sz w:val="20"/>
          <w:szCs w:val="20"/>
          <w:lang w:val="es-VE"/>
        </w:rPr>
        <w:t>cometido</w:t>
      </w:r>
      <w:r w:rsidR="00341267">
        <w:rPr>
          <w:sz w:val="20"/>
          <w:szCs w:val="20"/>
          <w:lang w:val="es-VE"/>
        </w:rPr>
        <w:t>s</w:t>
      </w:r>
      <w:r w:rsidR="00ED34DF">
        <w:rPr>
          <w:sz w:val="20"/>
          <w:szCs w:val="20"/>
          <w:lang w:val="es-VE"/>
        </w:rPr>
        <w:t xml:space="preserve"> por miembros de la estructura paramilitar que </w:t>
      </w:r>
      <w:r w:rsidR="00341267">
        <w:rPr>
          <w:sz w:val="20"/>
          <w:szCs w:val="20"/>
          <w:lang w:val="es-VE"/>
        </w:rPr>
        <w:t>é</w:t>
      </w:r>
      <w:r w:rsidR="00ED34DF">
        <w:rPr>
          <w:sz w:val="20"/>
          <w:szCs w:val="20"/>
          <w:lang w:val="es-VE"/>
        </w:rPr>
        <w:t xml:space="preserve">l comandaba. En consecuencia, el despacho fiscal concluyó que el hecho alegado no era atribuible a ex </w:t>
      </w:r>
      <w:r w:rsidR="00ED34DF">
        <w:rPr>
          <w:sz w:val="20"/>
          <w:szCs w:val="20"/>
          <w:lang w:val="es-VE"/>
        </w:rPr>
        <w:lastRenderedPageBreak/>
        <w:t>integrantes de las A</w:t>
      </w:r>
      <w:r w:rsidR="00DB758B">
        <w:rPr>
          <w:sz w:val="20"/>
          <w:szCs w:val="20"/>
          <w:lang w:val="es-VE"/>
        </w:rPr>
        <w:t>PB</w:t>
      </w:r>
      <w:r w:rsidR="00ED34DF">
        <w:rPr>
          <w:sz w:val="20"/>
          <w:szCs w:val="20"/>
          <w:lang w:val="es-VE"/>
        </w:rPr>
        <w:t xml:space="preserve">. </w:t>
      </w:r>
      <w:r w:rsidRPr="00D91CE7">
        <w:rPr>
          <w:sz w:val="20"/>
          <w:szCs w:val="20"/>
          <w:lang w:val="es-VE"/>
        </w:rPr>
        <w:t xml:space="preserve">Por otra parte, el Estado </w:t>
      </w:r>
      <w:r w:rsidR="00DB758B">
        <w:rPr>
          <w:sz w:val="20"/>
          <w:szCs w:val="20"/>
          <w:lang w:val="es-VE"/>
        </w:rPr>
        <w:t>destaca</w:t>
      </w:r>
      <w:r w:rsidRPr="00D91CE7">
        <w:rPr>
          <w:sz w:val="20"/>
          <w:szCs w:val="20"/>
          <w:lang w:val="es-VE"/>
        </w:rPr>
        <w:t xml:space="preserve"> que no </w:t>
      </w:r>
      <w:r w:rsidR="00DB758B">
        <w:rPr>
          <w:sz w:val="20"/>
          <w:szCs w:val="20"/>
          <w:lang w:val="es-VE"/>
        </w:rPr>
        <w:t>se interpuso</w:t>
      </w:r>
      <w:r w:rsidRPr="00D91CE7">
        <w:rPr>
          <w:sz w:val="20"/>
          <w:szCs w:val="20"/>
          <w:lang w:val="es-VE"/>
        </w:rPr>
        <w:t xml:space="preserve"> una denuncia penal tendiente a esclarecer las presuntas amenazas y el posterior desplazamiento al </w:t>
      </w:r>
      <w:r w:rsidR="00DB758B">
        <w:rPr>
          <w:sz w:val="20"/>
          <w:szCs w:val="20"/>
          <w:lang w:val="es-VE"/>
        </w:rPr>
        <w:t>que</w:t>
      </w:r>
      <w:r w:rsidRPr="00D91CE7">
        <w:rPr>
          <w:sz w:val="20"/>
          <w:szCs w:val="20"/>
          <w:lang w:val="es-VE"/>
        </w:rPr>
        <w:t xml:space="preserve"> se vieron sometidos los familiares.</w:t>
      </w:r>
    </w:p>
    <w:p w14:paraId="772E8A5E" w14:textId="77777777" w:rsid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00658311" w14:textId="7669355E" w:rsidR="00ED34DF" w:rsidRPr="00190D7C" w:rsidRDefault="00DB758B"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Pr>
          <w:sz w:val="20"/>
          <w:szCs w:val="20"/>
          <w:lang w:val="es-VE"/>
        </w:rPr>
        <w:t>Colombia</w:t>
      </w:r>
      <w:r w:rsidR="00B06CAB">
        <w:rPr>
          <w:sz w:val="20"/>
          <w:szCs w:val="20"/>
          <w:lang w:val="es-VE"/>
        </w:rPr>
        <w:t xml:space="preserve"> indica</w:t>
      </w:r>
      <w:r w:rsidR="00190D7C">
        <w:rPr>
          <w:sz w:val="20"/>
          <w:szCs w:val="20"/>
          <w:lang w:val="es-VE"/>
        </w:rPr>
        <w:t xml:space="preserve"> </w:t>
      </w:r>
      <w:r w:rsidR="00B06CAB">
        <w:rPr>
          <w:sz w:val="20"/>
          <w:szCs w:val="20"/>
          <w:lang w:val="es-VE"/>
        </w:rPr>
        <w:t xml:space="preserve">asimismo </w:t>
      </w:r>
      <w:r w:rsidR="00190D7C">
        <w:rPr>
          <w:sz w:val="20"/>
          <w:szCs w:val="20"/>
          <w:lang w:val="es-VE"/>
        </w:rPr>
        <w:t xml:space="preserve">que </w:t>
      </w:r>
      <w:r w:rsidR="00B06CAB">
        <w:rPr>
          <w:sz w:val="20"/>
          <w:szCs w:val="20"/>
          <w:lang w:val="es-VE"/>
        </w:rPr>
        <w:t xml:space="preserve">la </w:t>
      </w:r>
      <w:r w:rsidR="00ED34DF" w:rsidRPr="00190D7C">
        <w:rPr>
          <w:sz w:val="20"/>
          <w:szCs w:val="20"/>
          <w:lang w:val="es-VE"/>
        </w:rPr>
        <w:t xml:space="preserve">solicitud de reparación administrativa </w:t>
      </w:r>
      <w:r w:rsidR="00B06CAB">
        <w:rPr>
          <w:sz w:val="20"/>
          <w:szCs w:val="20"/>
          <w:lang w:val="es-VE"/>
        </w:rPr>
        <w:t xml:space="preserve">fue aceptada, </w:t>
      </w:r>
      <w:r w:rsidR="00ED34DF" w:rsidRPr="00190D7C">
        <w:rPr>
          <w:sz w:val="20"/>
          <w:szCs w:val="20"/>
          <w:lang w:val="es-VE"/>
        </w:rPr>
        <w:t xml:space="preserve">y </w:t>
      </w:r>
      <w:r w:rsidR="00B06CAB">
        <w:rPr>
          <w:sz w:val="20"/>
          <w:szCs w:val="20"/>
          <w:lang w:val="es-VE"/>
        </w:rPr>
        <w:t xml:space="preserve">que </w:t>
      </w:r>
      <w:r w:rsidR="0063721E">
        <w:rPr>
          <w:sz w:val="20"/>
          <w:szCs w:val="20"/>
          <w:lang w:val="es-VE"/>
        </w:rPr>
        <w:t>el</w:t>
      </w:r>
      <w:r w:rsidR="00ED34DF" w:rsidRPr="00190D7C">
        <w:rPr>
          <w:sz w:val="20"/>
          <w:szCs w:val="20"/>
          <w:lang w:val="es-VE"/>
        </w:rPr>
        <w:t xml:space="preserve"> 18 de julio de 2014 </w:t>
      </w:r>
      <w:r w:rsidR="00B06CAB">
        <w:rPr>
          <w:sz w:val="20"/>
          <w:szCs w:val="20"/>
          <w:lang w:val="es-VE"/>
        </w:rPr>
        <w:t xml:space="preserve">varios familiares </w:t>
      </w:r>
      <w:r w:rsidR="00ED34DF" w:rsidRPr="00190D7C">
        <w:rPr>
          <w:sz w:val="20"/>
          <w:szCs w:val="20"/>
          <w:lang w:val="es-VE"/>
        </w:rPr>
        <w:t xml:space="preserve">fueron inscritos en el Registro Único de Víctimas por </w:t>
      </w:r>
      <w:r w:rsidR="00190D7C">
        <w:rPr>
          <w:sz w:val="20"/>
          <w:szCs w:val="20"/>
          <w:lang w:val="es-VE"/>
        </w:rPr>
        <w:t xml:space="preserve">el </w:t>
      </w:r>
      <w:r w:rsidR="00ED34DF" w:rsidRPr="00190D7C">
        <w:rPr>
          <w:sz w:val="20"/>
          <w:szCs w:val="20"/>
          <w:lang w:val="es-VE"/>
        </w:rPr>
        <w:t>homicidio y desplazamiento forzado</w:t>
      </w:r>
      <w:r w:rsidR="00B06CAB">
        <w:rPr>
          <w:rStyle w:val="FootnoteReference"/>
          <w:sz w:val="20"/>
          <w:szCs w:val="20"/>
          <w:lang w:val="es-VE"/>
        </w:rPr>
        <w:footnoteReference w:id="9"/>
      </w:r>
      <w:r w:rsidR="00ED34DF" w:rsidRPr="00190D7C">
        <w:rPr>
          <w:sz w:val="20"/>
          <w:szCs w:val="20"/>
          <w:lang w:val="es-VE"/>
        </w:rPr>
        <w:t xml:space="preserve">. </w:t>
      </w:r>
      <w:r w:rsidR="00FB5E28">
        <w:rPr>
          <w:sz w:val="20"/>
          <w:szCs w:val="20"/>
          <w:lang w:val="es-VE"/>
        </w:rPr>
        <w:t xml:space="preserve">Agrega igualmente que los miembros de esta familia </w:t>
      </w:r>
      <w:r w:rsidR="00FB5E28" w:rsidRPr="00190D7C">
        <w:rPr>
          <w:sz w:val="20"/>
          <w:szCs w:val="20"/>
          <w:lang w:val="es-VE"/>
        </w:rPr>
        <w:t>también ha</w:t>
      </w:r>
      <w:r w:rsidR="00FB5E28">
        <w:rPr>
          <w:sz w:val="20"/>
          <w:szCs w:val="20"/>
          <w:lang w:val="es-VE"/>
        </w:rPr>
        <w:t xml:space="preserve">n </w:t>
      </w:r>
      <w:r w:rsidR="00B06CAB">
        <w:rPr>
          <w:sz w:val="20"/>
          <w:szCs w:val="20"/>
          <w:lang w:val="es-VE"/>
        </w:rPr>
        <w:t xml:space="preserve">recibido </w:t>
      </w:r>
      <w:r w:rsidR="00FB5E28" w:rsidRPr="00190D7C">
        <w:rPr>
          <w:sz w:val="20"/>
          <w:szCs w:val="20"/>
          <w:lang w:val="es-VE"/>
        </w:rPr>
        <w:t>de ayuda humanitaria,</w:t>
      </w:r>
      <w:r w:rsidR="00FB5E28">
        <w:rPr>
          <w:sz w:val="20"/>
          <w:szCs w:val="20"/>
          <w:lang w:val="es-VE"/>
        </w:rPr>
        <w:t xml:space="preserve"> aunque</w:t>
      </w:r>
      <w:r w:rsidR="00FB5E28" w:rsidRPr="00190D7C">
        <w:rPr>
          <w:sz w:val="20"/>
          <w:szCs w:val="20"/>
          <w:lang w:val="es-VE"/>
        </w:rPr>
        <w:t xml:space="preserve"> únicamente </w:t>
      </w:r>
      <w:r w:rsidR="0063721E">
        <w:rPr>
          <w:sz w:val="20"/>
          <w:szCs w:val="20"/>
          <w:lang w:val="es-VE"/>
        </w:rPr>
        <w:t>por</w:t>
      </w:r>
      <w:r w:rsidR="00FB5E28" w:rsidRPr="00190D7C">
        <w:rPr>
          <w:sz w:val="20"/>
          <w:szCs w:val="20"/>
          <w:lang w:val="es-VE"/>
        </w:rPr>
        <w:t xml:space="preserve"> los hechos de desplazamiento, </w:t>
      </w:r>
      <w:r w:rsidR="00FB5E28">
        <w:rPr>
          <w:sz w:val="20"/>
          <w:szCs w:val="20"/>
          <w:lang w:val="es-VE"/>
        </w:rPr>
        <w:t xml:space="preserve">ya </w:t>
      </w:r>
      <w:r w:rsidR="00BD53F1">
        <w:rPr>
          <w:sz w:val="20"/>
          <w:szCs w:val="20"/>
          <w:lang w:val="es-VE"/>
        </w:rPr>
        <w:t xml:space="preserve">que </w:t>
      </w:r>
      <w:r w:rsidR="00FB5E28" w:rsidRPr="00190D7C">
        <w:rPr>
          <w:sz w:val="20"/>
          <w:szCs w:val="20"/>
          <w:lang w:val="es-VE"/>
        </w:rPr>
        <w:t>no se cumple el criterio de temporalidad para el homicidio</w:t>
      </w:r>
      <w:r w:rsidR="00FB5E28">
        <w:rPr>
          <w:sz w:val="20"/>
          <w:szCs w:val="20"/>
          <w:lang w:val="es-VE"/>
        </w:rPr>
        <w:t>.</w:t>
      </w:r>
      <w:r w:rsidR="00FB5E28" w:rsidRPr="00190D7C">
        <w:rPr>
          <w:sz w:val="20"/>
          <w:szCs w:val="20"/>
          <w:lang w:val="es-VE"/>
        </w:rPr>
        <w:t xml:space="preserve"> </w:t>
      </w:r>
      <w:r w:rsidR="00FB5E28">
        <w:rPr>
          <w:sz w:val="20"/>
          <w:szCs w:val="20"/>
          <w:lang w:val="es-VE"/>
        </w:rPr>
        <w:t>En tal sentido, s</w:t>
      </w:r>
      <w:r w:rsidR="00ED34DF" w:rsidRPr="00190D7C">
        <w:rPr>
          <w:sz w:val="20"/>
          <w:szCs w:val="20"/>
          <w:lang w:val="es-VE"/>
        </w:rPr>
        <w:t xml:space="preserve">ostiene </w:t>
      </w:r>
      <w:r w:rsidR="00E261DE" w:rsidRPr="00190D7C">
        <w:rPr>
          <w:sz w:val="20"/>
          <w:szCs w:val="20"/>
          <w:lang w:val="es-VE"/>
        </w:rPr>
        <w:t xml:space="preserve">que </w:t>
      </w:r>
      <w:r w:rsidR="00190D7C" w:rsidRPr="00190D7C">
        <w:rPr>
          <w:sz w:val="20"/>
          <w:szCs w:val="20"/>
          <w:lang w:val="es-VE"/>
        </w:rPr>
        <w:t>a través</w:t>
      </w:r>
      <w:r w:rsidR="00E261DE" w:rsidRPr="00190D7C">
        <w:rPr>
          <w:sz w:val="20"/>
          <w:szCs w:val="20"/>
          <w:lang w:val="es-VE"/>
        </w:rPr>
        <w:t xml:space="preserve"> de la </w:t>
      </w:r>
      <w:r w:rsidR="0063721E">
        <w:rPr>
          <w:sz w:val="20"/>
          <w:szCs w:val="20"/>
          <w:lang w:val="es-VE"/>
        </w:rPr>
        <w:t>L</w:t>
      </w:r>
      <w:r w:rsidR="00E261DE" w:rsidRPr="00190D7C">
        <w:rPr>
          <w:sz w:val="20"/>
          <w:szCs w:val="20"/>
          <w:lang w:val="es-VE"/>
        </w:rPr>
        <w:t>ey 1448 de 2011 se les proporciona mecanismos idóneos de asistencia y reparación</w:t>
      </w:r>
      <w:r w:rsidR="0063721E">
        <w:rPr>
          <w:sz w:val="20"/>
          <w:szCs w:val="20"/>
          <w:lang w:val="es-VE"/>
        </w:rPr>
        <w:t>, que</w:t>
      </w:r>
      <w:r w:rsidR="00E261DE" w:rsidRPr="00190D7C">
        <w:rPr>
          <w:sz w:val="20"/>
          <w:szCs w:val="20"/>
          <w:lang w:val="es-VE"/>
        </w:rPr>
        <w:t xml:space="preserve"> parten de la necesidad de atender de manera efectiva a una situación estructural que </w:t>
      </w:r>
      <w:r w:rsidR="00FB5E28" w:rsidRPr="00190D7C">
        <w:rPr>
          <w:sz w:val="20"/>
          <w:szCs w:val="20"/>
          <w:lang w:val="es-VE"/>
        </w:rPr>
        <w:t>generó</w:t>
      </w:r>
      <w:r w:rsidR="00E261DE" w:rsidRPr="00190D7C">
        <w:rPr>
          <w:sz w:val="20"/>
          <w:szCs w:val="20"/>
          <w:lang w:val="es-VE"/>
        </w:rPr>
        <w:t xml:space="preserve"> una </w:t>
      </w:r>
      <w:r w:rsidR="00FB5E28" w:rsidRPr="00190D7C">
        <w:rPr>
          <w:sz w:val="20"/>
          <w:szCs w:val="20"/>
          <w:lang w:val="es-VE"/>
        </w:rPr>
        <w:t>violación</w:t>
      </w:r>
      <w:r w:rsidR="00E261DE" w:rsidRPr="00190D7C">
        <w:rPr>
          <w:sz w:val="20"/>
          <w:szCs w:val="20"/>
          <w:lang w:val="es-VE"/>
        </w:rPr>
        <w:t xml:space="preserve"> masiva d</w:t>
      </w:r>
      <w:r w:rsidR="00FB5E28">
        <w:rPr>
          <w:sz w:val="20"/>
          <w:szCs w:val="20"/>
          <w:lang w:val="es-VE"/>
        </w:rPr>
        <w:t xml:space="preserve">e </w:t>
      </w:r>
      <w:r w:rsidR="00E261DE" w:rsidRPr="00190D7C">
        <w:rPr>
          <w:sz w:val="20"/>
          <w:szCs w:val="20"/>
          <w:lang w:val="es-VE"/>
        </w:rPr>
        <w:t xml:space="preserve">derechos humanos sin que medie </w:t>
      </w:r>
      <w:r w:rsidR="00FB5E28" w:rsidRPr="00190D7C">
        <w:rPr>
          <w:sz w:val="20"/>
          <w:szCs w:val="20"/>
          <w:lang w:val="es-VE"/>
        </w:rPr>
        <w:t>juicio</w:t>
      </w:r>
      <w:r w:rsidR="00E261DE" w:rsidRPr="00190D7C">
        <w:rPr>
          <w:sz w:val="20"/>
          <w:szCs w:val="20"/>
          <w:lang w:val="es-VE"/>
        </w:rPr>
        <w:t xml:space="preserve"> de responsabilidad sobre el </w:t>
      </w:r>
      <w:r w:rsidR="00FB5E28" w:rsidRPr="00190D7C">
        <w:rPr>
          <w:sz w:val="20"/>
          <w:szCs w:val="20"/>
          <w:lang w:val="es-VE"/>
        </w:rPr>
        <w:t>Estado</w:t>
      </w:r>
      <w:r w:rsidR="00E261DE" w:rsidRPr="00190D7C">
        <w:rPr>
          <w:sz w:val="20"/>
          <w:szCs w:val="20"/>
          <w:lang w:val="es-VE"/>
        </w:rPr>
        <w:t xml:space="preserve">. </w:t>
      </w:r>
    </w:p>
    <w:p w14:paraId="5FC3F94E" w14:textId="77777777" w:rsidR="009264A1" w:rsidRP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119D5B26" w14:textId="42550E60" w:rsidR="00E261DE" w:rsidRPr="0048103D" w:rsidRDefault="00E261DE"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31322D">
        <w:rPr>
          <w:sz w:val="20"/>
          <w:szCs w:val="20"/>
          <w:lang w:val="es-VE"/>
        </w:rPr>
        <w:t xml:space="preserve">En atención a lo anterior, el Estado argumenta la inadmisibilidad de la presente petición en tanto considera que </w:t>
      </w:r>
      <w:r w:rsidR="00FB09C1">
        <w:rPr>
          <w:sz w:val="20"/>
          <w:szCs w:val="20"/>
          <w:lang w:val="es-VE"/>
        </w:rPr>
        <w:t>no expone hechos que de manera flagrante vulneren derechos garantizados por la Convención</w:t>
      </w:r>
      <w:r w:rsidR="0063721E">
        <w:rPr>
          <w:sz w:val="20"/>
          <w:szCs w:val="20"/>
          <w:lang w:val="es-VE"/>
        </w:rPr>
        <w:t xml:space="preserve"> Americana.</w:t>
      </w:r>
      <w:r w:rsidR="0031322D" w:rsidRPr="0031322D">
        <w:rPr>
          <w:sz w:val="20"/>
          <w:szCs w:val="20"/>
          <w:lang w:val="es-VE"/>
        </w:rPr>
        <w:t xml:space="preserve"> </w:t>
      </w:r>
      <w:r w:rsidR="0063721E">
        <w:rPr>
          <w:sz w:val="20"/>
          <w:szCs w:val="20"/>
          <w:lang w:val="es-VE"/>
        </w:rPr>
        <w:t xml:space="preserve">Sostiene igualmente que </w:t>
      </w:r>
      <w:r w:rsidR="0031322D" w:rsidRPr="0031322D">
        <w:rPr>
          <w:sz w:val="20"/>
          <w:szCs w:val="20"/>
          <w:lang w:val="es-VE"/>
        </w:rPr>
        <w:t xml:space="preserve">la denuncia fue presentada de forma extemporánea y </w:t>
      </w:r>
      <w:r w:rsidR="0063721E">
        <w:rPr>
          <w:sz w:val="20"/>
          <w:szCs w:val="20"/>
          <w:lang w:val="es-VE"/>
        </w:rPr>
        <w:t xml:space="preserve">que, </w:t>
      </w:r>
      <w:r w:rsidR="00DB758B" w:rsidRPr="0031322D">
        <w:rPr>
          <w:sz w:val="20"/>
          <w:szCs w:val="20"/>
          <w:lang w:val="es-VE"/>
        </w:rPr>
        <w:t>en relación con</w:t>
      </w:r>
      <w:r w:rsidRPr="0031322D">
        <w:rPr>
          <w:sz w:val="20"/>
          <w:szCs w:val="20"/>
          <w:lang w:val="es-VE"/>
        </w:rPr>
        <w:t xml:space="preserve"> las alegadas vulneraciones en el marco del proceso penal, se configuraría la </w:t>
      </w:r>
      <w:r w:rsidR="0063721E">
        <w:rPr>
          <w:sz w:val="20"/>
          <w:szCs w:val="20"/>
          <w:lang w:val="es-VE"/>
        </w:rPr>
        <w:t>llamada “</w:t>
      </w:r>
      <w:r w:rsidR="0031322D" w:rsidRPr="0031322D">
        <w:rPr>
          <w:sz w:val="20"/>
          <w:szCs w:val="20"/>
          <w:lang w:val="es-VE"/>
        </w:rPr>
        <w:t>fórmula</w:t>
      </w:r>
      <w:r w:rsidRPr="0031322D">
        <w:rPr>
          <w:sz w:val="20"/>
          <w:szCs w:val="20"/>
          <w:lang w:val="es-VE"/>
        </w:rPr>
        <w:t xml:space="preserve"> de la cuarta instancia</w:t>
      </w:r>
      <w:r w:rsidR="0063721E">
        <w:rPr>
          <w:sz w:val="20"/>
          <w:szCs w:val="20"/>
          <w:lang w:val="es-VE"/>
        </w:rPr>
        <w:t>”</w:t>
      </w:r>
      <w:r w:rsidRPr="0031322D">
        <w:rPr>
          <w:sz w:val="20"/>
          <w:szCs w:val="20"/>
          <w:lang w:val="es-VE"/>
        </w:rPr>
        <w:t xml:space="preserve">. </w:t>
      </w:r>
      <w:r w:rsidR="0031322D" w:rsidRPr="0031322D">
        <w:rPr>
          <w:sz w:val="20"/>
          <w:szCs w:val="20"/>
          <w:lang w:val="es-VE"/>
        </w:rPr>
        <w:t xml:space="preserve">En particular, </w:t>
      </w:r>
      <w:r w:rsidR="0031322D">
        <w:rPr>
          <w:sz w:val="20"/>
          <w:szCs w:val="20"/>
          <w:lang w:val="es-VE"/>
        </w:rPr>
        <w:t>sostiene que</w:t>
      </w:r>
      <w:r w:rsidR="006E7343" w:rsidRPr="0031322D">
        <w:rPr>
          <w:sz w:val="20"/>
          <w:szCs w:val="20"/>
          <w:lang w:val="es-VE"/>
        </w:rPr>
        <w:t xml:space="preserve"> </w:t>
      </w:r>
      <w:r w:rsidR="0031322D">
        <w:rPr>
          <w:sz w:val="20"/>
          <w:szCs w:val="20"/>
          <w:lang w:val="es-VE"/>
        </w:rPr>
        <w:t>l</w:t>
      </w:r>
      <w:r w:rsidR="006E7343" w:rsidRPr="0031322D">
        <w:rPr>
          <w:sz w:val="20"/>
          <w:szCs w:val="20"/>
          <w:lang w:val="es-VE"/>
        </w:rPr>
        <w:t xml:space="preserve">a petición inicial debe contener </w:t>
      </w:r>
      <w:r w:rsidR="0031322D" w:rsidRPr="0031322D">
        <w:rPr>
          <w:sz w:val="20"/>
          <w:szCs w:val="20"/>
          <w:lang w:val="es-VE"/>
        </w:rPr>
        <w:t>elementos</w:t>
      </w:r>
      <w:r w:rsidR="006E7343" w:rsidRPr="0031322D">
        <w:rPr>
          <w:sz w:val="20"/>
          <w:szCs w:val="20"/>
          <w:lang w:val="es-VE"/>
        </w:rPr>
        <w:t xml:space="preserve"> probatorios que </w:t>
      </w:r>
      <w:r w:rsidR="0031322D" w:rsidRPr="0031322D">
        <w:rPr>
          <w:sz w:val="20"/>
          <w:szCs w:val="20"/>
          <w:lang w:val="es-VE"/>
        </w:rPr>
        <w:t>brinden</w:t>
      </w:r>
      <w:r w:rsidR="006E7343" w:rsidRPr="0031322D">
        <w:rPr>
          <w:sz w:val="20"/>
          <w:szCs w:val="20"/>
          <w:lang w:val="es-VE"/>
        </w:rPr>
        <w:t xml:space="preserve"> </w:t>
      </w:r>
      <w:r w:rsidR="0031322D" w:rsidRPr="0031322D">
        <w:rPr>
          <w:sz w:val="20"/>
          <w:szCs w:val="20"/>
          <w:lang w:val="es-VE"/>
        </w:rPr>
        <w:t>mínimos</w:t>
      </w:r>
      <w:r w:rsidR="006E7343" w:rsidRPr="0031322D">
        <w:rPr>
          <w:sz w:val="20"/>
          <w:szCs w:val="20"/>
          <w:lang w:val="es-VE"/>
        </w:rPr>
        <w:t xml:space="preserve"> f</w:t>
      </w:r>
      <w:r w:rsidR="0031322D">
        <w:rPr>
          <w:sz w:val="20"/>
          <w:szCs w:val="20"/>
          <w:lang w:val="es-VE"/>
        </w:rPr>
        <w:t>á</w:t>
      </w:r>
      <w:r w:rsidR="006E7343" w:rsidRPr="0031322D">
        <w:rPr>
          <w:sz w:val="20"/>
          <w:szCs w:val="20"/>
          <w:lang w:val="es-VE"/>
        </w:rPr>
        <w:t>cticos</w:t>
      </w:r>
      <w:r w:rsidR="0031322D">
        <w:rPr>
          <w:sz w:val="20"/>
          <w:szCs w:val="20"/>
          <w:lang w:val="es-VE"/>
        </w:rPr>
        <w:t xml:space="preserve"> </w:t>
      </w:r>
      <w:r w:rsidR="0063721E">
        <w:rPr>
          <w:sz w:val="20"/>
          <w:szCs w:val="20"/>
          <w:lang w:val="es-VE"/>
        </w:rPr>
        <w:t xml:space="preserve">para </w:t>
      </w:r>
      <w:r w:rsidR="0031322D" w:rsidRPr="0031322D">
        <w:rPr>
          <w:sz w:val="20"/>
          <w:szCs w:val="20"/>
          <w:lang w:val="es-VE"/>
        </w:rPr>
        <w:t>discernir</w:t>
      </w:r>
      <w:r w:rsidR="006E7343" w:rsidRPr="0031322D">
        <w:rPr>
          <w:sz w:val="20"/>
          <w:szCs w:val="20"/>
          <w:lang w:val="es-VE"/>
        </w:rPr>
        <w:t xml:space="preserve"> </w:t>
      </w:r>
      <w:r w:rsidR="0063721E">
        <w:rPr>
          <w:sz w:val="20"/>
          <w:szCs w:val="20"/>
          <w:lang w:val="es-VE"/>
        </w:rPr>
        <w:t>que hubo alguna</w:t>
      </w:r>
      <w:r w:rsidR="006E7343" w:rsidRPr="0031322D">
        <w:rPr>
          <w:sz w:val="20"/>
          <w:szCs w:val="20"/>
          <w:lang w:val="es-VE"/>
        </w:rPr>
        <w:t xml:space="preserve"> </w:t>
      </w:r>
      <w:r w:rsidR="0031322D" w:rsidRPr="00BA2449">
        <w:rPr>
          <w:color w:val="auto"/>
          <w:sz w:val="20"/>
          <w:szCs w:val="20"/>
          <w:lang w:val="es-VE"/>
        </w:rPr>
        <w:t>violación</w:t>
      </w:r>
      <w:r w:rsidR="006E7343" w:rsidRPr="00BA2449">
        <w:rPr>
          <w:color w:val="auto"/>
          <w:sz w:val="20"/>
          <w:szCs w:val="20"/>
          <w:lang w:val="es-VE"/>
        </w:rPr>
        <w:t xml:space="preserve"> </w:t>
      </w:r>
      <w:r w:rsidR="0031322D" w:rsidRPr="00BA2449">
        <w:rPr>
          <w:color w:val="auto"/>
          <w:sz w:val="20"/>
          <w:szCs w:val="20"/>
          <w:lang w:val="es-VE"/>
        </w:rPr>
        <w:t>potencialmente</w:t>
      </w:r>
      <w:r w:rsidR="006E7343" w:rsidRPr="00BA2449">
        <w:rPr>
          <w:color w:val="auto"/>
          <w:sz w:val="20"/>
          <w:szCs w:val="20"/>
          <w:lang w:val="es-VE"/>
        </w:rPr>
        <w:t xml:space="preserve"> atribuible al Estado. </w:t>
      </w:r>
      <w:r w:rsidR="0031322D" w:rsidRPr="00BA2449">
        <w:rPr>
          <w:color w:val="auto"/>
          <w:sz w:val="20"/>
          <w:szCs w:val="20"/>
          <w:lang w:val="es-VE"/>
        </w:rPr>
        <w:t>C</w:t>
      </w:r>
      <w:r w:rsidR="006E7343" w:rsidRPr="00BA2449">
        <w:rPr>
          <w:color w:val="auto"/>
          <w:sz w:val="20"/>
          <w:szCs w:val="20"/>
          <w:lang w:val="es-VE"/>
        </w:rPr>
        <w:t xml:space="preserve">onsidera que </w:t>
      </w:r>
      <w:r w:rsidR="0031322D" w:rsidRPr="00BA2449">
        <w:rPr>
          <w:color w:val="auto"/>
          <w:sz w:val="20"/>
          <w:szCs w:val="20"/>
          <w:lang w:val="es-VE"/>
        </w:rPr>
        <w:t>la</w:t>
      </w:r>
      <w:r w:rsidR="006E7343" w:rsidRPr="00BA2449">
        <w:rPr>
          <w:color w:val="auto"/>
          <w:sz w:val="20"/>
          <w:szCs w:val="20"/>
          <w:lang w:val="es-VE"/>
        </w:rPr>
        <w:t xml:space="preserve"> petición </w:t>
      </w:r>
      <w:r w:rsidR="0063721E">
        <w:rPr>
          <w:color w:val="auto"/>
          <w:sz w:val="20"/>
          <w:szCs w:val="20"/>
          <w:lang w:val="es-VE"/>
        </w:rPr>
        <w:t xml:space="preserve">bajo estudio </w:t>
      </w:r>
      <w:r w:rsidR="006E7343" w:rsidRPr="00BA2449">
        <w:rPr>
          <w:color w:val="auto"/>
          <w:sz w:val="20"/>
          <w:szCs w:val="20"/>
          <w:lang w:val="es-VE"/>
        </w:rPr>
        <w:t xml:space="preserve">no contiene elementos suficientes </w:t>
      </w:r>
      <w:r w:rsidR="0063721E">
        <w:rPr>
          <w:color w:val="auto"/>
          <w:sz w:val="20"/>
          <w:szCs w:val="20"/>
          <w:lang w:val="es-VE"/>
        </w:rPr>
        <w:t>para la posible</w:t>
      </w:r>
      <w:r w:rsidR="006E7343" w:rsidRPr="00BA2449">
        <w:rPr>
          <w:color w:val="auto"/>
          <w:sz w:val="20"/>
          <w:szCs w:val="20"/>
          <w:lang w:val="es-VE"/>
        </w:rPr>
        <w:t xml:space="preserve"> </w:t>
      </w:r>
      <w:r w:rsidR="0063721E">
        <w:rPr>
          <w:color w:val="auto"/>
          <w:sz w:val="20"/>
          <w:szCs w:val="20"/>
          <w:lang w:val="es-VE"/>
        </w:rPr>
        <w:t>atribución de</w:t>
      </w:r>
      <w:r w:rsidR="006E7343" w:rsidRPr="00BA2449">
        <w:rPr>
          <w:color w:val="auto"/>
          <w:sz w:val="20"/>
          <w:szCs w:val="20"/>
          <w:lang w:val="es-VE"/>
        </w:rPr>
        <w:t xml:space="preserve"> </w:t>
      </w:r>
      <w:r w:rsidR="0031322D" w:rsidRPr="00BA2449">
        <w:rPr>
          <w:color w:val="auto"/>
          <w:sz w:val="20"/>
          <w:szCs w:val="20"/>
          <w:lang w:val="es-VE"/>
        </w:rPr>
        <w:t>responsabilidad</w:t>
      </w:r>
      <w:r w:rsidR="006E7343" w:rsidRPr="00BA2449">
        <w:rPr>
          <w:color w:val="auto"/>
          <w:sz w:val="20"/>
          <w:szCs w:val="20"/>
          <w:lang w:val="es-VE"/>
        </w:rPr>
        <w:t xml:space="preserve"> por actos d</w:t>
      </w:r>
      <w:r w:rsidR="0031322D" w:rsidRPr="00BA2449">
        <w:rPr>
          <w:color w:val="auto"/>
          <w:sz w:val="20"/>
          <w:szCs w:val="20"/>
          <w:lang w:val="es-VE"/>
        </w:rPr>
        <w:t>e</w:t>
      </w:r>
      <w:r w:rsidR="006E7343" w:rsidRPr="00BA2449">
        <w:rPr>
          <w:color w:val="auto"/>
          <w:sz w:val="20"/>
          <w:szCs w:val="20"/>
          <w:lang w:val="es-VE"/>
        </w:rPr>
        <w:t xml:space="preserve"> terceros</w:t>
      </w:r>
      <w:r w:rsidR="0063721E">
        <w:rPr>
          <w:color w:val="auto"/>
          <w:sz w:val="20"/>
          <w:szCs w:val="20"/>
          <w:lang w:val="es-VE"/>
        </w:rPr>
        <w:t>,</w:t>
      </w:r>
      <w:r w:rsidR="0031322D" w:rsidRPr="00BA2449">
        <w:rPr>
          <w:color w:val="auto"/>
          <w:sz w:val="20"/>
          <w:szCs w:val="20"/>
          <w:lang w:val="es-VE"/>
        </w:rPr>
        <w:t xml:space="preserve"> t</w:t>
      </w:r>
      <w:r w:rsidR="006E7343" w:rsidRPr="00BA2449">
        <w:rPr>
          <w:color w:val="auto"/>
          <w:sz w:val="20"/>
          <w:szCs w:val="20"/>
          <w:lang w:val="es-VE"/>
        </w:rPr>
        <w:t>oda</w:t>
      </w:r>
      <w:r w:rsidR="0031322D" w:rsidRPr="00BA2449">
        <w:rPr>
          <w:color w:val="auto"/>
          <w:sz w:val="20"/>
          <w:szCs w:val="20"/>
          <w:lang w:val="es-VE"/>
        </w:rPr>
        <w:t xml:space="preserve"> </w:t>
      </w:r>
      <w:r w:rsidR="006E7343" w:rsidRPr="00BA2449">
        <w:rPr>
          <w:color w:val="auto"/>
          <w:sz w:val="20"/>
          <w:szCs w:val="20"/>
          <w:lang w:val="es-VE"/>
        </w:rPr>
        <w:t xml:space="preserve">vez que </w:t>
      </w:r>
      <w:r w:rsidR="0031322D" w:rsidRPr="00BA2449">
        <w:rPr>
          <w:color w:val="auto"/>
          <w:sz w:val="20"/>
          <w:szCs w:val="20"/>
          <w:lang w:val="es-VE"/>
        </w:rPr>
        <w:t>la parte</w:t>
      </w:r>
      <w:r w:rsidR="006E7343" w:rsidRPr="00BA2449">
        <w:rPr>
          <w:color w:val="auto"/>
          <w:sz w:val="20"/>
          <w:szCs w:val="20"/>
          <w:lang w:val="es-VE"/>
        </w:rPr>
        <w:t xml:space="preserve"> peticionari</w:t>
      </w:r>
      <w:r w:rsidR="0031322D" w:rsidRPr="00BA2449">
        <w:rPr>
          <w:color w:val="auto"/>
          <w:sz w:val="20"/>
          <w:szCs w:val="20"/>
          <w:lang w:val="es-VE"/>
        </w:rPr>
        <w:t xml:space="preserve">a </w:t>
      </w:r>
      <w:r w:rsidR="006E7343" w:rsidRPr="00BA2449">
        <w:rPr>
          <w:color w:val="auto"/>
          <w:sz w:val="20"/>
          <w:szCs w:val="20"/>
          <w:lang w:val="es-VE"/>
        </w:rPr>
        <w:t xml:space="preserve">no demuestra </w:t>
      </w:r>
      <w:r w:rsidR="00FB09C1" w:rsidRPr="00BA2449">
        <w:rPr>
          <w:color w:val="auto"/>
          <w:sz w:val="20"/>
          <w:szCs w:val="20"/>
          <w:lang w:val="es-VE"/>
        </w:rPr>
        <w:t xml:space="preserve">que </w:t>
      </w:r>
      <w:r w:rsidR="006E7343" w:rsidRPr="00BA2449">
        <w:rPr>
          <w:color w:val="auto"/>
          <w:sz w:val="20"/>
          <w:szCs w:val="20"/>
          <w:lang w:val="es-VE"/>
        </w:rPr>
        <w:t>la actuación d</w:t>
      </w:r>
      <w:r w:rsidR="0031322D" w:rsidRPr="00BA2449">
        <w:rPr>
          <w:color w:val="auto"/>
          <w:sz w:val="20"/>
          <w:szCs w:val="20"/>
          <w:lang w:val="es-VE"/>
        </w:rPr>
        <w:t>e</w:t>
      </w:r>
      <w:r w:rsidR="006E7343" w:rsidRPr="00BA2449">
        <w:rPr>
          <w:color w:val="auto"/>
          <w:sz w:val="20"/>
          <w:szCs w:val="20"/>
          <w:lang w:val="es-VE"/>
        </w:rPr>
        <w:t xml:space="preserve">l Estado </w:t>
      </w:r>
      <w:r w:rsidR="00FB09C1" w:rsidRPr="00BA2449">
        <w:rPr>
          <w:color w:val="auto"/>
          <w:sz w:val="20"/>
          <w:szCs w:val="20"/>
          <w:lang w:val="es-VE"/>
        </w:rPr>
        <w:t xml:space="preserve">esté vinculada </w:t>
      </w:r>
      <w:r w:rsidR="006E7343" w:rsidRPr="00BA2449">
        <w:rPr>
          <w:color w:val="auto"/>
          <w:sz w:val="20"/>
          <w:szCs w:val="20"/>
          <w:lang w:val="es-VE"/>
        </w:rPr>
        <w:t xml:space="preserve">con el homicidio de la presunta </w:t>
      </w:r>
      <w:r w:rsidR="0031322D" w:rsidRPr="00BA2449">
        <w:rPr>
          <w:color w:val="auto"/>
          <w:sz w:val="20"/>
          <w:szCs w:val="20"/>
          <w:lang w:val="es-VE"/>
        </w:rPr>
        <w:t>víctima</w:t>
      </w:r>
      <w:r w:rsidR="006E7343" w:rsidRPr="00BA2449">
        <w:rPr>
          <w:color w:val="auto"/>
          <w:sz w:val="20"/>
          <w:szCs w:val="20"/>
          <w:lang w:val="es-VE"/>
        </w:rPr>
        <w:t xml:space="preserve"> </w:t>
      </w:r>
      <w:r w:rsidR="0063721E">
        <w:rPr>
          <w:color w:val="auto"/>
          <w:sz w:val="20"/>
          <w:szCs w:val="20"/>
          <w:lang w:val="es-VE"/>
        </w:rPr>
        <w:t>ni con</w:t>
      </w:r>
      <w:r w:rsidR="006E7343" w:rsidRPr="00BA2449">
        <w:rPr>
          <w:color w:val="auto"/>
          <w:sz w:val="20"/>
          <w:szCs w:val="20"/>
          <w:lang w:val="es-VE"/>
        </w:rPr>
        <w:t xml:space="preserve"> el posterior desplazamiento </w:t>
      </w:r>
      <w:r w:rsidR="00FC41C8" w:rsidRPr="00BA2449">
        <w:rPr>
          <w:color w:val="auto"/>
          <w:sz w:val="20"/>
          <w:szCs w:val="20"/>
          <w:lang w:val="es-VE"/>
        </w:rPr>
        <w:t xml:space="preserve">de sus </w:t>
      </w:r>
      <w:r w:rsidR="0031322D" w:rsidRPr="00BA2449">
        <w:rPr>
          <w:color w:val="auto"/>
          <w:sz w:val="20"/>
          <w:szCs w:val="20"/>
          <w:lang w:val="es-VE"/>
        </w:rPr>
        <w:t>familiares</w:t>
      </w:r>
      <w:r w:rsidR="0063721E">
        <w:rPr>
          <w:color w:val="auto"/>
          <w:sz w:val="20"/>
          <w:szCs w:val="20"/>
          <w:lang w:val="es-VE"/>
        </w:rPr>
        <w:t>. Agrega que</w:t>
      </w:r>
      <w:r w:rsidR="00D62416" w:rsidRPr="00BA2449">
        <w:rPr>
          <w:color w:val="auto"/>
          <w:sz w:val="20"/>
          <w:szCs w:val="20"/>
          <w:lang w:val="es-VE"/>
        </w:rPr>
        <w:t xml:space="preserve"> </w:t>
      </w:r>
      <w:r w:rsidR="00FC41C8" w:rsidRPr="00BA2449">
        <w:rPr>
          <w:color w:val="auto"/>
          <w:sz w:val="20"/>
          <w:szCs w:val="20"/>
          <w:lang w:val="es-VE"/>
        </w:rPr>
        <w:t>el riesgo a la vida e integridad de la presunta v</w:t>
      </w:r>
      <w:r w:rsidR="0031322D" w:rsidRPr="00BA2449">
        <w:rPr>
          <w:color w:val="auto"/>
          <w:sz w:val="20"/>
          <w:szCs w:val="20"/>
          <w:lang w:val="es-VE"/>
        </w:rPr>
        <w:t>í</w:t>
      </w:r>
      <w:r w:rsidR="00FC41C8" w:rsidRPr="00BA2449">
        <w:rPr>
          <w:color w:val="auto"/>
          <w:sz w:val="20"/>
          <w:szCs w:val="20"/>
          <w:lang w:val="es-VE"/>
        </w:rPr>
        <w:t xml:space="preserve">ctima o de sus familiares no fue denunciado ante las autoridades competentes </w:t>
      </w:r>
      <w:r w:rsidR="00F74BAB">
        <w:rPr>
          <w:color w:val="auto"/>
          <w:sz w:val="20"/>
          <w:szCs w:val="20"/>
          <w:lang w:val="es-VE"/>
        </w:rPr>
        <w:t xml:space="preserve">para </w:t>
      </w:r>
      <w:r w:rsidR="00FC41C8" w:rsidRPr="00BA2449">
        <w:rPr>
          <w:color w:val="auto"/>
          <w:sz w:val="20"/>
          <w:szCs w:val="20"/>
          <w:lang w:val="es-VE"/>
        </w:rPr>
        <w:t>buscar protección</w:t>
      </w:r>
      <w:r w:rsidR="00F74BAB">
        <w:rPr>
          <w:color w:val="auto"/>
          <w:sz w:val="20"/>
          <w:szCs w:val="20"/>
          <w:lang w:val="es-VE"/>
        </w:rPr>
        <w:t>,</w:t>
      </w:r>
      <w:r w:rsidR="0031322D" w:rsidRPr="00BA2449">
        <w:rPr>
          <w:color w:val="auto"/>
          <w:sz w:val="20"/>
          <w:szCs w:val="20"/>
          <w:lang w:val="es-VE"/>
        </w:rPr>
        <w:t xml:space="preserve"> </w:t>
      </w:r>
      <w:r w:rsidR="00BA2449" w:rsidRPr="00BA2449">
        <w:rPr>
          <w:color w:val="auto"/>
          <w:sz w:val="20"/>
          <w:szCs w:val="20"/>
          <w:lang w:val="es-VE"/>
        </w:rPr>
        <w:t>por lo que</w:t>
      </w:r>
      <w:r w:rsidR="0031322D" w:rsidRPr="00BA2449">
        <w:rPr>
          <w:color w:val="auto"/>
          <w:sz w:val="20"/>
          <w:szCs w:val="20"/>
          <w:lang w:val="es-VE"/>
        </w:rPr>
        <w:t xml:space="preserve"> </w:t>
      </w:r>
      <w:r w:rsidR="00FC41C8" w:rsidRPr="00BA2449">
        <w:rPr>
          <w:color w:val="auto"/>
          <w:sz w:val="20"/>
          <w:szCs w:val="20"/>
          <w:lang w:val="es-VE"/>
        </w:rPr>
        <w:t>resulta imposib</w:t>
      </w:r>
      <w:r w:rsidR="00FC41C8" w:rsidRPr="0048103D">
        <w:rPr>
          <w:color w:val="auto"/>
          <w:sz w:val="20"/>
          <w:szCs w:val="20"/>
          <w:lang w:val="es-VE"/>
        </w:rPr>
        <w:t xml:space="preserve">le afirmar que el </w:t>
      </w:r>
      <w:r w:rsidR="0031322D" w:rsidRPr="0048103D">
        <w:rPr>
          <w:color w:val="auto"/>
          <w:sz w:val="20"/>
          <w:szCs w:val="20"/>
          <w:lang w:val="es-VE"/>
        </w:rPr>
        <w:t>Estado</w:t>
      </w:r>
      <w:r w:rsidR="00FC41C8" w:rsidRPr="0048103D">
        <w:rPr>
          <w:color w:val="auto"/>
          <w:sz w:val="20"/>
          <w:szCs w:val="20"/>
          <w:lang w:val="es-VE"/>
        </w:rPr>
        <w:t xml:space="preserve"> </w:t>
      </w:r>
      <w:r w:rsidR="0031322D" w:rsidRPr="0048103D">
        <w:rPr>
          <w:color w:val="auto"/>
          <w:sz w:val="20"/>
          <w:szCs w:val="20"/>
          <w:lang w:val="es-VE"/>
        </w:rPr>
        <w:t>tenía</w:t>
      </w:r>
      <w:r w:rsidR="00FC41C8" w:rsidRPr="0048103D">
        <w:rPr>
          <w:color w:val="auto"/>
          <w:sz w:val="20"/>
          <w:szCs w:val="20"/>
          <w:lang w:val="es-VE"/>
        </w:rPr>
        <w:t xml:space="preserve"> conocimiento.</w:t>
      </w:r>
    </w:p>
    <w:p w14:paraId="3EF949D6" w14:textId="77777777" w:rsidR="009264A1" w:rsidRPr="00F74BAB"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2AEB1843" w14:textId="70DD4852" w:rsidR="00FC41C8" w:rsidRPr="0048103D" w:rsidRDefault="00F74BAB"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color w:val="auto"/>
          <w:sz w:val="20"/>
          <w:szCs w:val="20"/>
          <w:lang w:val="es-VE"/>
        </w:rPr>
        <w:t xml:space="preserve">El Estado </w:t>
      </w:r>
      <w:r w:rsidR="00FC41C8" w:rsidRPr="0048103D">
        <w:rPr>
          <w:color w:val="auto"/>
          <w:sz w:val="20"/>
          <w:szCs w:val="20"/>
          <w:lang w:val="es-VE"/>
        </w:rPr>
        <w:t xml:space="preserve">sostiene </w:t>
      </w:r>
      <w:r>
        <w:rPr>
          <w:color w:val="auto"/>
          <w:sz w:val="20"/>
          <w:szCs w:val="20"/>
          <w:lang w:val="es-VE"/>
        </w:rPr>
        <w:t>a</w:t>
      </w:r>
      <w:r w:rsidRPr="0048103D">
        <w:rPr>
          <w:color w:val="auto"/>
          <w:sz w:val="20"/>
          <w:szCs w:val="20"/>
          <w:lang w:val="es-VE"/>
        </w:rPr>
        <w:t xml:space="preserve">simismo </w:t>
      </w:r>
      <w:r w:rsidR="00FC41C8" w:rsidRPr="0048103D">
        <w:rPr>
          <w:color w:val="auto"/>
          <w:sz w:val="20"/>
          <w:szCs w:val="20"/>
          <w:lang w:val="es-VE"/>
        </w:rPr>
        <w:t xml:space="preserve">que el asunto ya fue conocido </w:t>
      </w:r>
      <w:r>
        <w:rPr>
          <w:color w:val="auto"/>
          <w:sz w:val="20"/>
          <w:szCs w:val="20"/>
          <w:lang w:val="es-VE"/>
        </w:rPr>
        <w:t xml:space="preserve">en el ámbito </w:t>
      </w:r>
      <w:r w:rsidR="00FC41C8" w:rsidRPr="0048103D">
        <w:rPr>
          <w:color w:val="auto"/>
          <w:sz w:val="20"/>
          <w:szCs w:val="20"/>
          <w:lang w:val="es-VE"/>
        </w:rPr>
        <w:t>interno por las autoridades competentes, independientes e imparciales</w:t>
      </w:r>
      <w:r>
        <w:rPr>
          <w:color w:val="auto"/>
          <w:sz w:val="20"/>
          <w:szCs w:val="20"/>
          <w:lang w:val="es-VE"/>
        </w:rPr>
        <w:t>,</w:t>
      </w:r>
      <w:r w:rsidR="00FC41C8" w:rsidRPr="0048103D">
        <w:rPr>
          <w:color w:val="auto"/>
          <w:sz w:val="20"/>
          <w:szCs w:val="20"/>
          <w:lang w:val="es-VE"/>
        </w:rPr>
        <w:t xml:space="preserve"> en aplicación de la normativa vigente y en </w:t>
      </w:r>
      <w:r w:rsidR="00FB09C1" w:rsidRPr="0048103D">
        <w:rPr>
          <w:color w:val="auto"/>
          <w:sz w:val="20"/>
          <w:szCs w:val="20"/>
          <w:lang w:val="es-VE"/>
        </w:rPr>
        <w:t>cumplimiento</w:t>
      </w:r>
      <w:r w:rsidR="00FC41C8" w:rsidRPr="0048103D">
        <w:rPr>
          <w:color w:val="auto"/>
          <w:sz w:val="20"/>
          <w:szCs w:val="20"/>
          <w:lang w:val="es-VE"/>
        </w:rPr>
        <w:t xml:space="preserve"> de </w:t>
      </w:r>
      <w:r>
        <w:rPr>
          <w:color w:val="auto"/>
          <w:sz w:val="20"/>
          <w:szCs w:val="20"/>
          <w:lang w:val="es-VE"/>
        </w:rPr>
        <w:t>sus</w:t>
      </w:r>
      <w:r w:rsidR="00FC41C8" w:rsidRPr="0048103D">
        <w:rPr>
          <w:color w:val="auto"/>
          <w:sz w:val="20"/>
          <w:szCs w:val="20"/>
          <w:lang w:val="es-VE"/>
        </w:rPr>
        <w:t xml:space="preserve"> obligaciones internacionales en materia de acceso a la justicia. Argumenta que las decisiones adoptadas por el ente investigador fueron sustanciadas en observancia </w:t>
      </w:r>
      <w:r>
        <w:rPr>
          <w:color w:val="auto"/>
          <w:sz w:val="20"/>
          <w:szCs w:val="20"/>
          <w:lang w:val="es-VE"/>
        </w:rPr>
        <w:t>de</w:t>
      </w:r>
      <w:r w:rsidR="00FC41C8" w:rsidRPr="0048103D">
        <w:rPr>
          <w:color w:val="auto"/>
          <w:sz w:val="20"/>
          <w:szCs w:val="20"/>
          <w:lang w:val="es-VE"/>
        </w:rPr>
        <w:t>l debido proceso</w:t>
      </w:r>
      <w:r>
        <w:rPr>
          <w:color w:val="auto"/>
          <w:sz w:val="20"/>
          <w:szCs w:val="20"/>
          <w:lang w:val="es-VE"/>
        </w:rPr>
        <w:t>, por lo que</w:t>
      </w:r>
      <w:r w:rsidR="00FC41C8" w:rsidRPr="0048103D">
        <w:rPr>
          <w:color w:val="auto"/>
          <w:sz w:val="20"/>
          <w:szCs w:val="20"/>
          <w:lang w:val="es-VE"/>
        </w:rPr>
        <w:t xml:space="preserve"> no </w:t>
      </w:r>
      <w:r w:rsidR="00FB09C1" w:rsidRPr="0048103D">
        <w:rPr>
          <w:color w:val="auto"/>
          <w:sz w:val="20"/>
          <w:szCs w:val="20"/>
          <w:lang w:val="es-VE"/>
        </w:rPr>
        <w:t>pueden</w:t>
      </w:r>
      <w:r w:rsidR="00FC41C8" w:rsidRPr="0048103D">
        <w:rPr>
          <w:color w:val="auto"/>
          <w:sz w:val="20"/>
          <w:szCs w:val="20"/>
          <w:lang w:val="es-VE"/>
        </w:rPr>
        <w:t xml:space="preserve"> ser objeto de revisión por la CIDH</w:t>
      </w:r>
      <w:r w:rsidR="00424349" w:rsidRPr="0048103D">
        <w:rPr>
          <w:color w:val="auto"/>
          <w:sz w:val="20"/>
          <w:szCs w:val="20"/>
          <w:lang w:val="es-VE"/>
        </w:rPr>
        <w:t xml:space="preserve">. </w:t>
      </w:r>
      <w:r w:rsidR="00B37189" w:rsidRPr="0048103D">
        <w:rPr>
          <w:color w:val="auto"/>
          <w:sz w:val="20"/>
          <w:szCs w:val="20"/>
          <w:lang w:val="es-VE"/>
        </w:rPr>
        <w:t xml:space="preserve">Destaca que la Fiscalía explicó que </w:t>
      </w:r>
      <w:r w:rsidR="00424349" w:rsidRPr="0048103D">
        <w:rPr>
          <w:color w:val="auto"/>
          <w:sz w:val="20"/>
          <w:szCs w:val="20"/>
          <w:lang w:val="es-VE"/>
        </w:rPr>
        <w:t xml:space="preserve">una resolución </w:t>
      </w:r>
      <w:r w:rsidR="00B37189" w:rsidRPr="0048103D">
        <w:rPr>
          <w:color w:val="auto"/>
          <w:sz w:val="20"/>
          <w:szCs w:val="20"/>
          <w:lang w:val="es-VE"/>
        </w:rPr>
        <w:t>inhibitoria</w:t>
      </w:r>
      <w:r w:rsidR="00424349" w:rsidRPr="0048103D">
        <w:rPr>
          <w:color w:val="auto"/>
          <w:sz w:val="20"/>
          <w:szCs w:val="20"/>
          <w:lang w:val="es-VE"/>
        </w:rPr>
        <w:t xml:space="preserve"> no hace cosa </w:t>
      </w:r>
      <w:r w:rsidR="00B37189" w:rsidRPr="0048103D">
        <w:rPr>
          <w:color w:val="auto"/>
          <w:sz w:val="20"/>
          <w:szCs w:val="20"/>
          <w:lang w:val="es-VE"/>
        </w:rPr>
        <w:t>juzgada</w:t>
      </w:r>
      <w:r>
        <w:rPr>
          <w:color w:val="auto"/>
          <w:sz w:val="20"/>
          <w:szCs w:val="20"/>
          <w:lang w:val="es-VE"/>
        </w:rPr>
        <w:t>;</w:t>
      </w:r>
      <w:r w:rsidR="00B37189" w:rsidRPr="0048103D">
        <w:rPr>
          <w:color w:val="auto"/>
          <w:sz w:val="20"/>
          <w:szCs w:val="20"/>
          <w:lang w:val="es-VE"/>
        </w:rPr>
        <w:t xml:space="preserve"> sin embargo, a</w:t>
      </w:r>
      <w:r w:rsidR="00424349" w:rsidRPr="0048103D">
        <w:rPr>
          <w:color w:val="auto"/>
          <w:sz w:val="20"/>
          <w:szCs w:val="20"/>
          <w:lang w:val="es-VE"/>
        </w:rPr>
        <w:t>l no presentarse recurso de apelación o de reposición</w:t>
      </w:r>
      <w:r w:rsidR="00B37189" w:rsidRPr="0048103D">
        <w:rPr>
          <w:color w:val="auto"/>
          <w:sz w:val="20"/>
          <w:szCs w:val="20"/>
          <w:lang w:val="es-VE"/>
        </w:rPr>
        <w:t>,</w:t>
      </w:r>
      <w:r w:rsidR="00424349" w:rsidRPr="0048103D">
        <w:rPr>
          <w:color w:val="auto"/>
          <w:sz w:val="20"/>
          <w:szCs w:val="20"/>
          <w:lang w:val="es-VE"/>
        </w:rPr>
        <w:t xml:space="preserve"> las diligencias fueron archivadas. E</w:t>
      </w:r>
      <w:r w:rsidR="00B37189" w:rsidRPr="0048103D">
        <w:rPr>
          <w:color w:val="auto"/>
          <w:sz w:val="20"/>
          <w:szCs w:val="20"/>
          <w:lang w:val="es-VE"/>
        </w:rPr>
        <w:t>n la misma línea, e</w:t>
      </w:r>
      <w:r w:rsidR="00424349" w:rsidRPr="0048103D">
        <w:rPr>
          <w:color w:val="auto"/>
          <w:sz w:val="20"/>
          <w:szCs w:val="20"/>
          <w:lang w:val="es-VE"/>
        </w:rPr>
        <w:t xml:space="preserve">l </w:t>
      </w:r>
      <w:r w:rsidR="00B37189" w:rsidRPr="0048103D">
        <w:rPr>
          <w:color w:val="auto"/>
          <w:sz w:val="20"/>
          <w:szCs w:val="20"/>
          <w:lang w:val="es-VE"/>
        </w:rPr>
        <w:t>E</w:t>
      </w:r>
      <w:r w:rsidR="00424349" w:rsidRPr="0048103D">
        <w:rPr>
          <w:color w:val="auto"/>
          <w:sz w:val="20"/>
          <w:szCs w:val="20"/>
          <w:lang w:val="es-VE"/>
        </w:rPr>
        <w:t xml:space="preserve">stado </w:t>
      </w:r>
      <w:r w:rsidR="00B37189" w:rsidRPr="0048103D">
        <w:rPr>
          <w:color w:val="auto"/>
          <w:sz w:val="20"/>
          <w:szCs w:val="20"/>
          <w:lang w:val="es-VE"/>
        </w:rPr>
        <w:t xml:space="preserve">indica </w:t>
      </w:r>
      <w:r w:rsidR="00424349" w:rsidRPr="0048103D">
        <w:rPr>
          <w:color w:val="auto"/>
          <w:sz w:val="20"/>
          <w:szCs w:val="20"/>
          <w:lang w:val="es-VE"/>
        </w:rPr>
        <w:t xml:space="preserve">que el archivo de las </w:t>
      </w:r>
      <w:r w:rsidR="00B37189" w:rsidRPr="0048103D">
        <w:rPr>
          <w:color w:val="auto"/>
          <w:sz w:val="20"/>
          <w:szCs w:val="20"/>
          <w:lang w:val="es-VE"/>
        </w:rPr>
        <w:t>actuaciones</w:t>
      </w:r>
      <w:r w:rsidR="00424349" w:rsidRPr="0048103D">
        <w:rPr>
          <w:color w:val="auto"/>
          <w:sz w:val="20"/>
          <w:szCs w:val="20"/>
          <w:lang w:val="es-VE"/>
        </w:rPr>
        <w:t xml:space="preserve"> no significa una vulneración de los derechos de</w:t>
      </w:r>
      <w:r w:rsidR="00B37189" w:rsidRPr="0048103D">
        <w:rPr>
          <w:color w:val="auto"/>
          <w:sz w:val="20"/>
          <w:szCs w:val="20"/>
          <w:lang w:val="es-VE"/>
        </w:rPr>
        <w:t xml:space="preserve"> </w:t>
      </w:r>
      <w:r w:rsidR="00424349" w:rsidRPr="0048103D">
        <w:rPr>
          <w:color w:val="auto"/>
          <w:sz w:val="20"/>
          <w:szCs w:val="20"/>
          <w:lang w:val="es-VE"/>
        </w:rPr>
        <w:t xml:space="preserve">los familiares </w:t>
      </w:r>
      <w:r w:rsidR="00B37189" w:rsidRPr="0048103D">
        <w:rPr>
          <w:color w:val="auto"/>
          <w:sz w:val="20"/>
          <w:szCs w:val="20"/>
          <w:lang w:val="es-VE"/>
        </w:rPr>
        <w:t>de la presunta víctima</w:t>
      </w:r>
      <w:r>
        <w:rPr>
          <w:color w:val="auto"/>
          <w:sz w:val="20"/>
          <w:szCs w:val="20"/>
          <w:lang w:val="es-VE"/>
        </w:rPr>
        <w:t>,</w:t>
      </w:r>
      <w:r w:rsidR="00B37189" w:rsidRPr="0048103D">
        <w:rPr>
          <w:color w:val="auto"/>
          <w:sz w:val="20"/>
          <w:szCs w:val="20"/>
          <w:lang w:val="es-VE"/>
        </w:rPr>
        <w:t xml:space="preserve"> </w:t>
      </w:r>
      <w:r w:rsidR="00424349" w:rsidRPr="0048103D">
        <w:rPr>
          <w:color w:val="auto"/>
          <w:sz w:val="20"/>
          <w:szCs w:val="20"/>
          <w:lang w:val="es-VE"/>
        </w:rPr>
        <w:t>en tanto puede</w:t>
      </w:r>
      <w:r w:rsidR="00B37189" w:rsidRPr="0048103D">
        <w:rPr>
          <w:color w:val="auto"/>
          <w:sz w:val="20"/>
          <w:szCs w:val="20"/>
          <w:lang w:val="es-VE"/>
        </w:rPr>
        <w:t>n</w:t>
      </w:r>
      <w:r w:rsidR="00424349" w:rsidRPr="0048103D">
        <w:rPr>
          <w:color w:val="auto"/>
          <w:sz w:val="20"/>
          <w:szCs w:val="20"/>
          <w:lang w:val="es-VE"/>
        </w:rPr>
        <w:t xml:space="preserve"> </w:t>
      </w:r>
      <w:r w:rsidRPr="0048103D">
        <w:rPr>
          <w:color w:val="auto"/>
          <w:sz w:val="20"/>
          <w:szCs w:val="20"/>
          <w:lang w:val="es-VE"/>
        </w:rPr>
        <w:t>present</w:t>
      </w:r>
      <w:r>
        <w:rPr>
          <w:color w:val="auto"/>
          <w:sz w:val="20"/>
          <w:szCs w:val="20"/>
          <w:lang w:val="es-VE"/>
        </w:rPr>
        <w:t>ar</w:t>
      </w:r>
      <w:r w:rsidRPr="0048103D">
        <w:rPr>
          <w:color w:val="auto"/>
          <w:sz w:val="20"/>
          <w:szCs w:val="20"/>
          <w:lang w:val="es-VE"/>
        </w:rPr>
        <w:t xml:space="preserve"> nuevos elementos probatorios </w:t>
      </w:r>
      <w:r>
        <w:rPr>
          <w:color w:val="auto"/>
          <w:sz w:val="20"/>
          <w:szCs w:val="20"/>
          <w:lang w:val="es-VE"/>
        </w:rPr>
        <w:t xml:space="preserve">para </w:t>
      </w:r>
      <w:r w:rsidR="00424349" w:rsidRPr="0048103D">
        <w:rPr>
          <w:color w:val="auto"/>
          <w:sz w:val="20"/>
          <w:szCs w:val="20"/>
          <w:lang w:val="es-VE"/>
        </w:rPr>
        <w:t>solicitar al fiscal del caso que revoque la decisión</w:t>
      </w:r>
      <w:r>
        <w:rPr>
          <w:color w:val="auto"/>
          <w:sz w:val="20"/>
          <w:szCs w:val="20"/>
          <w:lang w:val="es-VE"/>
        </w:rPr>
        <w:t>;</w:t>
      </w:r>
      <w:r w:rsidR="00424349" w:rsidRPr="0048103D">
        <w:rPr>
          <w:color w:val="auto"/>
          <w:sz w:val="20"/>
          <w:szCs w:val="20"/>
          <w:lang w:val="es-VE"/>
        </w:rPr>
        <w:t xml:space="preserve"> </w:t>
      </w:r>
      <w:r w:rsidR="00B37189" w:rsidRPr="0048103D">
        <w:rPr>
          <w:color w:val="auto"/>
          <w:sz w:val="20"/>
          <w:szCs w:val="20"/>
          <w:lang w:val="es-VE"/>
        </w:rPr>
        <w:t>y</w:t>
      </w:r>
      <w:r>
        <w:rPr>
          <w:color w:val="auto"/>
          <w:sz w:val="20"/>
          <w:szCs w:val="20"/>
          <w:lang w:val="es-VE"/>
        </w:rPr>
        <w:t xml:space="preserve"> que</w:t>
      </w:r>
      <w:r w:rsidR="00B37189" w:rsidRPr="0048103D">
        <w:rPr>
          <w:color w:val="auto"/>
          <w:sz w:val="20"/>
          <w:szCs w:val="20"/>
          <w:lang w:val="es-VE"/>
        </w:rPr>
        <w:t xml:space="preserve"> </w:t>
      </w:r>
      <w:r w:rsidRPr="0048103D">
        <w:rPr>
          <w:color w:val="auto"/>
          <w:sz w:val="20"/>
          <w:szCs w:val="20"/>
          <w:lang w:val="es-VE"/>
        </w:rPr>
        <w:t>en caso de que</w:t>
      </w:r>
      <w:r w:rsidR="00424349" w:rsidRPr="0048103D">
        <w:rPr>
          <w:color w:val="auto"/>
          <w:sz w:val="20"/>
          <w:szCs w:val="20"/>
          <w:lang w:val="es-VE"/>
        </w:rPr>
        <w:t xml:space="preserve"> </w:t>
      </w:r>
      <w:r>
        <w:rPr>
          <w:color w:val="auto"/>
          <w:sz w:val="20"/>
          <w:szCs w:val="20"/>
          <w:lang w:val="es-VE"/>
        </w:rPr>
        <w:t xml:space="preserve">dicha autoridad </w:t>
      </w:r>
      <w:r w:rsidR="00B37189" w:rsidRPr="0048103D">
        <w:rPr>
          <w:color w:val="auto"/>
          <w:sz w:val="20"/>
          <w:szCs w:val="20"/>
          <w:lang w:val="es-VE"/>
        </w:rPr>
        <w:t>no t</w:t>
      </w:r>
      <w:r w:rsidR="00053BF4" w:rsidRPr="0048103D">
        <w:rPr>
          <w:color w:val="auto"/>
          <w:sz w:val="20"/>
          <w:szCs w:val="20"/>
          <w:lang w:val="es-VE"/>
        </w:rPr>
        <w:t>o</w:t>
      </w:r>
      <w:r w:rsidR="00B37189" w:rsidRPr="0048103D">
        <w:rPr>
          <w:color w:val="auto"/>
          <w:sz w:val="20"/>
          <w:szCs w:val="20"/>
          <w:lang w:val="es-VE"/>
        </w:rPr>
        <w:t xml:space="preserve">me medidas, </w:t>
      </w:r>
      <w:r w:rsidR="00424349" w:rsidRPr="0048103D">
        <w:rPr>
          <w:color w:val="auto"/>
          <w:sz w:val="20"/>
          <w:szCs w:val="20"/>
          <w:lang w:val="es-VE"/>
        </w:rPr>
        <w:t>puede</w:t>
      </w:r>
      <w:r w:rsidR="00B37189" w:rsidRPr="0048103D">
        <w:rPr>
          <w:color w:val="auto"/>
          <w:sz w:val="20"/>
          <w:szCs w:val="20"/>
          <w:lang w:val="es-VE"/>
        </w:rPr>
        <w:t>n</w:t>
      </w:r>
      <w:r w:rsidR="00424349" w:rsidRPr="0048103D">
        <w:rPr>
          <w:color w:val="auto"/>
          <w:sz w:val="20"/>
          <w:szCs w:val="20"/>
          <w:lang w:val="es-VE"/>
        </w:rPr>
        <w:t xml:space="preserve"> acudir</w:t>
      </w:r>
      <w:r w:rsidR="00B37189" w:rsidRPr="0048103D">
        <w:rPr>
          <w:color w:val="auto"/>
          <w:sz w:val="20"/>
          <w:szCs w:val="20"/>
          <w:lang w:val="es-VE"/>
        </w:rPr>
        <w:t xml:space="preserve"> </w:t>
      </w:r>
      <w:r w:rsidR="00424349" w:rsidRPr="0048103D">
        <w:rPr>
          <w:color w:val="auto"/>
          <w:sz w:val="20"/>
          <w:szCs w:val="20"/>
          <w:lang w:val="es-VE"/>
        </w:rPr>
        <w:t>al J</w:t>
      </w:r>
      <w:r w:rsidR="00B37189" w:rsidRPr="0048103D">
        <w:rPr>
          <w:color w:val="auto"/>
          <w:sz w:val="20"/>
          <w:szCs w:val="20"/>
          <w:lang w:val="es-VE"/>
        </w:rPr>
        <w:t>u</w:t>
      </w:r>
      <w:r w:rsidR="00424349" w:rsidRPr="0048103D">
        <w:rPr>
          <w:color w:val="auto"/>
          <w:sz w:val="20"/>
          <w:szCs w:val="20"/>
          <w:lang w:val="es-VE"/>
        </w:rPr>
        <w:t xml:space="preserve">ez de Control de </w:t>
      </w:r>
      <w:r w:rsidR="00B37189" w:rsidRPr="0048103D">
        <w:rPr>
          <w:color w:val="auto"/>
          <w:sz w:val="20"/>
          <w:szCs w:val="20"/>
          <w:lang w:val="es-VE"/>
        </w:rPr>
        <w:t>Garantías</w:t>
      </w:r>
      <w:r w:rsidR="00424349" w:rsidRPr="0048103D">
        <w:rPr>
          <w:color w:val="auto"/>
          <w:sz w:val="20"/>
          <w:szCs w:val="20"/>
          <w:lang w:val="es-VE"/>
        </w:rPr>
        <w:t xml:space="preserve">. </w:t>
      </w:r>
      <w:r w:rsidR="00B37189" w:rsidRPr="0048103D">
        <w:rPr>
          <w:color w:val="auto"/>
          <w:sz w:val="20"/>
          <w:szCs w:val="20"/>
          <w:lang w:val="es-VE"/>
        </w:rPr>
        <w:t>No obstante, señala que al momento l</w:t>
      </w:r>
      <w:r w:rsidR="00424349" w:rsidRPr="0048103D">
        <w:rPr>
          <w:color w:val="auto"/>
          <w:sz w:val="20"/>
          <w:szCs w:val="20"/>
          <w:lang w:val="es-VE"/>
        </w:rPr>
        <w:t>a decis</w:t>
      </w:r>
      <w:r w:rsidR="00B37189" w:rsidRPr="0048103D">
        <w:rPr>
          <w:color w:val="auto"/>
          <w:sz w:val="20"/>
          <w:szCs w:val="20"/>
          <w:lang w:val="es-VE"/>
        </w:rPr>
        <w:t xml:space="preserve">ión </w:t>
      </w:r>
      <w:r w:rsidR="00424349" w:rsidRPr="0048103D">
        <w:rPr>
          <w:color w:val="auto"/>
          <w:sz w:val="20"/>
          <w:szCs w:val="20"/>
          <w:lang w:val="es-VE"/>
        </w:rPr>
        <w:t xml:space="preserve">de archivo no </w:t>
      </w:r>
      <w:r w:rsidR="00B37189" w:rsidRPr="0048103D">
        <w:rPr>
          <w:color w:val="auto"/>
          <w:sz w:val="20"/>
          <w:szCs w:val="20"/>
          <w:lang w:val="es-VE"/>
        </w:rPr>
        <w:t>fue</w:t>
      </w:r>
      <w:r w:rsidR="00424349" w:rsidRPr="0048103D">
        <w:rPr>
          <w:color w:val="auto"/>
          <w:sz w:val="20"/>
          <w:szCs w:val="20"/>
          <w:lang w:val="es-VE"/>
        </w:rPr>
        <w:t xml:space="preserve"> objetada y </w:t>
      </w:r>
      <w:r w:rsidR="00B37189" w:rsidRPr="0048103D">
        <w:rPr>
          <w:color w:val="auto"/>
          <w:sz w:val="20"/>
          <w:szCs w:val="20"/>
          <w:lang w:val="es-VE"/>
        </w:rPr>
        <w:t>n</w:t>
      </w:r>
      <w:r w:rsidR="00424349" w:rsidRPr="0048103D">
        <w:rPr>
          <w:color w:val="auto"/>
          <w:sz w:val="20"/>
          <w:szCs w:val="20"/>
          <w:lang w:val="es-VE"/>
        </w:rPr>
        <w:t>o exi</w:t>
      </w:r>
      <w:r w:rsidR="00B37189" w:rsidRPr="0048103D">
        <w:rPr>
          <w:color w:val="auto"/>
          <w:sz w:val="20"/>
          <w:szCs w:val="20"/>
          <w:lang w:val="es-VE"/>
        </w:rPr>
        <w:t>s</w:t>
      </w:r>
      <w:r w:rsidR="00424349" w:rsidRPr="0048103D">
        <w:rPr>
          <w:color w:val="auto"/>
          <w:sz w:val="20"/>
          <w:szCs w:val="20"/>
          <w:lang w:val="es-VE"/>
        </w:rPr>
        <w:t xml:space="preserve">te solicitud de reanudación de la </w:t>
      </w:r>
      <w:r w:rsidR="00B37189" w:rsidRPr="0048103D">
        <w:rPr>
          <w:color w:val="auto"/>
          <w:sz w:val="20"/>
          <w:szCs w:val="20"/>
          <w:lang w:val="es-VE"/>
        </w:rPr>
        <w:t>investigación</w:t>
      </w:r>
      <w:r w:rsidR="00424349" w:rsidRPr="0048103D">
        <w:rPr>
          <w:color w:val="auto"/>
          <w:sz w:val="20"/>
          <w:szCs w:val="20"/>
          <w:lang w:val="es-VE"/>
        </w:rPr>
        <w:t>.</w:t>
      </w:r>
    </w:p>
    <w:p w14:paraId="1B0C7DC0" w14:textId="77777777" w:rsid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218DD742" w14:textId="7ADD0117" w:rsidR="00424349" w:rsidRPr="0048103D" w:rsidRDefault="0031322D"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48103D">
        <w:rPr>
          <w:color w:val="auto"/>
          <w:sz w:val="20"/>
          <w:szCs w:val="20"/>
          <w:lang w:val="es-VE"/>
        </w:rPr>
        <w:t xml:space="preserve">Por último, </w:t>
      </w:r>
      <w:r w:rsidR="00F74BAB">
        <w:rPr>
          <w:color w:val="auto"/>
          <w:sz w:val="20"/>
          <w:szCs w:val="20"/>
          <w:lang w:val="es-VE"/>
        </w:rPr>
        <w:t xml:space="preserve">Colombia </w:t>
      </w:r>
      <w:r w:rsidRPr="0048103D">
        <w:rPr>
          <w:color w:val="auto"/>
          <w:sz w:val="20"/>
          <w:szCs w:val="20"/>
          <w:lang w:val="es-VE"/>
        </w:rPr>
        <w:t xml:space="preserve">reitera que la </w:t>
      </w:r>
      <w:proofErr w:type="gramStart"/>
      <w:r w:rsidRPr="0048103D">
        <w:rPr>
          <w:color w:val="auto"/>
          <w:sz w:val="20"/>
          <w:szCs w:val="20"/>
          <w:lang w:val="es-VE"/>
        </w:rPr>
        <w:t>Fiscalía General</w:t>
      </w:r>
      <w:proofErr w:type="gramEnd"/>
      <w:r w:rsidRPr="0048103D">
        <w:rPr>
          <w:color w:val="auto"/>
          <w:sz w:val="20"/>
          <w:szCs w:val="20"/>
          <w:lang w:val="es-VE"/>
        </w:rPr>
        <w:t xml:space="preserve"> de la Nación se abstuvo de abrir </w:t>
      </w:r>
      <w:r w:rsidR="00F74BAB">
        <w:rPr>
          <w:color w:val="auto"/>
          <w:sz w:val="20"/>
          <w:szCs w:val="20"/>
          <w:lang w:val="es-VE"/>
        </w:rPr>
        <w:t xml:space="preserve">la </w:t>
      </w:r>
      <w:r w:rsidRPr="0048103D">
        <w:rPr>
          <w:color w:val="auto"/>
          <w:sz w:val="20"/>
          <w:szCs w:val="20"/>
          <w:lang w:val="es-VE"/>
        </w:rPr>
        <w:t xml:space="preserve">instrucción </w:t>
      </w:r>
      <w:r w:rsidR="00F74BAB" w:rsidRPr="0048103D">
        <w:rPr>
          <w:color w:val="auto"/>
          <w:sz w:val="20"/>
          <w:szCs w:val="20"/>
          <w:lang w:val="es-VE"/>
        </w:rPr>
        <w:t>en relación con</w:t>
      </w:r>
      <w:r w:rsidRPr="0048103D">
        <w:rPr>
          <w:color w:val="auto"/>
          <w:sz w:val="20"/>
          <w:szCs w:val="20"/>
          <w:lang w:val="es-VE"/>
        </w:rPr>
        <w:t xml:space="preserve"> los hechos</w:t>
      </w:r>
      <w:r w:rsidR="00F74BAB">
        <w:rPr>
          <w:color w:val="auto"/>
          <w:sz w:val="20"/>
          <w:szCs w:val="20"/>
          <w:lang w:val="es-VE"/>
        </w:rPr>
        <w:t xml:space="preserve"> d</w:t>
      </w:r>
      <w:r w:rsidRPr="0048103D">
        <w:rPr>
          <w:color w:val="auto"/>
          <w:sz w:val="20"/>
          <w:szCs w:val="20"/>
          <w:lang w:val="es-VE"/>
        </w:rPr>
        <w:t xml:space="preserve">e referencia y </w:t>
      </w:r>
      <w:r w:rsidR="00F74BAB">
        <w:rPr>
          <w:color w:val="auto"/>
          <w:sz w:val="20"/>
          <w:szCs w:val="20"/>
          <w:lang w:val="es-VE"/>
        </w:rPr>
        <w:t>que adopt</w:t>
      </w:r>
      <w:r w:rsidRPr="0048103D">
        <w:rPr>
          <w:color w:val="auto"/>
          <w:sz w:val="20"/>
          <w:szCs w:val="20"/>
          <w:lang w:val="es-VE"/>
        </w:rPr>
        <w:t xml:space="preserve">ó </w:t>
      </w:r>
      <w:r w:rsidR="00F74BAB">
        <w:rPr>
          <w:color w:val="auto"/>
          <w:sz w:val="20"/>
          <w:szCs w:val="20"/>
          <w:lang w:val="es-VE"/>
        </w:rPr>
        <w:t xml:space="preserve">su </w:t>
      </w:r>
      <w:r w:rsidRPr="0048103D">
        <w:rPr>
          <w:color w:val="auto"/>
          <w:sz w:val="20"/>
          <w:szCs w:val="20"/>
          <w:lang w:val="es-VE"/>
        </w:rPr>
        <w:t xml:space="preserve">resolución inhibitoria el 18 de junio de 2004 </w:t>
      </w:r>
      <w:r w:rsidR="00F74BAB">
        <w:rPr>
          <w:color w:val="auto"/>
          <w:sz w:val="20"/>
          <w:szCs w:val="20"/>
          <w:lang w:val="es-VE"/>
        </w:rPr>
        <w:t>--</w:t>
      </w:r>
      <w:r w:rsidRPr="0048103D">
        <w:rPr>
          <w:color w:val="auto"/>
          <w:sz w:val="20"/>
          <w:szCs w:val="20"/>
          <w:lang w:val="es-VE"/>
        </w:rPr>
        <w:t>ejecutoriada el 25 de junio del mismo año</w:t>
      </w:r>
      <w:r w:rsidR="00F74BAB">
        <w:rPr>
          <w:color w:val="auto"/>
          <w:sz w:val="20"/>
          <w:szCs w:val="20"/>
          <w:lang w:val="es-VE"/>
        </w:rPr>
        <w:t>--</w:t>
      </w:r>
      <w:r w:rsidRPr="0048103D">
        <w:rPr>
          <w:color w:val="auto"/>
          <w:sz w:val="20"/>
          <w:szCs w:val="20"/>
          <w:lang w:val="es-VE"/>
        </w:rPr>
        <w:t xml:space="preserve"> pese que el padre de la </w:t>
      </w:r>
      <w:r w:rsidR="00F74BAB">
        <w:rPr>
          <w:color w:val="auto"/>
          <w:sz w:val="20"/>
          <w:szCs w:val="20"/>
          <w:lang w:val="es-VE"/>
        </w:rPr>
        <w:t xml:space="preserve">presunta </w:t>
      </w:r>
      <w:r w:rsidRPr="0048103D">
        <w:rPr>
          <w:color w:val="auto"/>
          <w:sz w:val="20"/>
          <w:szCs w:val="20"/>
          <w:lang w:val="es-VE"/>
        </w:rPr>
        <w:t xml:space="preserve">víctima tuvo </w:t>
      </w:r>
      <w:r w:rsidR="001133AF" w:rsidRPr="0048103D">
        <w:rPr>
          <w:color w:val="auto"/>
          <w:sz w:val="20"/>
          <w:szCs w:val="20"/>
          <w:lang w:val="es-VE"/>
        </w:rPr>
        <w:t>participación</w:t>
      </w:r>
      <w:r w:rsidRPr="0048103D">
        <w:rPr>
          <w:color w:val="auto"/>
          <w:sz w:val="20"/>
          <w:szCs w:val="20"/>
          <w:lang w:val="es-VE"/>
        </w:rPr>
        <w:t xml:space="preserve"> en el proceso. Al</w:t>
      </w:r>
      <w:r w:rsidR="001133AF">
        <w:rPr>
          <w:color w:val="auto"/>
          <w:sz w:val="20"/>
          <w:szCs w:val="20"/>
          <w:lang w:val="es-VE"/>
        </w:rPr>
        <w:t>ega al</w:t>
      </w:r>
      <w:r w:rsidRPr="0048103D">
        <w:rPr>
          <w:color w:val="auto"/>
          <w:sz w:val="20"/>
          <w:szCs w:val="20"/>
          <w:lang w:val="es-VE"/>
        </w:rPr>
        <w:t xml:space="preserve"> respecto que el plazo de 6 meses se debe contar a partir de</w:t>
      </w:r>
      <w:r w:rsidR="001133AF">
        <w:rPr>
          <w:color w:val="auto"/>
          <w:sz w:val="20"/>
          <w:szCs w:val="20"/>
          <w:lang w:val="es-VE"/>
        </w:rPr>
        <w:t>l</w:t>
      </w:r>
      <w:r w:rsidRPr="0048103D">
        <w:rPr>
          <w:color w:val="auto"/>
          <w:sz w:val="20"/>
          <w:szCs w:val="20"/>
          <w:lang w:val="es-VE"/>
        </w:rPr>
        <w:t xml:space="preserve"> </w:t>
      </w:r>
      <w:r w:rsidR="001133AF" w:rsidRPr="0048103D">
        <w:rPr>
          <w:color w:val="auto"/>
          <w:sz w:val="20"/>
          <w:szCs w:val="20"/>
          <w:lang w:val="es-VE"/>
        </w:rPr>
        <w:t>25 de junio de 2004</w:t>
      </w:r>
      <w:r w:rsidR="001133AF">
        <w:rPr>
          <w:color w:val="auto"/>
          <w:sz w:val="20"/>
          <w:szCs w:val="20"/>
          <w:lang w:val="es-VE"/>
        </w:rPr>
        <w:t>, fecha de</w:t>
      </w:r>
      <w:r w:rsidRPr="0048103D">
        <w:rPr>
          <w:color w:val="auto"/>
          <w:sz w:val="20"/>
          <w:szCs w:val="20"/>
          <w:lang w:val="es-VE"/>
        </w:rPr>
        <w:t xml:space="preserve"> ejecutoria de la decisión de la Fiscalía, </w:t>
      </w:r>
      <w:r w:rsidR="001133AF">
        <w:rPr>
          <w:color w:val="auto"/>
          <w:sz w:val="20"/>
          <w:szCs w:val="20"/>
          <w:lang w:val="es-VE"/>
        </w:rPr>
        <w:t>por lo que</w:t>
      </w:r>
      <w:r w:rsidRPr="0048103D">
        <w:rPr>
          <w:color w:val="auto"/>
          <w:sz w:val="20"/>
          <w:szCs w:val="20"/>
          <w:lang w:val="es-VE"/>
        </w:rPr>
        <w:t xml:space="preserve"> la petición fue presentada 4 años después de la fecha de la decisión judicial definitiva en relación con los hechos</w:t>
      </w:r>
      <w:r w:rsidR="00424349" w:rsidRPr="0048103D">
        <w:rPr>
          <w:color w:val="auto"/>
          <w:sz w:val="20"/>
          <w:szCs w:val="20"/>
          <w:lang w:val="es-VE"/>
        </w:rPr>
        <w:t>.</w:t>
      </w:r>
    </w:p>
    <w:p w14:paraId="593F1C39" w14:textId="77777777" w:rsidR="009264A1" w:rsidRDefault="009264A1" w:rsidP="001133AF">
      <w:pPr>
        <w:jc w:val="both"/>
        <w:rPr>
          <w:rFonts w:asciiTheme="majorHAnsi" w:eastAsia="Cambria" w:hAnsiTheme="majorHAnsi" w:cs="Cambria"/>
          <w:b/>
          <w:bCs/>
          <w:sz w:val="20"/>
          <w:szCs w:val="20"/>
          <w:u w:color="000000"/>
          <w:lang w:val="es-VE" w:eastAsia="es-ES"/>
        </w:rPr>
      </w:pPr>
    </w:p>
    <w:p w14:paraId="6DCA1B5C" w14:textId="4940E286" w:rsidR="006C0ECF" w:rsidRPr="0048103D" w:rsidRDefault="003239B8" w:rsidP="00756CA0">
      <w:pPr>
        <w:ind w:firstLine="720"/>
        <w:jc w:val="both"/>
        <w:rPr>
          <w:rFonts w:ascii="Cambria" w:hAnsi="Cambria"/>
          <w:sz w:val="20"/>
          <w:szCs w:val="20"/>
          <w:lang w:val="es-VE"/>
        </w:rPr>
      </w:pPr>
      <w:r w:rsidRPr="0048103D">
        <w:rPr>
          <w:rFonts w:asciiTheme="majorHAnsi" w:eastAsia="Cambria" w:hAnsiTheme="majorHAnsi" w:cs="Cambria"/>
          <w:b/>
          <w:bCs/>
          <w:sz w:val="20"/>
          <w:szCs w:val="20"/>
          <w:u w:color="000000"/>
          <w:lang w:val="es-VE" w:eastAsia="es-ES"/>
        </w:rPr>
        <w:t>VI.</w:t>
      </w:r>
      <w:r w:rsidRPr="0048103D">
        <w:rPr>
          <w:rFonts w:asciiTheme="majorHAnsi" w:eastAsia="Cambria" w:hAnsiTheme="majorHAnsi" w:cs="Cambria"/>
          <w:b/>
          <w:bCs/>
          <w:sz w:val="20"/>
          <w:szCs w:val="20"/>
          <w:u w:color="000000"/>
          <w:lang w:val="es-VE" w:eastAsia="es-ES"/>
        </w:rPr>
        <w:tab/>
      </w:r>
      <w:r w:rsidR="004A6A54" w:rsidRPr="0048103D">
        <w:rPr>
          <w:rFonts w:asciiTheme="majorHAnsi" w:hAnsiTheme="majorHAnsi"/>
          <w:b/>
          <w:bCs/>
          <w:sz w:val="20"/>
          <w:szCs w:val="20"/>
          <w:lang w:val="es-VE"/>
        </w:rPr>
        <w:t xml:space="preserve">ANÁLISIS DE </w:t>
      </w:r>
      <w:r w:rsidR="00C21FEF" w:rsidRPr="0048103D">
        <w:rPr>
          <w:rFonts w:asciiTheme="majorHAnsi" w:hAnsiTheme="majorHAnsi"/>
          <w:b/>
          <w:sz w:val="20"/>
          <w:szCs w:val="20"/>
          <w:lang w:val="es-VE"/>
        </w:rPr>
        <w:t>AGOTAMIENTO DE LOS RECURSOS INTERNOS Y PLAZO DE PRESENTACIÓN</w:t>
      </w:r>
      <w:r w:rsidR="00C21FEF" w:rsidRPr="0048103D">
        <w:rPr>
          <w:rFonts w:asciiTheme="majorHAnsi" w:eastAsia="Cambria" w:hAnsiTheme="majorHAnsi" w:cs="Cambria"/>
          <w:b/>
          <w:bCs/>
          <w:sz w:val="20"/>
          <w:szCs w:val="20"/>
          <w:u w:color="000000"/>
          <w:lang w:val="es-VE" w:eastAsia="es-ES"/>
        </w:rPr>
        <w:t xml:space="preserve"> </w:t>
      </w:r>
      <w:r w:rsidR="00ED5E10" w:rsidRPr="0048103D">
        <w:rPr>
          <w:sz w:val="20"/>
          <w:szCs w:val="20"/>
          <w:lang w:val="es-VE"/>
        </w:rPr>
        <w:t xml:space="preserve"> </w:t>
      </w:r>
    </w:p>
    <w:p w14:paraId="302E378C" w14:textId="77777777" w:rsidR="009264A1" w:rsidRPr="001133AF" w:rsidRDefault="009264A1" w:rsidP="001133A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bdr w:val="none" w:sz="0" w:space="0" w:color="auto"/>
          <w:lang w:val="es-VE"/>
        </w:rPr>
      </w:pPr>
    </w:p>
    <w:p w14:paraId="47D0D125" w14:textId="0A02D05A" w:rsidR="007F1194" w:rsidRPr="0048103D" w:rsidRDefault="00B06CAB"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bdr w:val="none" w:sz="0" w:space="0" w:color="auto"/>
          <w:lang w:val="es-VE"/>
        </w:rPr>
      </w:pPr>
      <w:r>
        <w:rPr>
          <w:color w:val="auto"/>
          <w:sz w:val="20"/>
          <w:szCs w:val="20"/>
          <w:lang w:val="es-VE"/>
        </w:rPr>
        <w:t>L</w:t>
      </w:r>
      <w:r w:rsidR="007F1194" w:rsidRPr="0048103D">
        <w:rPr>
          <w:color w:val="auto"/>
          <w:sz w:val="20"/>
          <w:szCs w:val="20"/>
          <w:lang w:val="es-VE"/>
        </w:rPr>
        <w:t>a parte peticionaria alega que los hechos denunciados siguen en impunidad</w:t>
      </w:r>
      <w:r w:rsidR="001133AF">
        <w:rPr>
          <w:color w:val="auto"/>
          <w:sz w:val="20"/>
          <w:szCs w:val="20"/>
          <w:lang w:val="es-VE"/>
        </w:rPr>
        <w:t xml:space="preserve">, y menciona en tal sentido </w:t>
      </w:r>
      <w:r w:rsidR="007F1194" w:rsidRPr="0048103D">
        <w:rPr>
          <w:color w:val="auto"/>
          <w:sz w:val="20"/>
          <w:szCs w:val="20"/>
          <w:lang w:val="es-VE"/>
        </w:rPr>
        <w:t>la interposición de</w:t>
      </w:r>
      <w:r w:rsidR="001133AF">
        <w:rPr>
          <w:color w:val="auto"/>
          <w:sz w:val="20"/>
          <w:szCs w:val="20"/>
          <w:lang w:val="es-VE"/>
        </w:rPr>
        <w:t xml:space="preserve"> </w:t>
      </w:r>
      <w:r w:rsidR="007F1194" w:rsidRPr="0048103D">
        <w:rPr>
          <w:color w:val="auto"/>
          <w:sz w:val="20"/>
          <w:szCs w:val="20"/>
          <w:lang w:val="es-VE"/>
        </w:rPr>
        <w:t>l</w:t>
      </w:r>
      <w:r w:rsidR="001133AF">
        <w:rPr>
          <w:color w:val="auto"/>
          <w:sz w:val="20"/>
          <w:szCs w:val="20"/>
          <w:lang w:val="es-VE"/>
        </w:rPr>
        <w:t>a</w:t>
      </w:r>
      <w:r w:rsidR="007F1194" w:rsidRPr="0048103D">
        <w:rPr>
          <w:color w:val="auto"/>
          <w:sz w:val="20"/>
          <w:szCs w:val="20"/>
          <w:lang w:val="es-VE"/>
        </w:rPr>
        <w:t xml:space="preserve"> petición sobre el estado de la investigación ante la </w:t>
      </w:r>
      <w:proofErr w:type="gramStart"/>
      <w:r w:rsidR="007F1194" w:rsidRPr="0048103D">
        <w:rPr>
          <w:color w:val="auto"/>
          <w:sz w:val="20"/>
          <w:szCs w:val="20"/>
          <w:lang w:val="es-VE"/>
        </w:rPr>
        <w:t>Fiscalía General</w:t>
      </w:r>
      <w:proofErr w:type="gramEnd"/>
      <w:r w:rsidR="007F1194" w:rsidRPr="0048103D">
        <w:rPr>
          <w:color w:val="auto"/>
          <w:sz w:val="20"/>
          <w:szCs w:val="20"/>
          <w:lang w:val="es-VE"/>
        </w:rPr>
        <w:t xml:space="preserve"> de la Nación en el 201</w:t>
      </w:r>
      <w:r w:rsidR="00AB2134" w:rsidRPr="0048103D">
        <w:rPr>
          <w:color w:val="auto"/>
          <w:sz w:val="20"/>
          <w:szCs w:val="20"/>
          <w:lang w:val="es-VE"/>
        </w:rPr>
        <w:t>4;</w:t>
      </w:r>
      <w:r w:rsidR="007F1194" w:rsidRPr="0048103D">
        <w:rPr>
          <w:color w:val="auto"/>
          <w:sz w:val="20"/>
          <w:szCs w:val="20"/>
          <w:lang w:val="es-VE"/>
        </w:rPr>
        <w:t xml:space="preserve"> </w:t>
      </w:r>
      <w:r w:rsidR="001133AF">
        <w:rPr>
          <w:color w:val="auto"/>
          <w:sz w:val="20"/>
          <w:szCs w:val="20"/>
          <w:lang w:val="es-VE"/>
        </w:rPr>
        <w:t xml:space="preserve">la </w:t>
      </w:r>
      <w:r w:rsidR="007F1194" w:rsidRPr="0048103D">
        <w:rPr>
          <w:color w:val="auto"/>
          <w:sz w:val="20"/>
          <w:szCs w:val="20"/>
          <w:lang w:val="es-VE"/>
        </w:rPr>
        <w:t xml:space="preserve">petición a la </w:t>
      </w:r>
      <w:r w:rsidR="0019498F">
        <w:rPr>
          <w:color w:val="auto"/>
          <w:sz w:val="20"/>
          <w:szCs w:val="20"/>
          <w:lang w:val="es-VE"/>
        </w:rPr>
        <w:t>UARIV</w:t>
      </w:r>
      <w:r w:rsidR="007F1194" w:rsidRPr="0048103D">
        <w:rPr>
          <w:color w:val="auto"/>
          <w:sz w:val="20"/>
          <w:szCs w:val="20"/>
          <w:lang w:val="es-VE"/>
        </w:rPr>
        <w:t xml:space="preserve">; y la acción de tutela </w:t>
      </w:r>
      <w:r w:rsidR="001133AF">
        <w:rPr>
          <w:color w:val="auto"/>
          <w:sz w:val="20"/>
          <w:szCs w:val="20"/>
          <w:lang w:val="es-VE"/>
        </w:rPr>
        <w:t>d</w:t>
      </w:r>
      <w:r w:rsidR="00AB2134" w:rsidRPr="0048103D">
        <w:rPr>
          <w:color w:val="auto"/>
          <w:sz w:val="20"/>
          <w:szCs w:val="20"/>
          <w:lang w:val="es-VE"/>
        </w:rPr>
        <w:t>e mayo de 2014</w:t>
      </w:r>
      <w:r w:rsidR="001133AF">
        <w:rPr>
          <w:color w:val="auto"/>
          <w:sz w:val="20"/>
          <w:szCs w:val="20"/>
          <w:lang w:val="es-VE"/>
        </w:rPr>
        <w:t>,</w:t>
      </w:r>
      <w:r w:rsidR="00AB2134" w:rsidRPr="0048103D">
        <w:rPr>
          <w:color w:val="auto"/>
          <w:sz w:val="20"/>
          <w:szCs w:val="20"/>
          <w:lang w:val="es-VE"/>
        </w:rPr>
        <w:t xml:space="preserve"> </w:t>
      </w:r>
      <w:r w:rsidR="007F1194" w:rsidRPr="0048103D">
        <w:rPr>
          <w:color w:val="auto"/>
          <w:sz w:val="20"/>
          <w:szCs w:val="20"/>
          <w:lang w:val="es-VE"/>
        </w:rPr>
        <w:t xml:space="preserve">resuelta mediante sentencia </w:t>
      </w:r>
      <w:r w:rsidR="001133AF">
        <w:rPr>
          <w:color w:val="auto"/>
          <w:sz w:val="20"/>
          <w:szCs w:val="20"/>
          <w:lang w:val="es-VE"/>
        </w:rPr>
        <w:t>de</w:t>
      </w:r>
      <w:r w:rsidR="007F1194" w:rsidRPr="0048103D">
        <w:rPr>
          <w:color w:val="auto"/>
          <w:sz w:val="20"/>
          <w:szCs w:val="20"/>
          <w:lang w:val="es-VE"/>
        </w:rPr>
        <w:t xml:space="preserve"> 21 de mayo de 2014 </w:t>
      </w:r>
      <w:r w:rsidR="001133AF">
        <w:rPr>
          <w:color w:val="auto"/>
          <w:sz w:val="20"/>
          <w:szCs w:val="20"/>
          <w:lang w:val="es-VE"/>
        </w:rPr>
        <w:t>d</w:t>
      </w:r>
      <w:r w:rsidR="007F1194" w:rsidRPr="0048103D">
        <w:rPr>
          <w:color w:val="auto"/>
          <w:sz w:val="20"/>
          <w:szCs w:val="20"/>
          <w:lang w:val="es-VE"/>
        </w:rPr>
        <w:t xml:space="preserve">el Juzgado Primero de Ejecución de Penas y Medidas de Seguridad. Por su parte, el Estado </w:t>
      </w:r>
      <w:r w:rsidR="007F1194" w:rsidRPr="0048103D">
        <w:rPr>
          <w:color w:val="auto"/>
          <w:sz w:val="20"/>
          <w:szCs w:val="20"/>
          <w:bdr w:val="none" w:sz="0" w:space="0" w:color="auto" w:frame="1"/>
          <w:lang w:val="es-VE"/>
        </w:rPr>
        <w:t xml:space="preserve">argumenta que </w:t>
      </w:r>
      <w:r w:rsidR="001133AF">
        <w:rPr>
          <w:color w:val="auto"/>
          <w:sz w:val="20"/>
          <w:szCs w:val="20"/>
          <w:bdr w:val="none" w:sz="0" w:space="0" w:color="auto" w:frame="1"/>
          <w:lang w:val="es-VE"/>
        </w:rPr>
        <w:t xml:space="preserve">se </w:t>
      </w:r>
      <w:r w:rsidR="007F1194" w:rsidRPr="0048103D">
        <w:rPr>
          <w:color w:val="auto"/>
          <w:sz w:val="20"/>
          <w:szCs w:val="20"/>
          <w:bdr w:val="none" w:sz="0" w:space="0" w:color="auto" w:frame="1"/>
          <w:lang w:val="es-VE"/>
        </w:rPr>
        <w:t>interpu</w:t>
      </w:r>
      <w:r w:rsidR="001133AF">
        <w:rPr>
          <w:color w:val="auto"/>
          <w:sz w:val="20"/>
          <w:szCs w:val="20"/>
          <w:bdr w:val="none" w:sz="0" w:space="0" w:color="auto" w:frame="1"/>
          <w:lang w:val="es-VE"/>
        </w:rPr>
        <w:t xml:space="preserve">sieron </w:t>
      </w:r>
      <w:r w:rsidR="007F1194" w:rsidRPr="0048103D">
        <w:rPr>
          <w:color w:val="auto"/>
          <w:sz w:val="20"/>
          <w:szCs w:val="20"/>
          <w:bdr w:val="none" w:sz="0" w:space="0" w:color="auto" w:frame="1"/>
          <w:lang w:val="es-VE"/>
        </w:rPr>
        <w:t xml:space="preserve">recursos </w:t>
      </w:r>
      <w:r w:rsidR="007F1194" w:rsidRPr="0048103D">
        <w:rPr>
          <w:color w:val="auto"/>
          <w:sz w:val="20"/>
          <w:szCs w:val="20"/>
          <w:lang w:val="es-VE"/>
        </w:rPr>
        <w:t xml:space="preserve">de apelación </w:t>
      </w:r>
      <w:r w:rsidR="001133AF">
        <w:rPr>
          <w:color w:val="auto"/>
          <w:sz w:val="20"/>
          <w:szCs w:val="20"/>
          <w:lang w:val="es-VE"/>
        </w:rPr>
        <w:t>o</w:t>
      </w:r>
      <w:r w:rsidR="007F1194" w:rsidRPr="0048103D">
        <w:rPr>
          <w:color w:val="auto"/>
          <w:sz w:val="20"/>
          <w:szCs w:val="20"/>
          <w:lang w:val="es-VE"/>
        </w:rPr>
        <w:t xml:space="preserve"> de reposición</w:t>
      </w:r>
      <w:r w:rsidR="007F1194" w:rsidRPr="0048103D">
        <w:rPr>
          <w:color w:val="auto"/>
          <w:sz w:val="20"/>
          <w:szCs w:val="20"/>
          <w:bdr w:val="none" w:sz="0" w:space="0" w:color="auto" w:frame="1"/>
          <w:lang w:val="es-VE"/>
        </w:rPr>
        <w:t xml:space="preserve"> contra la </w:t>
      </w:r>
      <w:r w:rsidR="00AB2134" w:rsidRPr="0048103D">
        <w:rPr>
          <w:color w:val="auto"/>
          <w:sz w:val="20"/>
          <w:szCs w:val="20"/>
          <w:bdr w:val="none" w:sz="0" w:space="0" w:color="auto" w:frame="1"/>
          <w:lang w:val="es-VE"/>
        </w:rPr>
        <w:t>re</w:t>
      </w:r>
      <w:r w:rsidR="007F1194" w:rsidRPr="0048103D">
        <w:rPr>
          <w:color w:val="auto"/>
          <w:sz w:val="20"/>
          <w:szCs w:val="20"/>
          <w:lang w:val="es-VE"/>
        </w:rPr>
        <w:t xml:space="preserve">solución inhibitoria </w:t>
      </w:r>
      <w:r w:rsidR="00AB2134" w:rsidRPr="0048103D">
        <w:rPr>
          <w:color w:val="auto"/>
          <w:sz w:val="20"/>
          <w:szCs w:val="20"/>
          <w:lang w:val="es-VE"/>
        </w:rPr>
        <w:t>d</w:t>
      </w:r>
      <w:r w:rsidR="007F1194" w:rsidRPr="0048103D">
        <w:rPr>
          <w:color w:val="auto"/>
          <w:sz w:val="20"/>
          <w:szCs w:val="20"/>
          <w:lang w:val="es-VE"/>
        </w:rPr>
        <w:t>e 18 de junio de 2004</w:t>
      </w:r>
      <w:r w:rsidR="001133AF">
        <w:rPr>
          <w:color w:val="auto"/>
          <w:sz w:val="20"/>
          <w:szCs w:val="20"/>
          <w:lang w:val="es-VE"/>
        </w:rPr>
        <w:t>,</w:t>
      </w:r>
      <w:r w:rsidR="007F1194" w:rsidRPr="0048103D">
        <w:rPr>
          <w:color w:val="auto"/>
          <w:sz w:val="20"/>
          <w:szCs w:val="20"/>
          <w:lang w:val="es-VE"/>
        </w:rPr>
        <w:t xml:space="preserve"> </w:t>
      </w:r>
      <w:r w:rsidR="007F1194" w:rsidRPr="0048103D">
        <w:rPr>
          <w:color w:val="auto"/>
          <w:sz w:val="20"/>
          <w:szCs w:val="20"/>
          <w:bdr w:val="none" w:sz="0" w:space="0" w:color="auto" w:frame="1"/>
          <w:lang w:val="es-VE"/>
        </w:rPr>
        <w:t xml:space="preserve">ni contra de la </w:t>
      </w:r>
      <w:r w:rsidR="00AB2134" w:rsidRPr="0048103D">
        <w:rPr>
          <w:color w:val="auto"/>
          <w:sz w:val="20"/>
          <w:szCs w:val="20"/>
          <w:bdr w:val="none" w:sz="0" w:space="0" w:color="auto" w:frame="1"/>
          <w:lang w:val="es-VE"/>
        </w:rPr>
        <w:t xml:space="preserve">decisión de archivo. </w:t>
      </w:r>
      <w:r w:rsidR="007F1194" w:rsidRPr="0048103D">
        <w:rPr>
          <w:color w:val="auto"/>
          <w:sz w:val="20"/>
          <w:szCs w:val="20"/>
          <w:bdr w:val="none" w:sz="0" w:space="0" w:color="auto" w:frame="1"/>
          <w:lang w:val="es-VE"/>
        </w:rPr>
        <w:t xml:space="preserve">Asimismo, alega que </w:t>
      </w:r>
      <w:r w:rsidR="00AB2134" w:rsidRPr="0048103D">
        <w:rPr>
          <w:color w:val="auto"/>
          <w:sz w:val="20"/>
          <w:szCs w:val="20"/>
          <w:bdr w:val="none" w:sz="0" w:space="0" w:color="auto" w:frame="1"/>
          <w:lang w:val="es-VE"/>
        </w:rPr>
        <w:t xml:space="preserve">la familia </w:t>
      </w:r>
      <w:r w:rsidR="007F1194" w:rsidRPr="0048103D">
        <w:rPr>
          <w:color w:val="auto"/>
          <w:sz w:val="20"/>
          <w:szCs w:val="20"/>
          <w:lang w:val="es-VE"/>
        </w:rPr>
        <w:t>puede</w:t>
      </w:r>
      <w:r w:rsidR="00AB2134" w:rsidRPr="0048103D">
        <w:rPr>
          <w:color w:val="auto"/>
          <w:sz w:val="20"/>
          <w:szCs w:val="20"/>
          <w:lang w:val="es-VE"/>
        </w:rPr>
        <w:t xml:space="preserve"> </w:t>
      </w:r>
      <w:r w:rsidR="007F1194" w:rsidRPr="0048103D">
        <w:rPr>
          <w:color w:val="auto"/>
          <w:sz w:val="20"/>
          <w:szCs w:val="20"/>
          <w:lang w:val="es-VE"/>
        </w:rPr>
        <w:t xml:space="preserve">solicitar al fiscal del </w:t>
      </w:r>
      <w:r w:rsidR="007F1194" w:rsidRPr="0048103D">
        <w:rPr>
          <w:color w:val="auto"/>
          <w:sz w:val="20"/>
          <w:szCs w:val="20"/>
          <w:lang w:val="es-VE"/>
        </w:rPr>
        <w:lastRenderedPageBreak/>
        <w:t xml:space="preserve">caso que revoque la decisión </w:t>
      </w:r>
      <w:r w:rsidR="00AB2134" w:rsidRPr="0048103D">
        <w:rPr>
          <w:color w:val="auto"/>
          <w:sz w:val="20"/>
          <w:szCs w:val="20"/>
          <w:lang w:val="es-VE"/>
        </w:rPr>
        <w:t xml:space="preserve">de archivo </w:t>
      </w:r>
      <w:r w:rsidR="001133AF">
        <w:rPr>
          <w:color w:val="auto"/>
          <w:sz w:val="20"/>
          <w:szCs w:val="20"/>
          <w:lang w:val="es-VE"/>
        </w:rPr>
        <w:t>con</w:t>
      </w:r>
      <w:r w:rsidR="007F1194" w:rsidRPr="0048103D">
        <w:rPr>
          <w:color w:val="auto"/>
          <w:sz w:val="20"/>
          <w:szCs w:val="20"/>
          <w:lang w:val="es-VE"/>
        </w:rPr>
        <w:t xml:space="preserve"> nuevos elementos materiales probatorios</w:t>
      </w:r>
      <w:r w:rsidR="00AB2134" w:rsidRPr="0048103D">
        <w:rPr>
          <w:color w:val="auto"/>
          <w:sz w:val="20"/>
          <w:szCs w:val="20"/>
          <w:lang w:val="es-VE"/>
        </w:rPr>
        <w:t xml:space="preserve">. </w:t>
      </w:r>
      <w:r w:rsidR="006A6DF0" w:rsidRPr="0048103D">
        <w:rPr>
          <w:color w:val="auto"/>
          <w:sz w:val="20"/>
          <w:szCs w:val="20"/>
          <w:lang w:val="es-VE"/>
        </w:rPr>
        <w:t xml:space="preserve">Por último, </w:t>
      </w:r>
      <w:r w:rsidR="001133AF">
        <w:rPr>
          <w:color w:val="auto"/>
          <w:sz w:val="20"/>
          <w:szCs w:val="20"/>
          <w:lang w:val="es-VE"/>
        </w:rPr>
        <w:t xml:space="preserve">indica </w:t>
      </w:r>
      <w:r w:rsidR="006A6DF0" w:rsidRPr="0048103D">
        <w:rPr>
          <w:color w:val="auto"/>
          <w:sz w:val="20"/>
          <w:szCs w:val="20"/>
          <w:lang w:val="es-VE"/>
        </w:rPr>
        <w:t xml:space="preserve">que no </w:t>
      </w:r>
      <w:r w:rsidR="001133AF">
        <w:rPr>
          <w:color w:val="auto"/>
          <w:sz w:val="20"/>
          <w:szCs w:val="20"/>
          <w:lang w:val="es-VE"/>
        </w:rPr>
        <w:t>se</w:t>
      </w:r>
      <w:r w:rsidR="006A6DF0" w:rsidRPr="0048103D">
        <w:rPr>
          <w:color w:val="auto"/>
          <w:sz w:val="20"/>
          <w:szCs w:val="20"/>
          <w:lang w:val="es-VE"/>
        </w:rPr>
        <w:t xml:space="preserve"> interpu</w:t>
      </w:r>
      <w:r w:rsidR="001133AF">
        <w:rPr>
          <w:color w:val="auto"/>
          <w:sz w:val="20"/>
          <w:szCs w:val="20"/>
          <w:lang w:val="es-VE"/>
        </w:rPr>
        <w:t>so</w:t>
      </w:r>
      <w:r w:rsidR="006A6DF0" w:rsidRPr="0048103D">
        <w:rPr>
          <w:color w:val="auto"/>
          <w:sz w:val="20"/>
          <w:szCs w:val="20"/>
          <w:lang w:val="es-VE"/>
        </w:rPr>
        <w:t xml:space="preserve"> una denuncia penal </w:t>
      </w:r>
      <w:r w:rsidR="001133AF">
        <w:rPr>
          <w:color w:val="auto"/>
          <w:sz w:val="20"/>
          <w:szCs w:val="20"/>
          <w:lang w:val="es-VE"/>
        </w:rPr>
        <w:t>para</w:t>
      </w:r>
      <w:r w:rsidR="006A6DF0" w:rsidRPr="0048103D">
        <w:rPr>
          <w:color w:val="auto"/>
          <w:sz w:val="20"/>
          <w:szCs w:val="20"/>
          <w:lang w:val="es-VE"/>
        </w:rPr>
        <w:t xml:space="preserve"> esclarecer las presuntas amenazas y posterior desplazamiento al </w:t>
      </w:r>
      <w:r w:rsidR="00F17B8A">
        <w:rPr>
          <w:color w:val="auto"/>
          <w:sz w:val="20"/>
          <w:szCs w:val="20"/>
          <w:lang w:val="es-VE"/>
        </w:rPr>
        <w:t>que</w:t>
      </w:r>
      <w:r w:rsidR="006A6DF0" w:rsidRPr="0048103D">
        <w:rPr>
          <w:color w:val="auto"/>
          <w:sz w:val="20"/>
          <w:szCs w:val="20"/>
          <w:lang w:val="es-VE"/>
        </w:rPr>
        <w:t xml:space="preserve"> se vieron sometidos los familiares; y</w:t>
      </w:r>
      <w:r w:rsidR="007F1194" w:rsidRPr="0048103D">
        <w:rPr>
          <w:color w:val="auto"/>
          <w:sz w:val="20"/>
          <w:szCs w:val="20"/>
          <w:lang w:val="es-VE"/>
        </w:rPr>
        <w:t xml:space="preserve"> señala que la petición fue presentada </w:t>
      </w:r>
      <w:r w:rsidR="00F17B8A">
        <w:rPr>
          <w:color w:val="auto"/>
          <w:sz w:val="20"/>
          <w:szCs w:val="20"/>
          <w:lang w:val="es-VE"/>
        </w:rPr>
        <w:t xml:space="preserve">en forma extemporánea, </w:t>
      </w:r>
      <w:r w:rsidR="007F1194" w:rsidRPr="0048103D">
        <w:rPr>
          <w:color w:val="auto"/>
          <w:sz w:val="20"/>
          <w:szCs w:val="20"/>
          <w:lang w:val="es-VE"/>
        </w:rPr>
        <w:t>4 años después de la decisión judicial definitiva en relación con los hechos</w:t>
      </w:r>
      <w:r w:rsidR="00F17B8A">
        <w:rPr>
          <w:color w:val="auto"/>
          <w:sz w:val="20"/>
          <w:szCs w:val="20"/>
          <w:lang w:val="es-VE"/>
        </w:rPr>
        <w:t xml:space="preserve"> denunciados</w:t>
      </w:r>
      <w:r w:rsidR="007F1194" w:rsidRPr="0048103D">
        <w:rPr>
          <w:color w:val="auto"/>
          <w:sz w:val="20"/>
          <w:szCs w:val="20"/>
          <w:lang w:val="es-VE"/>
        </w:rPr>
        <w:t>.</w:t>
      </w:r>
    </w:p>
    <w:p w14:paraId="376D40AE" w14:textId="77777777" w:rsidR="009264A1" w:rsidRDefault="009264A1" w:rsidP="009264A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VE"/>
        </w:rPr>
      </w:pPr>
    </w:p>
    <w:p w14:paraId="761EA278" w14:textId="59BB2966" w:rsidR="005A1F58" w:rsidRPr="0048103D" w:rsidRDefault="00AB2134"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48103D">
        <w:rPr>
          <w:color w:val="auto"/>
          <w:sz w:val="20"/>
          <w:szCs w:val="20"/>
          <w:lang w:val="es-VE"/>
        </w:rPr>
        <w:t xml:space="preserve">La Comisión </w:t>
      </w:r>
      <w:r w:rsidR="00F17B8A">
        <w:rPr>
          <w:color w:val="auto"/>
          <w:sz w:val="20"/>
          <w:szCs w:val="20"/>
          <w:lang w:val="es-VE"/>
        </w:rPr>
        <w:t xml:space="preserve">Interamericana debe </w:t>
      </w:r>
      <w:r w:rsidRPr="0048103D">
        <w:rPr>
          <w:color w:val="auto"/>
          <w:sz w:val="20"/>
          <w:szCs w:val="20"/>
          <w:lang w:val="es-VE"/>
        </w:rPr>
        <w:t>reitera</w:t>
      </w:r>
      <w:r w:rsidR="00F17B8A">
        <w:rPr>
          <w:color w:val="auto"/>
          <w:sz w:val="20"/>
          <w:szCs w:val="20"/>
          <w:lang w:val="es-VE"/>
        </w:rPr>
        <w:t>r</w:t>
      </w:r>
      <w:r w:rsidRPr="0048103D">
        <w:rPr>
          <w:color w:val="auto"/>
          <w:sz w:val="20"/>
          <w:szCs w:val="20"/>
          <w:lang w:val="es-VE"/>
        </w:rPr>
        <w:t xml:space="preserve"> </w:t>
      </w:r>
      <w:r w:rsidR="003E353D" w:rsidRPr="0048103D">
        <w:rPr>
          <w:color w:val="auto"/>
          <w:sz w:val="20"/>
          <w:szCs w:val="20"/>
          <w:lang w:val="es-VE"/>
        </w:rPr>
        <w:t>que toda vez que se cometa un presunto delito perseguible de oficio, el Estado tiene la obligación de promover e impulsar el proceso penal</w:t>
      </w:r>
      <w:r w:rsidR="00F17B8A">
        <w:rPr>
          <w:color w:val="auto"/>
          <w:sz w:val="20"/>
          <w:szCs w:val="20"/>
          <w:lang w:val="es-VE"/>
        </w:rPr>
        <w:t>,</w:t>
      </w:r>
      <w:r w:rsidR="003E353D" w:rsidRPr="0048103D">
        <w:rPr>
          <w:color w:val="auto"/>
          <w:sz w:val="20"/>
          <w:szCs w:val="20"/>
          <w:lang w:val="es-VE"/>
        </w:rPr>
        <w:t xml:space="preserve"> que constituye la vía idónea para esclarecer los hechos, juzgar a los responsables y establecer las sanciones penales correspondientes, además de posibilitar otros modos de reparación de tipo pecuniario.</w:t>
      </w:r>
      <w:r w:rsidRPr="0048103D">
        <w:rPr>
          <w:color w:val="auto"/>
          <w:sz w:val="20"/>
          <w:szCs w:val="20"/>
          <w:lang w:val="es-VE"/>
        </w:rPr>
        <w:t xml:space="preserve"> </w:t>
      </w:r>
      <w:r w:rsidR="005A1F58" w:rsidRPr="0048103D">
        <w:rPr>
          <w:color w:val="auto"/>
          <w:sz w:val="20"/>
          <w:szCs w:val="20"/>
          <w:lang w:val="es-VE"/>
        </w:rPr>
        <w:t>En dicho sentido, la C</w:t>
      </w:r>
      <w:r w:rsidR="00F17B8A">
        <w:rPr>
          <w:color w:val="auto"/>
          <w:sz w:val="20"/>
          <w:szCs w:val="20"/>
          <w:lang w:val="es-VE"/>
        </w:rPr>
        <w:t>IDH</w:t>
      </w:r>
      <w:r w:rsidR="005A1F58" w:rsidRPr="0048103D">
        <w:rPr>
          <w:color w:val="auto"/>
          <w:sz w:val="20"/>
          <w:szCs w:val="20"/>
          <w:lang w:val="es-VE"/>
        </w:rPr>
        <w:t xml:space="preserve"> </w:t>
      </w:r>
      <w:r w:rsidR="003E353D" w:rsidRPr="0048103D">
        <w:rPr>
          <w:color w:val="auto"/>
          <w:sz w:val="20"/>
          <w:szCs w:val="20"/>
          <w:lang w:val="es-VE"/>
        </w:rPr>
        <w:t>observa que</w:t>
      </w:r>
      <w:r w:rsidR="005A1F58" w:rsidRPr="0048103D">
        <w:rPr>
          <w:rFonts w:cs="Calibri"/>
          <w:color w:val="auto"/>
          <w:sz w:val="20"/>
          <w:szCs w:val="20"/>
          <w:bdr w:val="none" w:sz="0" w:space="0" w:color="auto" w:frame="1"/>
          <w:lang w:val="es-VE"/>
        </w:rPr>
        <w:t xml:space="preserve"> se inició de oficio una investigación penal a cargo de </w:t>
      </w:r>
      <w:r w:rsidR="005A1F58" w:rsidRPr="0048103D">
        <w:rPr>
          <w:color w:val="auto"/>
          <w:sz w:val="20"/>
          <w:szCs w:val="20"/>
          <w:bdr w:val="none" w:sz="0" w:space="0" w:color="auto" w:frame="1"/>
          <w:lang w:val="es-VE"/>
        </w:rPr>
        <w:t xml:space="preserve">la </w:t>
      </w:r>
      <w:r w:rsidR="005A1F58" w:rsidRPr="0048103D">
        <w:rPr>
          <w:color w:val="auto"/>
          <w:sz w:val="20"/>
          <w:szCs w:val="20"/>
          <w:lang w:val="es-VE"/>
        </w:rPr>
        <w:t>Fiscalía Única Local de Puerto Boyacá</w:t>
      </w:r>
      <w:r w:rsidR="00F17B8A">
        <w:rPr>
          <w:color w:val="auto"/>
          <w:sz w:val="20"/>
          <w:szCs w:val="20"/>
          <w:lang w:val="es-VE"/>
        </w:rPr>
        <w:t>,</w:t>
      </w:r>
      <w:r w:rsidR="005A1F58" w:rsidRPr="0048103D">
        <w:rPr>
          <w:color w:val="auto"/>
          <w:sz w:val="20"/>
          <w:szCs w:val="20"/>
          <w:lang w:val="es-VE"/>
        </w:rPr>
        <w:t xml:space="preserve"> sobre la </w:t>
      </w:r>
      <w:r w:rsidR="00F17B8A">
        <w:rPr>
          <w:color w:val="auto"/>
          <w:sz w:val="20"/>
          <w:szCs w:val="20"/>
          <w:lang w:val="es-VE"/>
        </w:rPr>
        <w:t>que</w:t>
      </w:r>
      <w:r w:rsidR="005A1F58" w:rsidRPr="0048103D">
        <w:rPr>
          <w:color w:val="auto"/>
          <w:sz w:val="20"/>
          <w:szCs w:val="20"/>
          <w:lang w:val="es-VE"/>
        </w:rPr>
        <w:t xml:space="preserve"> se </w:t>
      </w:r>
      <w:r w:rsidR="00F17B8A">
        <w:rPr>
          <w:color w:val="auto"/>
          <w:sz w:val="20"/>
          <w:szCs w:val="20"/>
          <w:lang w:val="es-VE"/>
        </w:rPr>
        <w:t>adopt</w:t>
      </w:r>
      <w:r w:rsidR="005A1F58" w:rsidRPr="0048103D">
        <w:rPr>
          <w:color w:val="auto"/>
          <w:sz w:val="20"/>
          <w:szCs w:val="20"/>
          <w:lang w:val="es-VE"/>
        </w:rPr>
        <w:t xml:space="preserve">ó </w:t>
      </w:r>
      <w:r w:rsidR="00F17B8A">
        <w:rPr>
          <w:color w:val="auto"/>
          <w:sz w:val="20"/>
          <w:szCs w:val="20"/>
          <w:lang w:val="es-VE"/>
        </w:rPr>
        <w:t xml:space="preserve">la </w:t>
      </w:r>
      <w:r w:rsidR="005A1F58" w:rsidRPr="0048103D">
        <w:rPr>
          <w:color w:val="auto"/>
          <w:sz w:val="20"/>
          <w:szCs w:val="20"/>
          <w:lang w:val="es-VE"/>
        </w:rPr>
        <w:t xml:space="preserve">resolución inhibitoria el 18 de junio de 2004 y </w:t>
      </w:r>
      <w:r w:rsidR="00F17B8A">
        <w:rPr>
          <w:color w:val="auto"/>
          <w:sz w:val="20"/>
          <w:szCs w:val="20"/>
          <w:lang w:val="es-VE"/>
        </w:rPr>
        <w:t xml:space="preserve">que </w:t>
      </w:r>
      <w:r w:rsidR="005A1F58" w:rsidRPr="0048103D">
        <w:rPr>
          <w:color w:val="auto"/>
          <w:sz w:val="20"/>
          <w:szCs w:val="20"/>
          <w:lang w:val="es-VE"/>
        </w:rPr>
        <w:t xml:space="preserve">se </w:t>
      </w:r>
      <w:r w:rsidR="00F17B8A">
        <w:rPr>
          <w:color w:val="auto"/>
          <w:sz w:val="20"/>
          <w:szCs w:val="20"/>
          <w:lang w:val="es-VE"/>
        </w:rPr>
        <w:t xml:space="preserve">encontraría </w:t>
      </w:r>
      <w:r w:rsidR="005A1F58" w:rsidRPr="0048103D">
        <w:rPr>
          <w:color w:val="auto"/>
          <w:sz w:val="20"/>
          <w:szCs w:val="20"/>
          <w:lang w:val="es-VE"/>
        </w:rPr>
        <w:t xml:space="preserve">archivada. La Comisión </w:t>
      </w:r>
      <w:r w:rsidR="00F17B8A">
        <w:rPr>
          <w:color w:val="auto"/>
          <w:sz w:val="20"/>
          <w:szCs w:val="20"/>
          <w:lang w:val="es-VE"/>
        </w:rPr>
        <w:t xml:space="preserve">Interamericana </w:t>
      </w:r>
      <w:r w:rsidR="005A1F58" w:rsidRPr="0048103D">
        <w:rPr>
          <w:color w:val="auto"/>
          <w:sz w:val="20"/>
          <w:szCs w:val="20"/>
          <w:lang w:val="es-VE"/>
        </w:rPr>
        <w:t xml:space="preserve">toma nota </w:t>
      </w:r>
      <w:r w:rsidR="00F17B8A">
        <w:rPr>
          <w:color w:val="auto"/>
          <w:sz w:val="20"/>
          <w:szCs w:val="20"/>
          <w:lang w:val="es-VE"/>
        </w:rPr>
        <w:t>de</w:t>
      </w:r>
      <w:r w:rsidR="005A1F58" w:rsidRPr="0048103D">
        <w:rPr>
          <w:color w:val="auto"/>
          <w:sz w:val="20"/>
          <w:szCs w:val="20"/>
          <w:lang w:val="es-VE"/>
        </w:rPr>
        <w:t xml:space="preserve"> las actuaciones realizadas por el Estado</w:t>
      </w:r>
      <w:r w:rsidR="00F17B8A">
        <w:rPr>
          <w:color w:val="auto"/>
          <w:sz w:val="20"/>
          <w:szCs w:val="20"/>
          <w:lang w:val="es-VE"/>
        </w:rPr>
        <w:t>, tales</w:t>
      </w:r>
      <w:r w:rsidR="005A1F58" w:rsidRPr="0048103D">
        <w:rPr>
          <w:color w:val="auto"/>
          <w:sz w:val="20"/>
          <w:szCs w:val="20"/>
          <w:lang w:val="es-VE"/>
        </w:rPr>
        <w:t xml:space="preserve"> como la recepción de la declaración del padre de la presunta víctima</w:t>
      </w:r>
      <w:r w:rsidR="00F17B8A">
        <w:rPr>
          <w:color w:val="auto"/>
          <w:sz w:val="20"/>
          <w:szCs w:val="20"/>
          <w:lang w:val="es-VE"/>
        </w:rPr>
        <w:t>;</w:t>
      </w:r>
      <w:r w:rsidR="005A1F58" w:rsidRPr="0048103D">
        <w:rPr>
          <w:color w:val="auto"/>
          <w:sz w:val="20"/>
          <w:szCs w:val="20"/>
          <w:lang w:val="es-VE"/>
        </w:rPr>
        <w:t xml:space="preserve"> la orden de trabajo a la </w:t>
      </w:r>
      <w:r w:rsidR="00F17B8A">
        <w:rPr>
          <w:color w:val="auto"/>
          <w:sz w:val="20"/>
          <w:szCs w:val="20"/>
          <w:lang w:val="es-VE"/>
        </w:rPr>
        <w:t>P</w:t>
      </w:r>
      <w:r w:rsidR="005A1F58" w:rsidRPr="0048103D">
        <w:rPr>
          <w:color w:val="auto"/>
          <w:sz w:val="20"/>
          <w:szCs w:val="20"/>
          <w:lang w:val="es-VE"/>
        </w:rPr>
        <w:t xml:space="preserve">olicía </w:t>
      </w:r>
      <w:r w:rsidR="00F17B8A">
        <w:rPr>
          <w:color w:val="auto"/>
          <w:sz w:val="20"/>
          <w:szCs w:val="20"/>
          <w:lang w:val="es-VE"/>
        </w:rPr>
        <w:t>N</w:t>
      </w:r>
      <w:r w:rsidR="005A1F58" w:rsidRPr="0048103D">
        <w:rPr>
          <w:color w:val="auto"/>
          <w:sz w:val="20"/>
          <w:szCs w:val="20"/>
          <w:lang w:val="es-VE"/>
        </w:rPr>
        <w:t>acional para dar con la ubicación de posibles testigos</w:t>
      </w:r>
      <w:r w:rsidR="00F17B8A">
        <w:rPr>
          <w:color w:val="auto"/>
          <w:sz w:val="20"/>
          <w:szCs w:val="20"/>
          <w:lang w:val="es-VE"/>
        </w:rPr>
        <w:t>;</w:t>
      </w:r>
      <w:r w:rsidR="005A1F58" w:rsidRPr="0048103D">
        <w:rPr>
          <w:color w:val="auto"/>
          <w:sz w:val="20"/>
          <w:szCs w:val="20"/>
          <w:lang w:val="es-VE"/>
        </w:rPr>
        <w:t xml:space="preserve"> y la diligencia de inspección del cadáver por el Instituto Colombiano de Medicina Legal. </w:t>
      </w:r>
    </w:p>
    <w:p w14:paraId="28E745BF" w14:textId="77777777" w:rsidR="009264A1" w:rsidRPr="00F17B8A" w:rsidRDefault="009264A1" w:rsidP="009264A1">
      <w:pPr>
        <w:jc w:val="both"/>
        <w:rPr>
          <w:sz w:val="20"/>
          <w:szCs w:val="20"/>
          <w:lang w:val="es-VE"/>
        </w:rPr>
      </w:pPr>
    </w:p>
    <w:p w14:paraId="67815E6F" w14:textId="32318827" w:rsidR="006A6DF0" w:rsidRPr="0048103D" w:rsidRDefault="005A1F58" w:rsidP="00756CA0">
      <w:pPr>
        <w:pStyle w:val="ListParagraph"/>
        <w:numPr>
          <w:ilvl w:val="0"/>
          <w:numId w:val="56"/>
        </w:numPr>
        <w:ind w:left="0" w:firstLine="720"/>
        <w:jc w:val="both"/>
        <w:rPr>
          <w:color w:val="auto"/>
          <w:sz w:val="20"/>
          <w:szCs w:val="20"/>
          <w:lang w:val="es-VE"/>
        </w:rPr>
      </w:pPr>
      <w:r w:rsidRPr="0048103D">
        <w:rPr>
          <w:rFonts w:cs="Calibri"/>
          <w:color w:val="auto"/>
          <w:sz w:val="20"/>
          <w:szCs w:val="20"/>
          <w:lang w:val="es-ES"/>
        </w:rPr>
        <w:t>Asimismo, la</w:t>
      </w:r>
      <w:r w:rsidRPr="0048103D">
        <w:rPr>
          <w:color w:val="auto"/>
          <w:sz w:val="20"/>
          <w:szCs w:val="20"/>
          <w:lang w:val="es-ES"/>
        </w:rPr>
        <w:t xml:space="preserve"> información disponible en el expediente</w:t>
      </w:r>
      <w:r w:rsidR="00F17B8A">
        <w:rPr>
          <w:color w:val="auto"/>
          <w:sz w:val="20"/>
          <w:szCs w:val="20"/>
          <w:lang w:val="es-ES"/>
        </w:rPr>
        <w:t xml:space="preserve"> revela </w:t>
      </w:r>
      <w:r w:rsidRPr="0048103D">
        <w:rPr>
          <w:color w:val="auto"/>
          <w:sz w:val="20"/>
          <w:szCs w:val="20"/>
          <w:lang w:val="es-ES"/>
        </w:rPr>
        <w:t xml:space="preserve">que la familia de la presunta víctima ha solicitado información actualizada sobre la investigación penal de los hechos ante distintas autoridades </w:t>
      </w:r>
      <w:r w:rsidR="00F17B8A">
        <w:rPr>
          <w:color w:val="auto"/>
          <w:sz w:val="20"/>
          <w:szCs w:val="20"/>
          <w:lang w:val="es-ES"/>
        </w:rPr>
        <w:t xml:space="preserve">que </w:t>
      </w:r>
      <w:r w:rsidRPr="0048103D">
        <w:rPr>
          <w:color w:val="auto"/>
          <w:sz w:val="20"/>
          <w:szCs w:val="20"/>
          <w:lang w:val="es-ES"/>
        </w:rPr>
        <w:t xml:space="preserve">incluyen </w:t>
      </w:r>
      <w:r w:rsidR="00F17B8A">
        <w:rPr>
          <w:color w:val="auto"/>
          <w:sz w:val="20"/>
          <w:szCs w:val="20"/>
          <w:lang w:val="es-ES"/>
        </w:rPr>
        <w:t xml:space="preserve">al </w:t>
      </w:r>
      <w:r w:rsidR="006A6DF0" w:rsidRPr="0048103D">
        <w:rPr>
          <w:color w:val="auto"/>
          <w:sz w:val="20"/>
          <w:szCs w:val="20"/>
          <w:lang w:val="es-ES"/>
        </w:rPr>
        <w:t xml:space="preserve">ACNUR y </w:t>
      </w:r>
      <w:r w:rsidRPr="0048103D">
        <w:rPr>
          <w:color w:val="auto"/>
          <w:sz w:val="20"/>
          <w:szCs w:val="20"/>
          <w:lang w:val="es-VE"/>
        </w:rPr>
        <w:t>la Jurisdicción de Justicia y Paz</w:t>
      </w:r>
      <w:r w:rsidR="00F17B8A">
        <w:rPr>
          <w:color w:val="auto"/>
          <w:sz w:val="20"/>
          <w:szCs w:val="20"/>
          <w:lang w:val="es-VE"/>
        </w:rPr>
        <w:t>, esta última</w:t>
      </w:r>
      <w:r w:rsidRPr="0048103D">
        <w:rPr>
          <w:color w:val="auto"/>
          <w:sz w:val="20"/>
          <w:szCs w:val="20"/>
          <w:lang w:val="es-VE"/>
        </w:rPr>
        <w:t xml:space="preserve"> </w:t>
      </w:r>
      <w:r w:rsidR="006A6DF0" w:rsidRPr="0048103D">
        <w:rPr>
          <w:color w:val="auto"/>
          <w:sz w:val="20"/>
          <w:szCs w:val="20"/>
          <w:lang w:val="es-VE"/>
        </w:rPr>
        <w:t>el 25 de enero de 2010</w:t>
      </w:r>
      <w:r w:rsidRPr="0048103D">
        <w:rPr>
          <w:color w:val="auto"/>
          <w:sz w:val="20"/>
          <w:szCs w:val="20"/>
          <w:lang w:val="es-VE"/>
        </w:rPr>
        <w:t xml:space="preserve">. </w:t>
      </w:r>
      <w:r w:rsidR="00F17B8A">
        <w:rPr>
          <w:color w:val="auto"/>
          <w:sz w:val="20"/>
          <w:szCs w:val="20"/>
          <w:lang w:val="es-VE"/>
        </w:rPr>
        <w:t>En consideración de</w:t>
      </w:r>
      <w:r w:rsidR="006A6DF0" w:rsidRPr="0048103D">
        <w:rPr>
          <w:color w:val="auto"/>
          <w:sz w:val="20"/>
          <w:szCs w:val="20"/>
          <w:lang w:val="es-VE"/>
        </w:rPr>
        <w:t xml:space="preserve"> lo expuesto por las partes</w:t>
      </w:r>
      <w:r w:rsidR="006A6DF0" w:rsidRPr="0048103D">
        <w:rPr>
          <w:color w:val="auto"/>
          <w:sz w:val="20"/>
          <w:szCs w:val="20"/>
          <w:lang w:val="es-ES"/>
        </w:rPr>
        <w:t>, la C</w:t>
      </w:r>
      <w:r w:rsidR="0015616E">
        <w:rPr>
          <w:color w:val="auto"/>
          <w:sz w:val="20"/>
          <w:szCs w:val="20"/>
          <w:lang w:val="es-ES"/>
        </w:rPr>
        <w:t>IDH</w:t>
      </w:r>
      <w:r w:rsidR="006A6DF0" w:rsidRPr="0048103D">
        <w:rPr>
          <w:color w:val="auto"/>
          <w:sz w:val="20"/>
          <w:szCs w:val="20"/>
          <w:lang w:val="es-ES"/>
        </w:rPr>
        <w:t xml:space="preserve"> </w:t>
      </w:r>
      <w:r w:rsidR="00F17B8A">
        <w:rPr>
          <w:color w:val="auto"/>
          <w:sz w:val="20"/>
          <w:szCs w:val="20"/>
          <w:lang w:val="es-ES"/>
        </w:rPr>
        <w:t>nota</w:t>
      </w:r>
      <w:r w:rsidR="006A6DF0" w:rsidRPr="0048103D">
        <w:rPr>
          <w:color w:val="auto"/>
          <w:sz w:val="20"/>
          <w:szCs w:val="20"/>
          <w:lang w:val="es-ES"/>
        </w:rPr>
        <w:t xml:space="preserve"> que </w:t>
      </w:r>
      <w:r w:rsidR="006A6DF0" w:rsidRPr="0048103D">
        <w:rPr>
          <w:color w:val="auto"/>
          <w:sz w:val="20"/>
          <w:szCs w:val="20"/>
          <w:bdr w:val="none" w:sz="0" w:space="0" w:color="auto" w:frame="1"/>
          <w:lang w:val="es-ES"/>
        </w:rPr>
        <w:t>han transcurrido 17 años desde los presuntos hechos y del inicio de las investigaciones penales por la autoridad fiscal</w:t>
      </w:r>
      <w:r w:rsidR="0015616E">
        <w:rPr>
          <w:color w:val="auto"/>
          <w:sz w:val="20"/>
          <w:szCs w:val="20"/>
          <w:bdr w:val="none" w:sz="0" w:space="0" w:color="auto" w:frame="1"/>
          <w:lang w:val="es-ES"/>
        </w:rPr>
        <w:t>,</w:t>
      </w:r>
      <w:r w:rsidR="006A6DF0" w:rsidRPr="0048103D">
        <w:rPr>
          <w:color w:val="auto"/>
          <w:sz w:val="20"/>
          <w:szCs w:val="20"/>
          <w:bdr w:val="none" w:sz="0" w:space="0" w:color="auto" w:frame="1"/>
          <w:lang w:val="es-ES"/>
        </w:rPr>
        <w:t xml:space="preserve"> y </w:t>
      </w:r>
      <w:r w:rsidR="00F17B8A">
        <w:rPr>
          <w:color w:val="auto"/>
          <w:sz w:val="20"/>
          <w:szCs w:val="20"/>
          <w:bdr w:val="none" w:sz="0" w:space="0" w:color="auto" w:frame="1"/>
          <w:lang w:val="es-ES"/>
        </w:rPr>
        <w:t xml:space="preserve">que </w:t>
      </w:r>
      <w:r w:rsidR="006A6DF0" w:rsidRPr="0048103D">
        <w:rPr>
          <w:color w:val="auto"/>
          <w:sz w:val="20"/>
          <w:szCs w:val="20"/>
          <w:bdr w:val="none" w:sz="0" w:space="0" w:color="auto" w:frame="1"/>
          <w:lang w:val="es-VE"/>
        </w:rPr>
        <w:t>hasta la fecha</w:t>
      </w:r>
      <w:r w:rsidR="006A6DF0" w:rsidRPr="0048103D">
        <w:rPr>
          <w:color w:val="auto"/>
          <w:sz w:val="20"/>
          <w:szCs w:val="20"/>
          <w:lang w:val="es-ES"/>
        </w:rPr>
        <w:t xml:space="preserve"> no habría indicios de avance en el proceso investigativo</w:t>
      </w:r>
      <w:r w:rsidR="0015616E">
        <w:rPr>
          <w:color w:val="auto"/>
          <w:sz w:val="20"/>
          <w:szCs w:val="20"/>
          <w:lang w:val="es-ES"/>
        </w:rPr>
        <w:t>;</w:t>
      </w:r>
      <w:r w:rsidR="006A6DF0" w:rsidRPr="0048103D">
        <w:rPr>
          <w:color w:val="auto"/>
          <w:sz w:val="20"/>
          <w:szCs w:val="20"/>
          <w:lang w:val="es-ES"/>
        </w:rPr>
        <w:t xml:space="preserve"> </w:t>
      </w:r>
      <w:r w:rsidR="0015616E">
        <w:rPr>
          <w:color w:val="auto"/>
          <w:sz w:val="20"/>
          <w:szCs w:val="20"/>
          <w:lang w:val="es-ES"/>
        </w:rPr>
        <w:t xml:space="preserve">y que </w:t>
      </w:r>
      <w:r w:rsidR="006A6DF0" w:rsidRPr="0048103D">
        <w:rPr>
          <w:color w:val="auto"/>
          <w:sz w:val="20"/>
          <w:szCs w:val="20"/>
          <w:lang w:val="es-ES"/>
        </w:rPr>
        <w:t>no se habría</w:t>
      </w:r>
      <w:r w:rsidR="0015616E">
        <w:rPr>
          <w:color w:val="auto"/>
          <w:sz w:val="20"/>
          <w:szCs w:val="20"/>
          <w:lang w:val="es-ES"/>
        </w:rPr>
        <w:t>n</w:t>
      </w:r>
      <w:r w:rsidR="006A6DF0" w:rsidRPr="0048103D">
        <w:rPr>
          <w:color w:val="auto"/>
          <w:sz w:val="20"/>
          <w:szCs w:val="20"/>
          <w:lang w:val="es-ES"/>
        </w:rPr>
        <w:t xml:space="preserve"> determinado las circunstancias en que ocurrieron los hechos, ni </w:t>
      </w:r>
      <w:r w:rsidR="0015616E">
        <w:rPr>
          <w:color w:val="auto"/>
          <w:sz w:val="20"/>
          <w:szCs w:val="20"/>
          <w:lang w:val="es-ES"/>
        </w:rPr>
        <w:t xml:space="preserve">la identidad de </w:t>
      </w:r>
      <w:r w:rsidR="006A6DF0" w:rsidRPr="0048103D">
        <w:rPr>
          <w:color w:val="auto"/>
          <w:sz w:val="20"/>
          <w:szCs w:val="20"/>
          <w:lang w:val="es-ES"/>
        </w:rPr>
        <w:t xml:space="preserve">los posibles responsables. Atendiendo lo anterior, la Comisión </w:t>
      </w:r>
      <w:r w:rsidR="0015616E">
        <w:rPr>
          <w:color w:val="auto"/>
          <w:sz w:val="20"/>
          <w:szCs w:val="20"/>
          <w:lang w:val="es-ES"/>
        </w:rPr>
        <w:t xml:space="preserve">Interamericana </w:t>
      </w:r>
      <w:r w:rsidR="006A6DF0" w:rsidRPr="0048103D">
        <w:rPr>
          <w:color w:val="auto"/>
          <w:sz w:val="20"/>
          <w:szCs w:val="20"/>
          <w:lang w:val="es-ES"/>
        </w:rPr>
        <w:t>concluye que es aplicable la excepción prevista en el artículo 46.2</w:t>
      </w:r>
      <w:r w:rsidR="0015616E">
        <w:rPr>
          <w:color w:val="auto"/>
          <w:sz w:val="20"/>
          <w:szCs w:val="20"/>
          <w:lang w:val="es-ES"/>
        </w:rPr>
        <w:t xml:space="preserve">(c) </w:t>
      </w:r>
      <w:r w:rsidR="0015616E" w:rsidRPr="0048103D">
        <w:rPr>
          <w:color w:val="auto"/>
          <w:sz w:val="20"/>
          <w:szCs w:val="20"/>
          <w:lang w:val="es-ES"/>
        </w:rPr>
        <w:t>de</w:t>
      </w:r>
      <w:r w:rsidR="006A6DF0" w:rsidRPr="0048103D">
        <w:rPr>
          <w:color w:val="auto"/>
          <w:sz w:val="20"/>
          <w:szCs w:val="20"/>
          <w:lang w:val="es-ES"/>
        </w:rPr>
        <w:t xml:space="preserve"> la Convención</w:t>
      </w:r>
      <w:r w:rsidR="0015616E">
        <w:rPr>
          <w:color w:val="auto"/>
          <w:sz w:val="20"/>
          <w:szCs w:val="20"/>
          <w:lang w:val="es-ES"/>
        </w:rPr>
        <w:t xml:space="preserve"> Americana</w:t>
      </w:r>
      <w:r w:rsidR="006A6DF0" w:rsidRPr="0048103D">
        <w:rPr>
          <w:rStyle w:val="FootnoteReference"/>
          <w:color w:val="auto"/>
          <w:sz w:val="20"/>
          <w:szCs w:val="20"/>
          <w:lang w:val="es-ES"/>
        </w:rPr>
        <w:footnoteReference w:id="10"/>
      </w:r>
      <w:r w:rsidR="006A6DF0" w:rsidRPr="0048103D">
        <w:rPr>
          <w:color w:val="auto"/>
          <w:sz w:val="20"/>
          <w:szCs w:val="20"/>
          <w:lang w:val="es-ES"/>
        </w:rPr>
        <w:t>.</w:t>
      </w:r>
    </w:p>
    <w:p w14:paraId="542DBDE4" w14:textId="77777777" w:rsidR="006A6DF0" w:rsidRPr="0015616E" w:rsidRDefault="006A6DF0" w:rsidP="00756CA0">
      <w:pPr>
        <w:rPr>
          <w:sz w:val="20"/>
          <w:szCs w:val="20"/>
          <w:lang w:val="es-VE"/>
        </w:rPr>
      </w:pPr>
    </w:p>
    <w:p w14:paraId="591B8457" w14:textId="019657B7" w:rsidR="006A6DF0" w:rsidRPr="0048103D" w:rsidRDefault="006A6DF0"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cs="Calibri"/>
          <w:color w:val="auto"/>
          <w:sz w:val="20"/>
          <w:szCs w:val="20"/>
          <w:lang w:val="es-ES_tradnl"/>
        </w:rPr>
      </w:pPr>
      <w:r w:rsidRPr="0048103D">
        <w:rPr>
          <w:color w:val="auto"/>
          <w:sz w:val="20"/>
          <w:szCs w:val="20"/>
          <w:lang w:val="es-ES"/>
        </w:rPr>
        <w:t xml:space="preserve">Con respecto al argumento del Estado sobre la posibilidad de solicitar el desarchivo con </w:t>
      </w:r>
      <w:r w:rsidRPr="0048103D">
        <w:rPr>
          <w:color w:val="auto"/>
          <w:sz w:val="20"/>
          <w:szCs w:val="20"/>
          <w:lang w:val="es-VE"/>
        </w:rPr>
        <w:t>nuevos elementos probatorio</w:t>
      </w:r>
      <w:r w:rsidR="0015616E">
        <w:rPr>
          <w:color w:val="auto"/>
          <w:sz w:val="20"/>
          <w:szCs w:val="20"/>
          <w:lang w:val="es-VE"/>
        </w:rPr>
        <w:t>s,</w:t>
      </w:r>
      <w:r w:rsidRPr="0048103D">
        <w:rPr>
          <w:color w:val="auto"/>
          <w:sz w:val="20"/>
          <w:szCs w:val="20"/>
          <w:lang w:val="es-ES"/>
        </w:rPr>
        <w:t xml:space="preserve"> la </w:t>
      </w:r>
      <w:r w:rsidR="0015616E">
        <w:rPr>
          <w:color w:val="auto"/>
          <w:sz w:val="20"/>
          <w:szCs w:val="20"/>
          <w:lang w:val="es-ES"/>
        </w:rPr>
        <w:t>C</w:t>
      </w:r>
      <w:r w:rsidR="0015616E" w:rsidRPr="0048103D">
        <w:rPr>
          <w:color w:val="auto"/>
          <w:sz w:val="20"/>
          <w:szCs w:val="20"/>
          <w:lang w:val="es-ES_tradnl"/>
        </w:rPr>
        <w:t xml:space="preserve">omisión </w:t>
      </w:r>
      <w:r w:rsidR="0015616E">
        <w:rPr>
          <w:color w:val="auto"/>
          <w:sz w:val="20"/>
          <w:szCs w:val="20"/>
          <w:lang w:val="es-ES_tradnl"/>
        </w:rPr>
        <w:t xml:space="preserve">Interamericana </w:t>
      </w:r>
      <w:r w:rsidRPr="0048103D">
        <w:rPr>
          <w:color w:val="auto"/>
          <w:sz w:val="20"/>
          <w:szCs w:val="20"/>
          <w:lang w:val="es-ES"/>
        </w:rPr>
        <w:t xml:space="preserve">igualmente recuerda </w:t>
      </w:r>
      <w:r w:rsidR="00040257" w:rsidRPr="0048103D">
        <w:rPr>
          <w:color w:val="auto"/>
          <w:sz w:val="20"/>
          <w:szCs w:val="20"/>
          <w:lang w:val="es-ES"/>
        </w:rPr>
        <w:t>que,</w:t>
      </w:r>
      <w:r w:rsidR="0015616E">
        <w:rPr>
          <w:color w:val="auto"/>
          <w:sz w:val="20"/>
          <w:szCs w:val="20"/>
          <w:lang w:val="es-ES"/>
        </w:rPr>
        <w:t xml:space="preserve"> en asuntos </w:t>
      </w:r>
      <w:r w:rsidRPr="0048103D">
        <w:rPr>
          <w:color w:val="auto"/>
          <w:sz w:val="20"/>
          <w:szCs w:val="20"/>
          <w:lang w:val="es-ES_tradnl"/>
        </w:rPr>
        <w:t xml:space="preserve">como el </w:t>
      </w:r>
      <w:r w:rsidR="0015616E" w:rsidRPr="0048103D">
        <w:rPr>
          <w:color w:val="auto"/>
          <w:sz w:val="20"/>
          <w:szCs w:val="20"/>
          <w:lang w:val="es-ES_tradnl"/>
        </w:rPr>
        <w:t>presente</w:t>
      </w:r>
      <w:r w:rsidR="0015616E">
        <w:rPr>
          <w:color w:val="auto"/>
          <w:sz w:val="20"/>
          <w:szCs w:val="20"/>
          <w:lang w:val="es-ES_tradnl"/>
        </w:rPr>
        <w:t>, referidos a</w:t>
      </w:r>
      <w:r w:rsidRPr="0048103D">
        <w:rPr>
          <w:color w:val="auto"/>
          <w:sz w:val="20"/>
          <w:szCs w:val="20"/>
          <w:lang w:val="es-ES_tradnl"/>
        </w:rPr>
        <w:t xml:space="preserve"> violaciones </w:t>
      </w:r>
      <w:r w:rsidR="0015616E">
        <w:rPr>
          <w:color w:val="auto"/>
          <w:sz w:val="20"/>
          <w:szCs w:val="20"/>
          <w:lang w:val="es-ES_tradnl"/>
        </w:rPr>
        <w:t>de</w:t>
      </w:r>
      <w:r w:rsidRPr="0048103D">
        <w:rPr>
          <w:color w:val="auto"/>
          <w:sz w:val="20"/>
          <w:szCs w:val="20"/>
          <w:lang w:val="es-ES_tradnl"/>
        </w:rPr>
        <w:t xml:space="preserve"> derechos humanos perseguibles de oficio, la obligación de investigar debe ser asumida por el Estado como un deber jurídico propio, y no como una gestión de intereses de particulares o que dependa de la iniciativa o de la aportación de pruebas por parte de</w:t>
      </w:r>
      <w:r w:rsidR="0015616E" w:rsidRPr="0048103D">
        <w:rPr>
          <w:color w:val="auto"/>
          <w:sz w:val="20"/>
          <w:szCs w:val="20"/>
          <w:lang w:val="es-ES_tradnl"/>
        </w:rPr>
        <w:t xml:space="preserve"> éstos</w:t>
      </w:r>
      <w:r w:rsidRPr="0048103D">
        <w:rPr>
          <w:color w:val="auto"/>
          <w:sz w:val="20"/>
          <w:szCs w:val="20"/>
          <w:vertAlign w:val="superscript"/>
          <w:lang w:val="es-ES_tradnl"/>
        </w:rPr>
        <w:footnoteReference w:id="11"/>
      </w:r>
      <w:r w:rsidRPr="0048103D">
        <w:rPr>
          <w:color w:val="auto"/>
          <w:sz w:val="20"/>
          <w:szCs w:val="20"/>
          <w:lang w:val="es-ES_tradnl"/>
        </w:rPr>
        <w:t xml:space="preserve">. </w:t>
      </w:r>
      <w:r w:rsidR="00040257">
        <w:rPr>
          <w:color w:val="auto"/>
          <w:sz w:val="20"/>
          <w:szCs w:val="20"/>
          <w:lang w:val="es-ES_tradnl"/>
        </w:rPr>
        <w:t>P</w:t>
      </w:r>
      <w:proofErr w:type="spellStart"/>
      <w:r w:rsidRPr="0048103D">
        <w:rPr>
          <w:color w:val="auto"/>
          <w:sz w:val="20"/>
          <w:szCs w:val="20"/>
          <w:lang w:val="es-ES"/>
        </w:rPr>
        <w:t>retender</w:t>
      </w:r>
      <w:proofErr w:type="spellEnd"/>
      <w:r w:rsidRPr="0048103D">
        <w:rPr>
          <w:rFonts w:cs="Calibri"/>
          <w:color w:val="auto"/>
          <w:sz w:val="20"/>
          <w:szCs w:val="20"/>
          <w:lang w:val="es-ES_tradnl"/>
        </w:rPr>
        <w:t xml:space="preserve"> que los familiares de la presunta víctima asuman </w:t>
      </w:r>
      <w:r w:rsidR="00040257">
        <w:rPr>
          <w:rFonts w:cs="Calibri"/>
          <w:color w:val="auto"/>
          <w:sz w:val="20"/>
          <w:szCs w:val="20"/>
          <w:lang w:val="es-ES_tradnl"/>
        </w:rPr>
        <w:t>tales</w:t>
      </w:r>
      <w:r w:rsidRPr="0048103D">
        <w:rPr>
          <w:rFonts w:cs="Calibri"/>
          <w:color w:val="auto"/>
          <w:sz w:val="20"/>
          <w:szCs w:val="20"/>
          <w:lang w:val="es-ES_tradnl"/>
        </w:rPr>
        <w:t xml:space="preserve"> responsabilidades no sólo sería incongruente con la jurisprudencia del sistema</w:t>
      </w:r>
      <w:r w:rsidR="0015616E">
        <w:rPr>
          <w:rFonts w:cs="Calibri"/>
          <w:color w:val="auto"/>
          <w:sz w:val="20"/>
          <w:szCs w:val="20"/>
          <w:lang w:val="es-ES_tradnl"/>
        </w:rPr>
        <w:t xml:space="preserve"> interamerican</w:t>
      </w:r>
      <w:r w:rsidR="00040257">
        <w:rPr>
          <w:rFonts w:cs="Calibri"/>
          <w:color w:val="auto"/>
          <w:sz w:val="20"/>
          <w:szCs w:val="20"/>
          <w:lang w:val="es-ES_tradnl"/>
        </w:rPr>
        <w:t>o</w:t>
      </w:r>
      <w:r w:rsidRPr="0048103D">
        <w:rPr>
          <w:rFonts w:cs="Calibri"/>
          <w:color w:val="auto"/>
          <w:sz w:val="20"/>
          <w:szCs w:val="20"/>
          <w:lang w:val="es-ES_tradnl"/>
        </w:rPr>
        <w:t xml:space="preserve">, sino que impondría también una carga desigual a quienes, en general, carecen de los medios y de la idoneidad para </w:t>
      </w:r>
      <w:r w:rsidR="00040257">
        <w:rPr>
          <w:rFonts w:cs="Calibri"/>
          <w:color w:val="auto"/>
          <w:sz w:val="20"/>
          <w:szCs w:val="20"/>
          <w:lang w:val="es-ES_tradnl"/>
        </w:rPr>
        <w:t>hacerlo</w:t>
      </w:r>
      <w:r w:rsidRPr="0048103D">
        <w:rPr>
          <w:rStyle w:val="FootnoteReference"/>
          <w:rFonts w:cs="Calibri"/>
          <w:color w:val="auto"/>
          <w:sz w:val="20"/>
          <w:szCs w:val="20"/>
          <w:lang w:val="es-ES_tradnl"/>
        </w:rPr>
        <w:footnoteReference w:id="12"/>
      </w:r>
      <w:r w:rsidRPr="0048103D">
        <w:rPr>
          <w:rFonts w:cs="Calibri"/>
          <w:color w:val="auto"/>
          <w:sz w:val="20"/>
          <w:szCs w:val="20"/>
          <w:lang w:val="es-ES_tradnl"/>
        </w:rPr>
        <w:t>.</w:t>
      </w:r>
    </w:p>
    <w:p w14:paraId="74CE4554" w14:textId="77777777" w:rsidR="009264A1" w:rsidRPr="00040257"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4DE73BFC" w14:textId="677EBD0E" w:rsidR="0048103D" w:rsidRPr="0048103D" w:rsidRDefault="00B51E78"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Pr>
          <w:rFonts w:cs="Calibri"/>
          <w:color w:val="auto"/>
          <w:sz w:val="20"/>
          <w:szCs w:val="20"/>
          <w:bdr w:val="none" w:sz="0" w:space="0" w:color="auto" w:frame="1"/>
          <w:lang w:val="es-VE"/>
        </w:rPr>
        <w:t>La</w:t>
      </w:r>
      <w:r w:rsidR="00AB2134" w:rsidRPr="0048103D">
        <w:rPr>
          <w:rFonts w:cs="Calibri"/>
          <w:color w:val="auto"/>
          <w:sz w:val="20"/>
          <w:szCs w:val="20"/>
          <w:bdr w:val="none" w:sz="0" w:space="0" w:color="auto" w:frame="1"/>
          <w:lang w:val="es-VE"/>
        </w:rPr>
        <w:t xml:space="preserve"> CIDH observa </w:t>
      </w:r>
      <w:r>
        <w:rPr>
          <w:rFonts w:cs="Calibri"/>
          <w:color w:val="auto"/>
          <w:sz w:val="20"/>
          <w:szCs w:val="20"/>
          <w:bdr w:val="none" w:sz="0" w:space="0" w:color="auto" w:frame="1"/>
          <w:lang w:val="es-VE"/>
        </w:rPr>
        <w:t xml:space="preserve">además </w:t>
      </w:r>
      <w:r w:rsidR="00AB2134" w:rsidRPr="0048103D">
        <w:rPr>
          <w:rFonts w:cs="Calibri"/>
          <w:color w:val="auto"/>
          <w:sz w:val="20"/>
          <w:szCs w:val="20"/>
          <w:bdr w:val="none" w:sz="0" w:space="0" w:color="auto" w:frame="1"/>
          <w:lang w:val="es-VE"/>
        </w:rPr>
        <w:t>que las autoridades no han impulsa</w:t>
      </w:r>
      <w:r w:rsidR="00040257">
        <w:rPr>
          <w:rFonts w:cs="Calibri"/>
          <w:color w:val="auto"/>
          <w:sz w:val="20"/>
          <w:szCs w:val="20"/>
          <w:bdr w:val="none" w:sz="0" w:space="0" w:color="auto" w:frame="1"/>
          <w:lang w:val="es-VE"/>
        </w:rPr>
        <w:t>do</w:t>
      </w:r>
      <w:r w:rsidR="00AB2134" w:rsidRPr="0048103D">
        <w:rPr>
          <w:rFonts w:cs="Calibri"/>
          <w:color w:val="auto"/>
          <w:sz w:val="20"/>
          <w:szCs w:val="20"/>
          <w:bdr w:val="none" w:sz="0" w:space="0" w:color="auto" w:frame="1"/>
          <w:lang w:val="es-VE"/>
        </w:rPr>
        <w:t xml:space="preserve"> procesos específicamente relacionados con el desplazamiento forzado</w:t>
      </w:r>
      <w:r w:rsidR="0048103D" w:rsidRPr="0048103D">
        <w:rPr>
          <w:rFonts w:cs="Calibri"/>
          <w:color w:val="auto"/>
          <w:sz w:val="20"/>
          <w:szCs w:val="20"/>
          <w:bdr w:val="none" w:sz="0" w:space="0" w:color="auto" w:frame="1"/>
          <w:lang w:val="es-VE"/>
        </w:rPr>
        <w:t xml:space="preserve"> </w:t>
      </w:r>
      <w:r>
        <w:rPr>
          <w:rFonts w:cs="Calibri"/>
          <w:color w:val="auto"/>
          <w:sz w:val="20"/>
          <w:szCs w:val="20"/>
          <w:bdr w:val="none" w:sz="0" w:space="0" w:color="auto" w:frame="1"/>
          <w:lang w:val="es-VE"/>
        </w:rPr>
        <w:t>ni con</w:t>
      </w:r>
      <w:r w:rsidR="0048103D" w:rsidRPr="0048103D">
        <w:rPr>
          <w:rFonts w:cs="Calibri"/>
          <w:color w:val="auto"/>
          <w:sz w:val="20"/>
          <w:szCs w:val="20"/>
          <w:bdr w:val="none" w:sz="0" w:space="0" w:color="auto" w:frame="1"/>
          <w:lang w:val="es-VE"/>
        </w:rPr>
        <w:t xml:space="preserve"> las amenazas a </w:t>
      </w:r>
      <w:r w:rsidR="00040257">
        <w:rPr>
          <w:rFonts w:cs="Calibri"/>
          <w:color w:val="auto"/>
          <w:sz w:val="20"/>
          <w:szCs w:val="20"/>
          <w:bdr w:val="none" w:sz="0" w:space="0" w:color="auto" w:frame="1"/>
          <w:lang w:val="es-VE"/>
        </w:rPr>
        <w:t>la</w:t>
      </w:r>
      <w:r w:rsidR="0048103D" w:rsidRPr="0048103D">
        <w:rPr>
          <w:rFonts w:cs="Calibri"/>
          <w:color w:val="auto"/>
          <w:sz w:val="20"/>
          <w:szCs w:val="20"/>
          <w:bdr w:val="none" w:sz="0" w:space="0" w:color="auto" w:frame="1"/>
          <w:lang w:val="es-VE"/>
        </w:rPr>
        <w:t xml:space="preserve"> vida e integridad</w:t>
      </w:r>
      <w:r w:rsidR="00040257">
        <w:rPr>
          <w:rFonts w:cs="Calibri"/>
          <w:color w:val="auto"/>
          <w:sz w:val="20"/>
          <w:szCs w:val="20"/>
          <w:bdr w:val="none" w:sz="0" w:space="0" w:color="auto" w:frame="1"/>
          <w:lang w:val="es-VE"/>
        </w:rPr>
        <w:t xml:space="preserve"> física</w:t>
      </w:r>
      <w:r>
        <w:rPr>
          <w:rFonts w:cs="Calibri"/>
          <w:color w:val="auto"/>
          <w:sz w:val="20"/>
          <w:szCs w:val="20"/>
          <w:bdr w:val="none" w:sz="0" w:space="0" w:color="auto" w:frame="1"/>
          <w:lang w:val="es-VE"/>
        </w:rPr>
        <w:t>, a pesar de que l</w:t>
      </w:r>
      <w:r w:rsidR="00040257">
        <w:rPr>
          <w:color w:val="auto"/>
          <w:sz w:val="20"/>
          <w:szCs w:val="20"/>
          <w:bdr w:val="none" w:sz="0" w:space="0" w:color="auto"/>
          <w:lang w:val="es-VE"/>
        </w:rPr>
        <w:t>a</w:t>
      </w:r>
      <w:r w:rsidR="0048103D" w:rsidRPr="0048103D">
        <w:rPr>
          <w:color w:val="auto"/>
          <w:sz w:val="20"/>
          <w:szCs w:val="20"/>
          <w:bdr w:val="none" w:sz="0" w:space="0" w:color="auto"/>
          <w:lang w:val="es-VE"/>
        </w:rPr>
        <w:t xml:space="preserve"> familia de la presunta víctima </w:t>
      </w:r>
      <w:r>
        <w:rPr>
          <w:color w:val="auto"/>
          <w:sz w:val="20"/>
          <w:szCs w:val="20"/>
          <w:bdr w:val="none" w:sz="0" w:space="0" w:color="auto"/>
          <w:lang w:val="es-VE"/>
        </w:rPr>
        <w:t xml:space="preserve">lo </w:t>
      </w:r>
      <w:r w:rsidR="0048103D" w:rsidRPr="0048103D">
        <w:rPr>
          <w:color w:val="auto"/>
          <w:sz w:val="20"/>
          <w:szCs w:val="20"/>
          <w:lang w:val="es-VE"/>
        </w:rPr>
        <w:t>indicó en varias oportunidades</w:t>
      </w:r>
      <w:r w:rsidR="00040257">
        <w:rPr>
          <w:color w:val="auto"/>
          <w:sz w:val="20"/>
          <w:szCs w:val="20"/>
          <w:lang w:val="es-VE"/>
        </w:rPr>
        <w:t>.</w:t>
      </w:r>
      <w:r w:rsidR="0048103D" w:rsidRPr="0048103D">
        <w:rPr>
          <w:color w:val="auto"/>
          <w:sz w:val="20"/>
          <w:szCs w:val="20"/>
          <w:lang w:val="es-VE"/>
        </w:rPr>
        <w:t xml:space="preserve"> </w:t>
      </w:r>
      <w:r w:rsidR="00040257">
        <w:rPr>
          <w:color w:val="auto"/>
          <w:sz w:val="20"/>
          <w:szCs w:val="20"/>
          <w:lang w:val="es-VE"/>
        </w:rPr>
        <w:t>Un ejemplo</w:t>
      </w:r>
      <w:r w:rsidR="0048103D" w:rsidRPr="0048103D">
        <w:rPr>
          <w:color w:val="auto"/>
          <w:sz w:val="20"/>
          <w:szCs w:val="20"/>
          <w:lang w:val="es-VE"/>
        </w:rPr>
        <w:t xml:space="preserve"> </w:t>
      </w:r>
      <w:r w:rsidR="00040257">
        <w:rPr>
          <w:color w:val="auto"/>
          <w:sz w:val="20"/>
          <w:szCs w:val="20"/>
          <w:lang w:val="es-VE"/>
        </w:rPr>
        <w:t>ello se dio durante</w:t>
      </w:r>
      <w:r w:rsidR="0048103D" w:rsidRPr="0048103D">
        <w:rPr>
          <w:color w:val="auto"/>
          <w:sz w:val="20"/>
          <w:szCs w:val="20"/>
          <w:lang w:val="es-VE"/>
        </w:rPr>
        <w:t xml:space="preserve"> la ampliación de </w:t>
      </w:r>
      <w:r w:rsidR="00040257">
        <w:rPr>
          <w:color w:val="auto"/>
          <w:sz w:val="20"/>
          <w:szCs w:val="20"/>
          <w:lang w:val="es-VE"/>
        </w:rPr>
        <w:t>la</w:t>
      </w:r>
      <w:r w:rsidR="0048103D" w:rsidRPr="0048103D">
        <w:rPr>
          <w:color w:val="auto"/>
          <w:sz w:val="20"/>
          <w:szCs w:val="20"/>
          <w:lang w:val="es-VE"/>
        </w:rPr>
        <w:t xml:space="preserve"> declaración ante la fiscalía en Cali y ante la Jurisdicción de Justicia y Paz en el 2010</w:t>
      </w:r>
      <w:r w:rsidR="00040257">
        <w:rPr>
          <w:color w:val="auto"/>
          <w:sz w:val="20"/>
          <w:szCs w:val="20"/>
          <w:lang w:val="es-VE"/>
        </w:rPr>
        <w:t>, en que la</w:t>
      </w:r>
      <w:r w:rsidR="0048103D" w:rsidRPr="0048103D">
        <w:rPr>
          <w:color w:val="auto"/>
          <w:sz w:val="20"/>
          <w:szCs w:val="20"/>
          <w:lang w:val="es-VE"/>
        </w:rPr>
        <w:t xml:space="preserve"> familia </w:t>
      </w:r>
      <w:r>
        <w:rPr>
          <w:color w:val="auto"/>
          <w:sz w:val="20"/>
          <w:szCs w:val="20"/>
          <w:lang w:val="es-VE"/>
        </w:rPr>
        <w:t xml:space="preserve">refirió que </w:t>
      </w:r>
      <w:r w:rsidR="0048103D" w:rsidRPr="0048103D">
        <w:rPr>
          <w:color w:val="auto"/>
          <w:sz w:val="20"/>
          <w:szCs w:val="20"/>
          <w:lang w:val="es-VE"/>
        </w:rPr>
        <w:t>fue amenazad</w:t>
      </w:r>
      <w:r w:rsidR="00040257">
        <w:rPr>
          <w:color w:val="auto"/>
          <w:sz w:val="20"/>
          <w:szCs w:val="20"/>
          <w:lang w:val="es-VE"/>
        </w:rPr>
        <w:t>a</w:t>
      </w:r>
      <w:r w:rsidR="0048103D" w:rsidRPr="0048103D">
        <w:rPr>
          <w:color w:val="auto"/>
          <w:sz w:val="20"/>
          <w:szCs w:val="20"/>
          <w:lang w:val="es-VE"/>
        </w:rPr>
        <w:t xml:space="preserve"> por miembros de las </w:t>
      </w:r>
      <w:r w:rsidR="00040257">
        <w:rPr>
          <w:color w:val="auto"/>
          <w:sz w:val="20"/>
          <w:szCs w:val="20"/>
          <w:lang w:val="es-VE"/>
        </w:rPr>
        <w:t>AUC</w:t>
      </w:r>
      <w:r w:rsidR="0048103D" w:rsidRPr="0048103D">
        <w:rPr>
          <w:color w:val="auto"/>
          <w:sz w:val="20"/>
          <w:szCs w:val="20"/>
          <w:lang w:val="es-VE"/>
        </w:rPr>
        <w:t xml:space="preserve"> adscritos al Cartel de Cali</w:t>
      </w:r>
      <w:r w:rsidR="00040257">
        <w:rPr>
          <w:color w:val="auto"/>
          <w:sz w:val="20"/>
          <w:szCs w:val="20"/>
          <w:lang w:val="es-VE"/>
        </w:rPr>
        <w:t>,</w:t>
      </w:r>
      <w:r w:rsidR="0048103D" w:rsidRPr="0048103D">
        <w:rPr>
          <w:color w:val="auto"/>
          <w:sz w:val="20"/>
          <w:szCs w:val="20"/>
          <w:lang w:val="es-VE"/>
        </w:rPr>
        <w:t xml:space="preserve"> y explicó que por temor no pudieron denunciar los hechos y decidieron desplazarse a Ecuador.</w:t>
      </w:r>
    </w:p>
    <w:p w14:paraId="39F34BB6" w14:textId="77777777" w:rsidR="009264A1" w:rsidRPr="009264A1" w:rsidRDefault="009264A1" w:rsidP="0004025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bdr w:val="none" w:sz="0" w:space="0" w:color="auto"/>
          <w:lang w:val="es-VE"/>
        </w:rPr>
      </w:pPr>
    </w:p>
    <w:p w14:paraId="045B036B" w14:textId="0CEA0F21" w:rsidR="00D27788" w:rsidRPr="0048103D" w:rsidRDefault="00D27788" w:rsidP="00756C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bdr w:val="none" w:sz="0" w:space="0" w:color="auto"/>
          <w:lang w:val="es-VE"/>
        </w:rPr>
      </w:pPr>
      <w:r w:rsidRPr="0048103D">
        <w:rPr>
          <w:rFonts w:ascii="Cambria" w:hAnsi="Cambria" w:cs="Calibri"/>
          <w:sz w:val="20"/>
          <w:szCs w:val="20"/>
          <w:bdr w:val="none" w:sz="0" w:space="0" w:color="auto"/>
          <w:lang w:val="es-VE"/>
        </w:rPr>
        <w:t>En cuanto a l</w:t>
      </w:r>
      <w:r w:rsidR="00B51E78">
        <w:rPr>
          <w:rFonts w:ascii="Cambria" w:hAnsi="Cambria" w:cs="Calibri"/>
          <w:sz w:val="20"/>
          <w:szCs w:val="20"/>
          <w:bdr w:val="none" w:sz="0" w:space="0" w:color="auto"/>
          <w:lang w:val="es-VE"/>
        </w:rPr>
        <w:t>a</w:t>
      </w:r>
      <w:r w:rsidRPr="0048103D">
        <w:rPr>
          <w:rFonts w:ascii="Cambria" w:hAnsi="Cambria" w:cs="Calibri"/>
          <w:sz w:val="20"/>
          <w:szCs w:val="20"/>
          <w:bdr w:val="none" w:sz="0" w:space="0" w:color="auto"/>
          <w:lang w:val="es-VE"/>
        </w:rPr>
        <w:t xml:space="preserve"> reparación directa, la Comisión </w:t>
      </w:r>
      <w:r w:rsidR="00B51E78">
        <w:rPr>
          <w:rFonts w:ascii="Cambria" w:hAnsi="Cambria" w:cs="Calibri"/>
          <w:sz w:val="20"/>
          <w:szCs w:val="20"/>
          <w:bdr w:val="none" w:sz="0" w:space="0" w:color="auto"/>
          <w:lang w:val="es-VE"/>
        </w:rPr>
        <w:t xml:space="preserve">Interamericana </w:t>
      </w:r>
      <w:r w:rsidRPr="0048103D">
        <w:rPr>
          <w:rFonts w:ascii="Cambria" w:hAnsi="Cambria" w:cs="Calibri"/>
          <w:sz w:val="20"/>
          <w:szCs w:val="20"/>
          <w:bdr w:val="none" w:sz="0" w:space="0" w:color="auto"/>
          <w:lang w:val="es-VE"/>
        </w:rPr>
        <w:t xml:space="preserve">ha sostenido reiteradamente que aun cuando las presuntas víctimas </w:t>
      </w:r>
      <w:r w:rsidR="00B51E78">
        <w:rPr>
          <w:rFonts w:ascii="Cambria" w:hAnsi="Cambria" w:cs="Calibri"/>
          <w:sz w:val="20"/>
          <w:szCs w:val="20"/>
          <w:bdr w:val="none" w:sz="0" w:space="0" w:color="auto"/>
          <w:lang w:val="es-VE"/>
        </w:rPr>
        <w:t>no hubieran</w:t>
      </w:r>
      <w:r w:rsidRPr="0048103D">
        <w:rPr>
          <w:rFonts w:ascii="Cambria" w:hAnsi="Cambria" w:cs="Calibri"/>
          <w:sz w:val="20"/>
          <w:szCs w:val="20"/>
          <w:bdr w:val="none" w:sz="0" w:space="0" w:color="auto"/>
          <w:lang w:val="es-VE"/>
        </w:rPr>
        <w:t xml:space="preserve"> </w:t>
      </w:r>
      <w:r w:rsidR="00B51E78">
        <w:rPr>
          <w:rFonts w:ascii="Cambria" w:hAnsi="Cambria" w:cs="Calibri"/>
          <w:sz w:val="20"/>
          <w:szCs w:val="20"/>
          <w:bdr w:val="none" w:sz="0" w:space="0" w:color="auto"/>
          <w:lang w:val="es-VE"/>
        </w:rPr>
        <w:t xml:space="preserve">acudido </w:t>
      </w:r>
      <w:r w:rsidRPr="0048103D">
        <w:rPr>
          <w:rFonts w:ascii="Cambria" w:hAnsi="Cambria" w:cs="Calibri"/>
          <w:sz w:val="20"/>
          <w:szCs w:val="20"/>
          <w:bdr w:val="none" w:sz="0" w:space="0" w:color="auto"/>
          <w:lang w:val="es-VE"/>
        </w:rPr>
        <w:t xml:space="preserve">a la jurisdicción civil en busca de una indemnización pecuniaria, </w:t>
      </w:r>
      <w:r w:rsidR="00B51E78">
        <w:rPr>
          <w:rFonts w:ascii="Cambria" w:hAnsi="Cambria" w:cs="Calibri"/>
          <w:sz w:val="20"/>
          <w:szCs w:val="20"/>
          <w:bdr w:val="none" w:sz="0" w:space="0" w:color="auto"/>
          <w:lang w:val="es-VE"/>
        </w:rPr>
        <w:t>ello</w:t>
      </w:r>
      <w:r w:rsidRPr="0048103D">
        <w:rPr>
          <w:rFonts w:ascii="Cambria" w:hAnsi="Cambria" w:cs="Calibri"/>
          <w:sz w:val="20"/>
          <w:szCs w:val="20"/>
          <w:bdr w:val="none" w:sz="0" w:space="0" w:color="auto"/>
          <w:lang w:val="es-VE"/>
        </w:rPr>
        <w:t xml:space="preserve"> no es determinante para el análisis de agotamiento de recursos internos, </w:t>
      </w:r>
      <w:r w:rsidR="00B51E78">
        <w:rPr>
          <w:rFonts w:ascii="Cambria" w:hAnsi="Cambria" w:cs="Calibri"/>
          <w:sz w:val="20"/>
          <w:szCs w:val="20"/>
          <w:bdr w:val="none" w:sz="0" w:space="0" w:color="auto"/>
          <w:lang w:val="es-VE"/>
        </w:rPr>
        <w:t xml:space="preserve">ya </w:t>
      </w:r>
      <w:r w:rsidRPr="0048103D">
        <w:rPr>
          <w:rFonts w:ascii="Cambria" w:hAnsi="Cambria" w:cs="Calibri"/>
          <w:sz w:val="20"/>
          <w:szCs w:val="20"/>
          <w:bdr w:val="none" w:sz="0" w:space="0" w:color="auto"/>
          <w:lang w:val="es-VE"/>
        </w:rPr>
        <w:t xml:space="preserve">que no es </w:t>
      </w:r>
      <w:r w:rsidR="00B51E78">
        <w:rPr>
          <w:rFonts w:ascii="Cambria" w:hAnsi="Cambria" w:cs="Calibri"/>
          <w:sz w:val="20"/>
          <w:szCs w:val="20"/>
          <w:bdr w:val="none" w:sz="0" w:space="0" w:color="auto"/>
          <w:lang w:val="es-VE"/>
        </w:rPr>
        <w:t xml:space="preserve">una acción </w:t>
      </w:r>
      <w:r w:rsidRPr="0048103D">
        <w:rPr>
          <w:rFonts w:ascii="Cambria" w:hAnsi="Cambria" w:cs="Calibri"/>
          <w:sz w:val="20"/>
          <w:szCs w:val="20"/>
          <w:bdr w:val="none" w:sz="0" w:space="0" w:color="auto"/>
          <w:lang w:val="es-VE"/>
        </w:rPr>
        <w:t>adecuada para proporcionar reparación integral y justicia</w:t>
      </w:r>
      <w:r w:rsidRPr="0048103D">
        <w:rPr>
          <w:rFonts w:ascii="Cambria" w:hAnsi="Cambria" w:cs="Calibri"/>
          <w:sz w:val="20"/>
          <w:szCs w:val="20"/>
          <w:bdr w:val="none" w:sz="0" w:space="0" w:color="auto"/>
          <w:vertAlign w:val="superscript"/>
          <w:lang w:val="es-VE"/>
        </w:rPr>
        <w:footnoteReference w:id="13"/>
      </w:r>
      <w:r w:rsidRPr="0048103D">
        <w:rPr>
          <w:rFonts w:ascii="Cambria" w:hAnsi="Cambria" w:cs="Calibri"/>
          <w:sz w:val="20"/>
          <w:szCs w:val="20"/>
          <w:bdr w:val="none" w:sz="0" w:space="0" w:color="auto"/>
          <w:lang w:val="es-VE"/>
        </w:rPr>
        <w:t xml:space="preserve">. </w:t>
      </w:r>
    </w:p>
    <w:p w14:paraId="0076122C" w14:textId="77777777" w:rsidR="009264A1" w:rsidRPr="00B51E78" w:rsidRDefault="009264A1" w:rsidP="009264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610500A7" w14:textId="32B22DC3" w:rsidR="00D8638F" w:rsidRPr="0048103D" w:rsidRDefault="00D8638F" w:rsidP="00756CA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sidRPr="0048103D">
        <w:rPr>
          <w:color w:val="auto"/>
          <w:sz w:val="20"/>
          <w:szCs w:val="20"/>
          <w:lang w:val="es-VE"/>
        </w:rPr>
        <w:t xml:space="preserve">Por </w:t>
      </w:r>
      <w:r w:rsidR="0021438D">
        <w:rPr>
          <w:color w:val="auto"/>
          <w:sz w:val="20"/>
          <w:szCs w:val="20"/>
          <w:lang w:val="es-VE"/>
        </w:rPr>
        <w:t>último</w:t>
      </w:r>
      <w:r w:rsidR="00B51E78">
        <w:rPr>
          <w:color w:val="auto"/>
          <w:sz w:val="20"/>
          <w:szCs w:val="20"/>
          <w:lang w:val="es-VE"/>
        </w:rPr>
        <w:t>, cabe mencionar que</w:t>
      </w:r>
      <w:r w:rsidRPr="0048103D">
        <w:rPr>
          <w:color w:val="auto"/>
          <w:sz w:val="20"/>
          <w:szCs w:val="20"/>
          <w:lang w:val="es-VE"/>
        </w:rPr>
        <w:t xml:space="preserve"> la petición fue presentada ante la C</w:t>
      </w:r>
      <w:r w:rsidR="00B51E78">
        <w:rPr>
          <w:color w:val="auto"/>
          <w:sz w:val="20"/>
          <w:szCs w:val="20"/>
          <w:lang w:val="es-VE"/>
        </w:rPr>
        <w:t>IDH</w:t>
      </w:r>
      <w:r w:rsidRPr="0048103D">
        <w:rPr>
          <w:color w:val="auto"/>
          <w:sz w:val="20"/>
          <w:szCs w:val="20"/>
          <w:lang w:val="es-VE"/>
        </w:rPr>
        <w:t xml:space="preserve"> el </w:t>
      </w:r>
      <w:r w:rsidR="0048103D" w:rsidRPr="0048103D">
        <w:rPr>
          <w:color w:val="auto"/>
          <w:sz w:val="20"/>
          <w:szCs w:val="20"/>
          <w:lang w:val="es-VE"/>
        </w:rPr>
        <w:t>10 de junio</w:t>
      </w:r>
      <w:r w:rsidRPr="0048103D">
        <w:rPr>
          <w:color w:val="auto"/>
          <w:sz w:val="20"/>
          <w:szCs w:val="20"/>
          <w:lang w:val="es-VE"/>
        </w:rPr>
        <w:t xml:space="preserve"> de 2008 y </w:t>
      </w:r>
      <w:r w:rsidR="0021438D">
        <w:rPr>
          <w:color w:val="auto"/>
          <w:sz w:val="20"/>
          <w:szCs w:val="20"/>
          <w:lang w:val="es-VE"/>
        </w:rPr>
        <w:t xml:space="preserve">que </w:t>
      </w:r>
      <w:r w:rsidRPr="0048103D">
        <w:rPr>
          <w:color w:val="auto"/>
          <w:sz w:val="20"/>
          <w:szCs w:val="20"/>
          <w:lang w:val="es-VE"/>
        </w:rPr>
        <w:t xml:space="preserve">los presuntos hechos materia del reclamo tuvieron lugar desde el </w:t>
      </w:r>
      <w:r w:rsidR="0048103D" w:rsidRPr="0048103D">
        <w:rPr>
          <w:color w:val="auto"/>
          <w:sz w:val="20"/>
          <w:szCs w:val="20"/>
          <w:lang w:val="es-VE"/>
        </w:rPr>
        <w:t xml:space="preserve">22 de mayo de </w:t>
      </w:r>
      <w:r w:rsidRPr="0048103D">
        <w:rPr>
          <w:color w:val="auto"/>
          <w:sz w:val="20"/>
          <w:szCs w:val="20"/>
          <w:lang w:val="es-VE"/>
        </w:rPr>
        <w:t>2003</w:t>
      </w:r>
      <w:r w:rsidR="0021438D">
        <w:rPr>
          <w:color w:val="auto"/>
          <w:sz w:val="20"/>
          <w:szCs w:val="20"/>
          <w:lang w:val="es-VE"/>
        </w:rPr>
        <w:t>.</w:t>
      </w:r>
      <w:r w:rsidRPr="0048103D">
        <w:rPr>
          <w:color w:val="auto"/>
          <w:sz w:val="20"/>
          <w:szCs w:val="20"/>
          <w:lang w:val="es-VE"/>
        </w:rPr>
        <w:t xml:space="preserve"> </w:t>
      </w:r>
      <w:r w:rsidR="0021438D">
        <w:rPr>
          <w:color w:val="auto"/>
          <w:sz w:val="20"/>
          <w:szCs w:val="20"/>
          <w:lang w:val="es-VE"/>
        </w:rPr>
        <w:t>S</w:t>
      </w:r>
      <w:r w:rsidRPr="0048103D">
        <w:rPr>
          <w:color w:val="auto"/>
          <w:sz w:val="20"/>
          <w:szCs w:val="20"/>
          <w:lang w:val="es-VE"/>
        </w:rPr>
        <w:t xml:space="preserve">us efectos en cuanto a la </w:t>
      </w:r>
      <w:r w:rsidR="0021438D">
        <w:rPr>
          <w:color w:val="auto"/>
          <w:sz w:val="20"/>
          <w:szCs w:val="20"/>
          <w:lang w:val="es-VE"/>
        </w:rPr>
        <w:t xml:space="preserve">supuesta </w:t>
      </w:r>
      <w:r w:rsidRPr="0048103D">
        <w:rPr>
          <w:color w:val="auto"/>
          <w:sz w:val="20"/>
          <w:szCs w:val="20"/>
          <w:lang w:val="es-VE"/>
        </w:rPr>
        <w:t>denegación de justicia</w:t>
      </w:r>
      <w:r w:rsidR="0021438D">
        <w:rPr>
          <w:color w:val="auto"/>
          <w:sz w:val="20"/>
          <w:szCs w:val="20"/>
          <w:lang w:val="es-VE"/>
        </w:rPr>
        <w:t>,</w:t>
      </w:r>
      <w:r w:rsidRPr="0048103D">
        <w:rPr>
          <w:color w:val="auto"/>
          <w:sz w:val="20"/>
          <w:szCs w:val="20"/>
          <w:lang w:val="es-VE"/>
        </w:rPr>
        <w:t xml:space="preserve"> desplazamiento forzado y otras consecuencias se extenderían hasta </w:t>
      </w:r>
      <w:r w:rsidRPr="0048103D">
        <w:rPr>
          <w:color w:val="auto"/>
          <w:sz w:val="20"/>
          <w:szCs w:val="20"/>
          <w:lang w:val="es-VE"/>
        </w:rPr>
        <w:lastRenderedPageBreak/>
        <w:t>el presente</w:t>
      </w:r>
      <w:r w:rsidR="0021438D">
        <w:rPr>
          <w:color w:val="auto"/>
          <w:sz w:val="20"/>
          <w:szCs w:val="20"/>
          <w:lang w:val="es-VE"/>
        </w:rPr>
        <w:t xml:space="preserve">, por lo que </w:t>
      </w:r>
      <w:r w:rsidRPr="0048103D">
        <w:rPr>
          <w:color w:val="auto"/>
          <w:sz w:val="20"/>
          <w:szCs w:val="20"/>
          <w:lang w:val="es-VE"/>
        </w:rPr>
        <w:t xml:space="preserve">la Comisión </w:t>
      </w:r>
      <w:r w:rsidR="0021438D">
        <w:rPr>
          <w:color w:val="auto"/>
          <w:sz w:val="20"/>
          <w:szCs w:val="20"/>
          <w:lang w:val="es-VE"/>
        </w:rPr>
        <w:t xml:space="preserve">Interamericana </w:t>
      </w:r>
      <w:r w:rsidRPr="0048103D">
        <w:rPr>
          <w:color w:val="auto"/>
          <w:sz w:val="20"/>
          <w:szCs w:val="20"/>
          <w:lang w:val="es-VE"/>
        </w:rPr>
        <w:t>considera que la petición fue presentada dentro de un plazo razonable y que debe darse por satisfecho el requisito de admisibilidad referente al plazo de presentación.</w:t>
      </w:r>
    </w:p>
    <w:p w14:paraId="439D08E9" w14:textId="77777777" w:rsidR="009264A1" w:rsidRPr="0021438D" w:rsidRDefault="009264A1" w:rsidP="00756CA0">
      <w:pPr>
        <w:jc w:val="both"/>
        <w:rPr>
          <w:rFonts w:asciiTheme="majorHAnsi" w:hAnsiTheme="majorHAnsi"/>
          <w:b/>
          <w:bCs/>
          <w:sz w:val="20"/>
          <w:szCs w:val="20"/>
          <w:lang w:val="es-VE"/>
        </w:rPr>
      </w:pPr>
    </w:p>
    <w:p w14:paraId="78E4BD23" w14:textId="4CA3D130" w:rsidR="00424349" w:rsidRPr="00D27788" w:rsidRDefault="003239B8" w:rsidP="00756CA0">
      <w:pPr>
        <w:pStyle w:val="ListParagraph"/>
        <w:jc w:val="both"/>
        <w:rPr>
          <w:rFonts w:asciiTheme="majorHAnsi" w:hAnsiTheme="majorHAnsi"/>
          <w:b/>
          <w:color w:val="auto"/>
          <w:sz w:val="20"/>
          <w:szCs w:val="20"/>
          <w:lang w:val="es-VE"/>
        </w:rPr>
      </w:pPr>
      <w:r w:rsidRPr="00D27788">
        <w:rPr>
          <w:rFonts w:asciiTheme="majorHAnsi" w:hAnsiTheme="majorHAnsi"/>
          <w:b/>
          <w:bCs/>
          <w:color w:val="auto"/>
          <w:sz w:val="20"/>
          <w:szCs w:val="20"/>
          <w:lang w:val="es-VE"/>
        </w:rPr>
        <w:t>VII.</w:t>
      </w:r>
      <w:r w:rsidRPr="00D27788">
        <w:rPr>
          <w:rFonts w:asciiTheme="majorHAnsi" w:hAnsiTheme="majorHAnsi"/>
          <w:b/>
          <w:bCs/>
          <w:color w:val="auto"/>
          <w:sz w:val="20"/>
          <w:szCs w:val="20"/>
          <w:lang w:val="es-VE"/>
        </w:rPr>
        <w:tab/>
      </w:r>
      <w:r w:rsidR="004A6A54" w:rsidRPr="00D27788">
        <w:rPr>
          <w:rFonts w:asciiTheme="majorHAnsi" w:hAnsiTheme="majorHAnsi"/>
          <w:b/>
          <w:bCs/>
          <w:color w:val="auto"/>
          <w:sz w:val="20"/>
          <w:szCs w:val="20"/>
          <w:lang w:val="es-VE"/>
        </w:rPr>
        <w:t xml:space="preserve">ANÁLISIS DE </w:t>
      </w:r>
      <w:r w:rsidR="00C21FEF" w:rsidRPr="00D27788">
        <w:rPr>
          <w:rFonts w:asciiTheme="majorHAnsi" w:hAnsiTheme="majorHAnsi"/>
          <w:b/>
          <w:bCs/>
          <w:color w:val="auto"/>
          <w:sz w:val="20"/>
          <w:szCs w:val="20"/>
          <w:lang w:val="es-VE"/>
        </w:rPr>
        <w:t>CARACTERIZACIÓN DE LOS HECHOS ALEGADOS</w:t>
      </w:r>
    </w:p>
    <w:p w14:paraId="12208790" w14:textId="77777777" w:rsidR="009264A1" w:rsidRPr="0021438D" w:rsidRDefault="009264A1" w:rsidP="0021438D">
      <w:pPr>
        <w:jc w:val="both"/>
        <w:rPr>
          <w:sz w:val="20"/>
          <w:szCs w:val="20"/>
          <w:lang w:val="es-VE"/>
        </w:rPr>
      </w:pPr>
    </w:p>
    <w:p w14:paraId="48DDBCD3" w14:textId="17A43C76" w:rsidR="00424349" w:rsidRPr="00D27788" w:rsidRDefault="00424349" w:rsidP="00756CA0">
      <w:pPr>
        <w:pStyle w:val="ListParagraph"/>
        <w:numPr>
          <w:ilvl w:val="0"/>
          <w:numId w:val="56"/>
        </w:numPr>
        <w:ind w:left="0" w:firstLine="720"/>
        <w:jc w:val="both"/>
        <w:rPr>
          <w:color w:val="auto"/>
          <w:sz w:val="20"/>
          <w:szCs w:val="20"/>
          <w:lang w:val="es-VE"/>
        </w:rPr>
      </w:pPr>
      <w:r w:rsidRPr="00D27788">
        <w:rPr>
          <w:color w:val="auto"/>
          <w:sz w:val="20"/>
          <w:szCs w:val="20"/>
          <w:bdr w:val="none" w:sz="0" w:space="0" w:color="auto" w:frame="1"/>
          <w:lang w:val="es-VE"/>
        </w:rPr>
        <w:t xml:space="preserve">La </w:t>
      </w:r>
      <w:r w:rsidR="0021438D">
        <w:rPr>
          <w:color w:val="auto"/>
          <w:sz w:val="20"/>
          <w:szCs w:val="20"/>
          <w:bdr w:val="none" w:sz="0" w:space="0" w:color="auto" w:frame="1"/>
          <w:lang w:val="es-VE"/>
        </w:rPr>
        <w:t xml:space="preserve">parte peticionaria </w:t>
      </w:r>
      <w:r w:rsidRPr="00D27788">
        <w:rPr>
          <w:color w:val="auto"/>
          <w:sz w:val="20"/>
          <w:szCs w:val="20"/>
          <w:bdr w:val="none" w:sz="0" w:space="0" w:color="auto" w:frame="1"/>
          <w:lang w:val="es-VE"/>
        </w:rPr>
        <w:t xml:space="preserve">alega la </w:t>
      </w:r>
      <w:r w:rsidR="00053BF4" w:rsidRPr="00D27788">
        <w:rPr>
          <w:color w:val="auto"/>
          <w:sz w:val="20"/>
          <w:szCs w:val="20"/>
          <w:bdr w:val="none" w:sz="0" w:space="0" w:color="auto" w:frame="1"/>
          <w:lang w:val="es-VE"/>
        </w:rPr>
        <w:t>falta de investigación y sanción de los responsables de</w:t>
      </w:r>
      <w:r w:rsidR="0021438D">
        <w:rPr>
          <w:color w:val="auto"/>
          <w:sz w:val="20"/>
          <w:szCs w:val="20"/>
          <w:bdr w:val="none" w:sz="0" w:space="0" w:color="auto" w:frame="1"/>
          <w:lang w:val="es-VE"/>
        </w:rPr>
        <w:t xml:space="preserve"> </w:t>
      </w:r>
      <w:r w:rsidR="00053BF4" w:rsidRPr="00D27788">
        <w:rPr>
          <w:color w:val="auto"/>
          <w:sz w:val="20"/>
          <w:szCs w:val="20"/>
          <w:bdr w:val="none" w:sz="0" w:space="0" w:color="auto" w:frame="1"/>
          <w:lang w:val="es-VE"/>
        </w:rPr>
        <w:t>l</w:t>
      </w:r>
      <w:r w:rsidR="0021438D">
        <w:rPr>
          <w:color w:val="auto"/>
          <w:sz w:val="20"/>
          <w:szCs w:val="20"/>
          <w:bdr w:val="none" w:sz="0" w:space="0" w:color="auto" w:frame="1"/>
          <w:lang w:val="es-VE"/>
        </w:rPr>
        <w:t>a tortura</w:t>
      </w:r>
      <w:r w:rsidR="0021438D" w:rsidRPr="00D27788">
        <w:rPr>
          <w:color w:val="auto"/>
          <w:sz w:val="20"/>
          <w:szCs w:val="20"/>
          <w:bdr w:val="none" w:sz="0" w:space="0" w:color="auto" w:frame="1"/>
          <w:lang w:val="es-VE"/>
        </w:rPr>
        <w:t xml:space="preserve"> </w:t>
      </w:r>
      <w:r w:rsidR="0021438D">
        <w:rPr>
          <w:color w:val="auto"/>
          <w:sz w:val="20"/>
          <w:szCs w:val="20"/>
          <w:bdr w:val="none" w:sz="0" w:space="0" w:color="auto" w:frame="1"/>
          <w:lang w:val="es-VE"/>
        </w:rPr>
        <w:t xml:space="preserve">y el </w:t>
      </w:r>
      <w:r w:rsidR="00053BF4" w:rsidRPr="00D27788">
        <w:rPr>
          <w:color w:val="auto"/>
          <w:sz w:val="20"/>
          <w:szCs w:val="20"/>
          <w:bdr w:val="none" w:sz="0" w:space="0" w:color="auto" w:frame="1"/>
          <w:lang w:val="es-VE"/>
        </w:rPr>
        <w:t>homicidio</w:t>
      </w:r>
      <w:r w:rsidR="006A6DF0">
        <w:rPr>
          <w:color w:val="auto"/>
          <w:sz w:val="20"/>
          <w:szCs w:val="20"/>
          <w:bdr w:val="none" w:sz="0" w:space="0" w:color="auto" w:frame="1"/>
          <w:lang w:val="es-VE"/>
        </w:rPr>
        <w:t xml:space="preserve"> </w:t>
      </w:r>
      <w:r w:rsidR="00053BF4" w:rsidRPr="00D27788">
        <w:rPr>
          <w:color w:val="auto"/>
          <w:sz w:val="20"/>
          <w:szCs w:val="20"/>
          <w:bdr w:val="none" w:sz="0" w:space="0" w:color="auto" w:frame="1"/>
          <w:lang w:val="es-VE"/>
        </w:rPr>
        <w:t xml:space="preserve">de la </w:t>
      </w:r>
      <w:r w:rsidR="0021438D">
        <w:rPr>
          <w:color w:val="auto"/>
          <w:sz w:val="20"/>
          <w:szCs w:val="20"/>
          <w:bdr w:val="none" w:sz="0" w:space="0" w:color="auto" w:frame="1"/>
          <w:lang w:val="es-VE"/>
        </w:rPr>
        <w:t>presunta víctima;</w:t>
      </w:r>
      <w:r w:rsidR="00053BF4" w:rsidRPr="00D27788">
        <w:rPr>
          <w:color w:val="auto"/>
          <w:sz w:val="20"/>
          <w:szCs w:val="20"/>
          <w:bdr w:val="none" w:sz="0" w:space="0" w:color="auto" w:frame="1"/>
          <w:lang w:val="es-VE"/>
        </w:rPr>
        <w:t xml:space="preserve"> las amenazas y el desplazamiento forzado que sufrieron sus familiares</w:t>
      </w:r>
      <w:r w:rsidR="0021438D">
        <w:rPr>
          <w:color w:val="auto"/>
          <w:sz w:val="20"/>
          <w:szCs w:val="20"/>
          <w:bdr w:val="none" w:sz="0" w:space="0" w:color="auto" w:frame="1"/>
          <w:lang w:val="es-VE"/>
        </w:rPr>
        <w:t>;</w:t>
      </w:r>
      <w:r w:rsidRPr="00D27788">
        <w:rPr>
          <w:color w:val="auto"/>
          <w:sz w:val="20"/>
          <w:szCs w:val="20"/>
          <w:bdr w:val="none" w:sz="0" w:space="0" w:color="auto" w:frame="1"/>
          <w:lang w:val="es-VE"/>
        </w:rPr>
        <w:t xml:space="preserve"> </w:t>
      </w:r>
      <w:r w:rsidR="0021438D">
        <w:rPr>
          <w:color w:val="auto"/>
          <w:sz w:val="20"/>
          <w:szCs w:val="20"/>
          <w:bdr w:val="none" w:sz="0" w:space="0" w:color="auto" w:frame="1"/>
          <w:lang w:val="es-VE"/>
        </w:rPr>
        <w:t xml:space="preserve">y </w:t>
      </w:r>
      <w:r w:rsidRPr="00D27788">
        <w:rPr>
          <w:color w:val="auto"/>
          <w:sz w:val="20"/>
          <w:szCs w:val="20"/>
          <w:bdr w:val="none" w:sz="0" w:space="0" w:color="auto" w:frame="1"/>
          <w:lang w:val="es-VE"/>
        </w:rPr>
        <w:t>la falta de reparación adecuada</w:t>
      </w:r>
      <w:r w:rsidR="007F1194">
        <w:rPr>
          <w:color w:val="auto"/>
          <w:sz w:val="20"/>
          <w:szCs w:val="20"/>
          <w:bdr w:val="none" w:sz="0" w:space="0" w:color="auto" w:frame="1"/>
          <w:lang w:val="es-VE"/>
        </w:rPr>
        <w:t xml:space="preserve"> de </w:t>
      </w:r>
      <w:r w:rsidR="0021438D">
        <w:rPr>
          <w:color w:val="auto"/>
          <w:sz w:val="20"/>
          <w:szCs w:val="20"/>
          <w:bdr w:val="none" w:sz="0" w:space="0" w:color="auto" w:frame="1"/>
          <w:lang w:val="es-VE"/>
        </w:rPr>
        <w:t>tales hechos</w:t>
      </w:r>
      <w:r w:rsidRPr="00D27788">
        <w:rPr>
          <w:color w:val="auto"/>
          <w:sz w:val="20"/>
          <w:szCs w:val="20"/>
          <w:bdr w:val="none" w:sz="0" w:space="0" w:color="auto" w:frame="1"/>
          <w:lang w:val="es-VE"/>
        </w:rPr>
        <w:t>.</w:t>
      </w:r>
      <w:r w:rsidR="00D27788" w:rsidRPr="00D27788">
        <w:rPr>
          <w:color w:val="auto"/>
          <w:sz w:val="20"/>
          <w:szCs w:val="20"/>
          <w:bdr w:val="none" w:sz="0" w:space="0" w:color="auto" w:frame="1"/>
          <w:lang w:val="es-VE"/>
        </w:rPr>
        <w:t xml:space="preserve"> </w:t>
      </w:r>
      <w:r w:rsidR="0021438D">
        <w:rPr>
          <w:color w:val="auto"/>
          <w:sz w:val="20"/>
          <w:szCs w:val="20"/>
          <w:bdr w:val="none" w:sz="0" w:space="0" w:color="auto" w:frame="1"/>
          <w:lang w:val="es-VE"/>
        </w:rPr>
        <w:t>T</w:t>
      </w:r>
      <w:r w:rsidRPr="00D27788">
        <w:rPr>
          <w:color w:val="auto"/>
          <w:sz w:val="20"/>
          <w:szCs w:val="20"/>
          <w:bdr w:val="none" w:sz="0" w:space="0" w:color="auto" w:frame="1"/>
          <w:lang w:val="es-VE"/>
        </w:rPr>
        <w:t>ras examinar los elementos de hecho y de derecho expuestos por las partes</w:t>
      </w:r>
      <w:r w:rsidR="0021438D">
        <w:rPr>
          <w:color w:val="auto"/>
          <w:sz w:val="20"/>
          <w:szCs w:val="20"/>
          <w:bdr w:val="none" w:sz="0" w:space="0" w:color="auto" w:frame="1"/>
          <w:lang w:val="es-VE"/>
        </w:rPr>
        <w:t>,</w:t>
      </w:r>
      <w:r w:rsidRPr="00D27788">
        <w:rPr>
          <w:color w:val="auto"/>
          <w:sz w:val="20"/>
          <w:szCs w:val="20"/>
          <w:bdr w:val="none" w:sz="0" w:space="0" w:color="auto" w:frame="1"/>
          <w:lang w:val="es-VE"/>
        </w:rPr>
        <w:t xml:space="preserve"> la Comisión </w:t>
      </w:r>
      <w:r w:rsidR="0021438D">
        <w:rPr>
          <w:color w:val="auto"/>
          <w:sz w:val="20"/>
          <w:szCs w:val="20"/>
          <w:bdr w:val="none" w:sz="0" w:space="0" w:color="auto" w:frame="1"/>
          <w:lang w:val="es-VE"/>
        </w:rPr>
        <w:t xml:space="preserve">Interamericana </w:t>
      </w:r>
      <w:r w:rsidRPr="00D27788">
        <w:rPr>
          <w:color w:val="auto"/>
          <w:sz w:val="20"/>
          <w:szCs w:val="20"/>
          <w:bdr w:val="none" w:sz="0" w:space="0" w:color="auto" w:frame="1"/>
          <w:lang w:val="es-VE"/>
        </w:rPr>
        <w:t xml:space="preserve">estima que </w:t>
      </w:r>
      <w:r w:rsidR="0021438D">
        <w:rPr>
          <w:color w:val="auto"/>
          <w:sz w:val="20"/>
          <w:szCs w:val="20"/>
          <w:bdr w:val="none" w:sz="0" w:space="0" w:color="auto" w:frame="1"/>
          <w:lang w:val="es-VE"/>
        </w:rPr>
        <w:t>tales</w:t>
      </w:r>
      <w:r w:rsidRPr="00D27788">
        <w:rPr>
          <w:color w:val="auto"/>
          <w:sz w:val="20"/>
          <w:szCs w:val="20"/>
          <w:bdr w:val="none" w:sz="0" w:space="0" w:color="auto" w:frame="1"/>
          <w:lang w:val="es-VE"/>
        </w:rPr>
        <w:t xml:space="preserve"> </w:t>
      </w:r>
      <w:r w:rsidR="0021438D">
        <w:rPr>
          <w:color w:val="auto"/>
          <w:sz w:val="20"/>
          <w:szCs w:val="20"/>
          <w:bdr w:val="none" w:sz="0" w:space="0" w:color="auto" w:frame="1"/>
          <w:lang w:val="es-VE"/>
        </w:rPr>
        <w:t>alegatos</w:t>
      </w:r>
      <w:r w:rsidRPr="00D27788">
        <w:rPr>
          <w:color w:val="auto"/>
          <w:sz w:val="20"/>
          <w:szCs w:val="20"/>
          <w:bdr w:val="none" w:sz="0" w:space="0" w:color="auto" w:frame="1"/>
          <w:lang w:val="es-VE"/>
        </w:rPr>
        <w:t xml:space="preserve"> no resultan manifiestamente infundad</w:t>
      </w:r>
      <w:r w:rsidR="0021438D">
        <w:rPr>
          <w:color w:val="auto"/>
          <w:sz w:val="20"/>
          <w:szCs w:val="20"/>
          <w:bdr w:val="none" w:sz="0" w:space="0" w:color="auto" w:frame="1"/>
          <w:lang w:val="es-VE"/>
        </w:rPr>
        <w:t>o</w:t>
      </w:r>
      <w:r w:rsidRPr="00D27788">
        <w:rPr>
          <w:color w:val="auto"/>
          <w:sz w:val="20"/>
          <w:szCs w:val="20"/>
          <w:bdr w:val="none" w:sz="0" w:space="0" w:color="auto" w:frame="1"/>
          <w:lang w:val="es-VE"/>
        </w:rPr>
        <w:t>s y requieren un estudio de fondo pues los hechos, de corroborarse como ciertos podrían c</w:t>
      </w:r>
      <w:r w:rsidR="0021438D">
        <w:rPr>
          <w:color w:val="auto"/>
          <w:sz w:val="20"/>
          <w:szCs w:val="20"/>
          <w:bdr w:val="none" w:sz="0" w:space="0" w:color="auto" w:frame="1"/>
          <w:lang w:val="es-VE"/>
        </w:rPr>
        <w:t xml:space="preserve">onstituir </w:t>
      </w:r>
      <w:r w:rsidRPr="00D27788">
        <w:rPr>
          <w:color w:val="auto"/>
          <w:sz w:val="20"/>
          <w:szCs w:val="20"/>
          <w:bdr w:val="none" w:sz="0" w:space="0" w:color="auto" w:frame="1"/>
          <w:lang w:val="es-VE"/>
        </w:rPr>
        <w:t xml:space="preserve">violaciones </w:t>
      </w:r>
      <w:r w:rsidR="0021438D">
        <w:rPr>
          <w:color w:val="auto"/>
          <w:sz w:val="20"/>
          <w:szCs w:val="20"/>
          <w:bdr w:val="none" w:sz="0" w:space="0" w:color="auto" w:frame="1"/>
          <w:lang w:val="es-VE"/>
        </w:rPr>
        <w:t>de</w:t>
      </w:r>
      <w:r w:rsidRPr="00D27788">
        <w:rPr>
          <w:color w:val="auto"/>
          <w:sz w:val="20"/>
          <w:szCs w:val="20"/>
          <w:bdr w:val="none" w:sz="0" w:space="0" w:color="auto" w:frame="1"/>
          <w:lang w:val="es-VE"/>
        </w:rPr>
        <w:t xml:space="preserve"> los artículos </w:t>
      </w:r>
      <w:r w:rsidRPr="00D27788">
        <w:rPr>
          <w:bCs/>
          <w:color w:val="auto"/>
          <w:sz w:val="20"/>
          <w:szCs w:val="20"/>
          <w:bdr w:val="none" w:sz="0" w:space="0" w:color="auto" w:frame="1"/>
          <w:lang w:val="es-VE"/>
        </w:rPr>
        <w:t>4 (derecho a la vida), 5 (derecho a la integridad personal), 8 (garantías judiciales), y 25 (protección judicial) de la Convención Americana en relación con el artículo 1.1 del mismo instrumento.</w:t>
      </w:r>
    </w:p>
    <w:p w14:paraId="07D6449B" w14:textId="77777777" w:rsidR="009264A1" w:rsidRPr="0021438D" w:rsidRDefault="009264A1" w:rsidP="009264A1">
      <w:pPr>
        <w:jc w:val="both"/>
        <w:rPr>
          <w:sz w:val="20"/>
          <w:szCs w:val="20"/>
          <w:lang w:val="es-VE"/>
        </w:rPr>
      </w:pPr>
    </w:p>
    <w:p w14:paraId="4BE41FEC" w14:textId="1031E948" w:rsidR="00A606B0" w:rsidRPr="00D27788" w:rsidRDefault="000B7AD4" w:rsidP="00756CA0">
      <w:pPr>
        <w:pStyle w:val="ListParagraph"/>
        <w:numPr>
          <w:ilvl w:val="0"/>
          <w:numId w:val="56"/>
        </w:numPr>
        <w:ind w:left="0" w:firstLine="720"/>
        <w:jc w:val="both"/>
        <w:rPr>
          <w:sz w:val="20"/>
          <w:szCs w:val="20"/>
          <w:lang w:val="es-VE"/>
        </w:rPr>
      </w:pPr>
      <w:r>
        <w:rPr>
          <w:rFonts w:cs="Calibri"/>
          <w:color w:val="auto"/>
          <w:sz w:val="20"/>
          <w:szCs w:val="20"/>
          <w:lang w:val="es-ES"/>
        </w:rPr>
        <w:t xml:space="preserve">La Comisión Interamericana considera que el </w:t>
      </w:r>
      <w:r w:rsidRPr="00D27788">
        <w:rPr>
          <w:rFonts w:cs="Calibri"/>
          <w:color w:val="auto"/>
          <w:sz w:val="20"/>
          <w:szCs w:val="20"/>
          <w:lang w:val="es-ES"/>
        </w:rPr>
        <w:t>desplazamiento de personas</w:t>
      </w:r>
      <w:r>
        <w:rPr>
          <w:rFonts w:cs="Calibri"/>
          <w:color w:val="auto"/>
          <w:sz w:val="20"/>
          <w:szCs w:val="20"/>
          <w:lang w:val="es-ES"/>
        </w:rPr>
        <w:t xml:space="preserve"> tiene </w:t>
      </w:r>
      <w:r w:rsidR="00CD5541" w:rsidRPr="00D27788">
        <w:rPr>
          <w:rFonts w:cs="Calibri"/>
          <w:color w:val="auto"/>
          <w:sz w:val="20"/>
          <w:szCs w:val="20"/>
          <w:lang w:val="es-ES"/>
        </w:rPr>
        <w:t xml:space="preserve">naturaleza múltiple, compleja y continua, </w:t>
      </w:r>
      <w:r>
        <w:rPr>
          <w:rFonts w:cs="Calibri"/>
          <w:color w:val="auto"/>
          <w:sz w:val="20"/>
          <w:szCs w:val="20"/>
          <w:lang w:val="es-ES"/>
        </w:rPr>
        <w:t xml:space="preserve">y que deben analizarse </w:t>
      </w:r>
      <w:r w:rsidR="00CD5541" w:rsidRPr="00D27788">
        <w:rPr>
          <w:rFonts w:cs="Calibri"/>
          <w:color w:val="auto"/>
          <w:sz w:val="20"/>
          <w:szCs w:val="20"/>
          <w:lang w:val="es-ES"/>
        </w:rPr>
        <w:t>en particular las afectaciones directas sobre los derechos a la libre circulación y residencia, vivienda e integridad personal</w:t>
      </w:r>
      <w:r w:rsidR="00D27788" w:rsidRPr="00D27788">
        <w:rPr>
          <w:rFonts w:cs="Calibri"/>
          <w:color w:val="auto"/>
          <w:sz w:val="20"/>
          <w:szCs w:val="20"/>
          <w:lang w:val="es-ES"/>
        </w:rPr>
        <w:t>,</w:t>
      </w:r>
      <w:r w:rsidR="00CD5541" w:rsidRPr="00D27788">
        <w:rPr>
          <w:rFonts w:cs="Calibri"/>
          <w:color w:val="auto"/>
          <w:sz w:val="20"/>
          <w:szCs w:val="20"/>
          <w:lang w:val="es-ES"/>
        </w:rPr>
        <w:t xml:space="preserve"> así como del desarraigo en términos sociales y culturales</w:t>
      </w:r>
      <w:r>
        <w:rPr>
          <w:rFonts w:cs="Calibri"/>
          <w:color w:val="auto"/>
          <w:sz w:val="20"/>
          <w:szCs w:val="20"/>
          <w:lang w:val="es-ES"/>
        </w:rPr>
        <w:t>.</w:t>
      </w:r>
      <w:r w:rsidR="00CD5541" w:rsidRPr="00053BF4">
        <w:rPr>
          <w:rFonts w:cs="Calibri"/>
          <w:sz w:val="20"/>
          <w:szCs w:val="20"/>
          <w:lang w:val="es-ES"/>
        </w:rPr>
        <w:t xml:space="preserve"> </w:t>
      </w:r>
      <w:r>
        <w:rPr>
          <w:rFonts w:cs="Calibri"/>
          <w:sz w:val="20"/>
          <w:szCs w:val="20"/>
          <w:lang w:val="es-ES"/>
        </w:rPr>
        <w:t>En consecuencia, l</w:t>
      </w:r>
      <w:r w:rsidR="00CD5541" w:rsidRPr="00053BF4">
        <w:rPr>
          <w:rFonts w:cs="Calibri"/>
          <w:sz w:val="20"/>
          <w:szCs w:val="20"/>
          <w:lang w:val="es-ES"/>
        </w:rPr>
        <w:t>a C</w:t>
      </w:r>
      <w:r>
        <w:rPr>
          <w:rFonts w:cs="Calibri"/>
          <w:sz w:val="20"/>
          <w:szCs w:val="20"/>
          <w:lang w:val="es-ES"/>
        </w:rPr>
        <w:t>IDH</w:t>
      </w:r>
      <w:r w:rsidR="00CD5541" w:rsidRPr="00053BF4">
        <w:rPr>
          <w:rFonts w:cs="Calibri"/>
          <w:sz w:val="20"/>
          <w:szCs w:val="20"/>
          <w:lang w:val="es-ES"/>
        </w:rPr>
        <w:t xml:space="preserve"> considera que los alegatos </w:t>
      </w:r>
      <w:r>
        <w:rPr>
          <w:rFonts w:cs="Calibri"/>
          <w:sz w:val="20"/>
          <w:szCs w:val="20"/>
          <w:lang w:val="es-ES"/>
        </w:rPr>
        <w:t xml:space="preserve">sobre dicho fenómeno </w:t>
      </w:r>
      <w:r w:rsidR="00CD5541" w:rsidRPr="00053BF4">
        <w:rPr>
          <w:rFonts w:cs="Calibri"/>
          <w:sz w:val="20"/>
          <w:szCs w:val="20"/>
          <w:lang w:val="es-ES"/>
        </w:rPr>
        <w:t>caracteriza</w:t>
      </w:r>
      <w:r>
        <w:rPr>
          <w:rFonts w:cs="Calibri"/>
          <w:sz w:val="20"/>
          <w:szCs w:val="20"/>
          <w:lang w:val="es-ES"/>
        </w:rPr>
        <w:t>n</w:t>
      </w:r>
      <w:r w:rsidR="00CD5541" w:rsidRPr="00053BF4">
        <w:rPr>
          <w:rFonts w:cs="Calibri"/>
          <w:sz w:val="20"/>
          <w:szCs w:val="20"/>
          <w:lang w:val="es-ES"/>
        </w:rPr>
        <w:t xml:space="preserve"> </w:t>
      </w:r>
      <w:r>
        <w:rPr>
          <w:rFonts w:cs="Calibri"/>
          <w:sz w:val="20"/>
          <w:szCs w:val="20"/>
          <w:lang w:val="es-ES"/>
        </w:rPr>
        <w:t xml:space="preserve">en el presente asunto </w:t>
      </w:r>
      <w:r w:rsidR="00CD5541" w:rsidRPr="00053BF4">
        <w:rPr>
          <w:rFonts w:cs="Calibri"/>
          <w:sz w:val="20"/>
          <w:szCs w:val="20"/>
          <w:lang w:val="es-ES"/>
        </w:rPr>
        <w:t>posibles violaciones de los artículos 5, 22 y 26 de la Convención Americana de manera conjunta e interconectada</w:t>
      </w:r>
      <w:r w:rsidR="00CD5541" w:rsidRPr="00053BF4">
        <w:rPr>
          <w:rStyle w:val="FootnoteReference"/>
          <w:rFonts w:cs="Calibri"/>
          <w:sz w:val="20"/>
          <w:szCs w:val="20"/>
          <w:lang w:val="es-ES"/>
        </w:rPr>
        <w:footnoteReference w:id="14"/>
      </w:r>
      <w:r w:rsidR="00CD5541" w:rsidRPr="00053BF4">
        <w:rPr>
          <w:rFonts w:cs="Calibri"/>
          <w:sz w:val="20"/>
          <w:szCs w:val="20"/>
          <w:lang w:val="es-ES"/>
        </w:rPr>
        <w:t>.</w:t>
      </w:r>
    </w:p>
    <w:p w14:paraId="61E09627" w14:textId="77777777" w:rsidR="009264A1" w:rsidRPr="0021438D" w:rsidRDefault="009264A1" w:rsidP="009264A1">
      <w:pPr>
        <w:jc w:val="both"/>
        <w:rPr>
          <w:sz w:val="20"/>
          <w:szCs w:val="20"/>
          <w:lang w:val="es-VE"/>
        </w:rPr>
      </w:pPr>
    </w:p>
    <w:p w14:paraId="312225CD" w14:textId="3EE51BDA" w:rsidR="00D27788" w:rsidRPr="00D27788" w:rsidRDefault="00D27788" w:rsidP="00756CA0">
      <w:pPr>
        <w:pStyle w:val="ListParagraph"/>
        <w:numPr>
          <w:ilvl w:val="0"/>
          <w:numId w:val="56"/>
        </w:numPr>
        <w:ind w:left="0" w:firstLine="720"/>
        <w:jc w:val="both"/>
        <w:rPr>
          <w:color w:val="auto"/>
          <w:sz w:val="20"/>
          <w:szCs w:val="20"/>
          <w:lang w:val="es-VE"/>
        </w:rPr>
      </w:pPr>
      <w:r>
        <w:rPr>
          <w:sz w:val="20"/>
          <w:szCs w:val="20"/>
          <w:lang w:val="es-VE"/>
        </w:rPr>
        <w:t>L</w:t>
      </w:r>
      <w:r w:rsidR="000B7AD4">
        <w:rPr>
          <w:sz w:val="20"/>
          <w:szCs w:val="20"/>
          <w:lang w:val="es-VE"/>
        </w:rPr>
        <w:t>os</w:t>
      </w:r>
      <w:r w:rsidRPr="00053BF4">
        <w:rPr>
          <w:sz w:val="20"/>
          <w:szCs w:val="20"/>
          <w:lang w:val="es-VE"/>
        </w:rPr>
        <w:t xml:space="preserve"> instrumentos jurídicos </w:t>
      </w:r>
      <w:r w:rsidR="000B7AD4">
        <w:rPr>
          <w:sz w:val="20"/>
          <w:szCs w:val="20"/>
          <w:lang w:val="es-VE"/>
        </w:rPr>
        <w:t>aplicables</w:t>
      </w:r>
      <w:r w:rsidRPr="00053BF4">
        <w:rPr>
          <w:sz w:val="20"/>
          <w:szCs w:val="20"/>
          <w:lang w:val="es-VE"/>
        </w:rPr>
        <w:t xml:space="preserve"> no exigen a los peticionarios identificar los derechos específicos que alegan violados por parte del Estado en un asunto sometido a la C</w:t>
      </w:r>
      <w:r w:rsidR="000B7AD4">
        <w:rPr>
          <w:sz w:val="20"/>
          <w:szCs w:val="20"/>
          <w:lang w:val="es-VE"/>
        </w:rPr>
        <w:t>IDH</w:t>
      </w:r>
      <w:r w:rsidRPr="00053BF4">
        <w:rPr>
          <w:sz w:val="20"/>
          <w:szCs w:val="20"/>
          <w:lang w:val="es-VE"/>
        </w:rPr>
        <w:t xml:space="preserve">. </w:t>
      </w:r>
      <w:r w:rsidR="000B7AD4">
        <w:rPr>
          <w:sz w:val="20"/>
          <w:szCs w:val="20"/>
          <w:lang w:val="es-VE"/>
        </w:rPr>
        <w:t>C</w:t>
      </w:r>
      <w:r w:rsidRPr="00053BF4">
        <w:rPr>
          <w:sz w:val="20"/>
          <w:szCs w:val="20"/>
          <w:lang w:val="es-VE"/>
        </w:rPr>
        <w:t xml:space="preserve">on base en la jurisprudencia del sistema, </w:t>
      </w:r>
      <w:r w:rsidR="000B7AD4">
        <w:rPr>
          <w:sz w:val="20"/>
          <w:szCs w:val="20"/>
          <w:lang w:val="es-VE"/>
        </w:rPr>
        <w:t xml:space="preserve">es </w:t>
      </w:r>
      <w:r w:rsidR="000B7AD4" w:rsidRPr="00053BF4">
        <w:rPr>
          <w:sz w:val="20"/>
          <w:szCs w:val="20"/>
          <w:lang w:val="es-VE"/>
        </w:rPr>
        <w:t>la Comisión</w:t>
      </w:r>
      <w:r w:rsidR="000B7AD4">
        <w:rPr>
          <w:sz w:val="20"/>
          <w:szCs w:val="20"/>
          <w:lang w:val="es-VE"/>
        </w:rPr>
        <w:t xml:space="preserve"> Interamericana</w:t>
      </w:r>
      <w:r w:rsidR="000B7AD4" w:rsidRPr="00053BF4">
        <w:rPr>
          <w:sz w:val="20"/>
          <w:szCs w:val="20"/>
          <w:lang w:val="es-VE"/>
        </w:rPr>
        <w:t xml:space="preserve"> </w:t>
      </w:r>
      <w:r w:rsidR="000B7AD4">
        <w:rPr>
          <w:sz w:val="20"/>
          <w:szCs w:val="20"/>
          <w:lang w:val="es-VE"/>
        </w:rPr>
        <w:t xml:space="preserve">la que debe </w:t>
      </w:r>
      <w:r w:rsidRPr="00053BF4">
        <w:rPr>
          <w:sz w:val="20"/>
          <w:szCs w:val="20"/>
          <w:lang w:val="es-VE"/>
        </w:rPr>
        <w:t xml:space="preserve">determinar en sus informes de admisibilidad </w:t>
      </w:r>
      <w:r w:rsidR="000B7AD4">
        <w:rPr>
          <w:sz w:val="20"/>
          <w:szCs w:val="20"/>
          <w:lang w:val="es-VE"/>
        </w:rPr>
        <w:t xml:space="preserve">cuales son las </w:t>
      </w:r>
      <w:r w:rsidRPr="00053BF4">
        <w:rPr>
          <w:sz w:val="20"/>
          <w:szCs w:val="20"/>
          <w:lang w:val="es-VE"/>
        </w:rPr>
        <w:t>disposic</w:t>
      </w:r>
      <w:r w:rsidR="000B7AD4">
        <w:rPr>
          <w:sz w:val="20"/>
          <w:szCs w:val="20"/>
          <w:lang w:val="es-VE"/>
        </w:rPr>
        <w:t xml:space="preserve">iones aplicables </w:t>
      </w:r>
      <w:r w:rsidRPr="00053BF4">
        <w:rPr>
          <w:sz w:val="20"/>
          <w:szCs w:val="20"/>
          <w:lang w:val="es-VE"/>
        </w:rPr>
        <w:t xml:space="preserve">de los instrumentos interamericanos </w:t>
      </w:r>
      <w:r w:rsidRPr="00D27788">
        <w:rPr>
          <w:color w:val="auto"/>
          <w:sz w:val="20"/>
          <w:szCs w:val="20"/>
          <w:lang w:val="es-VE"/>
        </w:rPr>
        <w:t>relevantes</w:t>
      </w:r>
      <w:r w:rsidR="000B7AD4">
        <w:rPr>
          <w:color w:val="auto"/>
          <w:sz w:val="20"/>
          <w:szCs w:val="20"/>
          <w:lang w:val="es-VE"/>
        </w:rPr>
        <w:t>;</w:t>
      </w:r>
      <w:r w:rsidRPr="00D27788">
        <w:rPr>
          <w:color w:val="auto"/>
          <w:sz w:val="20"/>
          <w:szCs w:val="20"/>
          <w:lang w:val="es-VE"/>
        </w:rPr>
        <w:t xml:space="preserve"> y </w:t>
      </w:r>
      <w:r w:rsidR="000B7AD4">
        <w:rPr>
          <w:color w:val="auto"/>
          <w:sz w:val="20"/>
          <w:szCs w:val="20"/>
          <w:lang w:val="es-VE"/>
        </w:rPr>
        <w:t xml:space="preserve">si </w:t>
      </w:r>
      <w:r w:rsidRPr="00D27788">
        <w:rPr>
          <w:color w:val="auto"/>
          <w:sz w:val="20"/>
          <w:szCs w:val="20"/>
          <w:lang w:val="es-VE"/>
        </w:rPr>
        <w:t xml:space="preserve">podría establecerse su violación </w:t>
      </w:r>
      <w:r w:rsidR="000B7AD4">
        <w:rPr>
          <w:color w:val="auto"/>
          <w:sz w:val="20"/>
          <w:szCs w:val="20"/>
          <w:lang w:val="es-VE"/>
        </w:rPr>
        <w:t xml:space="preserve">en caso de que </w:t>
      </w:r>
      <w:r w:rsidRPr="00D27788">
        <w:rPr>
          <w:color w:val="auto"/>
          <w:sz w:val="20"/>
          <w:szCs w:val="20"/>
          <w:lang w:val="es-VE"/>
        </w:rPr>
        <w:t xml:space="preserve">los hechos alegados </w:t>
      </w:r>
      <w:r w:rsidR="000B7AD4">
        <w:rPr>
          <w:color w:val="auto"/>
          <w:sz w:val="20"/>
          <w:szCs w:val="20"/>
          <w:lang w:val="es-VE"/>
        </w:rPr>
        <w:t xml:space="preserve">fueran </w:t>
      </w:r>
      <w:r w:rsidRPr="00D27788">
        <w:rPr>
          <w:color w:val="auto"/>
          <w:sz w:val="20"/>
          <w:szCs w:val="20"/>
          <w:lang w:val="es-VE"/>
        </w:rPr>
        <w:t>probados mediante elementos suficientes</w:t>
      </w:r>
      <w:r w:rsidRPr="00D27788">
        <w:rPr>
          <w:rStyle w:val="FootnoteReference"/>
          <w:color w:val="auto"/>
          <w:sz w:val="20"/>
          <w:szCs w:val="20"/>
          <w:lang w:val="es-VE"/>
        </w:rPr>
        <w:footnoteReference w:id="15"/>
      </w:r>
      <w:r w:rsidRPr="00D27788">
        <w:rPr>
          <w:color w:val="auto"/>
          <w:sz w:val="20"/>
          <w:szCs w:val="20"/>
          <w:lang w:val="es-VE"/>
        </w:rPr>
        <w:t>.</w:t>
      </w:r>
    </w:p>
    <w:p w14:paraId="4BDB716E" w14:textId="77777777" w:rsidR="009264A1" w:rsidRPr="000B7AD4" w:rsidRDefault="009264A1" w:rsidP="00214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Batang" w:hAnsi="Cambria"/>
          <w:sz w:val="20"/>
          <w:szCs w:val="20"/>
          <w:bdr w:val="none" w:sz="0" w:space="0" w:color="auto" w:frame="1"/>
          <w:lang w:val="es-VE"/>
        </w:rPr>
      </w:pPr>
    </w:p>
    <w:p w14:paraId="0B0EF904" w14:textId="00EAE8B6" w:rsidR="00424349" w:rsidRPr="00D27788" w:rsidRDefault="00424349" w:rsidP="00756C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Batang" w:hAnsi="Cambria"/>
          <w:sz w:val="20"/>
          <w:szCs w:val="20"/>
          <w:bdr w:val="none" w:sz="0" w:space="0" w:color="auto" w:frame="1"/>
          <w:lang w:val="es-ES"/>
        </w:rPr>
      </w:pPr>
      <w:r w:rsidRPr="00D27788">
        <w:rPr>
          <w:rFonts w:ascii="Cambria" w:hAnsi="Cambria"/>
          <w:sz w:val="20"/>
          <w:szCs w:val="20"/>
          <w:lang w:val="es-ES"/>
        </w:rPr>
        <w:t xml:space="preserve">Por último, respecto a los alegatos </w:t>
      </w:r>
      <w:r w:rsidR="007D58EF">
        <w:rPr>
          <w:rFonts w:ascii="Cambria" w:hAnsi="Cambria"/>
          <w:sz w:val="20"/>
          <w:szCs w:val="20"/>
          <w:lang w:val="es-ES"/>
        </w:rPr>
        <w:t>sobre</w:t>
      </w:r>
      <w:r w:rsidRPr="00D27788">
        <w:rPr>
          <w:rFonts w:ascii="Cambria" w:hAnsi="Cambria"/>
          <w:sz w:val="20"/>
          <w:szCs w:val="20"/>
          <w:lang w:val="es-ES"/>
        </w:rPr>
        <w:t xml:space="preserve"> la </w:t>
      </w:r>
      <w:r w:rsidR="007D58EF">
        <w:rPr>
          <w:rFonts w:ascii="Cambria" w:hAnsi="Cambria"/>
          <w:sz w:val="20"/>
          <w:szCs w:val="20"/>
          <w:lang w:val="es-ES"/>
        </w:rPr>
        <w:t>llamada “</w:t>
      </w:r>
      <w:r w:rsidRPr="00D27788">
        <w:rPr>
          <w:rFonts w:ascii="Cambria" w:hAnsi="Cambria"/>
          <w:sz w:val="20"/>
          <w:szCs w:val="20"/>
          <w:lang w:val="es-ES"/>
        </w:rPr>
        <w:t xml:space="preserve">fórmula de </w:t>
      </w:r>
      <w:r w:rsidR="007D58EF">
        <w:rPr>
          <w:rFonts w:ascii="Cambria" w:hAnsi="Cambria"/>
          <w:sz w:val="20"/>
          <w:szCs w:val="20"/>
          <w:lang w:val="es-ES"/>
        </w:rPr>
        <w:t xml:space="preserve">la </w:t>
      </w:r>
      <w:r w:rsidRPr="00D27788">
        <w:rPr>
          <w:rFonts w:ascii="Cambria" w:hAnsi="Cambria"/>
          <w:sz w:val="20"/>
          <w:szCs w:val="20"/>
          <w:lang w:val="es-ES"/>
        </w:rPr>
        <w:t>cuarta instancia</w:t>
      </w:r>
      <w:r w:rsidR="007D58EF">
        <w:rPr>
          <w:rFonts w:ascii="Cambria" w:hAnsi="Cambria"/>
          <w:sz w:val="20"/>
          <w:szCs w:val="20"/>
          <w:lang w:val="es-ES"/>
        </w:rPr>
        <w:t>”</w:t>
      </w:r>
      <w:r w:rsidRPr="00D27788">
        <w:rPr>
          <w:rFonts w:ascii="Cambria" w:hAnsi="Cambria"/>
          <w:sz w:val="20"/>
          <w:szCs w:val="20"/>
          <w:lang w:val="es-ES"/>
        </w:rPr>
        <w:t xml:space="preserve">, </w:t>
      </w:r>
      <w:r w:rsidRPr="00D27788">
        <w:rPr>
          <w:rFonts w:ascii="Cambria" w:hAnsi="Cambria"/>
          <w:sz w:val="20"/>
          <w:szCs w:val="20"/>
          <w:lang w:val="es-ES_tradnl"/>
        </w:rPr>
        <w:t xml:space="preserve">a efectos de la admisibilidad, </w:t>
      </w:r>
      <w:r w:rsidR="007D58EF" w:rsidRPr="00D27788">
        <w:rPr>
          <w:rFonts w:ascii="Cambria" w:hAnsi="Cambria"/>
          <w:sz w:val="20"/>
          <w:szCs w:val="20"/>
          <w:lang w:val="es-ES"/>
        </w:rPr>
        <w:t>la C</w:t>
      </w:r>
      <w:r w:rsidR="007D58EF">
        <w:rPr>
          <w:rFonts w:ascii="Cambria" w:hAnsi="Cambria"/>
          <w:sz w:val="20"/>
          <w:szCs w:val="20"/>
          <w:lang w:val="es-ES"/>
        </w:rPr>
        <w:t>IDH</w:t>
      </w:r>
      <w:r w:rsidR="007D58EF" w:rsidRPr="00D27788">
        <w:rPr>
          <w:rFonts w:ascii="Cambria" w:hAnsi="Cambria"/>
          <w:sz w:val="20"/>
          <w:szCs w:val="20"/>
          <w:lang w:val="es-ES"/>
        </w:rPr>
        <w:t xml:space="preserve"> </w:t>
      </w:r>
      <w:r w:rsidRPr="00D27788">
        <w:rPr>
          <w:rFonts w:ascii="Cambria" w:hAnsi="Cambria"/>
          <w:sz w:val="20"/>
          <w:szCs w:val="20"/>
          <w:lang w:val="es-ES_tradnl"/>
        </w:rPr>
        <w:t>debe decidir si los hechos alegados caracteriza</w:t>
      </w:r>
      <w:r w:rsidR="007D58EF">
        <w:rPr>
          <w:rFonts w:ascii="Cambria" w:hAnsi="Cambria"/>
          <w:sz w:val="20"/>
          <w:szCs w:val="20"/>
          <w:lang w:val="es-ES_tradnl"/>
        </w:rPr>
        <w:t>n una posible</w:t>
      </w:r>
      <w:r w:rsidRPr="00D27788">
        <w:rPr>
          <w:rFonts w:ascii="Cambria" w:hAnsi="Cambria"/>
          <w:sz w:val="20"/>
          <w:szCs w:val="20"/>
          <w:lang w:val="es-ES_tradnl"/>
        </w:rPr>
        <w:t xml:space="preserve"> violación de derechos, según lo estipulado en el artículo 47(b) de la Convención Americana</w:t>
      </w:r>
      <w:r w:rsidR="007D58EF">
        <w:rPr>
          <w:rFonts w:ascii="Cambria" w:hAnsi="Cambria"/>
          <w:sz w:val="20"/>
          <w:szCs w:val="20"/>
          <w:lang w:val="es-ES_tradnl"/>
        </w:rPr>
        <w:t>;</w:t>
      </w:r>
      <w:r w:rsidRPr="00D27788">
        <w:rPr>
          <w:rFonts w:ascii="Cambria" w:hAnsi="Cambria"/>
          <w:sz w:val="20"/>
          <w:szCs w:val="20"/>
          <w:lang w:val="es-ES_tradnl"/>
        </w:rPr>
        <w:t xml:space="preserve"> o si la petición es manifiestamente infundada o es evidente su total improcedencia conforme al inciso (c) de dicho artículo. El criterio de evaluación de </w:t>
      </w:r>
      <w:r w:rsidR="007D58EF">
        <w:rPr>
          <w:rFonts w:ascii="Cambria" w:hAnsi="Cambria"/>
          <w:sz w:val="20"/>
          <w:szCs w:val="20"/>
          <w:lang w:val="es-ES_tradnl"/>
        </w:rPr>
        <w:t>dichos</w:t>
      </w:r>
      <w:r w:rsidRPr="00D27788">
        <w:rPr>
          <w:rFonts w:ascii="Cambria" w:hAnsi="Cambria"/>
          <w:sz w:val="20"/>
          <w:szCs w:val="20"/>
          <w:lang w:val="es-ES_tradnl"/>
        </w:rPr>
        <w:t xml:space="preserve"> requisitos difiere del que se utiliza para pronunciarse sobre el fondo de una petición. Asimismo, </w:t>
      </w:r>
      <w:r w:rsidR="007D58EF">
        <w:rPr>
          <w:rFonts w:ascii="Cambria" w:hAnsi="Cambria"/>
          <w:sz w:val="20"/>
          <w:szCs w:val="20"/>
          <w:lang w:val="es-ES_tradnl"/>
        </w:rPr>
        <w:t xml:space="preserve">en </w:t>
      </w:r>
      <w:r w:rsidRPr="00D27788">
        <w:rPr>
          <w:rFonts w:ascii="Cambria" w:hAnsi="Cambria"/>
          <w:sz w:val="20"/>
          <w:szCs w:val="20"/>
          <w:lang w:val="es-ES_tradnl"/>
        </w:rPr>
        <w:t xml:space="preserve">el marco de su mandato </w:t>
      </w:r>
      <w:r w:rsidR="007D58EF">
        <w:rPr>
          <w:rFonts w:ascii="Cambria" w:hAnsi="Cambria"/>
          <w:sz w:val="20"/>
          <w:szCs w:val="20"/>
          <w:lang w:val="es-ES_tradnl"/>
        </w:rPr>
        <w:t xml:space="preserve">la Comisión Interamericana </w:t>
      </w:r>
      <w:r w:rsidRPr="00D27788">
        <w:rPr>
          <w:rFonts w:ascii="Cambria" w:hAnsi="Cambria"/>
          <w:sz w:val="20"/>
          <w:szCs w:val="20"/>
          <w:lang w:val="es-ES_tradnl"/>
        </w:rPr>
        <w:t xml:space="preserve">es competente para declarar admisible una petición cuando se refiere a procesos internos que podrían ser violatorios de derechos garantizados por la Convención Americana. </w:t>
      </w:r>
      <w:r w:rsidR="007D58EF">
        <w:rPr>
          <w:rFonts w:ascii="Cambria" w:hAnsi="Cambria"/>
          <w:sz w:val="20"/>
          <w:szCs w:val="20"/>
          <w:lang w:val="es-ES_tradnl"/>
        </w:rPr>
        <w:t>De</w:t>
      </w:r>
      <w:r w:rsidRPr="00D27788">
        <w:rPr>
          <w:rFonts w:ascii="Cambria" w:hAnsi="Cambria"/>
          <w:sz w:val="20"/>
          <w:szCs w:val="20"/>
          <w:lang w:val="es-ES_tradnl"/>
        </w:rPr>
        <w:t xml:space="preserve"> acuerdo con las normas convencionales citadas, </w:t>
      </w:r>
      <w:r w:rsidR="007D58EF">
        <w:rPr>
          <w:rFonts w:ascii="Cambria" w:hAnsi="Cambria"/>
          <w:sz w:val="20"/>
          <w:szCs w:val="20"/>
          <w:lang w:val="es-ES_tradnl"/>
        </w:rPr>
        <w:t xml:space="preserve">y </w:t>
      </w:r>
      <w:r w:rsidRPr="00D27788">
        <w:rPr>
          <w:rFonts w:ascii="Cambria" w:hAnsi="Cambria"/>
          <w:sz w:val="20"/>
          <w:szCs w:val="20"/>
          <w:lang w:val="es-ES_tradnl"/>
        </w:rPr>
        <w:t>en concordancia con el artículo 34 de su Reglamento, el análisis de admisibilidad se centra en la verificación de tales requisitos.</w:t>
      </w:r>
    </w:p>
    <w:p w14:paraId="2FC2A8CD" w14:textId="77777777" w:rsidR="009264A1" w:rsidRPr="0021438D" w:rsidRDefault="009264A1" w:rsidP="00756CA0">
      <w:pPr>
        <w:jc w:val="both"/>
        <w:rPr>
          <w:rFonts w:asciiTheme="majorHAnsi" w:hAnsiTheme="majorHAnsi"/>
          <w:b/>
          <w:bCs/>
          <w:sz w:val="20"/>
          <w:szCs w:val="20"/>
          <w:lang w:val="es-VE"/>
        </w:rPr>
      </w:pPr>
    </w:p>
    <w:p w14:paraId="1FE47109" w14:textId="3C9B601A" w:rsidR="003239B8" w:rsidRPr="00D27788" w:rsidRDefault="003239B8" w:rsidP="00756CA0">
      <w:pPr>
        <w:pStyle w:val="ListParagraph"/>
        <w:jc w:val="both"/>
        <w:rPr>
          <w:rFonts w:asciiTheme="majorHAnsi" w:hAnsiTheme="majorHAnsi"/>
          <w:b/>
          <w:bCs/>
          <w:color w:val="auto"/>
          <w:sz w:val="20"/>
          <w:szCs w:val="20"/>
          <w:lang w:val="es-VE"/>
        </w:rPr>
      </w:pPr>
      <w:r w:rsidRPr="00D27788">
        <w:rPr>
          <w:rFonts w:asciiTheme="majorHAnsi" w:hAnsiTheme="majorHAnsi"/>
          <w:b/>
          <w:bCs/>
          <w:color w:val="auto"/>
          <w:sz w:val="20"/>
          <w:szCs w:val="20"/>
          <w:lang w:val="es-VE"/>
        </w:rPr>
        <w:t xml:space="preserve">VIII. </w:t>
      </w:r>
      <w:r w:rsidRPr="00D27788">
        <w:rPr>
          <w:rFonts w:asciiTheme="majorHAnsi" w:hAnsiTheme="majorHAnsi"/>
          <w:b/>
          <w:bCs/>
          <w:color w:val="auto"/>
          <w:sz w:val="20"/>
          <w:szCs w:val="20"/>
          <w:lang w:val="es-VE"/>
        </w:rPr>
        <w:tab/>
        <w:t>DECISIÓN</w:t>
      </w:r>
    </w:p>
    <w:p w14:paraId="7EA20A4D" w14:textId="77777777" w:rsidR="009264A1" w:rsidRPr="009264A1" w:rsidRDefault="009264A1" w:rsidP="0021438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3F339A7E" w14:textId="262435D4" w:rsidR="009264A1" w:rsidRDefault="003239B8" w:rsidP="009264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r w:rsidRPr="00053BF4">
        <w:rPr>
          <w:rFonts w:asciiTheme="majorHAnsi" w:hAnsiTheme="majorHAnsi"/>
          <w:sz w:val="20"/>
          <w:szCs w:val="20"/>
          <w:lang w:val="es-VE"/>
        </w:rPr>
        <w:t xml:space="preserve">Declarar admisible la presente petición en relación con </w:t>
      </w:r>
      <w:r w:rsidR="00D27788">
        <w:rPr>
          <w:rFonts w:asciiTheme="majorHAnsi" w:hAnsiTheme="majorHAnsi"/>
          <w:sz w:val="20"/>
          <w:szCs w:val="20"/>
          <w:lang w:val="es-VE"/>
        </w:rPr>
        <w:t>los artículos 4, 5, 8, 22, 25 y 26 de la Convención Am</w:t>
      </w:r>
      <w:r w:rsidR="0021438D">
        <w:rPr>
          <w:rFonts w:asciiTheme="majorHAnsi" w:hAnsiTheme="majorHAnsi"/>
          <w:sz w:val="20"/>
          <w:szCs w:val="20"/>
          <w:lang w:val="es-VE"/>
        </w:rPr>
        <w:t>e</w:t>
      </w:r>
      <w:r w:rsidR="00D27788">
        <w:rPr>
          <w:rFonts w:asciiTheme="majorHAnsi" w:hAnsiTheme="majorHAnsi"/>
          <w:sz w:val="20"/>
          <w:szCs w:val="20"/>
          <w:lang w:val="es-VE"/>
        </w:rPr>
        <w:t xml:space="preserve">ricana en </w:t>
      </w:r>
      <w:r w:rsidR="00637495">
        <w:rPr>
          <w:rFonts w:asciiTheme="majorHAnsi" w:hAnsiTheme="majorHAnsi"/>
          <w:sz w:val="20"/>
          <w:szCs w:val="20"/>
          <w:lang w:val="es-VE"/>
        </w:rPr>
        <w:t>concordancia</w:t>
      </w:r>
      <w:r w:rsidR="00D27788">
        <w:rPr>
          <w:rFonts w:asciiTheme="majorHAnsi" w:hAnsiTheme="majorHAnsi"/>
          <w:sz w:val="20"/>
          <w:szCs w:val="20"/>
          <w:lang w:val="es-VE"/>
        </w:rPr>
        <w:t xml:space="preserve"> con el artículo 1.1 del mismo instrumento</w:t>
      </w:r>
      <w:r w:rsidR="008252C4">
        <w:rPr>
          <w:rFonts w:asciiTheme="majorHAnsi" w:hAnsiTheme="majorHAnsi"/>
          <w:sz w:val="20"/>
          <w:szCs w:val="20"/>
          <w:lang w:val="es-VE"/>
        </w:rPr>
        <w:t>;</w:t>
      </w:r>
    </w:p>
    <w:p w14:paraId="72636753" w14:textId="77777777" w:rsidR="0021438D" w:rsidRPr="0021438D" w:rsidRDefault="0021438D" w:rsidP="0021438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sz w:val="20"/>
          <w:szCs w:val="20"/>
          <w:lang w:val="es-VE"/>
        </w:rPr>
      </w:pPr>
    </w:p>
    <w:p w14:paraId="37E5F4C9" w14:textId="297229C7" w:rsidR="00722C9F" w:rsidRDefault="004A6A54" w:rsidP="00756C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VE"/>
        </w:rPr>
      </w:pPr>
      <w:r w:rsidRPr="00404BF5">
        <w:rPr>
          <w:rFonts w:asciiTheme="majorHAnsi" w:hAnsiTheme="majorHAnsi"/>
          <w:sz w:val="20"/>
          <w:szCs w:val="20"/>
          <w:lang w:val="es-VE"/>
        </w:rPr>
        <w:t>Notificar a las partes la presente decisión; continuar con el análisis del fondo de la cuestión; y publicar esta decisión e incluirla en su Informe Anual a la Asamblea General de la Organización de los Estados Americanos.</w:t>
      </w:r>
    </w:p>
    <w:p w14:paraId="0E3BEEE1" w14:textId="77777777" w:rsidR="00BE7553" w:rsidRDefault="00BE7553" w:rsidP="00BE755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VE"/>
        </w:rPr>
      </w:pPr>
    </w:p>
    <w:p w14:paraId="5297E5F9" w14:textId="1116C50C" w:rsidR="00BE7553" w:rsidRPr="00A37B82" w:rsidRDefault="00BE7553" w:rsidP="00BE7553">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9</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BE755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5267" w14:textId="77777777" w:rsidR="00152EE0" w:rsidRDefault="00152EE0">
      <w:r>
        <w:separator/>
      </w:r>
    </w:p>
  </w:endnote>
  <w:endnote w:type="continuationSeparator" w:id="0">
    <w:p w14:paraId="36356087" w14:textId="77777777" w:rsidR="00152EE0" w:rsidRDefault="00152EE0">
      <w:r>
        <w:continuationSeparator/>
      </w:r>
    </w:p>
  </w:endnote>
  <w:endnote w:type="continuationNotice" w:id="1">
    <w:p w14:paraId="7829C5CE" w14:textId="77777777" w:rsidR="00152EE0" w:rsidRDefault="0015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1B18F63" w14:textId="075DA7FA" w:rsidR="007F619D" w:rsidRPr="00934A2C" w:rsidRDefault="007F619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1158">
          <w:rPr>
            <w:noProof/>
            <w:sz w:val="16"/>
            <w:szCs w:val="22"/>
          </w:rPr>
          <w:t>6</w:t>
        </w:r>
        <w:r w:rsidRPr="00934A2C">
          <w:rPr>
            <w:noProof/>
            <w:sz w:val="16"/>
            <w:szCs w:val="22"/>
          </w:rPr>
          <w:fldChar w:fldCharType="end"/>
        </w:r>
      </w:p>
    </w:sdtContent>
  </w:sdt>
  <w:p w14:paraId="03D6A761" w14:textId="77777777" w:rsidR="007F619D" w:rsidRDefault="007F6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B1F3" w14:textId="77777777" w:rsidR="007F619D" w:rsidRPr="00934A2C" w:rsidRDefault="007F619D">
    <w:pPr>
      <w:pStyle w:val="Footer"/>
      <w:jc w:val="center"/>
      <w:rPr>
        <w:sz w:val="16"/>
        <w:szCs w:val="22"/>
      </w:rPr>
    </w:pPr>
  </w:p>
  <w:p w14:paraId="398875FE" w14:textId="77777777" w:rsidR="007F619D" w:rsidRDefault="007F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A9AD" w14:textId="77777777" w:rsidR="00152EE0" w:rsidRPr="000F35ED" w:rsidRDefault="00152EE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CEF606" w14:textId="77777777" w:rsidR="00152EE0" w:rsidRPr="000F35ED" w:rsidRDefault="00152EE0" w:rsidP="000F35ED">
      <w:pPr>
        <w:rPr>
          <w:rFonts w:asciiTheme="majorHAnsi" w:hAnsiTheme="majorHAnsi"/>
          <w:sz w:val="16"/>
          <w:szCs w:val="16"/>
        </w:rPr>
      </w:pPr>
      <w:r w:rsidRPr="000F35ED">
        <w:rPr>
          <w:rFonts w:asciiTheme="majorHAnsi" w:hAnsiTheme="majorHAnsi"/>
          <w:sz w:val="16"/>
          <w:szCs w:val="16"/>
        </w:rPr>
        <w:separator/>
      </w:r>
    </w:p>
    <w:p w14:paraId="30C12A88" w14:textId="77777777" w:rsidR="00152EE0" w:rsidRPr="000F35ED" w:rsidRDefault="00152EE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F48E38B" w14:textId="77777777" w:rsidR="00152EE0" w:rsidRPr="000F35ED" w:rsidRDefault="00152EE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53CE5B3" w14:textId="3AAE46C7" w:rsidR="007F619D" w:rsidRPr="00B06CAB" w:rsidRDefault="007F619D"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rPr>
        <w:footnoteRef/>
      </w:r>
      <w:r w:rsidRPr="00B06CAB">
        <w:rPr>
          <w:rFonts w:asciiTheme="majorHAnsi" w:hAnsiTheme="majorHAnsi"/>
          <w:sz w:val="16"/>
          <w:szCs w:val="16"/>
          <w:lang w:val="es-VE"/>
        </w:rPr>
        <w:t xml:space="preserve"> La </w:t>
      </w:r>
      <w:r w:rsidR="00756CA0" w:rsidRPr="00B06CAB">
        <w:rPr>
          <w:rFonts w:asciiTheme="majorHAnsi" w:hAnsiTheme="majorHAnsi"/>
          <w:sz w:val="16"/>
          <w:szCs w:val="16"/>
          <w:lang w:val="es-VE"/>
        </w:rPr>
        <w:t xml:space="preserve">parte peticionaria </w:t>
      </w:r>
      <w:r w:rsidRPr="00B06CAB">
        <w:rPr>
          <w:rFonts w:asciiTheme="majorHAnsi" w:hAnsiTheme="majorHAnsi"/>
          <w:sz w:val="16"/>
          <w:szCs w:val="16"/>
          <w:lang w:val="es-VE"/>
        </w:rPr>
        <w:t xml:space="preserve">identifica a </w:t>
      </w:r>
      <w:r w:rsidR="00DE2E64" w:rsidRPr="00B06CAB">
        <w:rPr>
          <w:rFonts w:asciiTheme="majorHAnsi" w:hAnsiTheme="majorHAnsi"/>
          <w:sz w:val="16"/>
          <w:szCs w:val="16"/>
          <w:lang w:val="es-VE"/>
        </w:rPr>
        <w:t xml:space="preserve">las siguientes personas como familia de Wilson Castro Vásquez: </w:t>
      </w:r>
      <w:r w:rsidRPr="00B06CAB">
        <w:rPr>
          <w:rFonts w:asciiTheme="majorHAnsi" w:hAnsiTheme="majorHAnsi"/>
          <w:sz w:val="16"/>
          <w:szCs w:val="16"/>
          <w:lang w:val="es-VE"/>
        </w:rPr>
        <w:t>Alfredo Castro Ramírez, padre; Cecilia Vásquez Paredes, madre; Diana Yamile Castro Vásquez, hermana; Juan David Castro Vásquez, sobrino; Rocío Castro Vásquez, sobrina; Alberto Vásquez Media, abuelo; y Juan de la Cruz Castro España, abuelo</w:t>
      </w:r>
      <w:r w:rsidR="00DB758B" w:rsidRPr="00B06CAB">
        <w:rPr>
          <w:rFonts w:asciiTheme="majorHAnsi" w:hAnsiTheme="majorHAnsi"/>
          <w:sz w:val="16"/>
          <w:szCs w:val="16"/>
          <w:lang w:val="es-VE"/>
        </w:rPr>
        <w:t xml:space="preserve">. Todas estas personas </w:t>
      </w:r>
      <w:r w:rsidRPr="00B06CAB">
        <w:rPr>
          <w:rFonts w:asciiTheme="majorHAnsi" w:hAnsiTheme="majorHAnsi"/>
          <w:sz w:val="16"/>
          <w:szCs w:val="16"/>
          <w:lang w:val="es-VE"/>
        </w:rPr>
        <w:t xml:space="preserve">también figuran como </w:t>
      </w:r>
      <w:r w:rsidR="00DB758B" w:rsidRPr="00B06CAB">
        <w:rPr>
          <w:rFonts w:asciiTheme="majorHAnsi" w:hAnsiTheme="majorHAnsi"/>
          <w:sz w:val="16"/>
          <w:szCs w:val="16"/>
          <w:lang w:val="es-VE"/>
        </w:rPr>
        <w:t xml:space="preserve">parte </w:t>
      </w:r>
      <w:r w:rsidRPr="00B06CAB">
        <w:rPr>
          <w:rFonts w:asciiTheme="majorHAnsi" w:hAnsiTheme="majorHAnsi"/>
          <w:sz w:val="16"/>
          <w:szCs w:val="16"/>
          <w:lang w:val="es-VE"/>
        </w:rPr>
        <w:t>peticionari</w:t>
      </w:r>
      <w:r w:rsidR="00DB758B" w:rsidRPr="00B06CAB">
        <w:rPr>
          <w:rFonts w:asciiTheme="majorHAnsi" w:hAnsiTheme="majorHAnsi"/>
          <w:sz w:val="16"/>
          <w:szCs w:val="16"/>
          <w:lang w:val="es-VE"/>
        </w:rPr>
        <w:t>a</w:t>
      </w:r>
      <w:r w:rsidRPr="00B06CAB">
        <w:rPr>
          <w:rFonts w:asciiTheme="majorHAnsi" w:hAnsiTheme="majorHAnsi"/>
          <w:sz w:val="16"/>
          <w:szCs w:val="16"/>
          <w:lang w:val="es-VE"/>
        </w:rPr>
        <w:t xml:space="preserve">. </w:t>
      </w:r>
    </w:p>
  </w:footnote>
  <w:footnote w:id="3">
    <w:p w14:paraId="49092BCF" w14:textId="0D413F0E" w:rsidR="008E686D" w:rsidRPr="008E686D" w:rsidRDefault="008E686D" w:rsidP="004555E9">
      <w:pPr>
        <w:pStyle w:val="FootnoteText"/>
        <w:jc w:val="both"/>
        <w:rPr>
          <w:lang w:val="es-419"/>
        </w:rPr>
      </w:pPr>
      <w:r>
        <w:rPr>
          <w:lang w:val="es-419"/>
        </w:rPr>
        <w:tab/>
      </w:r>
      <w:r>
        <w:rPr>
          <w:rStyle w:val="FootnoteReference"/>
        </w:rPr>
        <w:footnoteRef/>
      </w:r>
      <w:r>
        <w:rPr>
          <w:lang w:val="es-419"/>
        </w:rPr>
        <w:t xml:space="preserve"> </w:t>
      </w:r>
      <w:r w:rsidRPr="006505D9">
        <w:rPr>
          <w:rFonts w:ascii="Cambria" w:hAnsi="Cambria"/>
          <w:sz w:val="16"/>
          <w:szCs w:val="16"/>
          <w:lang w:val="es-ES"/>
        </w:rPr>
        <w:t xml:space="preserve">Conforme a lo dispuesto en el artículo 17.2.a del Reglamento de la Comisión, el Comisionado </w:t>
      </w:r>
      <w:r w:rsidRPr="00B03C1A">
        <w:rPr>
          <w:rFonts w:ascii="Cambria" w:hAnsi="Cambria"/>
          <w:sz w:val="16"/>
          <w:szCs w:val="16"/>
          <w:lang w:val="es-ES"/>
        </w:rPr>
        <w:t>Carlos Bernal Pulido</w:t>
      </w:r>
      <w:r w:rsidRPr="006505D9">
        <w:rPr>
          <w:rFonts w:ascii="Cambria" w:hAnsi="Cambria"/>
          <w:sz w:val="16"/>
          <w:szCs w:val="16"/>
          <w:lang w:val="es-ES"/>
        </w:rPr>
        <w:t xml:space="preserve">, de nacionalidad </w:t>
      </w:r>
      <w:r>
        <w:rPr>
          <w:rFonts w:ascii="Cambria" w:hAnsi="Cambria"/>
          <w:sz w:val="16"/>
          <w:szCs w:val="16"/>
          <w:lang w:val="es-ES"/>
        </w:rPr>
        <w:t>colombiana</w:t>
      </w:r>
      <w:r w:rsidRPr="006505D9">
        <w:rPr>
          <w:rFonts w:ascii="Cambria" w:hAnsi="Cambria"/>
          <w:sz w:val="16"/>
          <w:szCs w:val="16"/>
          <w:lang w:val="es-ES"/>
        </w:rPr>
        <w:t>, no participó en el debate ni en la decisión del presente asunto.</w:t>
      </w:r>
      <w:r w:rsidRPr="008E686D">
        <w:rPr>
          <w:lang w:val="es-419"/>
        </w:rPr>
        <w:t xml:space="preserve"> </w:t>
      </w:r>
    </w:p>
  </w:footnote>
  <w:footnote w:id="4">
    <w:p w14:paraId="7890697F" w14:textId="096674F4" w:rsidR="002C4D6E" w:rsidRPr="00B06CAB" w:rsidRDefault="002C4D6E"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rPr>
        <w:footnoteRef/>
      </w:r>
      <w:r w:rsidRPr="00B06CAB">
        <w:rPr>
          <w:rFonts w:asciiTheme="majorHAnsi" w:hAnsiTheme="majorHAnsi"/>
          <w:sz w:val="16"/>
          <w:szCs w:val="16"/>
          <w:lang w:val="es-VE"/>
        </w:rPr>
        <w:t xml:space="preserve"> En adelante, “Convención Americana”. </w:t>
      </w:r>
    </w:p>
  </w:footnote>
  <w:footnote w:id="5">
    <w:p w14:paraId="717B0CE3" w14:textId="3AA16319" w:rsidR="007F619D" w:rsidRPr="00B06CAB" w:rsidRDefault="007F619D" w:rsidP="004555E9">
      <w:pPr>
        <w:pStyle w:val="FootnoteText"/>
        <w:ind w:firstLine="720"/>
        <w:jc w:val="both"/>
        <w:rPr>
          <w:rFonts w:asciiTheme="majorHAnsi" w:hAnsiTheme="majorHAnsi"/>
          <w:sz w:val="16"/>
          <w:szCs w:val="16"/>
          <w:lang w:val="es-ES"/>
        </w:rPr>
      </w:pPr>
      <w:r w:rsidRPr="00B06CAB">
        <w:rPr>
          <w:rStyle w:val="FootnoteReference"/>
          <w:rFonts w:asciiTheme="majorHAnsi" w:hAnsiTheme="majorHAnsi"/>
          <w:sz w:val="16"/>
          <w:szCs w:val="16"/>
        </w:rPr>
        <w:footnoteRef/>
      </w:r>
      <w:r w:rsidRPr="00B06CAB">
        <w:rPr>
          <w:rFonts w:asciiTheme="majorHAnsi" w:hAnsiTheme="majorHAnsi"/>
          <w:sz w:val="16"/>
          <w:szCs w:val="16"/>
          <w:lang w:val="es-ES"/>
        </w:rPr>
        <w:t xml:space="preserve"> Las observaciones de cada parte fueron debidamente trasladadas a la contraria.</w:t>
      </w:r>
    </w:p>
  </w:footnote>
  <w:footnote w:id="6">
    <w:p w14:paraId="37C8FCF8" w14:textId="5D26CF08" w:rsidR="00F50634" w:rsidRPr="00B06CAB" w:rsidRDefault="00F50634" w:rsidP="004555E9">
      <w:pPr>
        <w:ind w:firstLine="720"/>
        <w:jc w:val="both"/>
        <w:rPr>
          <w:rFonts w:asciiTheme="majorHAnsi" w:eastAsia="Calibri" w:hAnsiTheme="majorHAnsi" w:cs="Calibri"/>
          <w:b/>
          <w:bCs/>
          <w:color w:val="000000"/>
          <w:sz w:val="16"/>
          <w:szCs w:val="16"/>
          <w:u w:color="000000"/>
          <w:lang w:val="es-VE" w:eastAsia="es-ES"/>
        </w:rPr>
      </w:pPr>
      <w:r w:rsidRPr="00B06CAB">
        <w:rPr>
          <w:rStyle w:val="FootnoteReference"/>
          <w:rFonts w:asciiTheme="majorHAnsi" w:hAnsiTheme="majorHAnsi"/>
          <w:sz w:val="16"/>
          <w:szCs w:val="16"/>
        </w:rPr>
        <w:footnoteRef/>
      </w:r>
      <w:r w:rsidRPr="00B06CAB">
        <w:rPr>
          <w:rFonts w:asciiTheme="majorHAnsi" w:hAnsiTheme="majorHAnsi"/>
          <w:sz w:val="16"/>
          <w:szCs w:val="16"/>
          <w:lang w:val="es-US"/>
        </w:rPr>
        <w:t xml:space="preserve"> </w:t>
      </w:r>
      <w:r w:rsidR="00FF1241" w:rsidRPr="00B06CAB">
        <w:rPr>
          <w:rFonts w:asciiTheme="majorHAnsi" w:eastAsia="Calibri" w:hAnsiTheme="majorHAnsi" w:cs="Calibri"/>
          <w:color w:val="000000"/>
          <w:sz w:val="16"/>
          <w:szCs w:val="16"/>
          <w:u w:color="000000"/>
          <w:lang w:val="es-VE" w:eastAsia="es-ES"/>
        </w:rPr>
        <w:t xml:space="preserve">Al analizar </w:t>
      </w:r>
      <w:r w:rsidR="006008DE" w:rsidRPr="00B06CAB">
        <w:rPr>
          <w:rFonts w:asciiTheme="majorHAnsi" w:eastAsia="Calibri" w:hAnsiTheme="majorHAnsi" w:cs="Calibri"/>
          <w:color w:val="000000"/>
          <w:sz w:val="16"/>
          <w:szCs w:val="16"/>
          <w:u w:color="000000"/>
          <w:lang w:val="es-VE" w:eastAsia="es-ES"/>
        </w:rPr>
        <w:t xml:space="preserve">los antecedentes </w:t>
      </w:r>
      <w:r w:rsidR="00FF1241" w:rsidRPr="00B06CAB">
        <w:rPr>
          <w:rFonts w:asciiTheme="majorHAnsi" w:eastAsia="Calibri" w:hAnsiTheme="majorHAnsi" w:cs="Calibri"/>
          <w:color w:val="000000"/>
          <w:sz w:val="16"/>
          <w:szCs w:val="16"/>
          <w:u w:color="000000"/>
          <w:lang w:val="es-VE" w:eastAsia="es-ES"/>
        </w:rPr>
        <w:t>del conflicto armado</w:t>
      </w:r>
      <w:r w:rsidR="00267E3F" w:rsidRPr="00B06CAB">
        <w:rPr>
          <w:rFonts w:asciiTheme="majorHAnsi" w:eastAsia="Calibri" w:hAnsiTheme="majorHAnsi" w:cs="Calibri"/>
          <w:color w:val="000000"/>
          <w:sz w:val="16"/>
          <w:szCs w:val="16"/>
          <w:u w:color="000000"/>
          <w:lang w:val="es-VE" w:eastAsia="es-ES"/>
        </w:rPr>
        <w:t>, la Comisión Interamericana explicó que “h</w:t>
      </w:r>
      <w:r w:rsidRPr="00B06CAB">
        <w:rPr>
          <w:rFonts w:asciiTheme="majorHAnsi" w:eastAsia="Calibri" w:hAnsiTheme="majorHAnsi" w:cs="Calibri"/>
          <w:color w:val="000000"/>
          <w:sz w:val="16"/>
          <w:szCs w:val="16"/>
          <w:u w:color="000000"/>
          <w:lang w:val="es-VE" w:eastAsia="es-ES"/>
        </w:rPr>
        <w:t xml:space="preserve">acia 1997, los grupos paramilitares se consolidaron a nivel nacional en una organización denominada Autodefensas Unidas de Colombia, organizada en bloques rurales y urbanos, que expresó </w:t>
      </w:r>
      <w:r w:rsidR="00FF1241" w:rsidRPr="00B06CAB">
        <w:rPr>
          <w:rFonts w:asciiTheme="majorHAnsi" w:eastAsia="Calibri" w:hAnsiTheme="majorHAnsi" w:cs="Calibri"/>
          <w:color w:val="000000"/>
          <w:sz w:val="16"/>
          <w:szCs w:val="16"/>
          <w:u w:color="000000"/>
          <w:lang w:val="es-VE" w:eastAsia="es-ES"/>
        </w:rPr>
        <w:t>públicamente su</w:t>
      </w:r>
      <w:r w:rsidRPr="00B06CAB">
        <w:rPr>
          <w:rFonts w:asciiTheme="majorHAnsi" w:eastAsia="Calibri" w:hAnsiTheme="majorHAnsi" w:cs="Calibri"/>
          <w:color w:val="000000"/>
          <w:sz w:val="16"/>
          <w:szCs w:val="16"/>
          <w:u w:color="000000"/>
          <w:lang w:val="es-VE" w:eastAsia="es-ES"/>
        </w:rPr>
        <w:t xml:space="preserve"> propósito de actuar en forma coordinada contra la guerrilla</w:t>
      </w:r>
      <w:r w:rsidR="00267E3F" w:rsidRPr="00B06CAB">
        <w:rPr>
          <w:rFonts w:asciiTheme="majorHAnsi" w:eastAsia="Calibri" w:hAnsiTheme="majorHAnsi" w:cs="Calibri"/>
          <w:color w:val="000000"/>
          <w:sz w:val="16"/>
          <w:szCs w:val="16"/>
          <w:u w:color="000000"/>
          <w:lang w:val="es-VE" w:eastAsia="es-ES"/>
        </w:rPr>
        <w:t>”</w:t>
      </w:r>
      <w:r w:rsidRPr="00B06CAB">
        <w:rPr>
          <w:rFonts w:asciiTheme="majorHAnsi" w:eastAsia="Calibri" w:hAnsiTheme="majorHAnsi" w:cs="Calibri"/>
          <w:color w:val="000000"/>
          <w:sz w:val="16"/>
          <w:szCs w:val="16"/>
          <w:u w:color="000000"/>
          <w:lang w:val="es-VE" w:eastAsia="es-ES"/>
        </w:rPr>
        <w:t>. </w:t>
      </w:r>
      <w:hyperlink r:id="rId1" w:history="1">
        <w:r w:rsidR="00FF1241" w:rsidRPr="00B06CAB">
          <w:rPr>
            <w:rStyle w:val="Hyperlink"/>
            <w:rFonts w:asciiTheme="majorHAnsi" w:eastAsia="Calibri" w:hAnsiTheme="majorHAnsi" w:cs="Calibri"/>
            <w:color w:val="0000FF"/>
            <w:sz w:val="16"/>
            <w:szCs w:val="16"/>
            <w:lang w:val="es-VE" w:eastAsia="es-ES"/>
          </w:rPr>
          <w:t xml:space="preserve">CIDH, </w:t>
        </w:r>
        <w:r w:rsidR="006008DE" w:rsidRPr="00B06CAB">
          <w:rPr>
            <w:rStyle w:val="Hyperlink"/>
            <w:rFonts w:asciiTheme="majorHAnsi" w:eastAsia="Calibri" w:hAnsiTheme="majorHAnsi" w:cs="Calibri"/>
            <w:color w:val="0000FF"/>
            <w:sz w:val="16"/>
            <w:szCs w:val="16"/>
            <w:lang w:val="es-VE" w:eastAsia="es-ES"/>
          </w:rPr>
          <w:t>Verdad, justicia y reparación: Cuarto informe sobre la situación de derechos humanos en Colombia</w:t>
        </w:r>
      </w:hyperlink>
      <w:r w:rsidR="006008DE" w:rsidRPr="00B06CAB">
        <w:rPr>
          <w:rFonts w:asciiTheme="majorHAnsi" w:eastAsia="Calibri" w:hAnsiTheme="majorHAnsi" w:cs="Calibri"/>
          <w:color w:val="000000"/>
          <w:sz w:val="16"/>
          <w:szCs w:val="16"/>
          <w:u w:color="000000"/>
          <w:lang w:val="es-VE" w:eastAsia="es-ES"/>
        </w:rPr>
        <w:t>, OEA/</w:t>
      </w:r>
      <w:proofErr w:type="spellStart"/>
      <w:r w:rsidR="006008DE" w:rsidRPr="00B06CAB">
        <w:rPr>
          <w:rFonts w:asciiTheme="majorHAnsi" w:eastAsia="Calibri" w:hAnsiTheme="majorHAnsi" w:cs="Calibri"/>
          <w:color w:val="000000"/>
          <w:sz w:val="16"/>
          <w:szCs w:val="16"/>
          <w:u w:color="000000"/>
          <w:lang w:val="es-VE" w:eastAsia="es-ES"/>
        </w:rPr>
        <w:t>Ser.L</w:t>
      </w:r>
      <w:proofErr w:type="spellEnd"/>
      <w:r w:rsidR="006008DE" w:rsidRPr="00B06CAB">
        <w:rPr>
          <w:rFonts w:asciiTheme="majorHAnsi" w:eastAsia="Calibri" w:hAnsiTheme="majorHAnsi" w:cs="Calibri"/>
          <w:color w:val="000000"/>
          <w:sz w:val="16"/>
          <w:szCs w:val="16"/>
          <w:u w:color="000000"/>
          <w:lang w:val="es-VE" w:eastAsia="es-ES"/>
        </w:rPr>
        <w:t>/V/II. Doc. 49/13, 31 de diciembre de 2013, párr. 42.</w:t>
      </w:r>
    </w:p>
  </w:footnote>
  <w:footnote w:id="7">
    <w:p w14:paraId="17463E4B" w14:textId="646CC885" w:rsidR="00972A25" w:rsidRPr="00B06CAB" w:rsidRDefault="00972A25"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rPr>
        <w:footnoteRef/>
      </w:r>
      <w:r w:rsidRPr="00B06CAB">
        <w:rPr>
          <w:rFonts w:asciiTheme="majorHAnsi" w:hAnsiTheme="majorHAnsi"/>
          <w:sz w:val="16"/>
          <w:szCs w:val="16"/>
          <w:lang w:val="es-VE"/>
        </w:rPr>
        <w:t xml:space="preserve"> </w:t>
      </w:r>
      <w:r w:rsidR="002B2DCF" w:rsidRPr="00B06CAB">
        <w:rPr>
          <w:rFonts w:asciiTheme="majorHAnsi" w:hAnsiTheme="majorHAnsi"/>
          <w:sz w:val="16"/>
          <w:szCs w:val="16"/>
          <w:lang w:val="es-VE"/>
        </w:rPr>
        <w:t xml:space="preserve">En la petición se indica que </w:t>
      </w:r>
      <w:r w:rsidRPr="00B06CAB">
        <w:rPr>
          <w:rFonts w:asciiTheme="majorHAnsi" w:hAnsiTheme="majorHAnsi"/>
          <w:sz w:val="16"/>
          <w:szCs w:val="16"/>
          <w:lang w:val="es-VE"/>
        </w:rPr>
        <w:t xml:space="preserve">a finales de agosto de 2004 un grupo de hombres llegó a la finca de propiedad de la familia en la Cumbre Valle en horas de la tarde, cuando se encontraba sola la hermana de la presunta víctima, a la que sometieron a actos de violencia física y violación sexual. Como consecuencia de tales actos quedó embarazada y tuvo a su hijo, que nació con 27 semanas de gestación y una discapacidad de 62%. </w:t>
      </w:r>
    </w:p>
  </w:footnote>
  <w:footnote w:id="8">
    <w:p w14:paraId="40B69245" w14:textId="34427854" w:rsidR="002B2DCF" w:rsidRPr="00B06CAB" w:rsidRDefault="002B2DCF" w:rsidP="004555E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libri" w:hAnsiTheme="majorHAnsi" w:cs="Calibri"/>
          <w:sz w:val="16"/>
          <w:szCs w:val="16"/>
          <w:lang w:val="es-VE"/>
        </w:rPr>
      </w:pPr>
      <w:r w:rsidRPr="00B06CAB">
        <w:rPr>
          <w:rStyle w:val="FootnoteReference"/>
          <w:rFonts w:asciiTheme="majorHAnsi" w:eastAsia="Calibri" w:hAnsiTheme="majorHAnsi" w:cs="Calibri"/>
          <w:color w:val="000000"/>
          <w:sz w:val="16"/>
          <w:szCs w:val="16"/>
          <w:u w:color="000000"/>
          <w:lang w:eastAsia="es-ES"/>
        </w:rPr>
        <w:footnoteRef/>
      </w:r>
      <w:r w:rsidRPr="00B06CAB">
        <w:rPr>
          <w:rFonts w:asciiTheme="majorHAnsi" w:hAnsiTheme="majorHAnsi"/>
          <w:sz w:val="16"/>
          <w:szCs w:val="16"/>
          <w:lang w:val="es-US"/>
        </w:rPr>
        <w:t xml:space="preserve"> </w:t>
      </w:r>
      <w:r w:rsidRPr="00B06CAB">
        <w:rPr>
          <w:rFonts w:asciiTheme="majorHAnsi" w:eastAsia="Calibri" w:hAnsiTheme="majorHAnsi" w:cs="Calibri"/>
          <w:sz w:val="16"/>
          <w:szCs w:val="16"/>
          <w:lang w:val="es-VE"/>
        </w:rPr>
        <w:t xml:space="preserve">La parte peticionaria sostiene que la familia vive en Ecuador en condiciones precarias, y que han tenido que enfrentarse a problemas de seguridad y de integración local. Resalta los sentimientos de xenofobia de la población ecuatoriana y de los medios de comunicación por falta de información o conocimiento. En particular, destaca que han tenido que mudarse varias veces debido al temor que otros refugiados estuvieran realizando labores de inteligencia y sicariato de personas colombianas bajo las órdenes de paramilitares o guerrilleros. Adicionalmente, detalla que el padre se ha dedicado a visibilizar la situación de sus compatriotas refugiados en Ecuador, y que es representante de los grupos de víctimas colombianas en el exterior, por lo que ha recibido amenazas y ha sido declarado objetivo militar de las Fuerzas Armadas Revolucionarias de Colombia (FARC), por considerarlo una amenaza a su lucha revolucionaria. Alega que denunció dicha situación ante el Fiscal Distrital de Pichincha, Ecuador, por lo que fue iniciada el 17 de enero de 2008 una investigación por el delito de intimidación. </w:t>
      </w:r>
    </w:p>
    <w:p w14:paraId="3274F014" w14:textId="3716373C" w:rsidR="002B2DCF" w:rsidRPr="00B06CAB" w:rsidRDefault="002B2DCF" w:rsidP="004555E9">
      <w:pPr>
        <w:pStyle w:val="FootnoteText"/>
        <w:ind w:firstLine="720"/>
        <w:jc w:val="both"/>
        <w:rPr>
          <w:rFonts w:asciiTheme="majorHAnsi" w:hAnsiTheme="majorHAnsi"/>
          <w:sz w:val="16"/>
          <w:szCs w:val="16"/>
          <w:lang w:val="es-VE"/>
        </w:rPr>
      </w:pPr>
    </w:p>
  </w:footnote>
  <w:footnote w:id="9">
    <w:p w14:paraId="200FFEF2" w14:textId="32AF24CB" w:rsidR="00B06CAB" w:rsidRPr="00B06CAB" w:rsidRDefault="00B06CAB" w:rsidP="004555E9">
      <w:pPr>
        <w:pStyle w:val="FootnoteText"/>
        <w:ind w:firstLine="720"/>
        <w:jc w:val="both"/>
        <w:rPr>
          <w:rFonts w:asciiTheme="majorHAnsi" w:hAnsiTheme="majorHAnsi"/>
          <w:sz w:val="16"/>
          <w:szCs w:val="16"/>
          <w:lang w:val="es-US"/>
        </w:rPr>
      </w:pPr>
      <w:r w:rsidRPr="00B06CAB">
        <w:rPr>
          <w:rStyle w:val="FootnoteReference"/>
          <w:rFonts w:asciiTheme="majorHAnsi" w:hAnsiTheme="majorHAnsi"/>
          <w:sz w:val="16"/>
          <w:szCs w:val="16"/>
        </w:rPr>
        <w:footnoteRef/>
      </w:r>
      <w:r w:rsidRPr="00B06CAB">
        <w:rPr>
          <w:rFonts w:asciiTheme="majorHAnsi" w:hAnsiTheme="majorHAnsi"/>
          <w:sz w:val="16"/>
          <w:szCs w:val="16"/>
          <w:lang w:val="es-US"/>
        </w:rPr>
        <w:t xml:space="preserve"> Con excepción de </w:t>
      </w:r>
      <w:r w:rsidRPr="00B06CAB">
        <w:rPr>
          <w:rFonts w:asciiTheme="majorHAnsi" w:hAnsiTheme="majorHAnsi"/>
          <w:bCs/>
          <w:sz w:val="16"/>
          <w:szCs w:val="16"/>
          <w:lang w:val="es-VE"/>
        </w:rPr>
        <w:t>Rocío Vásquez Castro, Alberto Vásquez Mejía y Juan de la Cruz Castro España, que no habrían presentado la respectiva declaración.</w:t>
      </w:r>
    </w:p>
  </w:footnote>
  <w:footnote w:id="10">
    <w:p w14:paraId="1A909551" w14:textId="77777777" w:rsidR="006A6DF0" w:rsidRPr="00B06CAB" w:rsidRDefault="006A6DF0"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lang w:val="es-VE"/>
        </w:rPr>
        <w:footnoteRef/>
      </w:r>
      <w:r w:rsidRPr="00B06CAB">
        <w:rPr>
          <w:rFonts w:asciiTheme="majorHAnsi" w:hAnsiTheme="majorHAnsi"/>
          <w:sz w:val="16"/>
          <w:szCs w:val="16"/>
          <w:lang w:val="es-VE"/>
        </w:rPr>
        <w:t xml:space="preserve"> CIDH, Informe No. 42/18. Petición 663-07. Admisibilidad. Familias desplazadas de la Hacienda </w:t>
      </w:r>
      <w:proofErr w:type="spellStart"/>
      <w:r w:rsidRPr="00B06CAB">
        <w:rPr>
          <w:rFonts w:asciiTheme="majorHAnsi" w:hAnsiTheme="majorHAnsi"/>
          <w:sz w:val="16"/>
          <w:szCs w:val="16"/>
          <w:lang w:val="es-VE"/>
        </w:rPr>
        <w:t>Bellacruz</w:t>
      </w:r>
      <w:proofErr w:type="spellEnd"/>
      <w:r w:rsidRPr="00B06CAB">
        <w:rPr>
          <w:rFonts w:asciiTheme="majorHAnsi" w:hAnsiTheme="majorHAnsi"/>
          <w:sz w:val="16"/>
          <w:szCs w:val="16"/>
          <w:lang w:val="es-VE"/>
        </w:rPr>
        <w:t>. Colombia. 4 de mayo de 2018, párr. 18.</w:t>
      </w:r>
    </w:p>
  </w:footnote>
  <w:footnote w:id="11">
    <w:p w14:paraId="118A7C75" w14:textId="77777777" w:rsidR="006A6DF0" w:rsidRPr="00B06CAB" w:rsidRDefault="006A6DF0" w:rsidP="004555E9">
      <w:pPr>
        <w:pStyle w:val="FootnoteText"/>
        <w:ind w:firstLine="720"/>
        <w:jc w:val="both"/>
        <w:rPr>
          <w:rFonts w:asciiTheme="majorHAnsi" w:hAnsiTheme="majorHAnsi"/>
          <w:sz w:val="16"/>
          <w:szCs w:val="16"/>
          <w:lang w:val="es-ES"/>
        </w:rPr>
      </w:pPr>
      <w:r w:rsidRPr="00B06CAB">
        <w:rPr>
          <w:rStyle w:val="FootnoteReference"/>
          <w:rFonts w:asciiTheme="majorHAnsi" w:hAnsiTheme="majorHAnsi"/>
          <w:sz w:val="16"/>
          <w:szCs w:val="16"/>
        </w:rPr>
        <w:footnoteRef/>
      </w:r>
      <w:r w:rsidRPr="00B06CAB">
        <w:rPr>
          <w:rFonts w:asciiTheme="majorHAnsi" w:hAnsiTheme="majorHAnsi"/>
          <w:sz w:val="16"/>
          <w:szCs w:val="16"/>
          <w:lang w:val="es-ES"/>
        </w:rPr>
        <w:t xml:space="preserve"> CIDH, Informe No. 159/17, Petición 712-08. Admisibilidad. Sebastián </w:t>
      </w:r>
      <w:proofErr w:type="spellStart"/>
      <w:r w:rsidRPr="00B06CAB">
        <w:rPr>
          <w:rFonts w:asciiTheme="majorHAnsi" w:hAnsiTheme="majorHAnsi"/>
          <w:sz w:val="16"/>
          <w:szCs w:val="16"/>
          <w:lang w:val="es-ES"/>
        </w:rPr>
        <w:t>Larroza</w:t>
      </w:r>
      <w:proofErr w:type="spellEnd"/>
      <w:r w:rsidRPr="00B06CAB">
        <w:rPr>
          <w:rFonts w:asciiTheme="majorHAnsi" w:hAnsiTheme="majorHAnsi"/>
          <w:sz w:val="16"/>
          <w:szCs w:val="16"/>
          <w:lang w:val="es-ES"/>
        </w:rPr>
        <w:t xml:space="preserve"> Velázquez y familia. Paraguay. 30 de noviembre de 2017, párr. 14.</w:t>
      </w:r>
    </w:p>
  </w:footnote>
  <w:footnote w:id="12">
    <w:p w14:paraId="08D53D91" w14:textId="77777777" w:rsidR="006A6DF0" w:rsidRPr="00B06CAB" w:rsidRDefault="006A6DF0"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rPr>
        <w:footnoteRef/>
      </w:r>
      <w:r w:rsidRPr="00B06CAB">
        <w:rPr>
          <w:rFonts w:asciiTheme="majorHAnsi" w:hAnsiTheme="majorHAnsi"/>
          <w:sz w:val="16"/>
          <w:szCs w:val="16"/>
          <w:lang w:val="es-VE"/>
        </w:rPr>
        <w:t xml:space="preserve"> </w:t>
      </w:r>
      <w:r w:rsidRPr="00B06CAB">
        <w:rPr>
          <w:rFonts w:asciiTheme="majorHAnsi" w:hAnsiTheme="majorHAnsi"/>
          <w:sz w:val="16"/>
          <w:szCs w:val="16"/>
          <w:lang w:val="es-ES"/>
        </w:rPr>
        <w:t xml:space="preserve">CIDH, Informe No. 87/08, Petición 558-05. Admisibilidad. Jeremy Smith. Jamaica. 30 de octubre de 2008, párr. 36. </w:t>
      </w:r>
    </w:p>
  </w:footnote>
  <w:footnote w:id="13">
    <w:p w14:paraId="0FBD6A6D" w14:textId="129FBE8D" w:rsidR="00D27788" w:rsidRPr="00B06CAB" w:rsidRDefault="00D27788" w:rsidP="004555E9">
      <w:pPr>
        <w:pStyle w:val="FootnoteText"/>
        <w:pBdr>
          <w:top w:val="none" w:sz="0" w:space="0" w:color="auto"/>
          <w:left w:val="none" w:sz="0" w:space="0" w:color="auto"/>
          <w:bottom w:val="none" w:sz="0" w:space="0" w:color="auto"/>
          <w:right w:val="none" w:sz="0" w:space="0" w:color="auto"/>
        </w:pBdr>
        <w:ind w:firstLine="720"/>
        <w:jc w:val="both"/>
        <w:rPr>
          <w:rFonts w:asciiTheme="majorHAnsi" w:hAnsiTheme="majorHAnsi"/>
          <w:sz w:val="16"/>
          <w:szCs w:val="16"/>
          <w:lang w:val="es-VE"/>
        </w:rPr>
      </w:pPr>
      <w:r w:rsidRPr="00B06CAB">
        <w:rPr>
          <w:rFonts w:asciiTheme="majorHAnsi" w:hAnsiTheme="majorHAnsi"/>
          <w:sz w:val="16"/>
          <w:szCs w:val="16"/>
          <w:vertAlign w:val="superscript"/>
        </w:rPr>
        <w:footnoteRef/>
      </w:r>
      <w:r w:rsidRPr="00B06CAB">
        <w:rPr>
          <w:rFonts w:asciiTheme="majorHAnsi" w:hAnsiTheme="majorHAnsi"/>
          <w:sz w:val="16"/>
          <w:szCs w:val="16"/>
          <w:lang w:val="es-ES"/>
        </w:rPr>
        <w:t xml:space="preserve"> CIDH, Informe No. 105/17, Petición 798-07. Admisibilidad. David Valderrama Opazo y otros. Chile. 7 de septiembre de 2017, párr. 11.</w:t>
      </w:r>
    </w:p>
  </w:footnote>
  <w:footnote w:id="14">
    <w:p w14:paraId="3B201BF6" w14:textId="3EE2C93D" w:rsidR="007F619D" w:rsidRPr="00B06CAB" w:rsidRDefault="007F619D" w:rsidP="004555E9">
      <w:pPr>
        <w:pStyle w:val="FootnoteText"/>
        <w:ind w:firstLine="720"/>
        <w:jc w:val="both"/>
        <w:rPr>
          <w:rFonts w:asciiTheme="majorHAnsi" w:hAnsiTheme="majorHAnsi"/>
          <w:sz w:val="16"/>
          <w:szCs w:val="16"/>
          <w:lang w:val="es-ES"/>
        </w:rPr>
      </w:pPr>
      <w:r w:rsidRPr="00B06CAB">
        <w:rPr>
          <w:rStyle w:val="FootnoteReference"/>
          <w:rFonts w:asciiTheme="majorHAnsi" w:hAnsiTheme="majorHAnsi"/>
          <w:sz w:val="16"/>
          <w:szCs w:val="16"/>
        </w:rPr>
        <w:footnoteRef/>
      </w:r>
      <w:r w:rsidRPr="00B06CAB">
        <w:rPr>
          <w:rFonts w:asciiTheme="majorHAnsi" w:hAnsiTheme="majorHAnsi"/>
          <w:sz w:val="16"/>
          <w:szCs w:val="16"/>
          <w:lang w:val="es-ES"/>
        </w:rPr>
        <w:t xml:space="preserve"> CIDH, Informe No. 7/19. Petición 18-07. Admisibilidad. Masacre de Bocas de Aracataca. Colombia. 3 de febrero de 2019, párr. 19.</w:t>
      </w:r>
    </w:p>
  </w:footnote>
  <w:footnote w:id="15">
    <w:p w14:paraId="37D4E942" w14:textId="1408D688" w:rsidR="00D27788" w:rsidRPr="00B06CAB" w:rsidRDefault="00D27788" w:rsidP="004555E9">
      <w:pPr>
        <w:pStyle w:val="FootnoteText"/>
        <w:ind w:firstLine="720"/>
        <w:jc w:val="both"/>
        <w:rPr>
          <w:rFonts w:asciiTheme="majorHAnsi" w:hAnsiTheme="majorHAnsi"/>
          <w:sz w:val="16"/>
          <w:szCs w:val="16"/>
          <w:lang w:val="es-VE"/>
        </w:rPr>
      </w:pPr>
      <w:r w:rsidRPr="00B06CAB">
        <w:rPr>
          <w:rStyle w:val="FootnoteReference"/>
          <w:rFonts w:asciiTheme="majorHAnsi" w:hAnsiTheme="majorHAnsi"/>
          <w:sz w:val="16"/>
          <w:szCs w:val="16"/>
        </w:rPr>
        <w:footnoteRef/>
      </w:r>
      <w:r w:rsidRPr="00B06CAB">
        <w:rPr>
          <w:rFonts w:asciiTheme="majorHAnsi" w:hAnsiTheme="majorHAnsi"/>
          <w:sz w:val="16"/>
          <w:szCs w:val="16"/>
          <w:lang w:val="es-VE"/>
        </w:rPr>
        <w:t xml:space="preserve"> CIDH, Informe No. 71/17, Petición 271-07. Admisibilidad. Jorge Luis de la Rosa Mejía y otros. Colombia. </w:t>
      </w:r>
      <w:r w:rsidRPr="00B06CAB">
        <w:rPr>
          <w:rFonts w:asciiTheme="majorHAnsi" w:hAnsiTheme="majorHAnsi"/>
          <w:sz w:val="16"/>
          <w:szCs w:val="16"/>
        </w:rPr>
        <w:t xml:space="preserve">29 de </w:t>
      </w:r>
      <w:proofErr w:type="spellStart"/>
      <w:r w:rsidRPr="00B06CAB">
        <w:rPr>
          <w:rFonts w:asciiTheme="majorHAnsi" w:hAnsiTheme="majorHAnsi"/>
          <w:sz w:val="16"/>
          <w:szCs w:val="16"/>
        </w:rPr>
        <w:t>junio</w:t>
      </w:r>
      <w:proofErr w:type="spellEnd"/>
      <w:r w:rsidRPr="00B06CAB">
        <w:rPr>
          <w:rFonts w:asciiTheme="majorHAnsi" w:hAnsiTheme="majorHAnsi"/>
          <w:sz w:val="16"/>
          <w:szCs w:val="16"/>
        </w:rPr>
        <w:t xml:space="preserve"> de 2017, </w:t>
      </w:r>
      <w:proofErr w:type="spellStart"/>
      <w:r w:rsidRPr="00B06CAB">
        <w:rPr>
          <w:rFonts w:asciiTheme="majorHAnsi" w:hAnsiTheme="majorHAnsi"/>
          <w:sz w:val="16"/>
          <w:szCs w:val="16"/>
        </w:rPr>
        <w:t>párr</w:t>
      </w:r>
      <w:proofErr w:type="spellEnd"/>
      <w:r w:rsidRPr="00B06CAB">
        <w:rPr>
          <w:rFonts w:asciiTheme="majorHAnsi" w:hAnsiTheme="majorHAnsi"/>
          <w:sz w:val="16"/>
          <w:szCs w:val="16"/>
        </w:rPr>
        <w:t>.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40E7" w14:textId="77777777" w:rsidR="007F619D" w:rsidRDefault="007F619D" w:rsidP="00FC41C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14D9F1B" w14:textId="77777777" w:rsidR="007F619D" w:rsidRDefault="007F6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F82B" w14:textId="77777777" w:rsidR="007F619D" w:rsidRDefault="007F619D" w:rsidP="00A50FCF">
    <w:pPr>
      <w:pStyle w:val="Header"/>
      <w:tabs>
        <w:tab w:val="clear" w:pos="4320"/>
        <w:tab w:val="clear" w:pos="8640"/>
      </w:tabs>
      <w:jc w:val="center"/>
      <w:rPr>
        <w:sz w:val="22"/>
        <w:szCs w:val="22"/>
      </w:rPr>
    </w:pPr>
    <w:r>
      <w:rPr>
        <w:noProof/>
        <w:sz w:val="22"/>
        <w:szCs w:val="22"/>
      </w:rPr>
      <w:drawing>
        <wp:inline distT="0" distB="0" distL="0" distR="0" wp14:anchorId="010817CA" wp14:editId="2E854E9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4144FAE" w14:textId="77777777" w:rsidR="007F619D" w:rsidRPr="00EC7D62" w:rsidRDefault="00152EE0" w:rsidP="00A50FCF">
    <w:pPr>
      <w:pStyle w:val="Header"/>
      <w:tabs>
        <w:tab w:val="clear" w:pos="4320"/>
        <w:tab w:val="clear" w:pos="8640"/>
      </w:tabs>
      <w:jc w:val="center"/>
      <w:rPr>
        <w:sz w:val="22"/>
        <w:szCs w:val="22"/>
      </w:rPr>
    </w:pPr>
    <w:r>
      <w:rPr>
        <w:sz w:val="22"/>
        <w:szCs w:val="22"/>
      </w:rPr>
      <w:pict w14:anchorId="4B25B9A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55F2F"/>
    <w:multiLevelType w:val="hybridMultilevel"/>
    <w:tmpl w:val="C99AA8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3A0E1D"/>
    <w:multiLevelType w:val="hybridMultilevel"/>
    <w:tmpl w:val="7D14DAFA"/>
    <w:lvl w:ilvl="0" w:tplc="C39015DE">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7D04EA"/>
    <w:multiLevelType w:val="hybridMultilevel"/>
    <w:tmpl w:val="60A6490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77D283F"/>
    <w:multiLevelType w:val="hybridMultilevel"/>
    <w:tmpl w:val="087A932A"/>
    <w:lvl w:ilvl="0" w:tplc="580A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6F48A8"/>
    <w:multiLevelType w:val="hybridMultilevel"/>
    <w:tmpl w:val="D5B416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29793712">
    <w:abstractNumId w:val="3"/>
  </w:num>
  <w:num w:numId="2" w16cid:durableId="840657892">
    <w:abstractNumId w:val="5"/>
  </w:num>
  <w:num w:numId="3" w16cid:durableId="25953733">
    <w:abstractNumId w:val="55"/>
  </w:num>
  <w:num w:numId="4" w16cid:durableId="698897648">
    <w:abstractNumId w:val="21"/>
  </w:num>
  <w:num w:numId="5" w16cid:durableId="1676877843">
    <w:abstractNumId w:val="49"/>
  </w:num>
  <w:num w:numId="6" w16cid:durableId="275601788">
    <w:abstractNumId w:val="26"/>
  </w:num>
  <w:num w:numId="7" w16cid:durableId="1949507391">
    <w:abstractNumId w:val="6"/>
  </w:num>
  <w:num w:numId="8" w16cid:durableId="922102924">
    <w:abstractNumId w:val="17"/>
  </w:num>
  <w:num w:numId="9" w16cid:durableId="1860199366">
    <w:abstractNumId w:val="42"/>
  </w:num>
  <w:num w:numId="10" w16cid:durableId="444278383">
    <w:abstractNumId w:val="0"/>
  </w:num>
  <w:num w:numId="11" w16cid:durableId="1444420179">
    <w:abstractNumId w:val="37"/>
  </w:num>
  <w:num w:numId="12" w16cid:durableId="456918483">
    <w:abstractNumId w:val="38"/>
  </w:num>
  <w:num w:numId="13" w16cid:durableId="1327788138">
    <w:abstractNumId w:val="45"/>
  </w:num>
  <w:num w:numId="14" w16cid:durableId="1226179862">
    <w:abstractNumId w:val="1"/>
  </w:num>
  <w:num w:numId="15" w16cid:durableId="1926767937">
    <w:abstractNumId w:val="2"/>
  </w:num>
  <w:num w:numId="16" w16cid:durableId="2122796130">
    <w:abstractNumId w:val="7"/>
  </w:num>
  <w:num w:numId="17" w16cid:durableId="351491440">
    <w:abstractNumId w:val="8"/>
  </w:num>
  <w:num w:numId="18" w16cid:durableId="1978686550">
    <w:abstractNumId w:val="9"/>
  </w:num>
  <w:num w:numId="19" w16cid:durableId="523401562">
    <w:abstractNumId w:val="10"/>
  </w:num>
  <w:num w:numId="20" w16cid:durableId="1227376316">
    <w:abstractNumId w:val="11"/>
  </w:num>
  <w:num w:numId="21" w16cid:durableId="112941766">
    <w:abstractNumId w:val="12"/>
  </w:num>
  <w:num w:numId="22" w16cid:durableId="457069208">
    <w:abstractNumId w:val="13"/>
  </w:num>
  <w:num w:numId="23" w16cid:durableId="758021183">
    <w:abstractNumId w:val="15"/>
  </w:num>
  <w:num w:numId="24" w16cid:durableId="1993486475">
    <w:abstractNumId w:val="16"/>
  </w:num>
  <w:num w:numId="25" w16cid:durableId="2122262923">
    <w:abstractNumId w:val="18"/>
  </w:num>
  <w:num w:numId="26" w16cid:durableId="228808034">
    <w:abstractNumId w:val="19"/>
  </w:num>
  <w:num w:numId="27" w16cid:durableId="1621917053">
    <w:abstractNumId w:val="22"/>
  </w:num>
  <w:num w:numId="28" w16cid:durableId="768768849">
    <w:abstractNumId w:val="23"/>
  </w:num>
  <w:num w:numId="29" w16cid:durableId="291832982">
    <w:abstractNumId w:val="24"/>
  </w:num>
  <w:num w:numId="30" w16cid:durableId="105514687">
    <w:abstractNumId w:val="25"/>
  </w:num>
  <w:num w:numId="31" w16cid:durableId="640840886">
    <w:abstractNumId w:val="28"/>
  </w:num>
  <w:num w:numId="32" w16cid:durableId="1782148491">
    <w:abstractNumId w:val="29"/>
  </w:num>
  <w:num w:numId="33" w16cid:durableId="1618297992">
    <w:abstractNumId w:val="30"/>
  </w:num>
  <w:num w:numId="34" w16cid:durableId="773208654">
    <w:abstractNumId w:val="31"/>
  </w:num>
  <w:num w:numId="35" w16cid:durableId="157890853">
    <w:abstractNumId w:val="32"/>
  </w:num>
  <w:num w:numId="36" w16cid:durableId="1674140605">
    <w:abstractNumId w:val="33"/>
  </w:num>
  <w:num w:numId="37" w16cid:durableId="348339187">
    <w:abstractNumId w:val="35"/>
  </w:num>
  <w:num w:numId="38" w16cid:durableId="1404379409">
    <w:abstractNumId w:val="36"/>
  </w:num>
  <w:num w:numId="39" w16cid:durableId="1009141632">
    <w:abstractNumId w:val="39"/>
  </w:num>
  <w:num w:numId="40" w16cid:durableId="762652006">
    <w:abstractNumId w:val="40"/>
  </w:num>
  <w:num w:numId="41" w16cid:durableId="1548301312">
    <w:abstractNumId w:val="47"/>
  </w:num>
  <w:num w:numId="42" w16cid:durableId="378744480">
    <w:abstractNumId w:val="50"/>
  </w:num>
  <w:num w:numId="43" w16cid:durableId="1369256074">
    <w:abstractNumId w:val="51"/>
  </w:num>
  <w:num w:numId="44" w16cid:durableId="533543563">
    <w:abstractNumId w:val="53"/>
  </w:num>
  <w:num w:numId="45" w16cid:durableId="2067991954">
    <w:abstractNumId w:val="54"/>
  </w:num>
  <w:num w:numId="46" w16cid:durableId="964386524">
    <w:abstractNumId w:val="56"/>
  </w:num>
  <w:num w:numId="47" w16cid:durableId="1824352339">
    <w:abstractNumId w:val="57"/>
  </w:num>
  <w:num w:numId="48" w16cid:durableId="435634621">
    <w:abstractNumId w:val="58"/>
  </w:num>
  <w:num w:numId="49" w16cid:durableId="1301576402">
    <w:abstractNumId w:val="59"/>
  </w:num>
  <w:num w:numId="50" w16cid:durableId="506482108">
    <w:abstractNumId w:val="60"/>
  </w:num>
  <w:num w:numId="51" w16cid:durableId="1074083343">
    <w:abstractNumId w:val="20"/>
  </w:num>
  <w:num w:numId="52" w16cid:durableId="331875808">
    <w:abstractNumId w:val="41"/>
  </w:num>
  <w:num w:numId="53" w16cid:durableId="1784376838">
    <w:abstractNumId w:val="52"/>
  </w:num>
  <w:num w:numId="54" w16cid:durableId="209608193">
    <w:abstractNumId w:val="46"/>
  </w:num>
  <w:num w:numId="55" w16cid:durableId="1467161510">
    <w:abstractNumId w:val="43"/>
  </w:num>
  <w:num w:numId="56" w16cid:durableId="127020142">
    <w:abstractNumId w:val="14"/>
  </w:num>
  <w:num w:numId="57" w16cid:durableId="603849993">
    <w:abstractNumId w:val="27"/>
  </w:num>
  <w:num w:numId="58" w16cid:durableId="386221260">
    <w:abstractNumId w:val="34"/>
  </w:num>
  <w:num w:numId="59" w16cid:durableId="1349715861">
    <w:abstractNumId w:val="44"/>
    <w:lvlOverride w:ilvl="0">
      <w:startOverride w:val="1"/>
    </w:lvlOverride>
    <w:lvlOverride w:ilvl="1"/>
    <w:lvlOverride w:ilvl="2"/>
    <w:lvlOverride w:ilvl="3"/>
    <w:lvlOverride w:ilvl="4"/>
    <w:lvlOverride w:ilvl="5"/>
    <w:lvlOverride w:ilvl="6"/>
    <w:lvlOverride w:ilvl="7"/>
    <w:lvlOverride w:ilvl="8"/>
  </w:num>
  <w:num w:numId="60" w16cid:durableId="1094470291">
    <w:abstractNumId w:val="48"/>
  </w:num>
  <w:num w:numId="61" w16cid:durableId="2102333446">
    <w:abstractNumId w:val="4"/>
  </w:num>
  <w:num w:numId="62" w16cid:durableId="917788461">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F25"/>
    <w:rsid w:val="00006E1F"/>
    <w:rsid w:val="000070D7"/>
    <w:rsid w:val="00007810"/>
    <w:rsid w:val="0001788C"/>
    <w:rsid w:val="000330F0"/>
    <w:rsid w:val="000337EF"/>
    <w:rsid w:val="00040257"/>
    <w:rsid w:val="00040C3A"/>
    <w:rsid w:val="000419AD"/>
    <w:rsid w:val="0004205E"/>
    <w:rsid w:val="000433C9"/>
    <w:rsid w:val="00046879"/>
    <w:rsid w:val="00053BF4"/>
    <w:rsid w:val="00067636"/>
    <w:rsid w:val="00071174"/>
    <w:rsid w:val="000716C5"/>
    <w:rsid w:val="00072AEE"/>
    <w:rsid w:val="00075E23"/>
    <w:rsid w:val="0009344A"/>
    <w:rsid w:val="000A392E"/>
    <w:rsid w:val="000A575F"/>
    <w:rsid w:val="000B7AD4"/>
    <w:rsid w:val="000D05CB"/>
    <w:rsid w:val="000D10DB"/>
    <w:rsid w:val="000E5EB5"/>
    <w:rsid w:val="000F35ED"/>
    <w:rsid w:val="000F3EF9"/>
    <w:rsid w:val="00107131"/>
    <w:rsid w:val="0010736F"/>
    <w:rsid w:val="001133AF"/>
    <w:rsid w:val="00113F73"/>
    <w:rsid w:val="001205B8"/>
    <w:rsid w:val="00121CC2"/>
    <w:rsid w:val="00122C9C"/>
    <w:rsid w:val="00125C3E"/>
    <w:rsid w:val="001273C0"/>
    <w:rsid w:val="00131425"/>
    <w:rsid w:val="00133EE5"/>
    <w:rsid w:val="00137341"/>
    <w:rsid w:val="00152EE0"/>
    <w:rsid w:val="0015616E"/>
    <w:rsid w:val="00167A34"/>
    <w:rsid w:val="001871BA"/>
    <w:rsid w:val="00187428"/>
    <w:rsid w:val="00190D7C"/>
    <w:rsid w:val="0019498F"/>
    <w:rsid w:val="001A12A0"/>
    <w:rsid w:val="001A520D"/>
    <w:rsid w:val="001A6C34"/>
    <w:rsid w:val="001A7827"/>
    <w:rsid w:val="001A7870"/>
    <w:rsid w:val="001B3A00"/>
    <w:rsid w:val="001B5DDF"/>
    <w:rsid w:val="001C1B41"/>
    <w:rsid w:val="001D65EF"/>
    <w:rsid w:val="001E49E7"/>
    <w:rsid w:val="001E675E"/>
    <w:rsid w:val="001F7201"/>
    <w:rsid w:val="00207488"/>
    <w:rsid w:val="0021438D"/>
    <w:rsid w:val="00223A29"/>
    <w:rsid w:val="00223D01"/>
    <w:rsid w:val="002250A3"/>
    <w:rsid w:val="00226EF0"/>
    <w:rsid w:val="00235217"/>
    <w:rsid w:val="00240937"/>
    <w:rsid w:val="00246D1F"/>
    <w:rsid w:val="00247403"/>
    <w:rsid w:val="00247542"/>
    <w:rsid w:val="0025048A"/>
    <w:rsid w:val="00255D9A"/>
    <w:rsid w:val="00266B61"/>
    <w:rsid w:val="0026712A"/>
    <w:rsid w:val="00267E3F"/>
    <w:rsid w:val="002704DB"/>
    <w:rsid w:val="0029421E"/>
    <w:rsid w:val="002A0AAE"/>
    <w:rsid w:val="002A3A9C"/>
    <w:rsid w:val="002A5820"/>
    <w:rsid w:val="002B2DCF"/>
    <w:rsid w:val="002C4D6E"/>
    <w:rsid w:val="002C5569"/>
    <w:rsid w:val="002D2B26"/>
    <w:rsid w:val="002D7EA2"/>
    <w:rsid w:val="002E187C"/>
    <w:rsid w:val="002E68FA"/>
    <w:rsid w:val="00302733"/>
    <w:rsid w:val="00305835"/>
    <w:rsid w:val="00306F33"/>
    <w:rsid w:val="00312F8E"/>
    <w:rsid w:val="0031322D"/>
    <w:rsid w:val="00314078"/>
    <w:rsid w:val="0031535D"/>
    <w:rsid w:val="003239B8"/>
    <w:rsid w:val="0033169F"/>
    <w:rsid w:val="00341267"/>
    <w:rsid w:val="00344977"/>
    <w:rsid w:val="00346C95"/>
    <w:rsid w:val="00356185"/>
    <w:rsid w:val="00360380"/>
    <w:rsid w:val="0036407A"/>
    <w:rsid w:val="0037519E"/>
    <w:rsid w:val="00386CF0"/>
    <w:rsid w:val="00396E08"/>
    <w:rsid w:val="003B70FB"/>
    <w:rsid w:val="003C242B"/>
    <w:rsid w:val="003C676B"/>
    <w:rsid w:val="003D3BC2"/>
    <w:rsid w:val="003E353D"/>
    <w:rsid w:val="003E578F"/>
    <w:rsid w:val="003E6CA1"/>
    <w:rsid w:val="003F5154"/>
    <w:rsid w:val="003F5BCB"/>
    <w:rsid w:val="00404BF5"/>
    <w:rsid w:val="00405F9C"/>
    <w:rsid w:val="004065A8"/>
    <w:rsid w:val="004165C2"/>
    <w:rsid w:val="00424349"/>
    <w:rsid w:val="00441ECB"/>
    <w:rsid w:val="00445193"/>
    <w:rsid w:val="0044739F"/>
    <w:rsid w:val="004555E9"/>
    <w:rsid w:val="00460F30"/>
    <w:rsid w:val="00462C1B"/>
    <w:rsid w:val="00467B7E"/>
    <w:rsid w:val="00473BB4"/>
    <w:rsid w:val="00477592"/>
    <w:rsid w:val="0048103D"/>
    <w:rsid w:val="00483C10"/>
    <w:rsid w:val="00486F1C"/>
    <w:rsid w:val="0049419D"/>
    <w:rsid w:val="004A586D"/>
    <w:rsid w:val="004A6A54"/>
    <w:rsid w:val="004B421C"/>
    <w:rsid w:val="004B72AE"/>
    <w:rsid w:val="004C20D2"/>
    <w:rsid w:val="004C2312"/>
    <w:rsid w:val="004C4B62"/>
    <w:rsid w:val="004C4D49"/>
    <w:rsid w:val="004C54C9"/>
    <w:rsid w:val="004D4ABA"/>
    <w:rsid w:val="004D6025"/>
    <w:rsid w:val="004E2649"/>
    <w:rsid w:val="004F626F"/>
    <w:rsid w:val="00501399"/>
    <w:rsid w:val="00504487"/>
    <w:rsid w:val="005047ED"/>
    <w:rsid w:val="0050633D"/>
    <w:rsid w:val="00507BC4"/>
    <w:rsid w:val="005128E4"/>
    <w:rsid w:val="005133DB"/>
    <w:rsid w:val="005140EE"/>
    <w:rsid w:val="00514504"/>
    <w:rsid w:val="00521E1F"/>
    <w:rsid w:val="00525560"/>
    <w:rsid w:val="00525D9B"/>
    <w:rsid w:val="00544C49"/>
    <w:rsid w:val="005516A1"/>
    <w:rsid w:val="005559EF"/>
    <w:rsid w:val="00561053"/>
    <w:rsid w:val="00563557"/>
    <w:rsid w:val="0057402A"/>
    <w:rsid w:val="005771D0"/>
    <w:rsid w:val="00586FA6"/>
    <w:rsid w:val="0059191A"/>
    <w:rsid w:val="005921FF"/>
    <w:rsid w:val="005A0ACD"/>
    <w:rsid w:val="005A1F58"/>
    <w:rsid w:val="005A24ED"/>
    <w:rsid w:val="005A6D0E"/>
    <w:rsid w:val="005B48C0"/>
    <w:rsid w:val="005B52B0"/>
    <w:rsid w:val="005B6806"/>
    <w:rsid w:val="005C4225"/>
    <w:rsid w:val="005C7282"/>
    <w:rsid w:val="005D37AF"/>
    <w:rsid w:val="005F05A8"/>
    <w:rsid w:val="005F0DAD"/>
    <w:rsid w:val="005F0F33"/>
    <w:rsid w:val="005F305C"/>
    <w:rsid w:val="006008DE"/>
    <w:rsid w:val="00600DEB"/>
    <w:rsid w:val="00605AC3"/>
    <w:rsid w:val="00615466"/>
    <w:rsid w:val="006255EA"/>
    <w:rsid w:val="00627C9F"/>
    <w:rsid w:val="006311E9"/>
    <w:rsid w:val="00632354"/>
    <w:rsid w:val="00635421"/>
    <w:rsid w:val="0063721E"/>
    <w:rsid w:val="00637495"/>
    <w:rsid w:val="00641CC8"/>
    <w:rsid w:val="00642810"/>
    <w:rsid w:val="00652333"/>
    <w:rsid w:val="00673E5F"/>
    <w:rsid w:val="0068009E"/>
    <w:rsid w:val="00692219"/>
    <w:rsid w:val="00694EFF"/>
    <w:rsid w:val="006A17D2"/>
    <w:rsid w:val="006A51B1"/>
    <w:rsid w:val="006A5315"/>
    <w:rsid w:val="006A6DF0"/>
    <w:rsid w:val="006A73E6"/>
    <w:rsid w:val="006B2D5C"/>
    <w:rsid w:val="006B468A"/>
    <w:rsid w:val="006C0ECF"/>
    <w:rsid w:val="006C4EB1"/>
    <w:rsid w:val="006E0166"/>
    <w:rsid w:val="006E0500"/>
    <w:rsid w:val="006E2FFB"/>
    <w:rsid w:val="006E7343"/>
    <w:rsid w:val="006E7B34"/>
    <w:rsid w:val="006F3523"/>
    <w:rsid w:val="0070697F"/>
    <w:rsid w:val="007103C4"/>
    <w:rsid w:val="00710ADF"/>
    <w:rsid w:val="0072199C"/>
    <w:rsid w:val="00722C9F"/>
    <w:rsid w:val="007253B8"/>
    <w:rsid w:val="0073741F"/>
    <w:rsid w:val="00744D32"/>
    <w:rsid w:val="00756CA0"/>
    <w:rsid w:val="0076643F"/>
    <w:rsid w:val="00777F63"/>
    <w:rsid w:val="007A5817"/>
    <w:rsid w:val="007B05C4"/>
    <w:rsid w:val="007B1706"/>
    <w:rsid w:val="007B60E9"/>
    <w:rsid w:val="007B6CC3"/>
    <w:rsid w:val="007B76D3"/>
    <w:rsid w:val="007C3334"/>
    <w:rsid w:val="007D2B98"/>
    <w:rsid w:val="007D58EF"/>
    <w:rsid w:val="007E21BC"/>
    <w:rsid w:val="007E7C82"/>
    <w:rsid w:val="007F1194"/>
    <w:rsid w:val="007F2AA1"/>
    <w:rsid w:val="007F588D"/>
    <w:rsid w:val="007F619D"/>
    <w:rsid w:val="00803F1C"/>
    <w:rsid w:val="00805B15"/>
    <w:rsid w:val="0080600E"/>
    <w:rsid w:val="00814688"/>
    <w:rsid w:val="00817612"/>
    <w:rsid w:val="008252C4"/>
    <w:rsid w:val="00825FB0"/>
    <w:rsid w:val="00831A84"/>
    <w:rsid w:val="008338A4"/>
    <w:rsid w:val="00834D49"/>
    <w:rsid w:val="0083708B"/>
    <w:rsid w:val="00837C45"/>
    <w:rsid w:val="00844730"/>
    <w:rsid w:val="008457C2"/>
    <w:rsid w:val="008554E4"/>
    <w:rsid w:val="00857A82"/>
    <w:rsid w:val="00873836"/>
    <w:rsid w:val="00885737"/>
    <w:rsid w:val="00890650"/>
    <w:rsid w:val="008944DC"/>
    <w:rsid w:val="00897E12"/>
    <w:rsid w:val="008A0B3F"/>
    <w:rsid w:val="008A7E0F"/>
    <w:rsid w:val="008B12F5"/>
    <w:rsid w:val="008B2AF5"/>
    <w:rsid w:val="008C5E2D"/>
    <w:rsid w:val="008C751F"/>
    <w:rsid w:val="008D768D"/>
    <w:rsid w:val="008E3759"/>
    <w:rsid w:val="008E3BFE"/>
    <w:rsid w:val="008E686D"/>
    <w:rsid w:val="008F1912"/>
    <w:rsid w:val="008F7660"/>
    <w:rsid w:val="0090270B"/>
    <w:rsid w:val="009041DC"/>
    <w:rsid w:val="0090469C"/>
    <w:rsid w:val="00904A56"/>
    <w:rsid w:val="00917B5A"/>
    <w:rsid w:val="00920A58"/>
    <w:rsid w:val="00920A8C"/>
    <w:rsid w:val="009264A1"/>
    <w:rsid w:val="00934A2C"/>
    <w:rsid w:val="00937931"/>
    <w:rsid w:val="00961E99"/>
    <w:rsid w:val="0096706E"/>
    <w:rsid w:val="00972A25"/>
    <w:rsid w:val="00974491"/>
    <w:rsid w:val="00974E2D"/>
    <w:rsid w:val="00975C4E"/>
    <w:rsid w:val="00981FBA"/>
    <w:rsid w:val="00983D59"/>
    <w:rsid w:val="00997BC5"/>
    <w:rsid w:val="009A1AAB"/>
    <w:rsid w:val="009A4F41"/>
    <w:rsid w:val="009B381B"/>
    <w:rsid w:val="009B4508"/>
    <w:rsid w:val="009D1753"/>
    <w:rsid w:val="009D7611"/>
    <w:rsid w:val="009E0B61"/>
    <w:rsid w:val="009E53DE"/>
    <w:rsid w:val="009F1047"/>
    <w:rsid w:val="009F5792"/>
    <w:rsid w:val="009F6145"/>
    <w:rsid w:val="00A11212"/>
    <w:rsid w:val="00A11E44"/>
    <w:rsid w:val="00A12EB6"/>
    <w:rsid w:val="00A30100"/>
    <w:rsid w:val="00A328B3"/>
    <w:rsid w:val="00A47E5D"/>
    <w:rsid w:val="00A50FCF"/>
    <w:rsid w:val="00A528D1"/>
    <w:rsid w:val="00A606B0"/>
    <w:rsid w:val="00A610CD"/>
    <w:rsid w:val="00A634D4"/>
    <w:rsid w:val="00A643F9"/>
    <w:rsid w:val="00A758AA"/>
    <w:rsid w:val="00AA09A2"/>
    <w:rsid w:val="00AA7996"/>
    <w:rsid w:val="00AB2134"/>
    <w:rsid w:val="00AC19CB"/>
    <w:rsid w:val="00AE0A4A"/>
    <w:rsid w:val="00AE5488"/>
    <w:rsid w:val="00AE6F91"/>
    <w:rsid w:val="00AF5571"/>
    <w:rsid w:val="00B00F6C"/>
    <w:rsid w:val="00B06CAB"/>
    <w:rsid w:val="00B07341"/>
    <w:rsid w:val="00B07BE3"/>
    <w:rsid w:val="00B30539"/>
    <w:rsid w:val="00B314DB"/>
    <w:rsid w:val="00B31D9E"/>
    <w:rsid w:val="00B32573"/>
    <w:rsid w:val="00B361F2"/>
    <w:rsid w:val="00B37189"/>
    <w:rsid w:val="00B3718B"/>
    <w:rsid w:val="00B3745F"/>
    <w:rsid w:val="00B41597"/>
    <w:rsid w:val="00B4632A"/>
    <w:rsid w:val="00B509BC"/>
    <w:rsid w:val="00B51E78"/>
    <w:rsid w:val="00B530F1"/>
    <w:rsid w:val="00B57203"/>
    <w:rsid w:val="00B657DD"/>
    <w:rsid w:val="00B75708"/>
    <w:rsid w:val="00B93D7F"/>
    <w:rsid w:val="00BA2449"/>
    <w:rsid w:val="00BA276C"/>
    <w:rsid w:val="00BA43C8"/>
    <w:rsid w:val="00BB019D"/>
    <w:rsid w:val="00BB222E"/>
    <w:rsid w:val="00BB306F"/>
    <w:rsid w:val="00BC1158"/>
    <w:rsid w:val="00BD0686"/>
    <w:rsid w:val="00BD0FF5"/>
    <w:rsid w:val="00BD4B89"/>
    <w:rsid w:val="00BD53F1"/>
    <w:rsid w:val="00BD5922"/>
    <w:rsid w:val="00BE1518"/>
    <w:rsid w:val="00BE7553"/>
    <w:rsid w:val="00BF02CB"/>
    <w:rsid w:val="00BF68BC"/>
    <w:rsid w:val="00BF6FD8"/>
    <w:rsid w:val="00C006C9"/>
    <w:rsid w:val="00C01192"/>
    <w:rsid w:val="00C02734"/>
    <w:rsid w:val="00C03680"/>
    <w:rsid w:val="00C054DF"/>
    <w:rsid w:val="00C21762"/>
    <w:rsid w:val="00C21FEF"/>
    <w:rsid w:val="00C23BA4"/>
    <w:rsid w:val="00C24543"/>
    <w:rsid w:val="00C250A3"/>
    <w:rsid w:val="00C256A2"/>
    <w:rsid w:val="00C25ADB"/>
    <w:rsid w:val="00C34D36"/>
    <w:rsid w:val="00C51515"/>
    <w:rsid w:val="00C5660B"/>
    <w:rsid w:val="00C579D9"/>
    <w:rsid w:val="00C66B72"/>
    <w:rsid w:val="00C87AC4"/>
    <w:rsid w:val="00C9567A"/>
    <w:rsid w:val="00CB212D"/>
    <w:rsid w:val="00CB2660"/>
    <w:rsid w:val="00CB35C8"/>
    <w:rsid w:val="00CC5E90"/>
    <w:rsid w:val="00CD046C"/>
    <w:rsid w:val="00CD1A8A"/>
    <w:rsid w:val="00CD5541"/>
    <w:rsid w:val="00CE076C"/>
    <w:rsid w:val="00CE5199"/>
    <w:rsid w:val="00CE66D5"/>
    <w:rsid w:val="00CE73DC"/>
    <w:rsid w:val="00CF637A"/>
    <w:rsid w:val="00D01773"/>
    <w:rsid w:val="00D04EB0"/>
    <w:rsid w:val="00D059DE"/>
    <w:rsid w:val="00D05ABD"/>
    <w:rsid w:val="00D07896"/>
    <w:rsid w:val="00D102DD"/>
    <w:rsid w:val="00D13FCE"/>
    <w:rsid w:val="00D26787"/>
    <w:rsid w:val="00D27788"/>
    <w:rsid w:val="00D306D1"/>
    <w:rsid w:val="00D30800"/>
    <w:rsid w:val="00D34786"/>
    <w:rsid w:val="00D35817"/>
    <w:rsid w:val="00D3647F"/>
    <w:rsid w:val="00D37BFC"/>
    <w:rsid w:val="00D422A1"/>
    <w:rsid w:val="00D47A8E"/>
    <w:rsid w:val="00D52D14"/>
    <w:rsid w:val="00D552BE"/>
    <w:rsid w:val="00D62416"/>
    <w:rsid w:val="00D656F9"/>
    <w:rsid w:val="00D712D3"/>
    <w:rsid w:val="00D71422"/>
    <w:rsid w:val="00D72DC6"/>
    <w:rsid w:val="00D7558D"/>
    <w:rsid w:val="00D81D92"/>
    <w:rsid w:val="00D8638F"/>
    <w:rsid w:val="00D876F9"/>
    <w:rsid w:val="00D91CE7"/>
    <w:rsid w:val="00D969BC"/>
    <w:rsid w:val="00D97DE4"/>
    <w:rsid w:val="00DA4C09"/>
    <w:rsid w:val="00DA7B5F"/>
    <w:rsid w:val="00DB2E41"/>
    <w:rsid w:val="00DB5808"/>
    <w:rsid w:val="00DB758B"/>
    <w:rsid w:val="00DC11E7"/>
    <w:rsid w:val="00DC24E3"/>
    <w:rsid w:val="00DC7023"/>
    <w:rsid w:val="00DC769A"/>
    <w:rsid w:val="00DD279D"/>
    <w:rsid w:val="00DD3D86"/>
    <w:rsid w:val="00DD4203"/>
    <w:rsid w:val="00DD45E1"/>
    <w:rsid w:val="00DD4AD2"/>
    <w:rsid w:val="00DD6F02"/>
    <w:rsid w:val="00DE2862"/>
    <w:rsid w:val="00DE2E64"/>
    <w:rsid w:val="00DF1EC4"/>
    <w:rsid w:val="00DF6054"/>
    <w:rsid w:val="00E0340B"/>
    <w:rsid w:val="00E04A90"/>
    <w:rsid w:val="00E0551F"/>
    <w:rsid w:val="00E219C7"/>
    <w:rsid w:val="00E261DE"/>
    <w:rsid w:val="00E40F6D"/>
    <w:rsid w:val="00E4118C"/>
    <w:rsid w:val="00E43157"/>
    <w:rsid w:val="00E461CE"/>
    <w:rsid w:val="00E50724"/>
    <w:rsid w:val="00E54F8D"/>
    <w:rsid w:val="00E573E4"/>
    <w:rsid w:val="00E64C3D"/>
    <w:rsid w:val="00E720CA"/>
    <w:rsid w:val="00E82C45"/>
    <w:rsid w:val="00E84EB5"/>
    <w:rsid w:val="00E85662"/>
    <w:rsid w:val="00E8789F"/>
    <w:rsid w:val="00E97B71"/>
    <w:rsid w:val="00EA3D34"/>
    <w:rsid w:val="00EB454D"/>
    <w:rsid w:val="00EB727D"/>
    <w:rsid w:val="00ED34DF"/>
    <w:rsid w:val="00ED549D"/>
    <w:rsid w:val="00ED5E10"/>
    <w:rsid w:val="00ED76BE"/>
    <w:rsid w:val="00EE00E9"/>
    <w:rsid w:val="00EF1AAA"/>
    <w:rsid w:val="00EF619B"/>
    <w:rsid w:val="00F00B55"/>
    <w:rsid w:val="00F02AD1"/>
    <w:rsid w:val="00F1063F"/>
    <w:rsid w:val="00F17B8A"/>
    <w:rsid w:val="00F251B0"/>
    <w:rsid w:val="00F253CC"/>
    <w:rsid w:val="00F3055D"/>
    <w:rsid w:val="00F37106"/>
    <w:rsid w:val="00F44E25"/>
    <w:rsid w:val="00F47CB9"/>
    <w:rsid w:val="00F50634"/>
    <w:rsid w:val="00F519CF"/>
    <w:rsid w:val="00F56BA5"/>
    <w:rsid w:val="00F60E22"/>
    <w:rsid w:val="00F74BAB"/>
    <w:rsid w:val="00F81395"/>
    <w:rsid w:val="00F81BB8"/>
    <w:rsid w:val="00F90C64"/>
    <w:rsid w:val="00F917D1"/>
    <w:rsid w:val="00F9653B"/>
    <w:rsid w:val="00FB09C1"/>
    <w:rsid w:val="00FB5E28"/>
    <w:rsid w:val="00FB62CF"/>
    <w:rsid w:val="00FC41C8"/>
    <w:rsid w:val="00FC450D"/>
    <w:rsid w:val="00FD2691"/>
    <w:rsid w:val="00FD3C3B"/>
    <w:rsid w:val="00FE07DD"/>
    <w:rsid w:val="00FE6B45"/>
    <w:rsid w:val="00FF1241"/>
    <w:rsid w:val="00FF28DA"/>
    <w:rsid w:val="00FF55F3"/>
    <w:rsid w:val="00FF5851"/>
    <w:rsid w:val="00FF6D3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CD554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CD5541"/>
    <w:pPr>
      <w:keepNext w:val="0"/>
      <w:keepLines w:val="0"/>
      <w:numPr>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F7660"/>
    <w:rPr>
      <w:vertAlign w:val="superscript"/>
    </w:rPr>
  </w:style>
  <w:style w:type="character" w:customStyle="1" w:styleId="Heading5Char">
    <w:name w:val="Heading 5 Char"/>
    <w:basedOn w:val="DefaultParagraphFont"/>
    <w:link w:val="Heading5"/>
    <w:uiPriority w:val="9"/>
    <w:rsid w:val="00CD5541"/>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CD5541"/>
    <w:rPr>
      <w:rFonts w:asciiTheme="majorHAnsi" w:eastAsiaTheme="majorEastAsia" w:hAnsiTheme="majorHAnsi" w:cstheme="majorBidi"/>
      <w:i/>
      <w:iCs/>
      <w:color w:val="365F91" w:themeColor="accent1" w:themeShade="BF"/>
      <w:sz w:val="24"/>
      <w:szCs w:val="24"/>
      <w:lang w:val="en-US" w:eastAsia="en-US"/>
    </w:rPr>
  </w:style>
  <w:style w:type="character" w:styleId="CommentReference">
    <w:name w:val="annotation reference"/>
    <w:basedOn w:val="DefaultParagraphFont"/>
    <w:uiPriority w:val="99"/>
    <w:semiHidden/>
    <w:unhideWhenUsed/>
    <w:rsid w:val="00C01192"/>
    <w:rPr>
      <w:sz w:val="16"/>
      <w:szCs w:val="16"/>
    </w:rPr>
  </w:style>
  <w:style w:type="paragraph" w:styleId="CommentText">
    <w:name w:val="annotation text"/>
    <w:basedOn w:val="Normal"/>
    <w:link w:val="CommentTextChar"/>
    <w:uiPriority w:val="99"/>
    <w:semiHidden/>
    <w:unhideWhenUsed/>
    <w:rsid w:val="00C01192"/>
    <w:rPr>
      <w:sz w:val="20"/>
      <w:szCs w:val="20"/>
    </w:rPr>
  </w:style>
  <w:style w:type="character" w:customStyle="1" w:styleId="CommentTextChar">
    <w:name w:val="Comment Text Char"/>
    <w:basedOn w:val="DefaultParagraphFont"/>
    <w:link w:val="CommentText"/>
    <w:uiPriority w:val="99"/>
    <w:semiHidden/>
    <w:rsid w:val="00C01192"/>
    <w:rPr>
      <w:lang w:val="en-US" w:eastAsia="en-US"/>
    </w:rPr>
  </w:style>
  <w:style w:type="paragraph" w:styleId="CommentSubject">
    <w:name w:val="annotation subject"/>
    <w:basedOn w:val="CommentText"/>
    <w:next w:val="CommentText"/>
    <w:link w:val="CommentSubjectChar"/>
    <w:uiPriority w:val="99"/>
    <w:semiHidden/>
    <w:unhideWhenUsed/>
    <w:rsid w:val="00C01192"/>
    <w:rPr>
      <w:b/>
      <w:bCs/>
    </w:rPr>
  </w:style>
  <w:style w:type="character" w:customStyle="1" w:styleId="CommentSubjectChar">
    <w:name w:val="Comment Subject Char"/>
    <w:basedOn w:val="CommentTextChar"/>
    <w:link w:val="CommentSubject"/>
    <w:uiPriority w:val="99"/>
    <w:semiHidden/>
    <w:rsid w:val="00C01192"/>
    <w:rPr>
      <w:b/>
      <w:bCs/>
      <w:lang w:val="en-US" w:eastAsia="en-US"/>
    </w:rPr>
  </w:style>
  <w:style w:type="character" w:styleId="UnresolvedMention">
    <w:name w:val="Unresolved Mention"/>
    <w:basedOn w:val="DefaultParagraphFont"/>
    <w:uiPriority w:val="99"/>
    <w:semiHidden/>
    <w:unhideWhenUsed/>
    <w:rsid w:val="006A5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02816">
      <w:bodyDiv w:val="1"/>
      <w:marLeft w:val="0"/>
      <w:marRight w:val="0"/>
      <w:marTop w:val="0"/>
      <w:marBottom w:val="0"/>
      <w:divBdr>
        <w:top w:val="none" w:sz="0" w:space="0" w:color="auto"/>
        <w:left w:val="none" w:sz="0" w:space="0" w:color="auto"/>
        <w:bottom w:val="none" w:sz="0" w:space="0" w:color="auto"/>
        <w:right w:val="none" w:sz="0" w:space="0" w:color="auto"/>
      </w:divBdr>
    </w:div>
    <w:div w:id="1003244384">
      <w:bodyDiv w:val="1"/>
      <w:marLeft w:val="0"/>
      <w:marRight w:val="0"/>
      <w:marTop w:val="0"/>
      <w:marBottom w:val="0"/>
      <w:divBdr>
        <w:top w:val="none" w:sz="0" w:space="0" w:color="auto"/>
        <w:left w:val="none" w:sz="0" w:space="0" w:color="auto"/>
        <w:bottom w:val="none" w:sz="0" w:space="0" w:color="auto"/>
        <w:right w:val="none" w:sz="0" w:space="0" w:color="auto"/>
      </w:divBdr>
    </w:div>
    <w:div w:id="114073019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97294366">
      <w:bodyDiv w:val="1"/>
      <w:marLeft w:val="0"/>
      <w:marRight w:val="0"/>
      <w:marTop w:val="0"/>
      <w:marBottom w:val="0"/>
      <w:divBdr>
        <w:top w:val="none" w:sz="0" w:space="0" w:color="auto"/>
        <w:left w:val="none" w:sz="0" w:space="0" w:color="auto"/>
        <w:bottom w:val="none" w:sz="0" w:space="0" w:color="auto"/>
        <w:right w:val="none" w:sz="0" w:space="0" w:color="auto"/>
      </w:divBdr>
    </w:div>
    <w:div w:id="1323002715">
      <w:bodyDiv w:val="1"/>
      <w:marLeft w:val="0"/>
      <w:marRight w:val="0"/>
      <w:marTop w:val="0"/>
      <w:marBottom w:val="0"/>
      <w:divBdr>
        <w:top w:val="none" w:sz="0" w:space="0" w:color="auto"/>
        <w:left w:val="none" w:sz="0" w:space="0" w:color="auto"/>
        <w:bottom w:val="none" w:sz="0" w:space="0" w:color="auto"/>
        <w:right w:val="none" w:sz="0" w:space="0" w:color="auto"/>
      </w:divBdr>
    </w:div>
    <w:div w:id="1515849123">
      <w:bodyDiv w:val="1"/>
      <w:marLeft w:val="0"/>
      <w:marRight w:val="0"/>
      <w:marTop w:val="0"/>
      <w:marBottom w:val="0"/>
      <w:divBdr>
        <w:top w:val="none" w:sz="0" w:space="0" w:color="auto"/>
        <w:left w:val="none" w:sz="0" w:space="0" w:color="auto"/>
        <w:bottom w:val="none" w:sz="0" w:space="0" w:color="auto"/>
        <w:right w:val="none" w:sz="0" w:space="0" w:color="auto"/>
      </w:divBdr>
    </w:div>
    <w:div w:id="1754860618">
      <w:bodyDiv w:val="1"/>
      <w:marLeft w:val="0"/>
      <w:marRight w:val="0"/>
      <w:marTop w:val="0"/>
      <w:marBottom w:val="0"/>
      <w:divBdr>
        <w:top w:val="none" w:sz="0" w:space="0" w:color="auto"/>
        <w:left w:val="none" w:sz="0" w:space="0" w:color="auto"/>
        <w:bottom w:val="none" w:sz="0" w:space="0" w:color="auto"/>
        <w:right w:val="none" w:sz="0" w:space="0" w:color="auto"/>
      </w:divBdr>
    </w:div>
    <w:div w:id="17822618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63870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es.wikipedia.org/wiki/Autodefensas_de_Puerto_Boyac%C3%A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hyperlink" Target="https://es.wikipedia.org/wiki/Magdalena_Medio" TargetMode="Externa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ocs/pdfs/Justicia-Verdad-Reparacio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C22"/>
    <w:rsid w:val="0018484D"/>
    <w:rsid w:val="001B3E5B"/>
    <w:rsid w:val="00200821"/>
    <w:rsid w:val="00214F60"/>
    <w:rsid w:val="0025245B"/>
    <w:rsid w:val="002A3923"/>
    <w:rsid w:val="003804DF"/>
    <w:rsid w:val="00394049"/>
    <w:rsid w:val="003B0C71"/>
    <w:rsid w:val="00416DFD"/>
    <w:rsid w:val="004B5BBB"/>
    <w:rsid w:val="004F2DF8"/>
    <w:rsid w:val="00517E2A"/>
    <w:rsid w:val="00523CF2"/>
    <w:rsid w:val="006260F2"/>
    <w:rsid w:val="006F24A1"/>
    <w:rsid w:val="00793965"/>
    <w:rsid w:val="007C2DFA"/>
    <w:rsid w:val="009A261B"/>
    <w:rsid w:val="00AA2E17"/>
    <w:rsid w:val="00AB084E"/>
    <w:rsid w:val="00AC15A4"/>
    <w:rsid w:val="00B0336C"/>
    <w:rsid w:val="00C45C91"/>
    <w:rsid w:val="00C75F94"/>
    <w:rsid w:val="00D113FA"/>
    <w:rsid w:val="00D241E9"/>
    <w:rsid w:val="00D77458"/>
    <w:rsid w:val="00D7750D"/>
    <w:rsid w:val="00DC5F3D"/>
    <w:rsid w:val="00E6613A"/>
    <w:rsid w:val="00E721E3"/>
    <w:rsid w:val="00E936B5"/>
    <w:rsid w:val="00F00D2F"/>
    <w:rsid w:val="00F128DF"/>
    <w:rsid w:val="00F84BFE"/>
    <w:rsid w:val="00FB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BF1F-1C66-4896-B2D4-8DFB49CF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7/22</dc:title>
  <dc:subject/>
  <dc:creator/>
  <cp:keywords/>
  <cp:lastModifiedBy/>
  <cp:revision>1</cp:revision>
  <dcterms:created xsi:type="dcterms:W3CDTF">2022-04-13T17:17:00Z</dcterms:created>
  <dcterms:modified xsi:type="dcterms:W3CDTF">2022-04-13T17:17:00Z</dcterms:modified>
</cp:coreProperties>
</file>