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33F86302"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756A8"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43535">
        <w:rPr>
          <w:rFonts w:asciiTheme="majorHAnsi" w:hAnsiTheme="majorHAnsi" w:cs="Univers"/>
          <w:b/>
          <w:bCs/>
          <w:sz w:val="22"/>
          <w:szCs w:val="22"/>
          <w:lang w:val="es-ES_tradnl"/>
        </w:rPr>
        <w:t xml:space="preserve"> </w: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013B8CB0"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47DA8">
                              <w:rPr>
                                <w:rFonts w:asciiTheme="majorHAnsi" w:hAnsiTheme="majorHAnsi" w:cs="Arial"/>
                                <w:b/>
                                <w:bCs/>
                                <w:color w:val="0D0D0D" w:themeColor="text1" w:themeTint="F2"/>
                                <w:sz w:val="36"/>
                                <w:szCs w:val="22"/>
                                <w:lang w:val="es-ES_tradnl"/>
                              </w:rPr>
                              <w:t>222</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1C90D8C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903DAC">
                              <w:rPr>
                                <w:rFonts w:ascii="Cambria" w:hAnsi="Cambria" w:cs="Arial"/>
                                <w:b/>
                                <w:color w:val="0D0D0D"/>
                                <w:sz w:val="36"/>
                                <w:szCs w:val="22"/>
                                <w:lang w:val="es-ES_tradnl"/>
                              </w:rPr>
                              <w:t>485</w:t>
                            </w:r>
                            <w:r w:rsidR="00A33348">
                              <w:rPr>
                                <w:rFonts w:ascii="Cambria" w:hAnsi="Cambria" w:cs="Arial"/>
                                <w:b/>
                                <w:color w:val="0D0D0D"/>
                                <w:sz w:val="36"/>
                                <w:szCs w:val="22"/>
                                <w:lang w:val="es-ES_tradnl"/>
                              </w:rPr>
                              <w:t>-1</w:t>
                            </w:r>
                            <w:r w:rsidR="00903DAC">
                              <w:rPr>
                                <w:rFonts w:ascii="Cambria" w:hAnsi="Cambria" w:cs="Arial"/>
                                <w:b/>
                                <w:color w:val="0D0D0D"/>
                                <w:sz w:val="36"/>
                                <w:szCs w:val="22"/>
                                <w:lang w:val="es-ES_tradnl"/>
                              </w:rPr>
                              <w:t>3</w:t>
                            </w:r>
                            <w:r>
                              <w:rPr>
                                <w:rFonts w:ascii="Cambria" w:hAnsi="Cambria" w:cs="Arial"/>
                                <w:b/>
                                <w:color w:val="0D0D0D"/>
                                <w:sz w:val="36"/>
                                <w:szCs w:val="22"/>
                                <w:lang w:val="es-ES_tradnl"/>
                              </w:rPr>
                              <w:tab/>
                            </w:r>
                          </w:p>
                          <w:p w14:paraId="2A1EFAA5" w14:textId="62D8DFF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7245557A" w:rsidR="00511EBB" w:rsidRPr="00903DAC" w:rsidRDefault="00903DAC"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JOS</w:t>
                            </w:r>
                            <w:r>
                              <w:rPr>
                                <w:rFonts w:ascii="Cambria" w:hAnsi="Cambria" w:cs="Arial"/>
                                <w:color w:val="0D0D0D"/>
                                <w:szCs w:val="22"/>
                                <w:lang w:val="es-PA"/>
                              </w:rPr>
                              <w:t>É ALEJANDRO ESCOBAR VARGAS</w:t>
                            </w:r>
                          </w:p>
                          <w:bookmarkEnd w:id="0"/>
                          <w:p w14:paraId="6D9AEAC1" w14:textId="3DAE6A9E"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013B8CB0"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47DA8">
                        <w:rPr>
                          <w:rFonts w:asciiTheme="majorHAnsi" w:hAnsiTheme="majorHAnsi" w:cs="Arial"/>
                          <w:b/>
                          <w:bCs/>
                          <w:color w:val="0D0D0D" w:themeColor="text1" w:themeTint="F2"/>
                          <w:sz w:val="36"/>
                          <w:szCs w:val="22"/>
                          <w:lang w:val="es-ES_tradnl"/>
                        </w:rPr>
                        <w:t>222</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1C90D8C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903DAC">
                        <w:rPr>
                          <w:rFonts w:ascii="Cambria" w:hAnsi="Cambria" w:cs="Arial"/>
                          <w:b/>
                          <w:color w:val="0D0D0D"/>
                          <w:sz w:val="36"/>
                          <w:szCs w:val="22"/>
                          <w:lang w:val="es-ES_tradnl"/>
                        </w:rPr>
                        <w:t>485</w:t>
                      </w:r>
                      <w:r w:rsidR="00A33348">
                        <w:rPr>
                          <w:rFonts w:ascii="Cambria" w:hAnsi="Cambria" w:cs="Arial"/>
                          <w:b/>
                          <w:color w:val="0D0D0D"/>
                          <w:sz w:val="36"/>
                          <w:szCs w:val="22"/>
                          <w:lang w:val="es-ES_tradnl"/>
                        </w:rPr>
                        <w:t>-1</w:t>
                      </w:r>
                      <w:r w:rsidR="00903DAC">
                        <w:rPr>
                          <w:rFonts w:ascii="Cambria" w:hAnsi="Cambria" w:cs="Arial"/>
                          <w:b/>
                          <w:color w:val="0D0D0D"/>
                          <w:sz w:val="36"/>
                          <w:szCs w:val="22"/>
                          <w:lang w:val="es-ES_tradnl"/>
                        </w:rPr>
                        <w:t>3</w:t>
                      </w:r>
                      <w:r>
                        <w:rPr>
                          <w:rFonts w:ascii="Cambria" w:hAnsi="Cambria" w:cs="Arial"/>
                          <w:b/>
                          <w:color w:val="0D0D0D"/>
                          <w:sz w:val="36"/>
                          <w:szCs w:val="22"/>
                          <w:lang w:val="es-ES_tradnl"/>
                        </w:rPr>
                        <w:tab/>
                      </w:r>
                    </w:p>
                    <w:p w14:paraId="2A1EFAA5" w14:textId="62D8DFF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7245557A" w:rsidR="00511EBB" w:rsidRPr="00903DAC" w:rsidRDefault="00903DAC"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JOS</w:t>
                      </w:r>
                      <w:r>
                        <w:rPr>
                          <w:rFonts w:ascii="Cambria" w:hAnsi="Cambria" w:cs="Arial"/>
                          <w:color w:val="0D0D0D"/>
                          <w:szCs w:val="22"/>
                          <w:lang w:val="es-PA"/>
                        </w:rPr>
                        <w:t>É ALEJANDRO ESCOBAR VARGAS</w:t>
                      </w:r>
                    </w:p>
                    <w:bookmarkEnd w:id="1"/>
                    <w:p w14:paraId="6D9AEAC1" w14:textId="3DAE6A9E" w:rsidR="00511EBB" w:rsidRPr="00AE5488" w:rsidRDefault="00B149FF" w:rsidP="000673D0">
                      <w:pPr>
                        <w:rPr>
                          <w:color w:val="0D0D0D" w:themeColor="text1" w:themeTint="F2"/>
                          <w:lang w:val="es-ES_tradnl"/>
                        </w:rPr>
                      </w:pPr>
                      <w:r>
                        <w:rPr>
                          <w:rFonts w:ascii="Cambria" w:hAnsi="Cambria" w:cs="Arial"/>
                          <w:color w:val="0D0D0D"/>
                          <w:szCs w:val="22"/>
                          <w:lang w:val="es-ES_tradnl"/>
                        </w:rPr>
                        <w:t>COLOMBIA</w:t>
                      </w: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4C8D5E39" w:rsidR="00511EBB" w:rsidRPr="004E2649" w:rsidRDefault="00511EBB"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54372B17" w:rsidR="00511EBB" w:rsidRPr="004E2649" w:rsidRDefault="00511EBB"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34461">
                              <w:rPr>
                                <w:rFonts w:asciiTheme="minorHAnsi" w:hAnsiTheme="minorHAnsi"/>
                                <w:color w:val="FFFFFF" w:themeColor="background1"/>
                                <w:sz w:val="22"/>
                                <w:lang w:val="pt-BR"/>
                              </w:rPr>
                              <w:t>225</w:t>
                            </w:r>
                          </w:p>
                          <w:p w14:paraId="0BBD91A2" w14:textId="56D2BC07" w:rsidR="00511EBB" w:rsidRPr="00A648CF" w:rsidRDefault="00116FBF" w:rsidP="000673D0">
                            <w:pPr>
                              <w:spacing w:line="276" w:lineRule="auto"/>
                              <w:jc w:val="right"/>
                              <w:rPr>
                                <w:rFonts w:asciiTheme="minorHAnsi" w:hAnsiTheme="minorHAnsi"/>
                                <w:color w:val="FFFFFF" w:themeColor="background1"/>
                                <w:sz w:val="22"/>
                                <w:lang w:val="pt-BR"/>
                              </w:rPr>
                            </w:pPr>
                            <w:r w:rsidRPr="00A648CF">
                              <w:rPr>
                                <w:rFonts w:asciiTheme="minorHAnsi" w:hAnsiTheme="minorHAnsi"/>
                                <w:color w:val="FFFFFF" w:themeColor="background1"/>
                                <w:sz w:val="22"/>
                                <w:lang w:val="pt-BR"/>
                              </w:rPr>
                              <w:t>13 agosto</w:t>
                            </w:r>
                            <w:r w:rsidR="00511EBB" w:rsidRPr="00A648CF">
                              <w:rPr>
                                <w:rFonts w:asciiTheme="minorHAnsi" w:hAnsiTheme="minorHAnsi"/>
                                <w:color w:val="FFFFFF" w:themeColor="background1"/>
                                <w:sz w:val="22"/>
                                <w:lang w:val="pt-BR"/>
                              </w:rPr>
                              <w:t xml:space="preserve"> 202</w:t>
                            </w:r>
                            <w:r w:rsidR="009B42B5" w:rsidRPr="00A648CF">
                              <w:rPr>
                                <w:rFonts w:asciiTheme="minorHAnsi" w:hAnsiTheme="minorHAnsi"/>
                                <w:color w:val="FFFFFF" w:themeColor="background1"/>
                                <w:sz w:val="22"/>
                                <w:lang w:val="pt-BR"/>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4C8D5E39" w:rsidR="00511EBB" w:rsidRPr="004E2649" w:rsidRDefault="00511EBB"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54372B17" w:rsidR="00511EBB" w:rsidRPr="004E2649" w:rsidRDefault="00511EBB"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34461">
                        <w:rPr>
                          <w:rFonts w:asciiTheme="minorHAnsi" w:hAnsiTheme="minorHAnsi"/>
                          <w:color w:val="FFFFFF" w:themeColor="background1"/>
                          <w:sz w:val="22"/>
                          <w:lang w:val="pt-BR"/>
                        </w:rPr>
                        <w:t>225</w:t>
                      </w:r>
                    </w:p>
                    <w:p w14:paraId="0BBD91A2" w14:textId="56D2BC07" w:rsidR="00511EBB" w:rsidRPr="00A648CF" w:rsidRDefault="00116FBF" w:rsidP="000673D0">
                      <w:pPr>
                        <w:spacing w:line="276" w:lineRule="auto"/>
                        <w:jc w:val="right"/>
                        <w:rPr>
                          <w:rFonts w:asciiTheme="minorHAnsi" w:hAnsiTheme="minorHAnsi"/>
                          <w:color w:val="FFFFFF" w:themeColor="background1"/>
                          <w:sz w:val="22"/>
                          <w:lang w:val="pt-BR"/>
                        </w:rPr>
                      </w:pPr>
                      <w:r w:rsidRPr="00A648CF">
                        <w:rPr>
                          <w:rFonts w:asciiTheme="minorHAnsi" w:hAnsiTheme="minorHAnsi"/>
                          <w:color w:val="FFFFFF" w:themeColor="background1"/>
                          <w:sz w:val="22"/>
                          <w:lang w:val="pt-BR"/>
                        </w:rPr>
                        <w:t>13 agosto</w:t>
                      </w:r>
                      <w:r w:rsidR="00511EBB" w:rsidRPr="00A648CF">
                        <w:rPr>
                          <w:rFonts w:asciiTheme="minorHAnsi" w:hAnsiTheme="minorHAnsi"/>
                          <w:color w:val="FFFFFF" w:themeColor="background1"/>
                          <w:sz w:val="22"/>
                          <w:lang w:val="pt-BR"/>
                        </w:rPr>
                        <w:t xml:space="preserve"> 202</w:t>
                      </w:r>
                      <w:r w:rsidR="009B42B5" w:rsidRPr="00A648CF">
                        <w:rPr>
                          <w:rFonts w:asciiTheme="minorHAnsi" w:hAnsiTheme="minorHAnsi"/>
                          <w:color w:val="FFFFFF" w:themeColor="background1"/>
                          <w:sz w:val="22"/>
                          <w:lang w:val="pt-BR"/>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27F520A8"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47DA8">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D47DA8">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D47DA8">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27F520A8"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47DA8">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D47DA8">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D47DA8">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867CC4" w14:textId="356EE59F" w:rsidR="00D47DA8"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47DA8" w:rsidRPr="00D47DA8">
                              <w:rPr>
                                <w:rFonts w:asciiTheme="majorHAnsi" w:hAnsiTheme="majorHAnsi"/>
                                <w:color w:val="595959" w:themeColor="text1" w:themeTint="A6"/>
                                <w:sz w:val="18"/>
                                <w:szCs w:val="18"/>
                                <w:lang w:val="pt-BR"/>
                              </w:rPr>
                              <w:t>222</w:t>
                            </w:r>
                            <w:r w:rsidRPr="00D47DA8">
                              <w:rPr>
                                <w:rFonts w:asciiTheme="majorHAnsi" w:hAnsiTheme="majorHAnsi"/>
                                <w:color w:val="595959" w:themeColor="text1" w:themeTint="A6"/>
                                <w:sz w:val="18"/>
                                <w:szCs w:val="18"/>
                                <w:lang w:val="pt-BR"/>
                              </w:rPr>
                              <w:t>/2</w:t>
                            </w:r>
                            <w:r w:rsidR="009B42B5" w:rsidRPr="00D47DA8">
                              <w:rPr>
                                <w:rFonts w:asciiTheme="majorHAnsi" w:hAnsiTheme="majorHAnsi"/>
                                <w:color w:val="595959" w:themeColor="text1" w:themeTint="A6"/>
                                <w:sz w:val="18"/>
                                <w:szCs w:val="18"/>
                                <w:lang w:val="pt-BR"/>
                              </w:rPr>
                              <w:t>2</w:t>
                            </w:r>
                            <w:r w:rsidRPr="00D47DA8">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A648CF">
                              <w:rPr>
                                <w:rFonts w:asciiTheme="majorHAnsi" w:hAnsiTheme="majorHAnsi"/>
                                <w:color w:val="595959" w:themeColor="text1" w:themeTint="A6"/>
                                <w:sz w:val="18"/>
                                <w:szCs w:val="18"/>
                                <w:lang w:val="es-ES"/>
                              </w:rPr>
                              <w:t>48</w:t>
                            </w:r>
                            <w:r w:rsidR="00623CF0">
                              <w:rPr>
                                <w:rFonts w:asciiTheme="majorHAnsi" w:hAnsiTheme="majorHAnsi"/>
                                <w:color w:val="595959" w:themeColor="text1" w:themeTint="A6"/>
                                <w:sz w:val="18"/>
                                <w:szCs w:val="18"/>
                                <w:lang w:val="es-ES"/>
                              </w:rPr>
                              <w:t>5-1</w:t>
                            </w:r>
                            <w:r w:rsidR="00A648CF">
                              <w:rPr>
                                <w:rFonts w:asciiTheme="majorHAnsi" w:hAnsiTheme="majorHAnsi"/>
                                <w:color w:val="595959" w:themeColor="text1" w:themeTint="A6"/>
                                <w:sz w:val="18"/>
                                <w:szCs w:val="18"/>
                                <w:lang w:val="es-ES"/>
                              </w:rPr>
                              <w:t>3</w:t>
                            </w:r>
                            <w:r>
                              <w:rPr>
                                <w:rFonts w:asciiTheme="majorHAnsi" w:hAnsiTheme="majorHAnsi"/>
                                <w:color w:val="595959" w:themeColor="text1" w:themeTint="A6"/>
                                <w:sz w:val="18"/>
                                <w:szCs w:val="18"/>
                                <w:lang w:val="es-ES"/>
                              </w:rPr>
                              <w:t xml:space="preserve"> </w:t>
                            </w:r>
                            <w:r w:rsidR="00D47DA8">
                              <w:rPr>
                                <w:rFonts w:asciiTheme="majorHAnsi" w:hAnsiTheme="majorHAnsi"/>
                                <w:color w:val="595959" w:themeColor="text1" w:themeTint="A6"/>
                                <w:sz w:val="18"/>
                                <w:szCs w:val="18"/>
                                <w:lang w:val="es-ES_tradnl"/>
                              </w:rPr>
                              <w:t>A</w:t>
                            </w:r>
                            <w:r w:rsidR="00A33348">
                              <w:rPr>
                                <w:rFonts w:asciiTheme="majorHAnsi" w:hAnsiTheme="majorHAnsi"/>
                                <w:color w:val="595959" w:themeColor="text1" w:themeTint="A6"/>
                                <w:sz w:val="18"/>
                                <w:szCs w:val="18"/>
                                <w:lang w:val="es-ES_tradnl"/>
                              </w:rPr>
                              <w:t>dmibisibilidad</w:t>
                            </w:r>
                            <w:r w:rsidRPr="00890650">
                              <w:rPr>
                                <w:rFonts w:asciiTheme="majorHAnsi" w:hAnsiTheme="majorHAnsi"/>
                                <w:color w:val="595959" w:themeColor="text1" w:themeTint="A6"/>
                                <w:sz w:val="18"/>
                                <w:szCs w:val="18"/>
                                <w:lang w:val="es-ES_tradnl"/>
                              </w:rPr>
                              <w:t xml:space="preserve">. </w:t>
                            </w:r>
                          </w:p>
                          <w:p w14:paraId="0CF2B52A" w14:textId="6BE189AE" w:rsidR="00511EBB" w:rsidRPr="007B05C4" w:rsidRDefault="00903DAC"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José Alejandro Escobar Vargas</w:t>
                            </w:r>
                            <w:r w:rsidR="00511EBB" w:rsidRPr="00890650">
                              <w:rPr>
                                <w:rFonts w:asciiTheme="majorHAnsi" w:hAnsiTheme="majorHAnsi"/>
                                <w:color w:val="595959" w:themeColor="text1" w:themeTint="A6"/>
                                <w:sz w:val="18"/>
                                <w:szCs w:val="18"/>
                                <w:lang w:val="es-ES_tradnl"/>
                              </w:rPr>
                              <w:t xml:space="preserve">. </w:t>
                            </w:r>
                            <w:r w:rsidR="00511EBB">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00511EBB" w:rsidRPr="00890650">
                              <w:rPr>
                                <w:rFonts w:asciiTheme="majorHAnsi" w:hAnsiTheme="majorHAnsi"/>
                                <w:color w:val="595959" w:themeColor="text1" w:themeTint="A6"/>
                                <w:sz w:val="18"/>
                                <w:szCs w:val="18"/>
                                <w:lang w:val="es-ES_tradnl"/>
                              </w:rPr>
                              <w:t xml:space="preserve">. </w:t>
                            </w:r>
                            <w:r w:rsidR="00CB5A4B">
                              <w:rPr>
                                <w:rFonts w:asciiTheme="majorHAnsi" w:hAnsiTheme="majorHAnsi"/>
                                <w:color w:val="595959" w:themeColor="text1" w:themeTint="A6"/>
                                <w:sz w:val="18"/>
                                <w:szCs w:val="18"/>
                                <w:lang w:val="es-ES"/>
                              </w:rPr>
                              <w:t>13 de agosto de 2022</w:t>
                            </w:r>
                            <w:r w:rsidR="00511EBB"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B867CC4" w14:textId="356EE59F" w:rsidR="00D47DA8"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47DA8" w:rsidRPr="00D47DA8">
                        <w:rPr>
                          <w:rFonts w:asciiTheme="majorHAnsi" w:hAnsiTheme="majorHAnsi"/>
                          <w:color w:val="595959" w:themeColor="text1" w:themeTint="A6"/>
                          <w:sz w:val="18"/>
                          <w:szCs w:val="18"/>
                          <w:lang w:val="pt-BR"/>
                        </w:rPr>
                        <w:t>222</w:t>
                      </w:r>
                      <w:r w:rsidRPr="00D47DA8">
                        <w:rPr>
                          <w:rFonts w:asciiTheme="majorHAnsi" w:hAnsiTheme="majorHAnsi"/>
                          <w:color w:val="595959" w:themeColor="text1" w:themeTint="A6"/>
                          <w:sz w:val="18"/>
                          <w:szCs w:val="18"/>
                          <w:lang w:val="pt-BR"/>
                        </w:rPr>
                        <w:t>/2</w:t>
                      </w:r>
                      <w:r w:rsidR="009B42B5" w:rsidRPr="00D47DA8">
                        <w:rPr>
                          <w:rFonts w:asciiTheme="majorHAnsi" w:hAnsiTheme="majorHAnsi"/>
                          <w:color w:val="595959" w:themeColor="text1" w:themeTint="A6"/>
                          <w:sz w:val="18"/>
                          <w:szCs w:val="18"/>
                          <w:lang w:val="pt-BR"/>
                        </w:rPr>
                        <w:t>2</w:t>
                      </w:r>
                      <w:r w:rsidRPr="00D47DA8">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A648CF">
                        <w:rPr>
                          <w:rFonts w:asciiTheme="majorHAnsi" w:hAnsiTheme="majorHAnsi"/>
                          <w:color w:val="595959" w:themeColor="text1" w:themeTint="A6"/>
                          <w:sz w:val="18"/>
                          <w:szCs w:val="18"/>
                          <w:lang w:val="es-ES"/>
                        </w:rPr>
                        <w:t>48</w:t>
                      </w:r>
                      <w:r w:rsidR="00623CF0">
                        <w:rPr>
                          <w:rFonts w:asciiTheme="majorHAnsi" w:hAnsiTheme="majorHAnsi"/>
                          <w:color w:val="595959" w:themeColor="text1" w:themeTint="A6"/>
                          <w:sz w:val="18"/>
                          <w:szCs w:val="18"/>
                          <w:lang w:val="es-ES"/>
                        </w:rPr>
                        <w:t>5-1</w:t>
                      </w:r>
                      <w:r w:rsidR="00A648CF">
                        <w:rPr>
                          <w:rFonts w:asciiTheme="majorHAnsi" w:hAnsiTheme="majorHAnsi"/>
                          <w:color w:val="595959" w:themeColor="text1" w:themeTint="A6"/>
                          <w:sz w:val="18"/>
                          <w:szCs w:val="18"/>
                          <w:lang w:val="es-ES"/>
                        </w:rPr>
                        <w:t>3</w:t>
                      </w:r>
                      <w:r>
                        <w:rPr>
                          <w:rFonts w:asciiTheme="majorHAnsi" w:hAnsiTheme="majorHAnsi"/>
                          <w:color w:val="595959" w:themeColor="text1" w:themeTint="A6"/>
                          <w:sz w:val="18"/>
                          <w:szCs w:val="18"/>
                          <w:lang w:val="es-ES"/>
                        </w:rPr>
                        <w:t xml:space="preserve"> </w:t>
                      </w:r>
                      <w:r w:rsidR="00D47DA8">
                        <w:rPr>
                          <w:rFonts w:asciiTheme="majorHAnsi" w:hAnsiTheme="majorHAnsi"/>
                          <w:color w:val="595959" w:themeColor="text1" w:themeTint="A6"/>
                          <w:sz w:val="18"/>
                          <w:szCs w:val="18"/>
                          <w:lang w:val="es-ES_tradnl"/>
                        </w:rPr>
                        <w:t>A</w:t>
                      </w:r>
                      <w:r w:rsidR="00A33348">
                        <w:rPr>
                          <w:rFonts w:asciiTheme="majorHAnsi" w:hAnsiTheme="majorHAnsi"/>
                          <w:color w:val="595959" w:themeColor="text1" w:themeTint="A6"/>
                          <w:sz w:val="18"/>
                          <w:szCs w:val="18"/>
                          <w:lang w:val="es-ES_tradnl"/>
                        </w:rPr>
                        <w:t>dmibisibilidad</w:t>
                      </w:r>
                      <w:r w:rsidRPr="00890650">
                        <w:rPr>
                          <w:rFonts w:asciiTheme="majorHAnsi" w:hAnsiTheme="majorHAnsi"/>
                          <w:color w:val="595959" w:themeColor="text1" w:themeTint="A6"/>
                          <w:sz w:val="18"/>
                          <w:szCs w:val="18"/>
                          <w:lang w:val="es-ES_tradnl"/>
                        </w:rPr>
                        <w:t xml:space="preserve">. </w:t>
                      </w:r>
                    </w:p>
                    <w:p w14:paraId="0CF2B52A" w14:textId="6BE189AE" w:rsidR="00511EBB" w:rsidRPr="007B05C4" w:rsidRDefault="00903DAC"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José Alejandro Escobar Vargas</w:t>
                      </w:r>
                      <w:r w:rsidR="00511EBB" w:rsidRPr="00890650">
                        <w:rPr>
                          <w:rFonts w:asciiTheme="majorHAnsi" w:hAnsiTheme="majorHAnsi"/>
                          <w:color w:val="595959" w:themeColor="text1" w:themeTint="A6"/>
                          <w:sz w:val="18"/>
                          <w:szCs w:val="18"/>
                          <w:lang w:val="es-ES_tradnl"/>
                        </w:rPr>
                        <w:t xml:space="preserve">. </w:t>
                      </w:r>
                      <w:r w:rsidR="00511EBB">
                        <w:rPr>
                          <w:rFonts w:asciiTheme="majorHAnsi" w:hAnsiTheme="majorHAnsi"/>
                          <w:color w:val="595959" w:themeColor="text1" w:themeTint="A6"/>
                          <w:sz w:val="18"/>
                          <w:szCs w:val="18"/>
                          <w:lang w:val="es-ES_tradnl"/>
                        </w:rPr>
                        <w:t>C</w:t>
                      </w:r>
                      <w:r w:rsidR="00B149FF">
                        <w:rPr>
                          <w:rFonts w:asciiTheme="majorHAnsi" w:hAnsiTheme="majorHAnsi"/>
                          <w:color w:val="595959" w:themeColor="text1" w:themeTint="A6"/>
                          <w:sz w:val="18"/>
                          <w:szCs w:val="18"/>
                          <w:lang w:val="es-ES_tradnl"/>
                        </w:rPr>
                        <w:t>olombia</w:t>
                      </w:r>
                      <w:r w:rsidR="00511EBB" w:rsidRPr="00890650">
                        <w:rPr>
                          <w:rFonts w:asciiTheme="majorHAnsi" w:hAnsiTheme="majorHAnsi"/>
                          <w:color w:val="595959" w:themeColor="text1" w:themeTint="A6"/>
                          <w:sz w:val="18"/>
                          <w:szCs w:val="18"/>
                          <w:lang w:val="es-ES_tradnl"/>
                        </w:rPr>
                        <w:t xml:space="preserve">. </w:t>
                      </w:r>
                      <w:r w:rsidR="00CB5A4B">
                        <w:rPr>
                          <w:rFonts w:asciiTheme="majorHAnsi" w:hAnsiTheme="majorHAnsi"/>
                          <w:color w:val="595959" w:themeColor="text1" w:themeTint="A6"/>
                          <w:sz w:val="18"/>
                          <w:szCs w:val="18"/>
                          <w:lang w:val="es-ES"/>
                        </w:rPr>
                        <w:t>13 de agosto de 2022</w:t>
                      </w:r>
                      <w:r w:rsidR="00511EBB"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144DA4E6"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1C9650D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01BBCC39" w:rsidR="000673D0" w:rsidRDefault="00472805" w:rsidP="000673D0">
      <w:pPr>
        <w:tabs>
          <w:tab w:val="center" w:pos="5400"/>
        </w:tabs>
        <w:suppressAutoHyphens/>
        <w:jc w:val="center"/>
        <w:rPr>
          <w:rFonts w:asciiTheme="majorHAnsi" w:hAnsiTheme="majorHAnsi"/>
          <w:b/>
          <w:sz w:val="20"/>
          <w:lang w:val="es-ES_tradnl"/>
        </w:rPr>
        <w:sectPr w:rsidR="000673D0"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27067887">
                <wp:simplePos x="0" y="0"/>
                <wp:positionH relativeFrom="column">
                  <wp:posOffset>1301115</wp:posOffset>
                </wp:positionH>
                <wp:positionV relativeFrom="paragraph">
                  <wp:posOffset>585198</wp:posOffset>
                </wp:positionV>
                <wp:extent cx="4096385" cy="566484"/>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4096385" cy="566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6E035330" w:rsidR="00511EBB" w:rsidRPr="00D72DC6" w:rsidRDefault="00472805" w:rsidP="000673D0">
                            <w:pPr>
                              <w:rPr>
                                <w:color w:val="FFFFFF" w:themeColor="background1"/>
                                <w14:textFill>
                                  <w14:noFill/>
                                </w14:textFill>
                              </w:rPr>
                            </w:pPr>
                            <w:r>
                              <w:rPr>
                                <w:noProof/>
                                <w:color w:val="FFFFFF" w:themeColor="background1"/>
                              </w:rPr>
                              <w:drawing>
                                <wp:inline distT="0" distB="0" distL="0" distR="0" wp14:anchorId="109B5053" wp14:editId="31654B9B">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2.45pt;margin-top:46.1pt;width:322.55pt;height:4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" fillcolor="white [3201]" stroked="f" strokeweight=".5pt">
                <v:textbox>
                  <w:txbxContent>
                    <w:p w14:paraId="561CB564" w14:textId="6E035330" w:rsidR="00511EBB" w:rsidRPr="00D72DC6" w:rsidRDefault="00472805" w:rsidP="000673D0">
                      <w:pPr>
                        <w:rPr>
                          <w:color w:val="FFFFFF" w:themeColor="background1"/>
                          <w14:textFill>
                            <w14:noFill/>
                          </w14:textFill>
                        </w:rPr>
                      </w:pPr>
                      <w:r>
                        <w:rPr>
                          <w:noProof/>
                          <w:color w:val="FFFFFF" w:themeColor="background1"/>
                        </w:rPr>
                        <w:drawing>
                          <wp:inline distT="0" distB="0" distL="0" distR="0" wp14:anchorId="109B5053" wp14:editId="31654B9B">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1E3B31" w:rsidRDefault="000673D0" w:rsidP="000673D0">
      <w:pPr>
        <w:spacing w:after="240"/>
        <w:ind w:firstLine="720"/>
        <w:jc w:val="both"/>
        <w:rPr>
          <w:rFonts w:asciiTheme="majorHAnsi" w:hAnsiTheme="majorHAnsi"/>
          <w:b/>
          <w:bCs/>
          <w:sz w:val="20"/>
          <w:szCs w:val="20"/>
          <w:lang w:val="es-ES_tradnl"/>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r>
      <w:r w:rsidRPr="001E3B31">
        <w:rPr>
          <w:rFonts w:asciiTheme="majorHAnsi" w:hAnsiTheme="majorHAnsi"/>
          <w:b/>
          <w:bCs/>
          <w:sz w:val="20"/>
          <w:szCs w:val="20"/>
          <w:lang w:val="es-ES_tradnl"/>
        </w:rPr>
        <w:t xml:space="preserve">DATOS DE LA PETICIÓN </w:t>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1E3B31" w:rsidRPr="001E3B31" w14:paraId="325744E4" w14:textId="77777777" w:rsidTr="00DD7C73">
        <w:tc>
          <w:tcPr>
            <w:tcW w:w="3600" w:type="dxa"/>
            <w:tcBorders>
              <w:top w:val="single" w:sz="4" w:space="0" w:color="auto"/>
              <w:bottom w:val="single" w:sz="6" w:space="0" w:color="auto"/>
            </w:tcBorders>
            <w:shd w:val="clear" w:color="auto" w:fill="386294"/>
            <w:vAlign w:val="center"/>
          </w:tcPr>
          <w:p w14:paraId="26710EBE" w14:textId="77777777" w:rsidR="000673D0" w:rsidRPr="001E3B31" w:rsidRDefault="000673D0" w:rsidP="00B46185">
            <w:pPr>
              <w:jc w:val="center"/>
              <w:rPr>
                <w:rFonts w:asciiTheme="majorHAnsi" w:hAnsiTheme="majorHAnsi"/>
                <w:b/>
                <w:bCs/>
                <w:color w:val="FFFFFF" w:themeColor="background1"/>
                <w:sz w:val="20"/>
                <w:szCs w:val="20"/>
                <w:lang w:val="es-ES_tradnl"/>
              </w:rPr>
            </w:pPr>
            <w:r w:rsidRPr="001E3B31">
              <w:rPr>
                <w:rFonts w:asciiTheme="majorHAnsi" w:hAnsiTheme="majorHAnsi"/>
                <w:b/>
                <w:bCs/>
                <w:color w:val="FFFFFF" w:themeColor="background1"/>
                <w:sz w:val="20"/>
                <w:szCs w:val="20"/>
                <w:lang w:val="es-ES_tradnl"/>
              </w:rPr>
              <w:t>Parte peticionaria:</w:t>
            </w:r>
          </w:p>
        </w:tc>
        <w:tc>
          <w:tcPr>
            <w:tcW w:w="5557" w:type="dxa"/>
            <w:vAlign w:val="center"/>
          </w:tcPr>
          <w:p w14:paraId="5A4F615E" w14:textId="6E81123D" w:rsidR="000673D0" w:rsidRPr="001E3B31" w:rsidRDefault="00903DAC" w:rsidP="00B46185">
            <w:pPr>
              <w:jc w:val="both"/>
              <w:rPr>
                <w:rFonts w:asciiTheme="majorHAnsi" w:hAnsiTheme="majorHAnsi"/>
                <w:bCs/>
                <w:sz w:val="20"/>
                <w:szCs w:val="20"/>
                <w:lang w:val="es-ES_tradnl"/>
              </w:rPr>
            </w:pPr>
            <w:r w:rsidRPr="001E3B31">
              <w:rPr>
                <w:rFonts w:asciiTheme="majorHAnsi" w:hAnsiTheme="majorHAnsi"/>
                <w:bCs/>
                <w:sz w:val="20"/>
                <w:szCs w:val="20"/>
                <w:lang w:val="es-ES_tradnl"/>
              </w:rPr>
              <w:t xml:space="preserve">Roger Socarras </w:t>
            </w:r>
            <w:r w:rsidR="00623CF0" w:rsidRPr="001E3B31">
              <w:rPr>
                <w:rFonts w:asciiTheme="majorHAnsi" w:hAnsiTheme="majorHAnsi"/>
                <w:bCs/>
                <w:sz w:val="20"/>
                <w:szCs w:val="20"/>
                <w:lang w:val="es-ES_tradnl"/>
              </w:rPr>
              <w:t xml:space="preserve"> </w:t>
            </w:r>
            <w:r w:rsidR="000E35B6" w:rsidRPr="001E3B31">
              <w:rPr>
                <w:rFonts w:asciiTheme="majorHAnsi" w:hAnsiTheme="majorHAnsi"/>
                <w:bCs/>
                <w:sz w:val="20"/>
                <w:szCs w:val="20"/>
                <w:lang w:val="es-ES_tradnl"/>
              </w:rPr>
              <w:t xml:space="preserve"> </w:t>
            </w:r>
          </w:p>
        </w:tc>
      </w:tr>
      <w:tr w:rsidR="001E3B31" w:rsidRPr="001E3B31" w14:paraId="79A5B539" w14:textId="77777777" w:rsidTr="00DD7C73">
        <w:tc>
          <w:tcPr>
            <w:tcW w:w="3600" w:type="dxa"/>
            <w:tcBorders>
              <w:top w:val="single" w:sz="6" w:space="0" w:color="auto"/>
              <w:bottom w:val="single" w:sz="6" w:space="0" w:color="auto"/>
            </w:tcBorders>
            <w:shd w:val="clear" w:color="auto" w:fill="386294"/>
            <w:vAlign w:val="center"/>
          </w:tcPr>
          <w:p w14:paraId="58FAAE53" w14:textId="77777777" w:rsidR="000673D0" w:rsidRPr="001E3B31" w:rsidRDefault="008439E3" w:rsidP="00B46185">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1E3B31">
                  <w:rPr>
                    <w:rFonts w:asciiTheme="majorHAnsi" w:hAnsiTheme="majorHAnsi"/>
                    <w:b/>
                    <w:bCs/>
                    <w:color w:val="FFFFFF" w:themeColor="background1"/>
                    <w:sz w:val="20"/>
                    <w:szCs w:val="20"/>
                    <w:lang w:val="es-ES_tradnl"/>
                  </w:rPr>
                  <w:t>Presunta víctima</w:t>
                </w:r>
              </w:sdtContent>
            </w:sdt>
            <w:r w:rsidR="000673D0" w:rsidRPr="001E3B31">
              <w:rPr>
                <w:rFonts w:asciiTheme="majorHAnsi" w:hAnsiTheme="majorHAnsi"/>
                <w:b/>
                <w:bCs/>
                <w:color w:val="FFFFFF" w:themeColor="background1"/>
                <w:sz w:val="20"/>
                <w:szCs w:val="20"/>
                <w:lang w:val="es-ES_tradnl"/>
              </w:rPr>
              <w:t>:</w:t>
            </w:r>
          </w:p>
        </w:tc>
        <w:tc>
          <w:tcPr>
            <w:tcW w:w="5557" w:type="dxa"/>
            <w:vAlign w:val="center"/>
          </w:tcPr>
          <w:p w14:paraId="23FE9BA4" w14:textId="517F6835" w:rsidR="000673D0" w:rsidRPr="001E3B31" w:rsidRDefault="00903DAC" w:rsidP="00B46622">
            <w:pPr>
              <w:jc w:val="both"/>
              <w:rPr>
                <w:rFonts w:asciiTheme="majorHAnsi" w:hAnsiTheme="majorHAnsi"/>
                <w:bCs/>
                <w:sz w:val="20"/>
                <w:szCs w:val="20"/>
                <w:lang w:val="es-ES_tradnl"/>
              </w:rPr>
            </w:pPr>
            <w:r w:rsidRPr="001E3B31">
              <w:rPr>
                <w:rFonts w:asciiTheme="majorHAnsi" w:hAnsiTheme="majorHAnsi"/>
                <w:bCs/>
                <w:sz w:val="20"/>
                <w:szCs w:val="20"/>
                <w:lang w:val="es-ES_tradnl"/>
              </w:rPr>
              <w:t>José Alejandro Escobar Vargas</w:t>
            </w:r>
          </w:p>
        </w:tc>
      </w:tr>
      <w:tr w:rsidR="001E3B31" w:rsidRPr="001E3B31" w14:paraId="45362DF7" w14:textId="77777777" w:rsidTr="00DD7C73">
        <w:tc>
          <w:tcPr>
            <w:tcW w:w="3600" w:type="dxa"/>
            <w:tcBorders>
              <w:top w:val="single" w:sz="6" w:space="0" w:color="auto"/>
              <w:bottom w:val="single" w:sz="6" w:space="0" w:color="auto"/>
            </w:tcBorders>
            <w:shd w:val="clear" w:color="auto" w:fill="386294"/>
            <w:vAlign w:val="center"/>
          </w:tcPr>
          <w:p w14:paraId="652632F5" w14:textId="77777777" w:rsidR="000673D0" w:rsidRPr="001E3B31" w:rsidRDefault="000673D0" w:rsidP="00B46185">
            <w:pPr>
              <w:jc w:val="center"/>
              <w:rPr>
                <w:rFonts w:asciiTheme="majorHAnsi" w:hAnsiTheme="majorHAnsi"/>
                <w:b/>
                <w:bCs/>
                <w:color w:val="FFFFFF" w:themeColor="background1"/>
                <w:sz w:val="20"/>
                <w:szCs w:val="20"/>
                <w:lang w:val="es-ES_tradnl"/>
              </w:rPr>
            </w:pPr>
            <w:r w:rsidRPr="001E3B31">
              <w:rPr>
                <w:rFonts w:asciiTheme="majorHAnsi" w:hAnsiTheme="majorHAnsi"/>
                <w:b/>
                <w:bCs/>
                <w:color w:val="FFFFFF" w:themeColor="background1"/>
                <w:sz w:val="20"/>
                <w:szCs w:val="20"/>
                <w:lang w:val="es-ES_tradnl"/>
              </w:rPr>
              <w:t>Estado denunciado:</w:t>
            </w:r>
          </w:p>
        </w:tc>
        <w:tc>
          <w:tcPr>
            <w:tcW w:w="5557" w:type="dxa"/>
            <w:vAlign w:val="center"/>
          </w:tcPr>
          <w:p w14:paraId="057DC689" w14:textId="399618B2" w:rsidR="000673D0" w:rsidRPr="001E3B31" w:rsidRDefault="00456D10" w:rsidP="00B46185">
            <w:pPr>
              <w:jc w:val="both"/>
              <w:rPr>
                <w:rFonts w:asciiTheme="majorHAnsi" w:hAnsiTheme="majorHAnsi"/>
                <w:bCs/>
                <w:sz w:val="20"/>
                <w:szCs w:val="20"/>
                <w:lang w:val="es-ES_tradnl"/>
              </w:rPr>
            </w:pPr>
            <w:r w:rsidRPr="001E3B31">
              <w:rPr>
                <w:rFonts w:asciiTheme="majorHAnsi" w:hAnsiTheme="majorHAnsi"/>
                <w:bCs/>
                <w:sz w:val="20"/>
                <w:szCs w:val="20"/>
                <w:lang w:val="es-ES_tradnl"/>
              </w:rPr>
              <w:t>Colombia</w:t>
            </w:r>
            <w:r w:rsidRPr="001E3B31">
              <w:rPr>
                <w:rStyle w:val="FootnoteReference"/>
                <w:rFonts w:asciiTheme="majorHAnsi" w:hAnsiTheme="majorHAnsi"/>
                <w:bCs/>
                <w:sz w:val="20"/>
                <w:szCs w:val="20"/>
                <w:lang w:val="es-ES_tradnl"/>
              </w:rPr>
              <w:footnoteReference w:id="2"/>
            </w:r>
          </w:p>
        </w:tc>
      </w:tr>
      <w:tr w:rsidR="001E3B31" w:rsidRPr="00A648CF" w14:paraId="4329FE9B" w14:textId="77777777" w:rsidTr="00DD7C73">
        <w:tc>
          <w:tcPr>
            <w:tcW w:w="3600" w:type="dxa"/>
            <w:tcBorders>
              <w:top w:val="single" w:sz="6" w:space="0" w:color="auto"/>
              <w:bottom w:val="single" w:sz="6" w:space="0" w:color="auto"/>
            </w:tcBorders>
            <w:shd w:val="clear" w:color="auto" w:fill="386294"/>
            <w:vAlign w:val="center"/>
          </w:tcPr>
          <w:p w14:paraId="4A8E3F69" w14:textId="77777777" w:rsidR="000673D0" w:rsidRPr="001E3B31" w:rsidRDefault="000673D0" w:rsidP="00B46185">
            <w:pPr>
              <w:jc w:val="center"/>
              <w:rPr>
                <w:rFonts w:asciiTheme="majorHAnsi" w:hAnsiTheme="majorHAnsi"/>
                <w:b/>
                <w:bCs/>
                <w:color w:val="FFFFFF" w:themeColor="background1"/>
                <w:sz w:val="20"/>
                <w:szCs w:val="20"/>
                <w:lang w:val="es-ES_tradnl"/>
              </w:rPr>
            </w:pPr>
            <w:r w:rsidRPr="001E3B31">
              <w:rPr>
                <w:rFonts w:asciiTheme="majorHAnsi" w:hAnsiTheme="majorHAnsi"/>
                <w:b/>
                <w:bCs/>
                <w:color w:val="FFFFFF" w:themeColor="background1"/>
                <w:sz w:val="20"/>
                <w:szCs w:val="20"/>
                <w:lang w:val="es-ES_tradnl"/>
              </w:rPr>
              <w:t>Derechos invocados:</w:t>
            </w:r>
          </w:p>
        </w:tc>
        <w:tc>
          <w:tcPr>
            <w:tcW w:w="5557" w:type="dxa"/>
            <w:vAlign w:val="center"/>
          </w:tcPr>
          <w:p w14:paraId="4E238173" w14:textId="6F7678A8" w:rsidR="000673D0" w:rsidRPr="001E3B31" w:rsidRDefault="00F308F1" w:rsidP="00BB4786">
            <w:pPr>
              <w:jc w:val="both"/>
              <w:rPr>
                <w:rFonts w:asciiTheme="majorHAnsi" w:hAnsiTheme="majorHAnsi"/>
                <w:bCs/>
                <w:sz w:val="20"/>
                <w:szCs w:val="20"/>
                <w:lang w:val="es-ES_tradnl"/>
              </w:rPr>
            </w:pPr>
            <w:r w:rsidRPr="001E3B31">
              <w:rPr>
                <w:rFonts w:asciiTheme="majorHAnsi" w:hAnsiTheme="majorHAnsi"/>
                <w:bCs/>
                <w:sz w:val="20"/>
                <w:szCs w:val="20"/>
                <w:lang w:val="es-ES_tradnl"/>
              </w:rPr>
              <w:t>Artículos</w:t>
            </w:r>
            <w:r w:rsidR="001B57D0" w:rsidRPr="001E3B31">
              <w:rPr>
                <w:rFonts w:asciiTheme="majorHAnsi" w:hAnsiTheme="majorHAnsi"/>
                <w:bCs/>
                <w:sz w:val="20"/>
                <w:szCs w:val="20"/>
                <w:lang w:val="es-ES_tradnl"/>
              </w:rPr>
              <w:t xml:space="preserve"> </w:t>
            </w:r>
            <w:r w:rsidR="00D92EA5" w:rsidRPr="001E3B31">
              <w:rPr>
                <w:rFonts w:asciiTheme="majorHAnsi" w:hAnsiTheme="majorHAnsi"/>
                <w:bCs/>
                <w:sz w:val="20"/>
                <w:szCs w:val="20"/>
                <w:lang w:val="es-ES_tradnl"/>
              </w:rPr>
              <w:t>3 (personalidad jurídica), 4 (vida) y 5 (integridad personal)</w:t>
            </w:r>
            <w:r w:rsidR="001B57D0" w:rsidRPr="001E3B31">
              <w:rPr>
                <w:rFonts w:asciiTheme="majorHAnsi" w:hAnsiTheme="majorHAnsi"/>
                <w:bCs/>
                <w:sz w:val="20"/>
                <w:szCs w:val="20"/>
                <w:lang w:val="es-ES_tradnl"/>
              </w:rPr>
              <w:t xml:space="preserve"> </w:t>
            </w:r>
            <w:r w:rsidRPr="001E3B31">
              <w:rPr>
                <w:rFonts w:asciiTheme="majorHAnsi" w:hAnsiTheme="majorHAnsi"/>
                <w:bCs/>
                <w:sz w:val="20"/>
                <w:szCs w:val="20"/>
                <w:lang w:val="es-ES_tradnl"/>
              </w:rPr>
              <w:t xml:space="preserve">Convención Americana </w:t>
            </w:r>
            <w:r w:rsidR="00DD7C73" w:rsidRPr="001E3B31">
              <w:rPr>
                <w:rFonts w:asciiTheme="majorHAnsi" w:hAnsiTheme="majorHAnsi"/>
                <w:bCs/>
                <w:sz w:val="20"/>
                <w:szCs w:val="20"/>
                <w:lang w:val="es-ES_tradnl"/>
              </w:rPr>
              <w:t>s</w:t>
            </w:r>
            <w:r w:rsidRPr="001E3B31">
              <w:rPr>
                <w:rFonts w:asciiTheme="majorHAnsi" w:hAnsiTheme="majorHAnsi"/>
                <w:bCs/>
                <w:sz w:val="20"/>
                <w:szCs w:val="20"/>
                <w:lang w:val="es-ES_tradnl"/>
              </w:rPr>
              <w:t>obre Derechos Humanos</w:t>
            </w:r>
            <w:r w:rsidRPr="001E3B31">
              <w:rPr>
                <w:rStyle w:val="FootnoteReference"/>
                <w:rFonts w:asciiTheme="majorHAnsi" w:hAnsiTheme="majorHAnsi"/>
                <w:bCs/>
                <w:sz w:val="20"/>
                <w:szCs w:val="20"/>
                <w:lang w:val="es-ES_tradnl"/>
              </w:rPr>
              <w:footnoteReference w:id="3"/>
            </w:r>
          </w:p>
        </w:tc>
      </w:tr>
    </w:tbl>
    <w:p w14:paraId="3D195461" w14:textId="77777777" w:rsidR="000673D0" w:rsidRPr="001E3B31" w:rsidRDefault="000673D0" w:rsidP="000673D0">
      <w:pPr>
        <w:spacing w:before="240" w:after="240"/>
        <w:ind w:firstLine="720"/>
        <w:jc w:val="both"/>
        <w:rPr>
          <w:rFonts w:asciiTheme="majorHAnsi" w:hAnsiTheme="majorHAnsi"/>
          <w:b/>
          <w:bCs/>
          <w:sz w:val="19"/>
          <w:szCs w:val="19"/>
          <w:lang w:val="es-ES_tradnl"/>
        </w:rPr>
      </w:pPr>
      <w:r w:rsidRPr="001E3B31">
        <w:rPr>
          <w:rFonts w:asciiTheme="majorHAnsi" w:hAnsiTheme="majorHAnsi"/>
          <w:b/>
          <w:bCs/>
          <w:sz w:val="19"/>
          <w:szCs w:val="19"/>
          <w:lang w:val="es-ES_tradnl"/>
        </w:rPr>
        <w:t>II.</w:t>
      </w:r>
      <w:r w:rsidRPr="001E3B31">
        <w:rPr>
          <w:rFonts w:asciiTheme="majorHAnsi" w:hAnsiTheme="majorHAnsi"/>
          <w:b/>
          <w:bCs/>
          <w:sz w:val="19"/>
          <w:szCs w:val="19"/>
          <w:lang w:val="es-ES_tradnl"/>
        </w:rPr>
        <w:tab/>
        <w:t>TRÁMITE ANTE LA CIDH</w:t>
      </w:r>
      <w:r w:rsidRPr="001E3B31">
        <w:rPr>
          <w:rStyle w:val="FootnoteReference"/>
          <w:rFonts w:asciiTheme="majorHAnsi" w:hAnsiTheme="majorHAnsi"/>
          <w:b/>
          <w:sz w:val="19"/>
          <w:szCs w:val="19"/>
          <w:lang w:val="es-ES_tradnl"/>
        </w:rPr>
        <w:footnoteReference w:id="4"/>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1E3B31" w:rsidRPr="001E3B31" w14:paraId="6D778EBA" w14:textId="77777777" w:rsidTr="00DD7C73">
        <w:tc>
          <w:tcPr>
            <w:tcW w:w="3600" w:type="dxa"/>
            <w:tcBorders>
              <w:top w:val="single" w:sz="6" w:space="0" w:color="auto"/>
              <w:bottom w:val="single" w:sz="6" w:space="0" w:color="auto"/>
            </w:tcBorders>
            <w:shd w:val="clear" w:color="auto" w:fill="386294"/>
            <w:vAlign w:val="center"/>
          </w:tcPr>
          <w:p w14:paraId="0FC6DF70" w14:textId="77777777" w:rsidR="000673D0" w:rsidRPr="001E3B31" w:rsidRDefault="000673D0" w:rsidP="00B46185">
            <w:pPr>
              <w:jc w:val="center"/>
              <w:rPr>
                <w:rFonts w:asciiTheme="majorHAnsi" w:hAnsiTheme="majorHAnsi"/>
                <w:b/>
                <w:bCs/>
                <w:color w:val="FFFFFF" w:themeColor="background1"/>
                <w:sz w:val="20"/>
                <w:szCs w:val="20"/>
                <w:lang w:val="es-ES_tradnl"/>
              </w:rPr>
            </w:pPr>
            <w:r w:rsidRPr="001E3B31">
              <w:rPr>
                <w:rFonts w:asciiTheme="majorHAnsi" w:hAnsiTheme="majorHAnsi"/>
                <w:b/>
                <w:bCs/>
                <w:color w:val="FFFFFF" w:themeColor="background1"/>
                <w:sz w:val="20"/>
                <w:szCs w:val="20"/>
                <w:lang w:val="es-ES_tradnl"/>
              </w:rPr>
              <w:t>Presentación de la petición:</w:t>
            </w:r>
          </w:p>
        </w:tc>
        <w:tc>
          <w:tcPr>
            <w:tcW w:w="5557" w:type="dxa"/>
            <w:vAlign w:val="center"/>
          </w:tcPr>
          <w:p w14:paraId="5B768921" w14:textId="456F8DB4" w:rsidR="000673D0" w:rsidRPr="001E3B31" w:rsidRDefault="00E0460E" w:rsidP="006C3525">
            <w:pPr>
              <w:jc w:val="both"/>
              <w:rPr>
                <w:rFonts w:asciiTheme="majorHAnsi" w:hAnsiTheme="majorHAnsi"/>
                <w:bCs/>
                <w:sz w:val="20"/>
                <w:szCs w:val="20"/>
                <w:lang w:val="es-ES_tradnl"/>
              </w:rPr>
            </w:pPr>
            <w:r w:rsidRPr="001E3B31">
              <w:rPr>
                <w:rFonts w:asciiTheme="majorHAnsi" w:hAnsiTheme="majorHAnsi"/>
                <w:bCs/>
                <w:sz w:val="20"/>
                <w:szCs w:val="20"/>
                <w:lang w:val="es-ES_tradnl"/>
              </w:rPr>
              <w:t>1</w:t>
            </w:r>
            <w:r w:rsidR="00D92EA5" w:rsidRPr="001E3B31">
              <w:rPr>
                <w:rFonts w:asciiTheme="majorHAnsi" w:hAnsiTheme="majorHAnsi"/>
                <w:bCs/>
                <w:sz w:val="20"/>
                <w:szCs w:val="20"/>
                <w:lang w:val="es-ES_tradnl"/>
              </w:rPr>
              <w:t>8 de marzo de 2013</w:t>
            </w:r>
          </w:p>
        </w:tc>
      </w:tr>
      <w:tr w:rsidR="001E3B31" w:rsidRPr="001E3B31" w14:paraId="5511A9CE" w14:textId="77777777" w:rsidTr="00DD7C73">
        <w:tc>
          <w:tcPr>
            <w:tcW w:w="3600" w:type="dxa"/>
            <w:tcBorders>
              <w:top w:val="single" w:sz="6" w:space="0" w:color="auto"/>
              <w:bottom w:val="single" w:sz="6" w:space="0" w:color="auto"/>
            </w:tcBorders>
            <w:shd w:val="clear" w:color="auto" w:fill="386294"/>
            <w:vAlign w:val="center"/>
          </w:tcPr>
          <w:p w14:paraId="1EAB6A50" w14:textId="77777777" w:rsidR="000673D0" w:rsidRPr="001E3B31" w:rsidRDefault="000673D0" w:rsidP="00B46185">
            <w:pPr>
              <w:jc w:val="center"/>
              <w:rPr>
                <w:rFonts w:asciiTheme="majorHAnsi" w:hAnsiTheme="majorHAnsi"/>
                <w:b/>
                <w:bCs/>
                <w:color w:val="FFFFFF" w:themeColor="background1"/>
                <w:sz w:val="20"/>
                <w:szCs w:val="20"/>
                <w:lang w:val="es-ES_tradnl"/>
              </w:rPr>
            </w:pPr>
            <w:r w:rsidRPr="001E3B31">
              <w:rPr>
                <w:rFonts w:asciiTheme="majorHAnsi" w:hAnsiTheme="majorHAnsi"/>
                <w:b/>
                <w:color w:val="FFFFFF" w:themeColor="background1"/>
                <w:sz w:val="20"/>
                <w:szCs w:val="20"/>
                <w:lang w:val="es-ES_tradnl"/>
              </w:rPr>
              <w:t>Notificación de la petición al Estado:</w:t>
            </w:r>
          </w:p>
        </w:tc>
        <w:tc>
          <w:tcPr>
            <w:tcW w:w="5557" w:type="dxa"/>
            <w:vAlign w:val="center"/>
          </w:tcPr>
          <w:p w14:paraId="311A328A" w14:textId="6E5DD165" w:rsidR="000673D0" w:rsidRPr="001E3B31" w:rsidRDefault="007D26D8" w:rsidP="006C3525">
            <w:pPr>
              <w:jc w:val="both"/>
              <w:rPr>
                <w:rFonts w:asciiTheme="majorHAnsi" w:hAnsiTheme="majorHAnsi"/>
                <w:bCs/>
                <w:sz w:val="20"/>
                <w:szCs w:val="20"/>
                <w:lang w:val="es-ES_tradnl"/>
              </w:rPr>
            </w:pPr>
            <w:r w:rsidRPr="001E3B31">
              <w:rPr>
                <w:rFonts w:asciiTheme="majorHAnsi" w:hAnsiTheme="majorHAnsi"/>
                <w:bCs/>
                <w:sz w:val="20"/>
                <w:szCs w:val="20"/>
                <w:lang w:val="es-ES_tradnl"/>
              </w:rPr>
              <w:t>22 de agosto de 2018</w:t>
            </w:r>
          </w:p>
        </w:tc>
      </w:tr>
      <w:tr w:rsidR="001E3B31" w:rsidRPr="001E3B31" w14:paraId="474D175D" w14:textId="77777777" w:rsidTr="00DD7C73">
        <w:tc>
          <w:tcPr>
            <w:tcW w:w="3600" w:type="dxa"/>
            <w:tcBorders>
              <w:top w:val="single" w:sz="6" w:space="0" w:color="auto"/>
              <w:bottom w:val="single" w:sz="6" w:space="0" w:color="auto"/>
            </w:tcBorders>
            <w:shd w:val="clear" w:color="auto" w:fill="386294"/>
            <w:vAlign w:val="center"/>
          </w:tcPr>
          <w:p w14:paraId="21AC1D3A" w14:textId="77777777" w:rsidR="000673D0" w:rsidRPr="001E3B31" w:rsidRDefault="000673D0" w:rsidP="00B46185">
            <w:pPr>
              <w:jc w:val="center"/>
              <w:rPr>
                <w:rFonts w:asciiTheme="majorHAnsi" w:hAnsiTheme="majorHAnsi"/>
                <w:b/>
                <w:bCs/>
                <w:color w:val="FFFFFF" w:themeColor="background1"/>
                <w:sz w:val="20"/>
                <w:szCs w:val="20"/>
                <w:lang w:val="es-ES_tradnl"/>
              </w:rPr>
            </w:pPr>
            <w:r w:rsidRPr="001E3B31">
              <w:rPr>
                <w:rFonts w:asciiTheme="majorHAnsi" w:hAnsiTheme="majorHAnsi"/>
                <w:b/>
                <w:color w:val="FFFFFF" w:themeColor="background1"/>
                <w:sz w:val="20"/>
                <w:szCs w:val="20"/>
                <w:lang w:val="es-ES_tradnl"/>
              </w:rPr>
              <w:t>Primera respuesta del Estado:</w:t>
            </w:r>
          </w:p>
        </w:tc>
        <w:tc>
          <w:tcPr>
            <w:tcW w:w="5557" w:type="dxa"/>
            <w:vAlign w:val="center"/>
          </w:tcPr>
          <w:p w14:paraId="62EA084B" w14:textId="356744E3" w:rsidR="000673D0" w:rsidRPr="001E3B31" w:rsidRDefault="007D26D8" w:rsidP="006C3525">
            <w:pPr>
              <w:jc w:val="both"/>
              <w:rPr>
                <w:rFonts w:asciiTheme="majorHAnsi" w:hAnsiTheme="majorHAnsi"/>
                <w:bCs/>
                <w:sz w:val="20"/>
                <w:szCs w:val="20"/>
                <w:lang w:val="es-ES_tradnl"/>
              </w:rPr>
            </w:pPr>
            <w:r w:rsidRPr="001E3B31">
              <w:rPr>
                <w:rFonts w:asciiTheme="majorHAnsi" w:hAnsiTheme="majorHAnsi"/>
                <w:bCs/>
                <w:sz w:val="20"/>
                <w:szCs w:val="20"/>
                <w:lang w:val="es-ES_tradnl"/>
              </w:rPr>
              <w:t>30 de mayo de 2019</w:t>
            </w:r>
          </w:p>
        </w:tc>
      </w:tr>
      <w:tr w:rsidR="001E3B31" w:rsidRPr="00A648CF" w14:paraId="28BDD87C" w14:textId="77777777" w:rsidTr="00DD7C73">
        <w:tc>
          <w:tcPr>
            <w:tcW w:w="3600" w:type="dxa"/>
            <w:tcBorders>
              <w:top w:val="single" w:sz="6" w:space="0" w:color="auto"/>
              <w:bottom w:val="single" w:sz="6" w:space="0" w:color="auto"/>
            </w:tcBorders>
            <w:shd w:val="clear" w:color="auto" w:fill="386294"/>
            <w:vAlign w:val="center"/>
          </w:tcPr>
          <w:p w14:paraId="46D0484D" w14:textId="7E70623F" w:rsidR="00473C9D" w:rsidRPr="001E3B31" w:rsidRDefault="00473C9D" w:rsidP="00B46185">
            <w:pPr>
              <w:jc w:val="center"/>
              <w:rPr>
                <w:rFonts w:asciiTheme="majorHAnsi" w:hAnsiTheme="majorHAnsi"/>
                <w:b/>
                <w:color w:val="FFFFFF" w:themeColor="background1"/>
                <w:sz w:val="20"/>
                <w:szCs w:val="20"/>
                <w:lang w:val="es-ES_tradnl"/>
              </w:rPr>
            </w:pPr>
            <w:r w:rsidRPr="001E3B31">
              <w:rPr>
                <w:rFonts w:asciiTheme="majorHAnsi" w:hAnsiTheme="majorHAnsi"/>
                <w:b/>
                <w:color w:val="FFFFFF" w:themeColor="background1"/>
                <w:sz w:val="20"/>
                <w:szCs w:val="20"/>
                <w:lang w:val="es-ES_tradnl"/>
              </w:rPr>
              <w:t xml:space="preserve">Observaciones adicionales de la parte peticionaria: </w:t>
            </w:r>
          </w:p>
        </w:tc>
        <w:tc>
          <w:tcPr>
            <w:tcW w:w="5557" w:type="dxa"/>
            <w:vAlign w:val="center"/>
          </w:tcPr>
          <w:p w14:paraId="3F728DFC" w14:textId="111AC615" w:rsidR="00473C9D" w:rsidRPr="001E3B31" w:rsidRDefault="001A7027" w:rsidP="006C3525">
            <w:pPr>
              <w:jc w:val="both"/>
              <w:rPr>
                <w:rFonts w:asciiTheme="majorHAnsi" w:hAnsiTheme="majorHAnsi"/>
                <w:bCs/>
                <w:sz w:val="20"/>
                <w:szCs w:val="20"/>
                <w:lang w:val="es-ES_tradnl"/>
              </w:rPr>
            </w:pPr>
            <w:r w:rsidRPr="001E3B31">
              <w:rPr>
                <w:rFonts w:asciiTheme="majorHAnsi" w:hAnsiTheme="majorHAnsi"/>
                <w:bCs/>
                <w:sz w:val="20"/>
                <w:szCs w:val="20"/>
                <w:lang w:val="es-ES_tradnl"/>
              </w:rPr>
              <w:t>3 de julio de 2019 y 22 de febrero de 2021</w:t>
            </w:r>
          </w:p>
        </w:tc>
      </w:tr>
      <w:tr w:rsidR="001E3B31" w:rsidRPr="001E3B31" w14:paraId="63732AD9" w14:textId="77777777" w:rsidTr="00DD7C73">
        <w:tc>
          <w:tcPr>
            <w:tcW w:w="3600" w:type="dxa"/>
            <w:tcBorders>
              <w:top w:val="single" w:sz="6" w:space="0" w:color="auto"/>
              <w:bottom w:val="single" w:sz="6" w:space="0" w:color="auto"/>
            </w:tcBorders>
            <w:shd w:val="clear" w:color="auto" w:fill="386294"/>
            <w:vAlign w:val="center"/>
          </w:tcPr>
          <w:p w14:paraId="5E1C69D7" w14:textId="61012178" w:rsidR="00473C9D" w:rsidRPr="001E3B31" w:rsidRDefault="000F35A9" w:rsidP="00B46185">
            <w:pPr>
              <w:jc w:val="center"/>
              <w:rPr>
                <w:rFonts w:asciiTheme="majorHAnsi" w:hAnsiTheme="majorHAnsi"/>
                <w:b/>
                <w:color w:val="FFFFFF" w:themeColor="background1"/>
                <w:sz w:val="20"/>
                <w:szCs w:val="20"/>
                <w:lang w:val="es-ES_tradnl"/>
              </w:rPr>
            </w:pPr>
            <w:r w:rsidRPr="001E3B31">
              <w:rPr>
                <w:rFonts w:asciiTheme="majorHAnsi" w:hAnsiTheme="majorHAnsi"/>
                <w:b/>
                <w:color w:val="FFFFFF" w:themeColor="background1"/>
                <w:sz w:val="20"/>
                <w:szCs w:val="20"/>
                <w:lang w:val="es-ES_tradnl"/>
              </w:rPr>
              <w:t>Observaciones adicionales del Estado:</w:t>
            </w:r>
          </w:p>
        </w:tc>
        <w:tc>
          <w:tcPr>
            <w:tcW w:w="5557" w:type="dxa"/>
            <w:vAlign w:val="center"/>
          </w:tcPr>
          <w:p w14:paraId="03154E8D" w14:textId="3AE6EC53" w:rsidR="00473C9D" w:rsidRPr="001E3B31" w:rsidRDefault="001A7027" w:rsidP="006C3525">
            <w:pPr>
              <w:jc w:val="both"/>
              <w:rPr>
                <w:rFonts w:asciiTheme="majorHAnsi" w:hAnsiTheme="majorHAnsi"/>
                <w:bCs/>
                <w:sz w:val="20"/>
                <w:szCs w:val="20"/>
                <w:lang w:val="es-ES_tradnl"/>
              </w:rPr>
            </w:pPr>
            <w:r w:rsidRPr="001E3B31">
              <w:rPr>
                <w:rFonts w:asciiTheme="majorHAnsi" w:hAnsiTheme="majorHAnsi"/>
                <w:bCs/>
                <w:sz w:val="20"/>
                <w:szCs w:val="20"/>
                <w:lang w:val="es-ES_tradnl"/>
              </w:rPr>
              <w:t>27 de noviembre de 2020</w:t>
            </w:r>
          </w:p>
        </w:tc>
      </w:tr>
    </w:tbl>
    <w:p w14:paraId="738616C2" w14:textId="77777777" w:rsidR="000673D0" w:rsidRPr="001E3B31" w:rsidRDefault="000673D0" w:rsidP="000673D0">
      <w:pPr>
        <w:spacing w:before="240" w:after="240"/>
        <w:ind w:firstLine="720"/>
        <w:jc w:val="both"/>
        <w:rPr>
          <w:rFonts w:asciiTheme="majorHAnsi" w:hAnsiTheme="majorHAnsi"/>
          <w:b/>
          <w:bCs/>
          <w:sz w:val="19"/>
          <w:szCs w:val="19"/>
          <w:lang w:val="es-ES_tradnl"/>
        </w:rPr>
      </w:pPr>
      <w:r w:rsidRPr="001E3B31">
        <w:rPr>
          <w:rFonts w:asciiTheme="majorHAnsi" w:hAnsiTheme="majorHAnsi"/>
          <w:b/>
          <w:bCs/>
          <w:sz w:val="19"/>
          <w:szCs w:val="19"/>
          <w:lang w:val="es-ES_tradnl"/>
        </w:rPr>
        <w:t xml:space="preserve">III. </w:t>
      </w:r>
      <w:r w:rsidRPr="001E3B31">
        <w:rPr>
          <w:rFonts w:asciiTheme="majorHAnsi" w:hAnsiTheme="majorHAnsi"/>
          <w:b/>
          <w:bCs/>
          <w:sz w:val="19"/>
          <w:szCs w:val="19"/>
          <w:lang w:val="es-ES_tradnl"/>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596"/>
      </w:tblGrid>
      <w:tr w:rsidR="001E3B31" w:rsidRPr="001E3B31" w14:paraId="3225DD29" w14:textId="77777777" w:rsidTr="00DD7C73">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1E3B31" w:rsidRDefault="000673D0" w:rsidP="00B46185">
            <w:pPr>
              <w:jc w:val="center"/>
              <w:rPr>
                <w:rFonts w:asciiTheme="majorHAnsi" w:hAnsiTheme="majorHAnsi"/>
                <w:b/>
                <w:bCs/>
                <w:i/>
                <w:color w:val="FFFFFF" w:themeColor="background1"/>
                <w:sz w:val="20"/>
                <w:szCs w:val="20"/>
                <w:lang w:val="es-ES_tradnl"/>
              </w:rPr>
            </w:pPr>
            <w:r w:rsidRPr="001E3B31">
              <w:rPr>
                <w:rFonts w:asciiTheme="majorHAnsi" w:hAnsiTheme="majorHAnsi"/>
                <w:b/>
                <w:bCs/>
                <w:color w:val="FFFFFF" w:themeColor="background1"/>
                <w:sz w:val="20"/>
                <w:szCs w:val="20"/>
                <w:lang w:val="es-ES_tradnl"/>
              </w:rPr>
              <w:t>Competencia</w:t>
            </w:r>
            <w:r w:rsidRPr="001E3B31">
              <w:rPr>
                <w:rFonts w:asciiTheme="majorHAnsi" w:hAnsiTheme="majorHAnsi"/>
                <w:b/>
                <w:bCs/>
                <w:i/>
                <w:color w:val="FFFFFF" w:themeColor="background1"/>
                <w:sz w:val="20"/>
                <w:szCs w:val="20"/>
                <w:lang w:val="es-ES_tradnl"/>
              </w:rPr>
              <w:t xml:space="preserve"> Ratione personae:</w:t>
            </w:r>
          </w:p>
        </w:tc>
        <w:tc>
          <w:tcPr>
            <w:tcW w:w="5596" w:type="dxa"/>
            <w:vAlign w:val="center"/>
          </w:tcPr>
          <w:p w14:paraId="55AEE8CD" w14:textId="77777777" w:rsidR="000673D0" w:rsidRPr="001E3B31" w:rsidRDefault="000673D0" w:rsidP="00B46185">
            <w:pPr>
              <w:rPr>
                <w:rFonts w:asciiTheme="majorHAnsi" w:hAnsiTheme="majorHAnsi"/>
                <w:bCs/>
                <w:sz w:val="20"/>
                <w:szCs w:val="20"/>
                <w:lang w:val="es-ES_tradnl"/>
              </w:rPr>
            </w:pPr>
            <w:r w:rsidRPr="001E3B31">
              <w:rPr>
                <w:rFonts w:asciiTheme="majorHAnsi" w:hAnsiTheme="majorHAnsi"/>
                <w:bCs/>
                <w:sz w:val="20"/>
                <w:szCs w:val="20"/>
                <w:lang w:val="es-ES_tradnl"/>
              </w:rPr>
              <w:t>Sí</w:t>
            </w:r>
          </w:p>
        </w:tc>
      </w:tr>
      <w:tr w:rsidR="001E3B31" w:rsidRPr="001E3B31" w14:paraId="10BCE6F2" w14:textId="77777777" w:rsidTr="00DD7C73">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1E3B31" w:rsidRDefault="000673D0" w:rsidP="00B46185">
            <w:pPr>
              <w:jc w:val="center"/>
              <w:rPr>
                <w:rFonts w:asciiTheme="majorHAnsi" w:hAnsiTheme="majorHAnsi"/>
                <w:b/>
                <w:bCs/>
                <w:color w:val="FFFFFF" w:themeColor="background1"/>
                <w:sz w:val="20"/>
                <w:szCs w:val="20"/>
                <w:lang w:val="es-ES_tradnl"/>
              </w:rPr>
            </w:pPr>
            <w:r w:rsidRPr="001E3B31">
              <w:rPr>
                <w:rFonts w:asciiTheme="majorHAnsi" w:hAnsiTheme="majorHAnsi"/>
                <w:b/>
                <w:bCs/>
                <w:color w:val="FFFFFF" w:themeColor="background1"/>
                <w:sz w:val="20"/>
                <w:szCs w:val="20"/>
                <w:lang w:val="es-ES_tradnl"/>
              </w:rPr>
              <w:t>Competencia</w:t>
            </w:r>
            <w:r w:rsidRPr="001E3B31">
              <w:rPr>
                <w:rFonts w:asciiTheme="majorHAnsi" w:hAnsiTheme="majorHAnsi"/>
                <w:b/>
                <w:bCs/>
                <w:i/>
                <w:color w:val="FFFFFF" w:themeColor="background1"/>
                <w:sz w:val="20"/>
                <w:szCs w:val="20"/>
                <w:lang w:val="es-ES_tradnl"/>
              </w:rPr>
              <w:t xml:space="preserve"> Ratione loci</w:t>
            </w:r>
            <w:r w:rsidRPr="001E3B31">
              <w:rPr>
                <w:rFonts w:asciiTheme="majorHAnsi" w:hAnsiTheme="majorHAnsi"/>
                <w:b/>
                <w:bCs/>
                <w:color w:val="FFFFFF" w:themeColor="background1"/>
                <w:sz w:val="20"/>
                <w:szCs w:val="20"/>
                <w:lang w:val="es-ES_tradnl"/>
              </w:rPr>
              <w:t>:</w:t>
            </w:r>
          </w:p>
        </w:tc>
        <w:tc>
          <w:tcPr>
            <w:tcW w:w="5596" w:type="dxa"/>
            <w:vAlign w:val="center"/>
          </w:tcPr>
          <w:p w14:paraId="77DDBD87" w14:textId="77777777" w:rsidR="000673D0" w:rsidRPr="001E3B31" w:rsidRDefault="000673D0" w:rsidP="00B46185">
            <w:pPr>
              <w:rPr>
                <w:rFonts w:asciiTheme="majorHAnsi" w:hAnsiTheme="majorHAnsi"/>
                <w:bCs/>
                <w:sz w:val="20"/>
                <w:szCs w:val="20"/>
                <w:lang w:val="es-ES_tradnl"/>
              </w:rPr>
            </w:pPr>
            <w:r w:rsidRPr="001E3B31">
              <w:rPr>
                <w:rFonts w:asciiTheme="majorHAnsi" w:hAnsiTheme="majorHAnsi"/>
                <w:bCs/>
                <w:sz w:val="20"/>
                <w:szCs w:val="20"/>
                <w:lang w:val="es-ES_tradnl"/>
              </w:rPr>
              <w:t>Sí</w:t>
            </w:r>
          </w:p>
        </w:tc>
      </w:tr>
      <w:tr w:rsidR="001E3B31" w:rsidRPr="001E3B31" w14:paraId="351D9A06" w14:textId="77777777" w:rsidTr="00DD7C73">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1E3B31" w:rsidRDefault="000673D0" w:rsidP="00B46185">
            <w:pPr>
              <w:jc w:val="center"/>
              <w:rPr>
                <w:rFonts w:asciiTheme="majorHAnsi" w:hAnsiTheme="majorHAnsi"/>
                <w:b/>
                <w:bCs/>
                <w:color w:val="FFFFFF" w:themeColor="background1"/>
                <w:sz w:val="20"/>
                <w:szCs w:val="20"/>
                <w:lang w:val="es-ES_tradnl"/>
              </w:rPr>
            </w:pPr>
            <w:r w:rsidRPr="001E3B31">
              <w:rPr>
                <w:rFonts w:asciiTheme="majorHAnsi" w:hAnsiTheme="majorHAnsi"/>
                <w:b/>
                <w:bCs/>
                <w:color w:val="FFFFFF" w:themeColor="background1"/>
                <w:sz w:val="20"/>
                <w:szCs w:val="20"/>
                <w:lang w:val="es-ES_tradnl"/>
              </w:rPr>
              <w:t>Competencia</w:t>
            </w:r>
            <w:r w:rsidRPr="001E3B31">
              <w:rPr>
                <w:rFonts w:asciiTheme="majorHAnsi" w:hAnsiTheme="majorHAnsi"/>
                <w:b/>
                <w:bCs/>
                <w:i/>
                <w:color w:val="FFFFFF" w:themeColor="background1"/>
                <w:sz w:val="20"/>
                <w:szCs w:val="20"/>
                <w:lang w:val="es-ES_tradnl"/>
              </w:rPr>
              <w:t xml:space="preserve"> Ratione temporis</w:t>
            </w:r>
            <w:r w:rsidRPr="001E3B31">
              <w:rPr>
                <w:rFonts w:asciiTheme="majorHAnsi" w:hAnsiTheme="majorHAnsi"/>
                <w:b/>
                <w:bCs/>
                <w:color w:val="FFFFFF" w:themeColor="background1"/>
                <w:sz w:val="20"/>
                <w:szCs w:val="20"/>
                <w:lang w:val="es-ES_tradnl"/>
              </w:rPr>
              <w:t>:</w:t>
            </w:r>
          </w:p>
        </w:tc>
        <w:tc>
          <w:tcPr>
            <w:tcW w:w="5596" w:type="dxa"/>
            <w:vAlign w:val="center"/>
          </w:tcPr>
          <w:p w14:paraId="76910945" w14:textId="06FE982B" w:rsidR="000673D0" w:rsidRPr="001E3B31" w:rsidRDefault="000673D0" w:rsidP="00CF41C4">
            <w:pPr>
              <w:rPr>
                <w:rFonts w:asciiTheme="majorHAnsi" w:hAnsiTheme="majorHAnsi"/>
                <w:bCs/>
                <w:sz w:val="20"/>
                <w:szCs w:val="20"/>
                <w:lang w:val="es-ES_tradnl"/>
              </w:rPr>
            </w:pPr>
            <w:r w:rsidRPr="001E3B31">
              <w:rPr>
                <w:rFonts w:asciiTheme="majorHAnsi" w:hAnsiTheme="majorHAnsi"/>
                <w:bCs/>
                <w:sz w:val="20"/>
                <w:szCs w:val="20"/>
                <w:lang w:val="es-ES_tradnl"/>
              </w:rPr>
              <w:t>Sí</w:t>
            </w:r>
            <w:r w:rsidR="009C6CB7" w:rsidRPr="001E3B31">
              <w:rPr>
                <w:rFonts w:asciiTheme="majorHAnsi" w:hAnsiTheme="majorHAnsi"/>
                <w:bCs/>
                <w:sz w:val="20"/>
                <w:szCs w:val="20"/>
                <w:lang w:val="es-ES_tradnl"/>
              </w:rPr>
              <w:t>,</w:t>
            </w:r>
          </w:p>
        </w:tc>
      </w:tr>
      <w:tr w:rsidR="001E3B31" w:rsidRPr="00A648CF" w14:paraId="160B34C2" w14:textId="77777777" w:rsidTr="00DD7C73">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1E3B31" w:rsidRDefault="000673D0" w:rsidP="00B46185">
            <w:pPr>
              <w:jc w:val="center"/>
              <w:rPr>
                <w:rFonts w:asciiTheme="majorHAnsi" w:hAnsiTheme="majorHAnsi"/>
                <w:b/>
                <w:bCs/>
                <w:color w:val="FFFFFF" w:themeColor="background1"/>
                <w:sz w:val="20"/>
                <w:szCs w:val="20"/>
                <w:lang w:val="es-ES_tradnl"/>
              </w:rPr>
            </w:pPr>
            <w:r w:rsidRPr="001E3B31">
              <w:rPr>
                <w:rFonts w:asciiTheme="majorHAnsi" w:hAnsiTheme="majorHAnsi"/>
                <w:b/>
                <w:bCs/>
                <w:color w:val="FFFFFF" w:themeColor="background1"/>
                <w:sz w:val="20"/>
                <w:szCs w:val="20"/>
                <w:lang w:val="es-ES_tradnl"/>
              </w:rPr>
              <w:t>Competencia</w:t>
            </w:r>
            <w:r w:rsidRPr="001E3B31">
              <w:rPr>
                <w:rFonts w:asciiTheme="majorHAnsi" w:hAnsiTheme="majorHAnsi"/>
                <w:b/>
                <w:bCs/>
                <w:i/>
                <w:color w:val="FFFFFF" w:themeColor="background1"/>
                <w:sz w:val="20"/>
                <w:szCs w:val="20"/>
                <w:lang w:val="es-ES_tradnl"/>
              </w:rPr>
              <w:t xml:space="preserve"> Ratione materiae</w:t>
            </w:r>
            <w:r w:rsidRPr="001E3B31">
              <w:rPr>
                <w:rFonts w:asciiTheme="majorHAnsi" w:hAnsiTheme="majorHAnsi"/>
                <w:b/>
                <w:bCs/>
                <w:color w:val="FFFFFF" w:themeColor="background1"/>
                <w:sz w:val="20"/>
                <w:szCs w:val="20"/>
                <w:lang w:val="es-ES_tradnl"/>
              </w:rPr>
              <w:t>:</w:t>
            </w:r>
          </w:p>
        </w:tc>
        <w:tc>
          <w:tcPr>
            <w:tcW w:w="5596" w:type="dxa"/>
            <w:vAlign w:val="center"/>
          </w:tcPr>
          <w:p w14:paraId="6AB0A733" w14:textId="03BBF9F7" w:rsidR="000673D0" w:rsidRPr="001E3B31" w:rsidRDefault="000673D0" w:rsidP="00DD7C73">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_tradnl"/>
              </w:rPr>
            </w:pPr>
            <w:r w:rsidRPr="001E3B31">
              <w:rPr>
                <w:rFonts w:asciiTheme="majorHAnsi" w:hAnsiTheme="majorHAnsi"/>
                <w:bCs/>
                <w:sz w:val="20"/>
                <w:szCs w:val="20"/>
                <w:lang w:val="es-ES_tradnl"/>
              </w:rPr>
              <w:t xml:space="preserve">Sí, Convención Americana </w:t>
            </w:r>
            <w:r w:rsidR="0030535D" w:rsidRPr="001E3B31">
              <w:rPr>
                <w:rFonts w:asciiTheme="majorHAnsi" w:hAnsiTheme="majorHAnsi"/>
                <w:bCs/>
                <w:sz w:val="20"/>
                <w:szCs w:val="20"/>
                <w:lang w:val="es-ES_tradnl"/>
              </w:rPr>
              <w:t>(depósito del instrumento realizado el</w:t>
            </w:r>
            <w:r w:rsidR="00DD7C73" w:rsidRPr="001E3B31">
              <w:rPr>
                <w:rFonts w:asciiTheme="majorHAnsi" w:hAnsiTheme="majorHAnsi"/>
                <w:bCs/>
                <w:sz w:val="20"/>
                <w:szCs w:val="20"/>
                <w:lang w:val="es-ES_tradnl"/>
              </w:rPr>
              <w:t xml:space="preserve"> </w:t>
            </w:r>
            <w:r w:rsidR="00486BCE" w:rsidRPr="001E3B31">
              <w:rPr>
                <w:rFonts w:asciiTheme="majorHAnsi" w:hAnsiTheme="majorHAnsi"/>
                <w:bCs/>
                <w:sz w:val="20"/>
                <w:szCs w:val="20"/>
                <w:lang w:val="es-ES_tradnl"/>
              </w:rPr>
              <w:t>31 de julio de 1973</w:t>
            </w:r>
            <w:r w:rsidR="0030535D" w:rsidRPr="001E3B31">
              <w:rPr>
                <w:rFonts w:asciiTheme="majorHAnsi" w:hAnsiTheme="majorHAnsi"/>
                <w:bCs/>
                <w:sz w:val="20"/>
                <w:szCs w:val="20"/>
                <w:lang w:val="es-ES_tradnl"/>
              </w:rPr>
              <w:t>)</w:t>
            </w:r>
          </w:p>
        </w:tc>
      </w:tr>
    </w:tbl>
    <w:p w14:paraId="46F3B92A" w14:textId="369696BD" w:rsidR="000673D0" w:rsidRPr="001E3B31" w:rsidRDefault="000673D0" w:rsidP="000673D0">
      <w:pPr>
        <w:spacing w:before="240" w:after="240"/>
        <w:ind w:firstLine="720"/>
        <w:jc w:val="both"/>
        <w:rPr>
          <w:rFonts w:asciiTheme="majorHAnsi" w:hAnsiTheme="majorHAnsi"/>
          <w:b/>
          <w:bCs/>
          <w:sz w:val="19"/>
          <w:szCs w:val="19"/>
          <w:lang w:val="es-ES_tradnl"/>
        </w:rPr>
      </w:pPr>
      <w:r w:rsidRPr="001E3B31">
        <w:rPr>
          <w:rFonts w:asciiTheme="majorHAnsi" w:hAnsiTheme="majorHAnsi"/>
          <w:b/>
          <w:bCs/>
          <w:sz w:val="19"/>
          <w:szCs w:val="19"/>
          <w:lang w:val="es-ES_tradnl"/>
        </w:rPr>
        <w:t xml:space="preserve">IV. </w:t>
      </w:r>
      <w:r w:rsidRPr="001E3B31">
        <w:rPr>
          <w:rFonts w:asciiTheme="majorHAnsi" w:hAnsiTheme="majorHAnsi"/>
          <w:b/>
          <w:bCs/>
          <w:sz w:val="19"/>
          <w:szCs w:val="19"/>
          <w:lang w:val="es-ES_tradnl"/>
        </w:rPr>
        <w:tab/>
        <w:t>DUPLICACIÓN DE PROCEDIMIENTOS Y COSA JUZGADA</w:t>
      </w:r>
      <w:r w:rsidR="002E4781" w:rsidRPr="001E3B31">
        <w:rPr>
          <w:rFonts w:asciiTheme="majorHAnsi" w:hAnsiTheme="majorHAnsi"/>
          <w:b/>
          <w:bCs/>
          <w:i/>
          <w:sz w:val="19"/>
          <w:szCs w:val="19"/>
          <w:lang w:val="es-ES_tradnl"/>
        </w:rPr>
        <w:t xml:space="preserve"> </w:t>
      </w:r>
      <w:r w:rsidR="00CF41C4" w:rsidRPr="001E3B31">
        <w:rPr>
          <w:rFonts w:asciiTheme="majorHAnsi" w:hAnsiTheme="majorHAnsi"/>
          <w:b/>
          <w:bCs/>
          <w:sz w:val="19"/>
          <w:szCs w:val="19"/>
          <w:lang w:val="es-ES_tradnl"/>
        </w:rPr>
        <w:t xml:space="preserve">INTERNACIONAL, </w:t>
      </w:r>
      <w:r w:rsidRPr="001E3B31">
        <w:rPr>
          <w:rFonts w:asciiTheme="majorHAnsi" w:hAnsiTheme="majorHAnsi"/>
          <w:b/>
          <w:bCs/>
          <w:sz w:val="19"/>
          <w:szCs w:val="19"/>
          <w:lang w:val="es-ES_tradnl"/>
        </w:rPr>
        <w:t xml:space="preserve">CARACTERIZACIÓN, </w:t>
      </w:r>
      <w:r w:rsidRPr="001E3B31">
        <w:rPr>
          <w:rFonts w:asciiTheme="majorHAnsi" w:hAnsiTheme="majorHAnsi"/>
          <w:b/>
          <w:sz w:val="19"/>
          <w:szCs w:val="19"/>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593"/>
      </w:tblGrid>
      <w:tr w:rsidR="001E3B31" w:rsidRPr="001E3B31" w14:paraId="3755C687" w14:textId="77777777" w:rsidTr="00DD7C73">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1E3B31" w:rsidRDefault="000673D0" w:rsidP="00B46185">
            <w:pPr>
              <w:jc w:val="center"/>
              <w:rPr>
                <w:rFonts w:asciiTheme="majorHAnsi" w:hAnsiTheme="majorHAnsi"/>
                <w:b/>
                <w:bCs/>
                <w:color w:val="FFFFFF" w:themeColor="background1"/>
                <w:sz w:val="20"/>
                <w:szCs w:val="20"/>
                <w:lang w:val="es-ES_tradnl"/>
              </w:rPr>
            </w:pPr>
            <w:r w:rsidRPr="001E3B31">
              <w:rPr>
                <w:rFonts w:asciiTheme="majorHAnsi" w:hAnsiTheme="majorHAnsi"/>
                <w:b/>
                <w:bCs/>
                <w:color w:val="FFFFFF" w:themeColor="background1"/>
                <w:sz w:val="20"/>
                <w:szCs w:val="20"/>
                <w:lang w:val="es-ES_tradnl"/>
              </w:rPr>
              <w:t>Duplicación de procedimientos y cosa juzgada internacional:</w:t>
            </w:r>
          </w:p>
        </w:tc>
        <w:tc>
          <w:tcPr>
            <w:tcW w:w="5593" w:type="dxa"/>
            <w:vAlign w:val="center"/>
          </w:tcPr>
          <w:p w14:paraId="72801941" w14:textId="77777777" w:rsidR="000673D0" w:rsidRPr="001E3B31" w:rsidRDefault="000673D0" w:rsidP="00B46185">
            <w:pPr>
              <w:jc w:val="both"/>
              <w:rPr>
                <w:rFonts w:asciiTheme="majorHAnsi" w:hAnsiTheme="majorHAnsi"/>
                <w:bCs/>
                <w:sz w:val="20"/>
                <w:szCs w:val="20"/>
                <w:lang w:val="es-ES_tradnl"/>
              </w:rPr>
            </w:pPr>
            <w:r w:rsidRPr="001E3B31">
              <w:rPr>
                <w:rFonts w:asciiTheme="majorHAnsi" w:hAnsiTheme="majorHAnsi"/>
                <w:bCs/>
                <w:sz w:val="20"/>
                <w:szCs w:val="20"/>
                <w:lang w:val="es-ES_tradnl"/>
              </w:rPr>
              <w:t>No</w:t>
            </w:r>
          </w:p>
        </w:tc>
      </w:tr>
      <w:tr w:rsidR="001E3B31" w:rsidRPr="001E3B31" w14:paraId="5733AA78" w14:textId="77777777" w:rsidTr="00486BCE">
        <w:trPr>
          <w:cantSplit/>
          <w:trHeight w:val="300"/>
        </w:trPr>
        <w:tc>
          <w:tcPr>
            <w:tcW w:w="3564" w:type="dxa"/>
            <w:tcBorders>
              <w:top w:val="single" w:sz="4" w:space="0" w:color="auto"/>
              <w:bottom w:val="single" w:sz="6" w:space="0" w:color="auto"/>
            </w:tcBorders>
            <w:shd w:val="clear" w:color="auto" w:fill="386294"/>
            <w:vAlign w:val="center"/>
          </w:tcPr>
          <w:p w14:paraId="70AE02E1" w14:textId="77777777" w:rsidR="000673D0" w:rsidRPr="001E3B31" w:rsidRDefault="000673D0" w:rsidP="00B46185">
            <w:pPr>
              <w:jc w:val="center"/>
              <w:rPr>
                <w:rFonts w:asciiTheme="majorHAnsi" w:hAnsiTheme="majorHAnsi"/>
                <w:b/>
                <w:bCs/>
                <w:i/>
                <w:color w:val="FFFFFF" w:themeColor="background1"/>
                <w:sz w:val="20"/>
                <w:szCs w:val="20"/>
                <w:lang w:val="es-ES_tradnl"/>
              </w:rPr>
            </w:pPr>
            <w:r w:rsidRPr="001E3B31">
              <w:rPr>
                <w:rFonts w:asciiTheme="majorHAnsi" w:hAnsiTheme="majorHAnsi"/>
                <w:b/>
                <w:bCs/>
                <w:color w:val="FFFFFF" w:themeColor="background1"/>
                <w:sz w:val="20"/>
                <w:szCs w:val="20"/>
                <w:lang w:val="es-ES_tradnl"/>
              </w:rPr>
              <w:t>Derechos declarados admisibles</w:t>
            </w:r>
            <w:r w:rsidRPr="001E3B31">
              <w:rPr>
                <w:rFonts w:asciiTheme="majorHAnsi" w:hAnsiTheme="majorHAnsi"/>
                <w:b/>
                <w:bCs/>
                <w:i/>
                <w:color w:val="FFFFFF" w:themeColor="background1"/>
                <w:sz w:val="20"/>
                <w:szCs w:val="20"/>
                <w:lang w:val="es-ES_tradnl"/>
              </w:rPr>
              <w:t>:</w:t>
            </w:r>
          </w:p>
        </w:tc>
        <w:tc>
          <w:tcPr>
            <w:tcW w:w="5593" w:type="dxa"/>
            <w:vAlign w:val="center"/>
          </w:tcPr>
          <w:p w14:paraId="5EB169C6" w14:textId="3E2AEF95" w:rsidR="000673D0" w:rsidRPr="001E3B31" w:rsidRDefault="008E2347" w:rsidP="00CE73C2">
            <w:pPr>
              <w:jc w:val="both"/>
              <w:rPr>
                <w:rFonts w:asciiTheme="majorHAnsi" w:hAnsiTheme="majorHAnsi"/>
                <w:bCs/>
                <w:sz w:val="20"/>
                <w:szCs w:val="20"/>
                <w:lang w:val="es-ES_tradnl" w:eastAsia="es-ES"/>
              </w:rPr>
            </w:pPr>
            <w:r w:rsidRPr="001E3B31">
              <w:rPr>
                <w:rFonts w:asciiTheme="majorHAnsi" w:hAnsiTheme="majorHAnsi"/>
                <w:bCs/>
                <w:sz w:val="20"/>
                <w:szCs w:val="20"/>
                <w:lang w:val="es-ES_tradnl"/>
              </w:rPr>
              <w:t xml:space="preserve">Artículos </w:t>
            </w:r>
            <w:r w:rsidR="001A7027" w:rsidRPr="001E3B31">
              <w:rPr>
                <w:rFonts w:asciiTheme="majorHAnsi" w:hAnsiTheme="majorHAnsi"/>
                <w:bCs/>
                <w:sz w:val="20"/>
                <w:szCs w:val="20"/>
                <w:lang w:val="es-ES_tradnl"/>
              </w:rPr>
              <w:t>4 (vida), 5 (integridad personal), 8 (garantías judiciales) y 25 (protección judicial) de la Convención Americana en relación con su artículo 1.1. (obligación de respetar los derechos)</w:t>
            </w:r>
          </w:p>
        </w:tc>
      </w:tr>
      <w:tr w:rsidR="001E3B31" w:rsidRPr="00A648CF" w14:paraId="56C738B6" w14:textId="77777777" w:rsidTr="00DD7C73">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1E3B31" w:rsidRDefault="000673D0" w:rsidP="00B46185">
            <w:pPr>
              <w:jc w:val="center"/>
              <w:rPr>
                <w:rFonts w:asciiTheme="majorHAnsi" w:hAnsiTheme="majorHAnsi"/>
                <w:b/>
                <w:bCs/>
                <w:color w:val="FFFFFF" w:themeColor="background1"/>
                <w:sz w:val="20"/>
                <w:szCs w:val="20"/>
                <w:lang w:val="es-ES_tradnl"/>
              </w:rPr>
            </w:pPr>
            <w:r w:rsidRPr="001E3B31">
              <w:rPr>
                <w:rFonts w:asciiTheme="majorHAnsi" w:hAnsiTheme="majorHAnsi"/>
                <w:b/>
                <w:bCs/>
                <w:color w:val="FFFFFF" w:themeColor="background1"/>
                <w:sz w:val="20"/>
                <w:szCs w:val="20"/>
                <w:lang w:val="es-ES_tradnl"/>
              </w:rPr>
              <w:t>Agotamiento de recursos internos o procedencia de una excepción:</w:t>
            </w:r>
          </w:p>
        </w:tc>
        <w:tc>
          <w:tcPr>
            <w:tcW w:w="5593" w:type="dxa"/>
            <w:vAlign w:val="center"/>
          </w:tcPr>
          <w:p w14:paraId="7B5A6AFC" w14:textId="17BF8F17" w:rsidR="000673D0" w:rsidRPr="001E3B31" w:rsidRDefault="000F35A9" w:rsidP="00C53390">
            <w:pPr>
              <w:rPr>
                <w:rFonts w:asciiTheme="majorHAnsi" w:hAnsiTheme="majorHAnsi"/>
                <w:bCs/>
                <w:sz w:val="20"/>
                <w:szCs w:val="20"/>
                <w:lang w:val="es-ES_tradnl"/>
              </w:rPr>
            </w:pPr>
            <w:r w:rsidRPr="001E3B31">
              <w:rPr>
                <w:rFonts w:asciiTheme="majorHAnsi" w:hAnsiTheme="majorHAnsi"/>
                <w:bCs/>
                <w:sz w:val="20"/>
                <w:szCs w:val="20"/>
                <w:lang w:val="es-ES_tradnl"/>
              </w:rPr>
              <w:t xml:space="preserve">Sí, </w:t>
            </w:r>
            <w:r w:rsidR="001A7027" w:rsidRPr="001E3B31">
              <w:rPr>
                <w:rFonts w:asciiTheme="majorHAnsi" w:hAnsiTheme="majorHAnsi"/>
                <w:bCs/>
                <w:sz w:val="20"/>
                <w:szCs w:val="20"/>
                <w:lang w:val="es-ES_tradnl"/>
              </w:rPr>
              <w:t>en los términos de la Sección VI</w:t>
            </w:r>
          </w:p>
        </w:tc>
      </w:tr>
      <w:tr w:rsidR="001E3B31" w:rsidRPr="00A648CF" w14:paraId="64377EF5" w14:textId="77777777" w:rsidTr="00804DC5">
        <w:trPr>
          <w:cantSplit/>
          <w:trHeight w:val="102"/>
        </w:trPr>
        <w:tc>
          <w:tcPr>
            <w:tcW w:w="3564" w:type="dxa"/>
            <w:tcBorders>
              <w:top w:val="single" w:sz="6" w:space="0" w:color="auto"/>
              <w:bottom w:val="single" w:sz="6" w:space="0" w:color="auto"/>
            </w:tcBorders>
            <w:shd w:val="clear" w:color="auto" w:fill="386294"/>
            <w:vAlign w:val="center"/>
          </w:tcPr>
          <w:p w14:paraId="33D77F00" w14:textId="77777777" w:rsidR="000673D0" w:rsidRPr="001E3B31" w:rsidRDefault="000673D0" w:rsidP="00B46185">
            <w:pPr>
              <w:jc w:val="center"/>
              <w:rPr>
                <w:rFonts w:asciiTheme="majorHAnsi" w:hAnsiTheme="majorHAnsi"/>
                <w:b/>
                <w:bCs/>
                <w:color w:val="FFFFFF" w:themeColor="background1"/>
                <w:sz w:val="20"/>
                <w:szCs w:val="20"/>
                <w:lang w:val="es-ES_tradnl"/>
              </w:rPr>
            </w:pPr>
            <w:r w:rsidRPr="001E3B31">
              <w:rPr>
                <w:rFonts w:asciiTheme="majorHAnsi" w:hAnsiTheme="majorHAnsi"/>
                <w:b/>
                <w:bCs/>
                <w:color w:val="FFFFFF" w:themeColor="background1"/>
                <w:sz w:val="20"/>
                <w:szCs w:val="20"/>
                <w:lang w:val="es-ES_tradnl"/>
              </w:rPr>
              <w:t>Presentación dentro de plazo:</w:t>
            </w:r>
          </w:p>
        </w:tc>
        <w:tc>
          <w:tcPr>
            <w:tcW w:w="5593" w:type="dxa"/>
            <w:vAlign w:val="center"/>
          </w:tcPr>
          <w:p w14:paraId="6D2FF784" w14:textId="7121F944" w:rsidR="000673D0" w:rsidRPr="001E3B31" w:rsidRDefault="000F35A9" w:rsidP="00C53390">
            <w:pPr>
              <w:rPr>
                <w:rFonts w:asciiTheme="majorHAnsi" w:hAnsiTheme="majorHAnsi"/>
                <w:bCs/>
                <w:sz w:val="20"/>
                <w:szCs w:val="20"/>
                <w:lang w:val="es-ES_tradnl"/>
              </w:rPr>
            </w:pPr>
            <w:r w:rsidRPr="001E3B31">
              <w:rPr>
                <w:rFonts w:asciiTheme="majorHAnsi" w:hAnsiTheme="majorHAnsi"/>
                <w:bCs/>
                <w:sz w:val="20"/>
                <w:szCs w:val="20"/>
                <w:lang w:val="es-ES_tradnl"/>
              </w:rPr>
              <w:t>Sí</w:t>
            </w:r>
            <w:r w:rsidR="001A7027" w:rsidRPr="001E3B31">
              <w:rPr>
                <w:rFonts w:asciiTheme="majorHAnsi" w:hAnsiTheme="majorHAnsi"/>
                <w:bCs/>
                <w:sz w:val="20"/>
                <w:szCs w:val="20"/>
                <w:lang w:val="es-ES_tradnl"/>
              </w:rPr>
              <w:t>, en los términos de la Sección VI</w:t>
            </w:r>
          </w:p>
        </w:tc>
      </w:tr>
    </w:tbl>
    <w:p w14:paraId="4B975951" w14:textId="6FFB8D2E" w:rsidR="00D95005" w:rsidRPr="001E3B31" w:rsidRDefault="00223A29" w:rsidP="00D95005">
      <w:pPr>
        <w:spacing w:before="240" w:after="240"/>
        <w:ind w:firstLine="720"/>
        <w:jc w:val="both"/>
        <w:rPr>
          <w:rFonts w:asciiTheme="majorHAnsi" w:hAnsiTheme="majorHAnsi"/>
          <w:b/>
          <w:sz w:val="20"/>
          <w:szCs w:val="20"/>
          <w:lang w:val="es-ES_tradnl"/>
        </w:rPr>
      </w:pPr>
      <w:r w:rsidRPr="001E3B31">
        <w:rPr>
          <w:rFonts w:asciiTheme="majorHAnsi" w:hAnsiTheme="majorHAnsi"/>
          <w:b/>
          <w:sz w:val="20"/>
          <w:szCs w:val="20"/>
          <w:lang w:val="es-ES_tradnl"/>
        </w:rPr>
        <w:t xml:space="preserve">V. </w:t>
      </w:r>
      <w:r w:rsidRPr="001E3B31">
        <w:rPr>
          <w:rFonts w:asciiTheme="majorHAnsi" w:hAnsiTheme="majorHAnsi"/>
          <w:b/>
          <w:sz w:val="20"/>
          <w:szCs w:val="20"/>
          <w:lang w:val="es-ES_tradnl"/>
        </w:rPr>
        <w:tab/>
      </w:r>
      <w:r w:rsidR="00017E85" w:rsidRPr="001E3B31">
        <w:rPr>
          <w:rFonts w:asciiTheme="majorHAnsi" w:hAnsiTheme="majorHAnsi"/>
          <w:b/>
          <w:sz w:val="20"/>
          <w:szCs w:val="20"/>
          <w:lang w:val="es-ES_tradnl"/>
        </w:rPr>
        <w:t>POSICIÓN DE LAS PARTES</w:t>
      </w:r>
      <w:r w:rsidR="003239B8" w:rsidRPr="001E3B31">
        <w:rPr>
          <w:rFonts w:asciiTheme="majorHAnsi" w:hAnsiTheme="majorHAnsi"/>
          <w:b/>
          <w:sz w:val="20"/>
          <w:szCs w:val="20"/>
          <w:lang w:val="es-ES_tradnl"/>
        </w:rPr>
        <w:t xml:space="preserve"> </w:t>
      </w:r>
    </w:p>
    <w:p w14:paraId="4B073ED9" w14:textId="34383209" w:rsidR="00943C5E" w:rsidRPr="001E3B31" w:rsidRDefault="001A7027" w:rsidP="00BC68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 xml:space="preserve">La petición alega que la presunta víctima </w:t>
      </w:r>
      <w:r w:rsidR="006724A3" w:rsidRPr="001E3B31">
        <w:rPr>
          <w:rFonts w:asciiTheme="majorHAnsi" w:hAnsiTheme="majorHAnsi"/>
          <w:bCs/>
          <w:color w:val="auto"/>
          <w:sz w:val="20"/>
          <w:szCs w:val="20"/>
          <w:lang w:val="es-ES_tradnl"/>
        </w:rPr>
        <w:t>murió</w:t>
      </w:r>
      <w:r w:rsidRPr="001E3B31">
        <w:rPr>
          <w:rFonts w:asciiTheme="majorHAnsi" w:hAnsiTheme="majorHAnsi"/>
          <w:bCs/>
          <w:color w:val="auto"/>
          <w:sz w:val="20"/>
          <w:szCs w:val="20"/>
          <w:lang w:val="es-ES_tradnl"/>
        </w:rPr>
        <w:t xml:space="preserve"> tras ser abaleado por integrantes del </w:t>
      </w:r>
      <w:r w:rsidR="004411B5" w:rsidRPr="001E3B31">
        <w:rPr>
          <w:rFonts w:asciiTheme="majorHAnsi" w:hAnsiTheme="majorHAnsi"/>
          <w:bCs/>
          <w:color w:val="auto"/>
          <w:sz w:val="20"/>
          <w:szCs w:val="20"/>
          <w:lang w:val="es-ES_tradnl"/>
        </w:rPr>
        <w:t>E</w:t>
      </w:r>
      <w:r w:rsidRPr="001E3B31">
        <w:rPr>
          <w:rFonts w:asciiTheme="majorHAnsi" w:hAnsiTheme="majorHAnsi"/>
          <w:bCs/>
          <w:color w:val="auto"/>
          <w:sz w:val="20"/>
          <w:szCs w:val="20"/>
          <w:lang w:val="es-ES_tradnl"/>
        </w:rPr>
        <w:t xml:space="preserve">jército </w:t>
      </w:r>
      <w:r w:rsidR="004411B5" w:rsidRPr="001E3B31">
        <w:rPr>
          <w:rFonts w:asciiTheme="majorHAnsi" w:hAnsiTheme="majorHAnsi"/>
          <w:bCs/>
          <w:color w:val="auto"/>
          <w:sz w:val="20"/>
          <w:szCs w:val="20"/>
          <w:lang w:val="es-ES_tradnl"/>
        </w:rPr>
        <w:t>N</w:t>
      </w:r>
      <w:r w:rsidRPr="001E3B31">
        <w:rPr>
          <w:rFonts w:asciiTheme="majorHAnsi" w:hAnsiTheme="majorHAnsi"/>
          <w:bCs/>
          <w:color w:val="auto"/>
          <w:sz w:val="20"/>
          <w:szCs w:val="20"/>
          <w:lang w:val="es-ES_tradnl"/>
        </w:rPr>
        <w:t>acional</w:t>
      </w:r>
      <w:r w:rsidR="001E31A2" w:rsidRPr="001E3B31">
        <w:rPr>
          <w:rFonts w:asciiTheme="majorHAnsi" w:hAnsiTheme="majorHAnsi"/>
          <w:bCs/>
          <w:color w:val="auto"/>
          <w:sz w:val="20"/>
          <w:szCs w:val="20"/>
          <w:lang w:val="es-ES_tradnl"/>
        </w:rPr>
        <w:t>;</w:t>
      </w:r>
      <w:r w:rsidR="008F33A6" w:rsidRPr="001E3B31">
        <w:rPr>
          <w:rFonts w:asciiTheme="majorHAnsi" w:hAnsiTheme="majorHAnsi"/>
          <w:bCs/>
          <w:color w:val="auto"/>
          <w:sz w:val="20"/>
          <w:szCs w:val="20"/>
          <w:lang w:val="es-ES_tradnl"/>
        </w:rPr>
        <w:t xml:space="preserve"> quienes se habían instalado en </w:t>
      </w:r>
      <w:r w:rsidR="003F1C6B" w:rsidRPr="001E3B31">
        <w:rPr>
          <w:rFonts w:asciiTheme="majorHAnsi" w:hAnsiTheme="majorHAnsi"/>
          <w:bCs/>
          <w:color w:val="auto"/>
          <w:sz w:val="20"/>
          <w:szCs w:val="20"/>
          <w:lang w:val="es-ES_tradnl"/>
        </w:rPr>
        <w:t>los alrededores de una</w:t>
      </w:r>
      <w:r w:rsidR="008F33A6" w:rsidRPr="001E3B31">
        <w:rPr>
          <w:rFonts w:asciiTheme="majorHAnsi" w:hAnsiTheme="majorHAnsi"/>
          <w:bCs/>
          <w:color w:val="auto"/>
          <w:sz w:val="20"/>
          <w:szCs w:val="20"/>
          <w:lang w:val="es-ES_tradnl"/>
        </w:rPr>
        <w:t xml:space="preserve"> vivienda particular sin informar a la población civil de ello y le dispararon sin advertencia y sin realizar previamente ningún esfuerzo para identificarlo.</w:t>
      </w:r>
      <w:r w:rsidR="00227EB5" w:rsidRPr="001E3B31">
        <w:rPr>
          <w:rFonts w:asciiTheme="majorHAnsi" w:hAnsiTheme="majorHAnsi"/>
          <w:bCs/>
          <w:color w:val="auto"/>
          <w:sz w:val="20"/>
          <w:szCs w:val="20"/>
          <w:lang w:val="es-ES_tradnl"/>
        </w:rPr>
        <w:t xml:space="preserve"> La parte peticionaria reclama que el Estado no ha cumplido con su deber de brindar verdad, justicia y reparación a </w:t>
      </w:r>
      <w:r w:rsidR="00C52701" w:rsidRPr="001E3B31">
        <w:rPr>
          <w:rFonts w:asciiTheme="majorHAnsi" w:hAnsiTheme="majorHAnsi"/>
          <w:bCs/>
          <w:color w:val="auto"/>
          <w:sz w:val="20"/>
          <w:szCs w:val="20"/>
          <w:lang w:val="es-ES_tradnl"/>
        </w:rPr>
        <w:t>los familiares</w:t>
      </w:r>
      <w:r w:rsidR="00227EB5" w:rsidRPr="001E3B31">
        <w:rPr>
          <w:rFonts w:asciiTheme="majorHAnsi" w:hAnsiTheme="majorHAnsi"/>
          <w:bCs/>
          <w:color w:val="auto"/>
          <w:sz w:val="20"/>
          <w:szCs w:val="20"/>
          <w:lang w:val="es-ES_tradnl"/>
        </w:rPr>
        <w:t xml:space="preserve"> de la presunta víctima.</w:t>
      </w:r>
    </w:p>
    <w:p w14:paraId="224CF33F" w14:textId="77777777" w:rsidR="008F33A6" w:rsidRPr="001E3B31" w:rsidRDefault="008F33A6" w:rsidP="008F33A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color w:val="auto"/>
          <w:sz w:val="20"/>
          <w:szCs w:val="20"/>
          <w:lang w:val="es-ES_tradnl"/>
        </w:rPr>
      </w:pPr>
    </w:p>
    <w:p w14:paraId="385EAA22" w14:textId="681857E5" w:rsidR="00227EB5" w:rsidRPr="001E3B31" w:rsidRDefault="001E31A2" w:rsidP="00B7246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 xml:space="preserve">Según relata la petición, en las primeras horas de la noche del 30 de octubre de 2004 la presunta víctima, su sobrino menor de dieciocho años y otras personas se desplazaban por una oscura trocha </w:t>
      </w:r>
      <w:r w:rsidRPr="001E3B31">
        <w:rPr>
          <w:rFonts w:asciiTheme="majorHAnsi" w:hAnsiTheme="majorHAnsi"/>
          <w:bCs/>
          <w:color w:val="auto"/>
          <w:sz w:val="20"/>
          <w:szCs w:val="20"/>
          <w:lang w:val="es-ES_tradnl"/>
        </w:rPr>
        <w:lastRenderedPageBreak/>
        <w:t xml:space="preserve">situada en las estribaciones de la Sierra Nevada de Santa Marta en el Departamento del Magdalena. Mientras el grupo realizaba este tránsito se les quemó el bombillo de la linterna con que iluminaban su camino por lo que decidieron acercarse a la casa de </w:t>
      </w:r>
      <w:r w:rsidR="00C52701" w:rsidRPr="001E3B31">
        <w:rPr>
          <w:rFonts w:asciiTheme="majorHAnsi" w:hAnsiTheme="majorHAnsi"/>
          <w:bCs/>
          <w:color w:val="auto"/>
          <w:sz w:val="20"/>
          <w:szCs w:val="20"/>
          <w:lang w:val="es-ES_tradnl"/>
        </w:rPr>
        <w:t>unos</w:t>
      </w:r>
      <w:r w:rsidRPr="001E3B31">
        <w:rPr>
          <w:rFonts w:asciiTheme="majorHAnsi" w:hAnsiTheme="majorHAnsi"/>
          <w:bCs/>
          <w:color w:val="auto"/>
          <w:sz w:val="20"/>
          <w:szCs w:val="20"/>
          <w:lang w:val="es-ES_tradnl"/>
        </w:rPr>
        <w:t xml:space="preserve"> conocid</w:t>
      </w:r>
      <w:r w:rsidR="00C52701" w:rsidRPr="001E3B31">
        <w:rPr>
          <w:rFonts w:asciiTheme="majorHAnsi" w:hAnsiTheme="majorHAnsi"/>
          <w:bCs/>
          <w:color w:val="auto"/>
          <w:sz w:val="20"/>
          <w:szCs w:val="20"/>
          <w:lang w:val="es-ES_tradnl"/>
        </w:rPr>
        <w:t>o</w:t>
      </w:r>
      <w:r w:rsidRPr="001E3B31">
        <w:rPr>
          <w:rFonts w:asciiTheme="majorHAnsi" w:hAnsiTheme="majorHAnsi"/>
          <w:bCs/>
          <w:color w:val="auto"/>
          <w:sz w:val="20"/>
          <w:szCs w:val="20"/>
          <w:lang w:val="es-ES_tradnl"/>
        </w:rPr>
        <w:t xml:space="preserve">s por uno de los integrantes del grupo para pedir que les prestaran otro bombillo. </w:t>
      </w:r>
      <w:r w:rsidR="00C12176" w:rsidRPr="001E3B31">
        <w:rPr>
          <w:rFonts w:asciiTheme="majorHAnsi" w:hAnsiTheme="majorHAnsi"/>
          <w:bCs/>
          <w:color w:val="auto"/>
          <w:sz w:val="20"/>
          <w:szCs w:val="20"/>
          <w:lang w:val="es-ES_tradnl"/>
        </w:rPr>
        <w:t>U</w:t>
      </w:r>
      <w:r w:rsidR="003F1C6B" w:rsidRPr="001E3B31">
        <w:rPr>
          <w:rFonts w:asciiTheme="majorHAnsi" w:hAnsiTheme="majorHAnsi"/>
          <w:bCs/>
          <w:color w:val="auto"/>
          <w:sz w:val="20"/>
          <w:szCs w:val="20"/>
          <w:lang w:val="es-ES_tradnl"/>
        </w:rPr>
        <w:t>na vez que llegaron a la casa</w:t>
      </w:r>
      <w:r w:rsidRPr="001E3B31">
        <w:rPr>
          <w:rFonts w:asciiTheme="majorHAnsi" w:hAnsiTheme="majorHAnsi"/>
          <w:bCs/>
          <w:color w:val="auto"/>
          <w:sz w:val="20"/>
          <w:szCs w:val="20"/>
          <w:lang w:val="es-ES_tradnl"/>
        </w:rPr>
        <w:t xml:space="preserve">, uno de los integrantes del grupo preguntó en voz alta si había alguien en casa y si les podían prestar un bombillo. </w:t>
      </w:r>
      <w:r w:rsidR="003F1C6B" w:rsidRPr="001E3B31">
        <w:rPr>
          <w:rFonts w:asciiTheme="majorHAnsi" w:hAnsiTheme="majorHAnsi"/>
          <w:bCs/>
          <w:color w:val="auto"/>
          <w:sz w:val="20"/>
          <w:szCs w:val="20"/>
          <w:lang w:val="es-ES_tradnl"/>
        </w:rPr>
        <w:t xml:space="preserve">Acto seguido, el grupo fue atacado con una ráfaga de </w:t>
      </w:r>
      <w:r w:rsidR="00032BAD" w:rsidRPr="001E3B31">
        <w:rPr>
          <w:rFonts w:asciiTheme="majorHAnsi" w:hAnsiTheme="majorHAnsi"/>
          <w:bCs/>
          <w:color w:val="auto"/>
          <w:sz w:val="20"/>
          <w:szCs w:val="20"/>
          <w:lang w:val="es-ES_tradnl"/>
        </w:rPr>
        <w:t>metralla</w:t>
      </w:r>
      <w:r w:rsidR="003F1C6B" w:rsidRPr="001E3B31">
        <w:rPr>
          <w:rFonts w:asciiTheme="majorHAnsi" w:hAnsiTheme="majorHAnsi"/>
          <w:bCs/>
          <w:color w:val="auto"/>
          <w:sz w:val="20"/>
          <w:szCs w:val="20"/>
          <w:lang w:val="es-ES_tradnl"/>
        </w:rPr>
        <w:t xml:space="preserve"> sin realizarles ninguna advertencia ni preguntarles qui</w:t>
      </w:r>
      <w:r w:rsidR="00C12176" w:rsidRPr="001E3B31">
        <w:rPr>
          <w:rFonts w:asciiTheme="majorHAnsi" w:hAnsiTheme="majorHAnsi"/>
          <w:bCs/>
          <w:color w:val="auto"/>
          <w:sz w:val="20"/>
          <w:szCs w:val="20"/>
          <w:lang w:val="es-ES_tradnl"/>
        </w:rPr>
        <w:t>é</w:t>
      </w:r>
      <w:r w:rsidR="003F1C6B" w:rsidRPr="001E3B31">
        <w:rPr>
          <w:rFonts w:asciiTheme="majorHAnsi" w:hAnsiTheme="majorHAnsi"/>
          <w:bCs/>
          <w:color w:val="auto"/>
          <w:sz w:val="20"/>
          <w:szCs w:val="20"/>
          <w:lang w:val="es-ES_tradnl"/>
        </w:rPr>
        <w:t xml:space="preserve">nes eran. Una de las balas alcanzó a la presunta víctima quien falleció en el lugar. </w:t>
      </w:r>
    </w:p>
    <w:p w14:paraId="22B19A88" w14:textId="77777777" w:rsidR="00227EB5" w:rsidRPr="001E3B31" w:rsidRDefault="00227EB5" w:rsidP="00227EB5">
      <w:pPr>
        <w:pStyle w:val="ListParagraph"/>
        <w:rPr>
          <w:rFonts w:asciiTheme="majorHAnsi" w:hAnsiTheme="majorHAnsi"/>
          <w:bCs/>
          <w:color w:val="auto"/>
          <w:sz w:val="20"/>
          <w:szCs w:val="20"/>
          <w:lang w:val="es-ES_tradnl"/>
        </w:rPr>
      </w:pPr>
    </w:p>
    <w:p w14:paraId="5FBDE9C5" w14:textId="0046D4CF" w:rsidR="001E31A2" w:rsidRPr="001E3B31" w:rsidRDefault="003F1C6B" w:rsidP="00B7246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 xml:space="preserve">La petición explica que quienes se encontraban en los alrededores de la casa particular y dispararon a la presunta víctima y sus acompañantes eran integrantes de la Compañía Esparta del Batallón de Contraguerrillas No. 2 del Ejercito Nacional. La petición también destaca que las armas utilizadas para atacar a la presunta víctima y su grupo fueron fusiles de dotación militar. </w:t>
      </w:r>
    </w:p>
    <w:p w14:paraId="799B5CC7" w14:textId="77777777" w:rsidR="003F1C6B" w:rsidRPr="001E3B31" w:rsidRDefault="003F1C6B" w:rsidP="003F1C6B">
      <w:pPr>
        <w:pStyle w:val="ListParagraph"/>
        <w:rPr>
          <w:rFonts w:asciiTheme="majorHAnsi" w:hAnsiTheme="majorHAnsi"/>
          <w:bCs/>
          <w:color w:val="auto"/>
          <w:sz w:val="20"/>
          <w:szCs w:val="20"/>
          <w:lang w:val="es-ES_tradnl"/>
        </w:rPr>
      </w:pPr>
    </w:p>
    <w:p w14:paraId="0A929B92" w14:textId="2C90C002" w:rsidR="009F6CD8" w:rsidRPr="001E3B31" w:rsidRDefault="004E76F6" w:rsidP="001E3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El peticionario</w:t>
      </w:r>
      <w:r w:rsidR="00077D76" w:rsidRPr="001E3B31">
        <w:rPr>
          <w:rFonts w:asciiTheme="majorHAnsi" w:hAnsiTheme="majorHAnsi"/>
          <w:bCs/>
          <w:color w:val="auto"/>
          <w:sz w:val="20"/>
          <w:szCs w:val="20"/>
          <w:lang w:val="es-ES_tradnl"/>
        </w:rPr>
        <w:t xml:space="preserve"> alega que </w:t>
      </w:r>
      <w:r w:rsidRPr="001E3B31">
        <w:rPr>
          <w:rFonts w:asciiTheme="majorHAnsi" w:hAnsiTheme="majorHAnsi"/>
          <w:bCs/>
          <w:color w:val="auto"/>
          <w:sz w:val="20"/>
          <w:szCs w:val="20"/>
          <w:lang w:val="es-ES_tradnl"/>
        </w:rPr>
        <w:t xml:space="preserve">para encubrir el hecho, los militares </w:t>
      </w:r>
      <w:r w:rsidR="00077D76" w:rsidRPr="001E3B31">
        <w:rPr>
          <w:rFonts w:asciiTheme="majorHAnsi" w:hAnsiTheme="majorHAnsi"/>
          <w:bCs/>
          <w:color w:val="auto"/>
          <w:sz w:val="20"/>
          <w:szCs w:val="20"/>
          <w:lang w:val="es-ES_tradnl"/>
        </w:rPr>
        <w:t>fingieron</w:t>
      </w:r>
      <w:r w:rsidRPr="001E3B31">
        <w:rPr>
          <w:rFonts w:asciiTheme="majorHAnsi" w:hAnsiTheme="majorHAnsi"/>
          <w:bCs/>
          <w:color w:val="auto"/>
          <w:sz w:val="20"/>
          <w:szCs w:val="20"/>
          <w:lang w:val="es-ES_tradnl"/>
        </w:rPr>
        <w:t xml:space="preserve"> a la mañana siguiente</w:t>
      </w:r>
      <w:r w:rsidR="00077D76" w:rsidRPr="001E3B31">
        <w:rPr>
          <w:rFonts w:asciiTheme="majorHAnsi" w:hAnsiTheme="majorHAnsi"/>
          <w:bCs/>
          <w:color w:val="auto"/>
          <w:sz w:val="20"/>
          <w:szCs w:val="20"/>
          <w:lang w:val="es-ES_tradnl"/>
        </w:rPr>
        <w:t xml:space="preserve"> un combate armado, activando nuevamente sus armas de dotación y ejecutando extrajudicialmente a una persona de identidad desconocida que tenían capturada. A esta persona desconocida la vistieron con traje camuflajeado y le pusieron un fusil. Luego, los integrantes del ejército dijeron a sus superiores y a las autoridades judiciales que la persona de identidad desconocida </w:t>
      </w:r>
      <w:r w:rsidR="009F6CD8" w:rsidRPr="001E3B31">
        <w:rPr>
          <w:rFonts w:asciiTheme="majorHAnsi" w:hAnsiTheme="majorHAnsi"/>
          <w:bCs/>
          <w:color w:val="auto"/>
          <w:sz w:val="20"/>
          <w:szCs w:val="20"/>
          <w:lang w:val="es-ES_tradnl"/>
        </w:rPr>
        <w:t xml:space="preserve">había iniciado una agresión a la que respondieron con balas, y que la presunta víctima había fallecido accidentalmente durante el fuego cruzado. </w:t>
      </w:r>
    </w:p>
    <w:p w14:paraId="06FFE659" w14:textId="77777777" w:rsidR="008171CD" w:rsidRPr="001E3B31" w:rsidRDefault="008171CD" w:rsidP="008171CD">
      <w:pPr>
        <w:pStyle w:val="ListParagraph"/>
        <w:rPr>
          <w:rFonts w:asciiTheme="majorHAnsi" w:hAnsiTheme="majorHAnsi"/>
          <w:bCs/>
          <w:color w:val="auto"/>
          <w:sz w:val="20"/>
          <w:szCs w:val="20"/>
          <w:lang w:val="es-ES_tradnl"/>
        </w:rPr>
      </w:pPr>
    </w:p>
    <w:p w14:paraId="6EB3E909" w14:textId="0E96465F" w:rsidR="008171CD" w:rsidRPr="001E3B31" w:rsidRDefault="008171CD" w:rsidP="001E3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 xml:space="preserve">Según indica </w:t>
      </w:r>
      <w:r w:rsidR="006724A3" w:rsidRPr="001E3B31">
        <w:rPr>
          <w:rFonts w:asciiTheme="majorHAnsi" w:hAnsiTheme="majorHAnsi"/>
          <w:bCs/>
          <w:color w:val="auto"/>
          <w:sz w:val="20"/>
          <w:szCs w:val="20"/>
          <w:lang w:val="es-ES_tradnl"/>
        </w:rPr>
        <w:t>el peticionario</w:t>
      </w:r>
      <w:r w:rsidRPr="001E3B31">
        <w:rPr>
          <w:rFonts w:asciiTheme="majorHAnsi" w:hAnsiTheme="majorHAnsi"/>
          <w:bCs/>
          <w:color w:val="auto"/>
          <w:sz w:val="20"/>
          <w:szCs w:val="20"/>
          <w:lang w:val="es-ES_tradnl"/>
        </w:rPr>
        <w:t xml:space="preserve">, tras la muerte de la presunta víctima se inició una investigación preliminar de carácter penal por parte de la Fiscalía General de la Nación, la que fue luego solicitada por el Juzgado 19 de Instrucción Penal Militar quien también estaba realizando una averiguación preliminar sobre lo ocurrido. El 10 de febrero de 2006 el Juzgado 19 </w:t>
      </w:r>
      <w:r w:rsidR="00CB5127" w:rsidRPr="001E3B31">
        <w:rPr>
          <w:rFonts w:asciiTheme="majorHAnsi" w:hAnsiTheme="majorHAnsi"/>
          <w:bCs/>
          <w:color w:val="auto"/>
          <w:sz w:val="20"/>
          <w:szCs w:val="20"/>
          <w:lang w:val="es-ES_tradnl"/>
        </w:rPr>
        <w:t xml:space="preserve">de Instrucción Penal Militar </w:t>
      </w:r>
      <w:r w:rsidRPr="001E3B31">
        <w:rPr>
          <w:rFonts w:asciiTheme="majorHAnsi" w:hAnsiTheme="majorHAnsi"/>
          <w:bCs/>
          <w:color w:val="auto"/>
          <w:sz w:val="20"/>
          <w:szCs w:val="20"/>
          <w:lang w:val="es-ES_tradnl"/>
        </w:rPr>
        <w:t xml:space="preserve">abrió investigación penal por homicidio contra los militares que participaron de la operación que dio muerte a la presunta víctima. </w:t>
      </w:r>
      <w:r w:rsidR="00BB036A" w:rsidRPr="001E3B31">
        <w:rPr>
          <w:rFonts w:asciiTheme="majorHAnsi" w:hAnsiTheme="majorHAnsi"/>
          <w:bCs/>
          <w:color w:val="auto"/>
          <w:sz w:val="20"/>
          <w:szCs w:val="20"/>
          <w:lang w:val="es-ES_tradnl"/>
        </w:rPr>
        <w:t>Sin embargo, el 17 de febrero de 200</w:t>
      </w:r>
      <w:r w:rsidR="001F1F58" w:rsidRPr="001E3B31">
        <w:rPr>
          <w:rFonts w:asciiTheme="majorHAnsi" w:hAnsiTheme="majorHAnsi"/>
          <w:bCs/>
          <w:color w:val="auto"/>
          <w:sz w:val="20"/>
          <w:szCs w:val="20"/>
          <w:lang w:val="es-ES_tradnl"/>
        </w:rPr>
        <w:t xml:space="preserve">6 </w:t>
      </w:r>
      <w:r w:rsidR="00BB036A" w:rsidRPr="001E3B31">
        <w:rPr>
          <w:rFonts w:asciiTheme="majorHAnsi" w:hAnsiTheme="majorHAnsi"/>
          <w:bCs/>
          <w:color w:val="auto"/>
          <w:sz w:val="20"/>
          <w:szCs w:val="20"/>
          <w:lang w:val="es-ES_tradnl"/>
        </w:rPr>
        <w:t xml:space="preserve">el Juzgado 19 decidió, sin haber realizado ningún esclarecimiento de los hechos, </w:t>
      </w:r>
      <w:r w:rsidR="005847E6" w:rsidRPr="001E3B31">
        <w:rPr>
          <w:rFonts w:asciiTheme="majorHAnsi" w:hAnsiTheme="majorHAnsi"/>
          <w:bCs/>
          <w:color w:val="auto"/>
          <w:sz w:val="20"/>
          <w:szCs w:val="20"/>
          <w:lang w:val="es-ES_tradnl"/>
        </w:rPr>
        <w:t xml:space="preserve">según se alega, </w:t>
      </w:r>
      <w:r w:rsidR="00BB036A" w:rsidRPr="001E3B31">
        <w:rPr>
          <w:rFonts w:asciiTheme="majorHAnsi" w:hAnsiTheme="majorHAnsi"/>
          <w:bCs/>
          <w:color w:val="auto"/>
          <w:sz w:val="20"/>
          <w:szCs w:val="20"/>
          <w:lang w:val="es-ES_tradnl"/>
        </w:rPr>
        <w:t xml:space="preserve">remitir el sumario al Juzgado 16 de Instrucción Penal militar, bajo el argumento de que los investigados pertenecían a un batallón situado en la jurisdicción del Juzgado 16. </w:t>
      </w:r>
      <w:r w:rsidR="001F1F58" w:rsidRPr="001E3B31">
        <w:rPr>
          <w:rFonts w:asciiTheme="majorHAnsi" w:hAnsiTheme="majorHAnsi"/>
          <w:bCs/>
          <w:color w:val="auto"/>
          <w:sz w:val="20"/>
          <w:szCs w:val="20"/>
          <w:lang w:val="es-ES_tradnl"/>
        </w:rPr>
        <w:t>El 27 de marzo de 2006 el Juzgado 16 decretó la nulidad del proceso y dispuso que este se retrotrajera a la etapa de investigación preliminar. Luego recaud</w:t>
      </w:r>
      <w:r w:rsidR="004933AA" w:rsidRPr="001E3B31">
        <w:rPr>
          <w:rFonts w:asciiTheme="majorHAnsi" w:hAnsiTheme="majorHAnsi"/>
          <w:bCs/>
          <w:color w:val="auto"/>
          <w:sz w:val="20"/>
          <w:szCs w:val="20"/>
          <w:lang w:val="es-ES_tradnl"/>
        </w:rPr>
        <w:t xml:space="preserve">ó </w:t>
      </w:r>
      <w:r w:rsidR="001F1F58" w:rsidRPr="001E3B31">
        <w:rPr>
          <w:rFonts w:asciiTheme="majorHAnsi" w:hAnsiTheme="majorHAnsi"/>
          <w:bCs/>
          <w:color w:val="auto"/>
          <w:sz w:val="20"/>
          <w:szCs w:val="20"/>
          <w:lang w:val="es-ES_tradnl"/>
        </w:rPr>
        <w:t xml:space="preserve">versiones libres, sin apremio de juramento, de algunos de los acusados para concluir el 26 de mayo de 2006 que no había mérito para abrir investigación penal y </w:t>
      </w:r>
      <w:r w:rsidR="005847E6" w:rsidRPr="001E3B31">
        <w:rPr>
          <w:rFonts w:asciiTheme="majorHAnsi" w:hAnsiTheme="majorHAnsi"/>
          <w:bCs/>
          <w:color w:val="auto"/>
          <w:sz w:val="20"/>
          <w:szCs w:val="20"/>
          <w:lang w:val="es-ES_tradnl"/>
        </w:rPr>
        <w:t>dispuso</w:t>
      </w:r>
      <w:r w:rsidR="001F1F58" w:rsidRPr="001E3B31">
        <w:rPr>
          <w:rFonts w:asciiTheme="majorHAnsi" w:hAnsiTheme="majorHAnsi"/>
          <w:bCs/>
          <w:color w:val="auto"/>
          <w:sz w:val="20"/>
          <w:szCs w:val="20"/>
          <w:lang w:val="es-ES_tradnl"/>
        </w:rPr>
        <w:t xml:space="preserve"> el archivo de las diligencias. </w:t>
      </w:r>
    </w:p>
    <w:p w14:paraId="27227DE7" w14:textId="77777777" w:rsidR="001F1F58" w:rsidRPr="001E3B31" w:rsidRDefault="001F1F58" w:rsidP="001F1F5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color w:val="auto"/>
          <w:sz w:val="20"/>
          <w:szCs w:val="20"/>
          <w:lang w:val="es-ES_tradnl"/>
        </w:rPr>
      </w:pPr>
    </w:p>
    <w:p w14:paraId="3E31CEB3" w14:textId="548D1B96" w:rsidR="001F1F58" w:rsidRPr="001E3B31" w:rsidRDefault="001F1F58" w:rsidP="001E3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 xml:space="preserve">El peticionario </w:t>
      </w:r>
      <w:r w:rsidR="004D2395" w:rsidRPr="001E3B31">
        <w:rPr>
          <w:rFonts w:asciiTheme="majorHAnsi" w:hAnsiTheme="majorHAnsi"/>
          <w:bCs/>
          <w:color w:val="auto"/>
          <w:sz w:val="20"/>
          <w:szCs w:val="20"/>
          <w:lang w:val="es-ES_tradnl"/>
        </w:rPr>
        <w:t>reclama que la investigación haya sido desviada de la Fiscalía General de la Nación a la Justicia Penal Militar, acusando a esta última de tener una acostumbrada conducta prevaricadora y encubridora de las violaciones a los derechos humanos cometidas por integrantes de la fuerza pública colombiana. También afirma</w:t>
      </w:r>
      <w:r w:rsidR="00332121" w:rsidRPr="001E3B31">
        <w:rPr>
          <w:rFonts w:asciiTheme="majorHAnsi" w:hAnsiTheme="majorHAnsi"/>
          <w:bCs/>
          <w:color w:val="auto"/>
          <w:sz w:val="20"/>
          <w:szCs w:val="20"/>
          <w:lang w:val="es-ES_tradnl"/>
        </w:rPr>
        <w:t xml:space="preserve"> que </w:t>
      </w:r>
      <w:r w:rsidR="00C52701" w:rsidRPr="001E3B31">
        <w:rPr>
          <w:rFonts w:asciiTheme="majorHAnsi" w:hAnsiTheme="majorHAnsi"/>
          <w:bCs/>
          <w:color w:val="auto"/>
          <w:sz w:val="20"/>
          <w:szCs w:val="20"/>
          <w:lang w:val="es-ES_tradnl"/>
        </w:rPr>
        <w:t>los familiares</w:t>
      </w:r>
      <w:r w:rsidR="00332121" w:rsidRPr="001E3B31">
        <w:rPr>
          <w:rFonts w:asciiTheme="majorHAnsi" w:hAnsiTheme="majorHAnsi"/>
          <w:bCs/>
          <w:color w:val="auto"/>
          <w:sz w:val="20"/>
          <w:szCs w:val="20"/>
          <w:lang w:val="es-ES_tradnl"/>
        </w:rPr>
        <w:t xml:space="preserve"> de la presunta víctima no han tenido conocimiento de que la</w:t>
      </w:r>
      <w:r w:rsidR="004D2395" w:rsidRPr="001E3B31">
        <w:rPr>
          <w:rFonts w:asciiTheme="majorHAnsi" w:hAnsiTheme="majorHAnsi"/>
          <w:bCs/>
          <w:color w:val="auto"/>
          <w:sz w:val="20"/>
          <w:szCs w:val="20"/>
          <w:lang w:val="es-ES_tradnl"/>
        </w:rPr>
        <w:t xml:space="preserve"> investigación ha</w:t>
      </w:r>
      <w:r w:rsidR="00332121" w:rsidRPr="001E3B31">
        <w:rPr>
          <w:rFonts w:asciiTheme="majorHAnsi" w:hAnsiTheme="majorHAnsi"/>
          <w:bCs/>
          <w:color w:val="auto"/>
          <w:sz w:val="20"/>
          <w:szCs w:val="20"/>
          <w:lang w:val="es-ES_tradnl"/>
        </w:rPr>
        <w:t>ya</w:t>
      </w:r>
      <w:r w:rsidR="004D2395" w:rsidRPr="001E3B31">
        <w:rPr>
          <w:rFonts w:asciiTheme="majorHAnsi" w:hAnsiTheme="majorHAnsi"/>
          <w:bCs/>
          <w:color w:val="auto"/>
          <w:sz w:val="20"/>
          <w:szCs w:val="20"/>
          <w:lang w:val="es-ES_tradnl"/>
        </w:rPr>
        <w:t xml:space="preserve"> sido reasignada a la Fiscalía General de la Nación a través de su Dirección Especializada contra la Violación de los Derechos Humanos. Sin embargo, sostiene que, aún si ese fuera el caso, aquello no significaría garantía de eficacia de los principios de verdad, justicia y reparación. En este sentido, la parte peticionaria destaca los más de dieciséis años transcurridos desde que la investigación penal fue desplazada inicialmente de la jurisdicción penal ordinaria a la justicia penal militar. </w:t>
      </w:r>
    </w:p>
    <w:p w14:paraId="3566E4A4" w14:textId="77777777" w:rsidR="009F6CD8" w:rsidRPr="001E3B31" w:rsidRDefault="009F6CD8" w:rsidP="009F6CD8">
      <w:pPr>
        <w:pStyle w:val="ListParagraph"/>
        <w:rPr>
          <w:rFonts w:asciiTheme="majorHAnsi" w:hAnsiTheme="majorHAnsi"/>
          <w:bCs/>
          <w:color w:val="auto"/>
          <w:sz w:val="20"/>
          <w:szCs w:val="20"/>
          <w:lang w:val="es-ES_tradnl"/>
        </w:rPr>
      </w:pPr>
    </w:p>
    <w:p w14:paraId="68A413E0" w14:textId="0208EBDC" w:rsidR="003F1C6B" w:rsidRPr="001E3B31" w:rsidRDefault="00077D76" w:rsidP="001E3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 xml:space="preserve"> </w:t>
      </w:r>
      <w:r w:rsidR="00EF1353" w:rsidRPr="001E3B31">
        <w:rPr>
          <w:rFonts w:asciiTheme="majorHAnsi" w:hAnsiTheme="majorHAnsi"/>
          <w:bCs/>
          <w:color w:val="auto"/>
          <w:sz w:val="20"/>
          <w:szCs w:val="20"/>
          <w:lang w:val="es-ES_tradnl"/>
        </w:rPr>
        <w:t>El 30 de noviembre de 2005 l</w:t>
      </w:r>
      <w:r w:rsidR="006E2837" w:rsidRPr="001E3B31">
        <w:rPr>
          <w:rFonts w:asciiTheme="majorHAnsi" w:hAnsiTheme="majorHAnsi"/>
          <w:bCs/>
          <w:color w:val="auto"/>
          <w:sz w:val="20"/>
          <w:szCs w:val="20"/>
          <w:lang w:val="es-ES_tradnl"/>
        </w:rPr>
        <w:t>o</w:t>
      </w:r>
      <w:r w:rsidR="00EF1353" w:rsidRPr="001E3B31">
        <w:rPr>
          <w:rFonts w:asciiTheme="majorHAnsi" w:hAnsiTheme="majorHAnsi"/>
          <w:bCs/>
          <w:color w:val="auto"/>
          <w:sz w:val="20"/>
          <w:szCs w:val="20"/>
          <w:lang w:val="es-ES_tradnl"/>
        </w:rPr>
        <w:t>s familiares de la presunta víctima presentaron una demanda contencioso-administrativa contra el Ministerio de Defensa, Ejército Nacional y la Nación a fin de obtener reparación por los perjuicios materiales y morales que les causó la muerte de la presunta víctima. El proceso fue remitido al Juzgado Sexto Administrativo del Circuito de Santa Marta</w:t>
      </w:r>
      <w:r w:rsidR="00860C21" w:rsidRPr="001E3B31">
        <w:rPr>
          <w:rFonts w:asciiTheme="majorHAnsi" w:hAnsiTheme="majorHAnsi"/>
          <w:bCs/>
          <w:color w:val="auto"/>
          <w:sz w:val="20"/>
          <w:szCs w:val="20"/>
          <w:lang w:val="es-ES_tradnl"/>
        </w:rPr>
        <w:t>;</w:t>
      </w:r>
      <w:r w:rsidR="00EF1353" w:rsidRPr="001E3B31">
        <w:rPr>
          <w:rFonts w:asciiTheme="majorHAnsi" w:hAnsiTheme="majorHAnsi"/>
          <w:bCs/>
          <w:color w:val="auto"/>
          <w:sz w:val="20"/>
          <w:szCs w:val="20"/>
          <w:lang w:val="es-ES_tradnl"/>
        </w:rPr>
        <w:t xml:space="preserve"> </w:t>
      </w:r>
      <w:r w:rsidR="00860C21" w:rsidRPr="001E3B31">
        <w:rPr>
          <w:rFonts w:asciiTheme="majorHAnsi" w:hAnsiTheme="majorHAnsi"/>
          <w:bCs/>
          <w:color w:val="auto"/>
          <w:sz w:val="20"/>
          <w:szCs w:val="20"/>
          <w:lang w:val="es-ES_tradnl"/>
        </w:rPr>
        <w:t>que</w:t>
      </w:r>
      <w:r w:rsidR="009F76C6" w:rsidRPr="001E3B31">
        <w:rPr>
          <w:rFonts w:asciiTheme="majorHAnsi" w:hAnsiTheme="majorHAnsi"/>
          <w:bCs/>
          <w:color w:val="auto"/>
          <w:sz w:val="20"/>
          <w:szCs w:val="20"/>
          <w:lang w:val="es-ES_tradnl"/>
        </w:rPr>
        <w:t xml:space="preserve"> el 12 de abril de 2012 negó las pretensiones dando por probada “</w:t>
      </w:r>
      <w:r w:rsidR="009F76C6" w:rsidRPr="001E3B31">
        <w:rPr>
          <w:rFonts w:asciiTheme="majorHAnsi" w:hAnsiTheme="majorHAnsi"/>
          <w:bCs/>
          <w:i/>
          <w:iCs/>
          <w:color w:val="auto"/>
          <w:sz w:val="20"/>
          <w:szCs w:val="20"/>
          <w:lang w:val="es-ES_tradnl"/>
        </w:rPr>
        <w:t>la causal eximente de responsabilidad de hecho de un tercero bajo la premisa de la legítima defensa a favor de la Nación</w:t>
      </w:r>
      <w:r w:rsidR="009F76C6" w:rsidRPr="001E3B31">
        <w:rPr>
          <w:rFonts w:asciiTheme="majorHAnsi" w:hAnsiTheme="majorHAnsi"/>
          <w:bCs/>
          <w:color w:val="auto"/>
          <w:sz w:val="20"/>
          <w:szCs w:val="20"/>
          <w:lang w:val="es-ES_tradnl"/>
        </w:rPr>
        <w:t xml:space="preserve">”. Para arribar a esta conclusión </w:t>
      </w:r>
      <w:r w:rsidR="00B478B9" w:rsidRPr="001E3B31">
        <w:rPr>
          <w:rFonts w:asciiTheme="majorHAnsi" w:hAnsiTheme="majorHAnsi"/>
          <w:bCs/>
          <w:color w:val="auto"/>
          <w:sz w:val="20"/>
          <w:szCs w:val="20"/>
          <w:lang w:val="es-ES_tradnl"/>
        </w:rPr>
        <w:t>el juzgado valoró que los hechos habían ocurrido “</w:t>
      </w:r>
      <w:r w:rsidR="00B478B9" w:rsidRPr="001E3B31">
        <w:rPr>
          <w:rFonts w:asciiTheme="majorHAnsi" w:hAnsiTheme="majorHAnsi"/>
          <w:bCs/>
          <w:i/>
          <w:iCs/>
          <w:color w:val="auto"/>
          <w:sz w:val="20"/>
          <w:szCs w:val="20"/>
          <w:lang w:val="es-ES_tradnl"/>
        </w:rPr>
        <w:t>en una zona montañosa, con abundante vegetación, en donde en horas de la noche se reduce notablemente la visibilidad y la cual constituía para la época zona roja</w:t>
      </w:r>
      <w:r w:rsidR="00B478B9" w:rsidRPr="001E3B31">
        <w:rPr>
          <w:rFonts w:asciiTheme="majorHAnsi" w:hAnsiTheme="majorHAnsi"/>
          <w:bCs/>
          <w:color w:val="auto"/>
          <w:sz w:val="20"/>
          <w:szCs w:val="20"/>
          <w:lang w:val="es-ES_tradnl"/>
        </w:rPr>
        <w:t>”</w:t>
      </w:r>
      <w:r w:rsidR="00860C21" w:rsidRPr="001E3B31">
        <w:rPr>
          <w:rFonts w:asciiTheme="majorHAnsi" w:hAnsiTheme="majorHAnsi"/>
          <w:bCs/>
          <w:color w:val="auto"/>
          <w:sz w:val="20"/>
          <w:szCs w:val="20"/>
          <w:lang w:val="es-ES_tradnl"/>
        </w:rPr>
        <w:t>;</w:t>
      </w:r>
      <w:r w:rsidR="00B478B9" w:rsidRPr="001E3B31">
        <w:rPr>
          <w:rFonts w:asciiTheme="majorHAnsi" w:hAnsiTheme="majorHAnsi"/>
          <w:bCs/>
          <w:color w:val="auto"/>
          <w:sz w:val="20"/>
          <w:szCs w:val="20"/>
          <w:lang w:val="es-ES_tradnl"/>
        </w:rPr>
        <w:t xml:space="preserve"> y que “</w:t>
      </w:r>
      <w:r w:rsidR="00B478B9" w:rsidRPr="001E3B31">
        <w:rPr>
          <w:rFonts w:asciiTheme="majorHAnsi" w:hAnsiTheme="majorHAnsi"/>
          <w:bCs/>
          <w:i/>
          <w:iCs/>
          <w:color w:val="auto"/>
          <w:sz w:val="20"/>
          <w:szCs w:val="20"/>
          <w:lang w:val="es-ES_tradnl"/>
        </w:rPr>
        <w:t>ni la víctima ni ninguno de sus acompañantes portaba luz al llegar al campamento de los militares y cargaban morrales en sus hombros</w:t>
      </w:r>
      <w:r w:rsidR="00B478B9" w:rsidRPr="001E3B31">
        <w:rPr>
          <w:rFonts w:asciiTheme="majorHAnsi" w:hAnsiTheme="majorHAnsi"/>
          <w:bCs/>
          <w:color w:val="auto"/>
          <w:sz w:val="20"/>
          <w:szCs w:val="20"/>
          <w:lang w:val="es-ES_tradnl"/>
        </w:rPr>
        <w:t xml:space="preserve">”. El </w:t>
      </w:r>
      <w:r w:rsidR="00CC26F5" w:rsidRPr="001E3B31">
        <w:rPr>
          <w:rFonts w:asciiTheme="majorHAnsi" w:hAnsiTheme="majorHAnsi"/>
          <w:bCs/>
          <w:color w:val="auto"/>
          <w:sz w:val="20"/>
          <w:szCs w:val="20"/>
          <w:lang w:val="es-ES_tradnl"/>
        </w:rPr>
        <w:t>j</w:t>
      </w:r>
      <w:r w:rsidR="00B478B9" w:rsidRPr="001E3B31">
        <w:rPr>
          <w:rFonts w:asciiTheme="majorHAnsi" w:hAnsiTheme="majorHAnsi"/>
          <w:bCs/>
          <w:color w:val="auto"/>
          <w:sz w:val="20"/>
          <w:szCs w:val="20"/>
          <w:lang w:val="es-ES_tradnl"/>
        </w:rPr>
        <w:t>uzgado además estimó que los militares se habían estado defendiendo de una agresión ilegítima</w:t>
      </w:r>
      <w:r w:rsidR="00CC26F5" w:rsidRPr="001E3B31">
        <w:rPr>
          <w:rFonts w:asciiTheme="majorHAnsi" w:hAnsiTheme="majorHAnsi"/>
          <w:bCs/>
          <w:color w:val="auto"/>
          <w:sz w:val="20"/>
          <w:szCs w:val="20"/>
          <w:lang w:val="es-ES_tradnl"/>
        </w:rPr>
        <w:t xml:space="preserve"> por parte de terceras personas</w:t>
      </w:r>
      <w:r w:rsidR="00B478B9" w:rsidRPr="001E3B31">
        <w:rPr>
          <w:rFonts w:asciiTheme="majorHAnsi" w:hAnsiTheme="majorHAnsi"/>
          <w:bCs/>
          <w:color w:val="auto"/>
          <w:sz w:val="20"/>
          <w:szCs w:val="20"/>
          <w:lang w:val="es-ES_tradnl"/>
        </w:rPr>
        <w:t>,</w:t>
      </w:r>
      <w:r w:rsidR="00CC26F5" w:rsidRPr="001E3B31">
        <w:rPr>
          <w:rFonts w:asciiTheme="majorHAnsi" w:hAnsiTheme="majorHAnsi"/>
          <w:bCs/>
          <w:color w:val="auto"/>
          <w:sz w:val="20"/>
          <w:szCs w:val="20"/>
          <w:lang w:val="es-ES_tradnl"/>
        </w:rPr>
        <w:t xml:space="preserve"> la cual era</w:t>
      </w:r>
      <w:r w:rsidR="00B478B9" w:rsidRPr="001E3B31">
        <w:rPr>
          <w:rFonts w:asciiTheme="majorHAnsi" w:hAnsiTheme="majorHAnsi"/>
          <w:bCs/>
          <w:color w:val="auto"/>
          <w:sz w:val="20"/>
          <w:szCs w:val="20"/>
          <w:lang w:val="es-ES_tradnl"/>
        </w:rPr>
        <w:t xml:space="preserve"> grave, actual e inminente</w:t>
      </w:r>
      <w:r w:rsidR="00CC26F5" w:rsidRPr="001E3B31">
        <w:rPr>
          <w:rFonts w:asciiTheme="majorHAnsi" w:hAnsiTheme="majorHAnsi"/>
          <w:bCs/>
          <w:color w:val="auto"/>
          <w:sz w:val="20"/>
          <w:szCs w:val="20"/>
          <w:lang w:val="es-ES_tradnl"/>
        </w:rPr>
        <w:t>; por lo</w:t>
      </w:r>
      <w:r w:rsidR="00B478B9" w:rsidRPr="001E3B31">
        <w:rPr>
          <w:rFonts w:asciiTheme="majorHAnsi" w:hAnsiTheme="majorHAnsi"/>
          <w:bCs/>
          <w:color w:val="auto"/>
          <w:sz w:val="20"/>
          <w:szCs w:val="20"/>
          <w:lang w:val="es-ES_tradnl"/>
        </w:rPr>
        <w:t xml:space="preserve"> que su reacción no había sido desproporcionada sino oportuna y adecuada</w:t>
      </w:r>
      <w:r w:rsidR="00CC26F5" w:rsidRPr="001E3B31">
        <w:rPr>
          <w:rFonts w:asciiTheme="majorHAnsi" w:hAnsiTheme="majorHAnsi"/>
          <w:bCs/>
          <w:color w:val="auto"/>
          <w:sz w:val="20"/>
          <w:szCs w:val="20"/>
          <w:lang w:val="es-ES_tradnl"/>
        </w:rPr>
        <w:t xml:space="preserve">, </w:t>
      </w:r>
      <w:r w:rsidR="00B478B9" w:rsidRPr="001E3B31">
        <w:rPr>
          <w:rFonts w:asciiTheme="majorHAnsi" w:hAnsiTheme="majorHAnsi"/>
          <w:bCs/>
          <w:color w:val="auto"/>
          <w:sz w:val="20"/>
          <w:szCs w:val="20"/>
          <w:lang w:val="es-ES_tradnl"/>
        </w:rPr>
        <w:t>además de que</w:t>
      </w:r>
      <w:r w:rsidR="00CC26F5" w:rsidRPr="001E3B31">
        <w:rPr>
          <w:rFonts w:asciiTheme="majorHAnsi" w:hAnsiTheme="majorHAnsi"/>
          <w:bCs/>
          <w:color w:val="auto"/>
          <w:sz w:val="20"/>
          <w:szCs w:val="20"/>
          <w:lang w:val="es-ES_tradnl"/>
        </w:rPr>
        <w:t xml:space="preserve"> los militares</w:t>
      </w:r>
      <w:r w:rsidR="00B478B9" w:rsidRPr="001E3B31">
        <w:rPr>
          <w:rFonts w:asciiTheme="majorHAnsi" w:hAnsiTheme="majorHAnsi"/>
          <w:bCs/>
          <w:color w:val="auto"/>
          <w:sz w:val="20"/>
          <w:szCs w:val="20"/>
          <w:lang w:val="es-ES_tradnl"/>
        </w:rPr>
        <w:t xml:space="preserve"> no habían disparado contra los caminantes sino para intentar repeler el fuego con que estaban siendo atacados</w:t>
      </w:r>
      <w:r w:rsidR="00CC26F5" w:rsidRPr="001E3B31">
        <w:rPr>
          <w:rFonts w:asciiTheme="majorHAnsi" w:hAnsiTheme="majorHAnsi"/>
          <w:bCs/>
          <w:color w:val="auto"/>
          <w:sz w:val="20"/>
          <w:szCs w:val="20"/>
          <w:lang w:val="es-ES_tradnl"/>
        </w:rPr>
        <w:t xml:space="preserve"> por las terceras personas</w:t>
      </w:r>
      <w:r w:rsidR="00B478B9" w:rsidRPr="001E3B31">
        <w:rPr>
          <w:rFonts w:asciiTheme="majorHAnsi" w:hAnsiTheme="majorHAnsi"/>
          <w:bCs/>
          <w:color w:val="auto"/>
          <w:sz w:val="20"/>
          <w:szCs w:val="20"/>
          <w:lang w:val="es-ES_tradnl"/>
        </w:rPr>
        <w:t xml:space="preserve">. </w:t>
      </w:r>
    </w:p>
    <w:p w14:paraId="7E79916B" w14:textId="77777777" w:rsidR="00CC26F5" w:rsidRPr="001E3B31" w:rsidRDefault="00CC26F5" w:rsidP="00CC26F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color w:val="auto"/>
          <w:sz w:val="20"/>
          <w:szCs w:val="20"/>
          <w:lang w:val="es-ES_tradnl"/>
        </w:rPr>
      </w:pPr>
    </w:p>
    <w:p w14:paraId="60F8844D" w14:textId="4C231F0E" w:rsidR="00B478B9" w:rsidRPr="001E3B31" w:rsidRDefault="00CC26F5" w:rsidP="001E3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La decisión del Juzgado Sexto fue apelada por la parte demandante. La apelación fue conocida por el Tribunal Administrativo del Magdalena</w:t>
      </w:r>
      <w:r w:rsidR="00860C21" w:rsidRPr="001E3B31">
        <w:rPr>
          <w:rFonts w:asciiTheme="majorHAnsi" w:hAnsiTheme="majorHAnsi"/>
          <w:bCs/>
          <w:color w:val="auto"/>
          <w:sz w:val="20"/>
          <w:szCs w:val="20"/>
          <w:lang w:val="es-ES_tradnl"/>
        </w:rPr>
        <w:t>;</w:t>
      </w:r>
      <w:r w:rsidRPr="001E3B31">
        <w:rPr>
          <w:rFonts w:asciiTheme="majorHAnsi" w:hAnsiTheme="majorHAnsi"/>
          <w:bCs/>
          <w:color w:val="auto"/>
          <w:sz w:val="20"/>
          <w:szCs w:val="20"/>
          <w:lang w:val="es-ES_tradnl"/>
        </w:rPr>
        <w:t xml:space="preserve"> </w:t>
      </w:r>
      <w:r w:rsidR="00860C21" w:rsidRPr="001E3B31">
        <w:rPr>
          <w:rFonts w:asciiTheme="majorHAnsi" w:hAnsiTheme="majorHAnsi"/>
          <w:bCs/>
          <w:color w:val="auto"/>
          <w:sz w:val="20"/>
          <w:szCs w:val="20"/>
          <w:lang w:val="es-ES_tradnl"/>
        </w:rPr>
        <w:t>que</w:t>
      </w:r>
      <w:r w:rsidRPr="001E3B31">
        <w:rPr>
          <w:rFonts w:asciiTheme="majorHAnsi" w:hAnsiTheme="majorHAnsi"/>
          <w:bCs/>
          <w:color w:val="auto"/>
          <w:sz w:val="20"/>
          <w:szCs w:val="20"/>
          <w:lang w:val="es-ES_tradnl"/>
        </w:rPr>
        <w:t xml:space="preserve"> el 17 de octubre de 2012 emitió sentencia confirmando la decisión del juzgado. </w:t>
      </w:r>
      <w:r w:rsidR="007A2DFC" w:rsidRPr="001E3B31">
        <w:rPr>
          <w:rFonts w:asciiTheme="majorHAnsi" w:hAnsiTheme="majorHAnsi"/>
          <w:bCs/>
          <w:color w:val="auto"/>
          <w:sz w:val="20"/>
          <w:szCs w:val="20"/>
          <w:lang w:val="es-ES_tradnl"/>
        </w:rPr>
        <w:t>El Tribunal dio por probado que la muerte de la presunta víctima ocurrió “</w:t>
      </w:r>
      <w:r w:rsidR="007A2DFC" w:rsidRPr="001E3B31">
        <w:rPr>
          <w:rFonts w:asciiTheme="majorHAnsi" w:hAnsiTheme="majorHAnsi"/>
          <w:bCs/>
          <w:i/>
          <w:iCs/>
          <w:color w:val="auto"/>
          <w:sz w:val="20"/>
          <w:szCs w:val="20"/>
          <w:lang w:val="es-ES_tradnl"/>
        </w:rPr>
        <w:t>por el cruce disparos entre el cuerpo armado demandado y el grupo insurgente</w:t>
      </w:r>
      <w:r w:rsidR="007A2DFC" w:rsidRPr="001E3B31">
        <w:rPr>
          <w:rFonts w:asciiTheme="majorHAnsi" w:hAnsiTheme="majorHAnsi"/>
          <w:bCs/>
          <w:color w:val="auto"/>
          <w:sz w:val="20"/>
          <w:szCs w:val="20"/>
          <w:lang w:val="es-ES_tradnl"/>
        </w:rPr>
        <w:t>”</w:t>
      </w:r>
      <w:r w:rsidR="007463D2" w:rsidRPr="001E3B31">
        <w:rPr>
          <w:rFonts w:asciiTheme="majorHAnsi" w:hAnsiTheme="majorHAnsi"/>
          <w:bCs/>
          <w:color w:val="auto"/>
          <w:sz w:val="20"/>
          <w:szCs w:val="20"/>
          <w:lang w:val="es-ES_tradnl"/>
        </w:rPr>
        <w:t>;</w:t>
      </w:r>
      <w:r w:rsidR="007A2DFC" w:rsidRPr="001E3B31">
        <w:rPr>
          <w:rFonts w:asciiTheme="majorHAnsi" w:hAnsiTheme="majorHAnsi"/>
          <w:bCs/>
          <w:color w:val="auto"/>
          <w:sz w:val="20"/>
          <w:szCs w:val="20"/>
          <w:lang w:val="es-ES_tradnl"/>
        </w:rPr>
        <w:t xml:space="preserve"> y que había quedado “</w:t>
      </w:r>
      <w:r w:rsidR="007A2DFC" w:rsidRPr="001E3B31">
        <w:rPr>
          <w:rFonts w:asciiTheme="majorHAnsi" w:hAnsiTheme="majorHAnsi"/>
          <w:bCs/>
          <w:i/>
          <w:iCs/>
          <w:color w:val="auto"/>
          <w:sz w:val="20"/>
          <w:szCs w:val="20"/>
          <w:lang w:val="es-ES_tradnl"/>
        </w:rPr>
        <w:t>demostrado fehacientemente</w:t>
      </w:r>
      <w:r w:rsidR="007A2DFC" w:rsidRPr="001E3B31">
        <w:rPr>
          <w:rFonts w:asciiTheme="majorHAnsi" w:hAnsiTheme="majorHAnsi"/>
          <w:bCs/>
          <w:color w:val="auto"/>
          <w:sz w:val="20"/>
          <w:szCs w:val="20"/>
          <w:lang w:val="es-ES_tradnl"/>
        </w:rPr>
        <w:t>” que las acciones de los militares se habían dado “</w:t>
      </w:r>
      <w:r w:rsidR="007A2DFC" w:rsidRPr="001E3B31">
        <w:rPr>
          <w:rFonts w:asciiTheme="majorHAnsi" w:hAnsiTheme="majorHAnsi"/>
          <w:bCs/>
          <w:i/>
          <w:iCs/>
          <w:color w:val="auto"/>
          <w:sz w:val="20"/>
          <w:szCs w:val="20"/>
          <w:lang w:val="es-ES_tradnl"/>
        </w:rPr>
        <w:t>en virtud de su legítima defensa, actuando en consecuencia con el deber constitucional y legal de protección del Estado</w:t>
      </w:r>
      <w:r w:rsidR="007A2DFC" w:rsidRPr="001E3B31">
        <w:rPr>
          <w:rFonts w:asciiTheme="majorHAnsi" w:hAnsiTheme="majorHAnsi"/>
          <w:bCs/>
          <w:color w:val="auto"/>
          <w:sz w:val="20"/>
          <w:szCs w:val="20"/>
          <w:lang w:val="es-ES_tradnl"/>
        </w:rPr>
        <w:t xml:space="preserve">”. </w:t>
      </w:r>
      <w:r w:rsidR="0041338C" w:rsidRPr="001E3B31">
        <w:rPr>
          <w:rFonts w:asciiTheme="majorHAnsi" w:hAnsiTheme="majorHAnsi"/>
          <w:bCs/>
          <w:color w:val="auto"/>
          <w:sz w:val="20"/>
          <w:szCs w:val="20"/>
          <w:lang w:val="es-ES_tradnl"/>
        </w:rPr>
        <w:t>La petición destaca que uno de los magistrados del tribunal salvó su voto indicando que las fuerzas militares “</w:t>
      </w:r>
      <w:r w:rsidR="0041338C" w:rsidRPr="001E3B31">
        <w:rPr>
          <w:rFonts w:asciiTheme="majorHAnsi" w:hAnsiTheme="majorHAnsi"/>
          <w:bCs/>
          <w:i/>
          <w:iCs/>
          <w:color w:val="auto"/>
          <w:sz w:val="20"/>
          <w:szCs w:val="20"/>
          <w:lang w:val="es-ES_tradnl"/>
        </w:rPr>
        <w:t>debieron tomar las precauciones del caso para que [sic] se afectara a la población civil del sector</w:t>
      </w:r>
      <w:r w:rsidR="0041338C" w:rsidRPr="001E3B31">
        <w:rPr>
          <w:rFonts w:asciiTheme="majorHAnsi" w:hAnsiTheme="majorHAnsi"/>
          <w:bCs/>
          <w:color w:val="auto"/>
          <w:sz w:val="20"/>
          <w:szCs w:val="20"/>
          <w:lang w:val="es-ES_tradnl"/>
        </w:rPr>
        <w:t>” y que era reprochable que “</w:t>
      </w:r>
      <w:r w:rsidR="0041338C" w:rsidRPr="001E3B31">
        <w:rPr>
          <w:rFonts w:asciiTheme="majorHAnsi" w:hAnsiTheme="majorHAnsi"/>
          <w:bCs/>
          <w:i/>
          <w:iCs/>
          <w:color w:val="auto"/>
          <w:sz w:val="20"/>
          <w:szCs w:val="20"/>
          <w:lang w:val="es-ES_tradnl"/>
        </w:rPr>
        <w:t>el Ejército Nacional estuviera guarecido en viviendas civiles en plena zona de conflicto, pues esto ponía en riesgo a sus pobladores</w:t>
      </w:r>
      <w:r w:rsidR="0041338C" w:rsidRPr="001E3B31">
        <w:rPr>
          <w:rFonts w:asciiTheme="majorHAnsi" w:hAnsiTheme="majorHAnsi"/>
          <w:bCs/>
          <w:color w:val="auto"/>
          <w:sz w:val="20"/>
          <w:szCs w:val="20"/>
          <w:lang w:val="es-ES_tradnl"/>
        </w:rPr>
        <w:t xml:space="preserve">”. </w:t>
      </w:r>
    </w:p>
    <w:p w14:paraId="2A2BF921" w14:textId="77777777" w:rsidR="0041338C" w:rsidRPr="001E3B31" w:rsidRDefault="0041338C" w:rsidP="0041338C">
      <w:pPr>
        <w:pStyle w:val="ListParagraph"/>
        <w:rPr>
          <w:rFonts w:asciiTheme="majorHAnsi" w:hAnsiTheme="majorHAnsi"/>
          <w:bCs/>
          <w:color w:val="auto"/>
          <w:sz w:val="20"/>
          <w:szCs w:val="20"/>
          <w:lang w:val="es-ES_tradnl"/>
        </w:rPr>
      </w:pPr>
    </w:p>
    <w:p w14:paraId="3E825CB9" w14:textId="52890ED8" w:rsidR="0041338C" w:rsidRPr="001E3B31" w:rsidRDefault="004D2395" w:rsidP="001E3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 xml:space="preserve">Contra la decisión del Tribunal Administrativo, </w:t>
      </w:r>
      <w:r w:rsidR="00DE0EF4" w:rsidRPr="001E3B31">
        <w:rPr>
          <w:rFonts w:asciiTheme="majorHAnsi" w:hAnsiTheme="majorHAnsi"/>
          <w:bCs/>
          <w:color w:val="auto"/>
          <w:sz w:val="20"/>
          <w:szCs w:val="20"/>
          <w:lang w:val="es-ES_tradnl"/>
        </w:rPr>
        <w:t>los</w:t>
      </w:r>
      <w:r w:rsidRPr="001E3B31">
        <w:rPr>
          <w:rFonts w:asciiTheme="majorHAnsi" w:hAnsiTheme="majorHAnsi"/>
          <w:bCs/>
          <w:color w:val="auto"/>
          <w:sz w:val="20"/>
          <w:szCs w:val="20"/>
          <w:lang w:val="es-ES_tradnl"/>
        </w:rPr>
        <w:t xml:space="preserve"> familiares </w:t>
      </w:r>
      <w:r w:rsidR="00DE0EF4" w:rsidRPr="001E3B31">
        <w:rPr>
          <w:rFonts w:asciiTheme="majorHAnsi" w:hAnsiTheme="majorHAnsi"/>
          <w:bCs/>
          <w:color w:val="auto"/>
          <w:sz w:val="20"/>
          <w:szCs w:val="20"/>
          <w:lang w:val="es-ES_tradnl"/>
        </w:rPr>
        <w:t>del Sr. José Alejandro Escobar</w:t>
      </w:r>
      <w:r w:rsidRPr="001E3B31">
        <w:rPr>
          <w:rFonts w:asciiTheme="majorHAnsi" w:hAnsiTheme="majorHAnsi"/>
          <w:bCs/>
          <w:color w:val="auto"/>
          <w:sz w:val="20"/>
          <w:szCs w:val="20"/>
          <w:lang w:val="es-ES_tradnl"/>
        </w:rPr>
        <w:t xml:space="preserve"> interpusieron una acción de tutela ante el Consejo de Estado. Esta acción fue resuelta a su favor </w:t>
      </w:r>
      <w:r w:rsidR="00A15664" w:rsidRPr="001E3B31">
        <w:rPr>
          <w:rFonts w:asciiTheme="majorHAnsi" w:hAnsiTheme="majorHAnsi"/>
          <w:bCs/>
          <w:color w:val="auto"/>
          <w:sz w:val="20"/>
          <w:szCs w:val="20"/>
          <w:lang w:val="es-ES_tradnl"/>
        </w:rPr>
        <w:t>el 20 de abril de 2013</w:t>
      </w:r>
      <w:r w:rsidR="00DE0EF4" w:rsidRPr="001E3B31">
        <w:rPr>
          <w:rFonts w:asciiTheme="majorHAnsi" w:hAnsiTheme="majorHAnsi"/>
          <w:bCs/>
          <w:color w:val="auto"/>
          <w:sz w:val="20"/>
          <w:szCs w:val="20"/>
          <w:lang w:val="es-ES_tradnl"/>
        </w:rPr>
        <w:t>,</w:t>
      </w:r>
      <w:r w:rsidR="00A15664" w:rsidRPr="001E3B31">
        <w:rPr>
          <w:rFonts w:asciiTheme="majorHAnsi" w:hAnsiTheme="majorHAnsi"/>
          <w:bCs/>
          <w:color w:val="auto"/>
          <w:sz w:val="20"/>
          <w:szCs w:val="20"/>
          <w:lang w:val="es-ES_tradnl"/>
        </w:rPr>
        <w:t xml:space="preserve"> por lo que el Consejo ordenó que se dictara una nueva sentencia. En consecuencia, el 16 de junio de 2013 el Tribunal Administrativo de Magdalena emitió una nueva sentencia en la que determinó que el Estado había incurrido en responsabilidad por la muerte de la presunta víctima bajo la causal de “</w:t>
      </w:r>
      <w:r w:rsidR="00A15664" w:rsidRPr="001E3B31">
        <w:rPr>
          <w:rFonts w:asciiTheme="majorHAnsi" w:hAnsiTheme="majorHAnsi"/>
          <w:bCs/>
          <w:i/>
          <w:iCs/>
          <w:color w:val="auto"/>
          <w:sz w:val="20"/>
          <w:szCs w:val="20"/>
          <w:lang w:val="es-ES_tradnl"/>
        </w:rPr>
        <w:t>riesgo excepcional</w:t>
      </w:r>
      <w:r w:rsidR="00A15664" w:rsidRPr="001E3B31">
        <w:rPr>
          <w:rFonts w:asciiTheme="majorHAnsi" w:hAnsiTheme="majorHAnsi"/>
          <w:bCs/>
          <w:color w:val="auto"/>
          <w:sz w:val="20"/>
          <w:szCs w:val="20"/>
          <w:lang w:val="es-ES_tradnl"/>
        </w:rPr>
        <w:t>”. En dicha sentencia condenó a la Nación al pago de perjuicios materiales y morales, y lucro cesante consolidado. Sin embargo, este fallo fue impugnado por el Ministerio de Defensa Nacional</w:t>
      </w:r>
      <w:r w:rsidR="00DE0EF4" w:rsidRPr="001E3B31">
        <w:rPr>
          <w:rFonts w:asciiTheme="majorHAnsi" w:hAnsiTheme="majorHAnsi"/>
          <w:bCs/>
          <w:color w:val="auto"/>
          <w:sz w:val="20"/>
          <w:szCs w:val="20"/>
          <w:lang w:val="es-ES_tradnl"/>
        </w:rPr>
        <w:t>,</w:t>
      </w:r>
      <w:r w:rsidR="00A15664" w:rsidRPr="001E3B31">
        <w:rPr>
          <w:rFonts w:asciiTheme="majorHAnsi" w:hAnsiTheme="majorHAnsi"/>
          <w:bCs/>
          <w:color w:val="auto"/>
          <w:sz w:val="20"/>
          <w:szCs w:val="20"/>
          <w:lang w:val="es-ES_tradnl"/>
        </w:rPr>
        <w:t xml:space="preserve"> conllevando a que el 25 de julio de 2013 fuera revocado por la Sala de lo Contencioso Administrativo, Sección Cuarta, del Consejo de Estado </w:t>
      </w:r>
      <w:r w:rsidR="00DE0EF4" w:rsidRPr="001E3B31">
        <w:rPr>
          <w:rFonts w:asciiTheme="majorHAnsi" w:hAnsiTheme="majorHAnsi"/>
          <w:bCs/>
          <w:color w:val="auto"/>
          <w:sz w:val="20"/>
          <w:szCs w:val="20"/>
          <w:lang w:val="es-ES_tradnl"/>
        </w:rPr>
        <w:t>que</w:t>
      </w:r>
      <w:r w:rsidR="00A15664" w:rsidRPr="001E3B31">
        <w:rPr>
          <w:rFonts w:asciiTheme="majorHAnsi" w:hAnsiTheme="majorHAnsi"/>
          <w:bCs/>
          <w:color w:val="auto"/>
          <w:sz w:val="20"/>
          <w:szCs w:val="20"/>
          <w:lang w:val="es-ES_tradnl"/>
        </w:rPr>
        <w:t xml:space="preserve"> ordenó denegar las pretensiones de la demanda. </w:t>
      </w:r>
    </w:p>
    <w:p w14:paraId="3D8CE690" w14:textId="77777777" w:rsidR="00280C1E" w:rsidRPr="001E3B31" w:rsidRDefault="00280C1E" w:rsidP="00280C1E">
      <w:pPr>
        <w:pStyle w:val="ListParagraph"/>
        <w:rPr>
          <w:rFonts w:asciiTheme="majorHAnsi" w:hAnsiTheme="majorHAnsi"/>
          <w:bCs/>
          <w:color w:val="auto"/>
          <w:sz w:val="20"/>
          <w:szCs w:val="20"/>
          <w:lang w:val="es-ES_tradnl"/>
        </w:rPr>
      </w:pPr>
    </w:p>
    <w:p w14:paraId="57AFEB66" w14:textId="08F0D58B" w:rsidR="00B27614" w:rsidRPr="001E3B31" w:rsidRDefault="00280C1E" w:rsidP="00B2761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El peticionario niega que su petición pretenda que la Comisión actúe como una cuarta instancia o que los recursos de la jurisdicción interna no hayan sido agotados. En este sentido, destaca que l</w:t>
      </w:r>
      <w:r w:rsidR="00C52701" w:rsidRPr="001E3B31">
        <w:rPr>
          <w:rFonts w:asciiTheme="majorHAnsi" w:hAnsiTheme="majorHAnsi"/>
          <w:bCs/>
          <w:color w:val="auto"/>
          <w:sz w:val="20"/>
          <w:szCs w:val="20"/>
          <w:lang w:val="es-ES_tradnl"/>
        </w:rPr>
        <w:t>o</w:t>
      </w:r>
      <w:r w:rsidRPr="001E3B31">
        <w:rPr>
          <w:rFonts w:asciiTheme="majorHAnsi" w:hAnsiTheme="majorHAnsi"/>
          <w:bCs/>
          <w:color w:val="auto"/>
          <w:sz w:val="20"/>
          <w:szCs w:val="20"/>
          <w:lang w:val="es-ES_tradnl"/>
        </w:rPr>
        <w:t>s afectad</w:t>
      </w:r>
      <w:r w:rsidR="00C52701" w:rsidRPr="001E3B31">
        <w:rPr>
          <w:rFonts w:asciiTheme="majorHAnsi" w:hAnsiTheme="majorHAnsi"/>
          <w:bCs/>
          <w:color w:val="auto"/>
          <w:sz w:val="20"/>
          <w:szCs w:val="20"/>
          <w:lang w:val="es-ES_tradnl"/>
        </w:rPr>
        <w:t>o</w:t>
      </w:r>
      <w:r w:rsidRPr="001E3B31">
        <w:rPr>
          <w:rFonts w:asciiTheme="majorHAnsi" w:hAnsiTheme="majorHAnsi"/>
          <w:bCs/>
          <w:color w:val="auto"/>
          <w:sz w:val="20"/>
          <w:szCs w:val="20"/>
          <w:lang w:val="es-ES_tradnl"/>
        </w:rPr>
        <w:t xml:space="preserve">s agotaron la vía procesalmente prevista en el derecho interno para reclamar indemnización por la muerte de la presunta víctima, ocurrida a manos de agentes del Estado y de forma incompatible con sus derechos a la vida y a la integridad personal. La petición reclama que </w:t>
      </w:r>
      <w:r w:rsidR="00F90CC9" w:rsidRPr="001E3B31">
        <w:rPr>
          <w:rFonts w:asciiTheme="majorHAnsi" w:hAnsiTheme="majorHAnsi"/>
          <w:bCs/>
          <w:color w:val="auto"/>
          <w:sz w:val="20"/>
          <w:szCs w:val="20"/>
          <w:lang w:val="es-ES_tradnl"/>
        </w:rPr>
        <w:t>los</w:t>
      </w:r>
      <w:r w:rsidRPr="001E3B31">
        <w:rPr>
          <w:rFonts w:asciiTheme="majorHAnsi" w:hAnsiTheme="majorHAnsi"/>
          <w:bCs/>
          <w:color w:val="auto"/>
          <w:sz w:val="20"/>
          <w:szCs w:val="20"/>
          <w:lang w:val="es-ES_tradnl"/>
        </w:rPr>
        <w:t xml:space="preserve"> familiares de la presunta víctima no han sido reparadas o reestablecidas en sus derechos morales y patrimoniales</w:t>
      </w:r>
      <w:r w:rsidR="00F90CC9" w:rsidRPr="001E3B31">
        <w:rPr>
          <w:rFonts w:asciiTheme="majorHAnsi" w:hAnsiTheme="majorHAnsi"/>
          <w:bCs/>
          <w:color w:val="auto"/>
          <w:sz w:val="20"/>
          <w:szCs w:val="20"/>
          <w:lang w:val="es-ES_tradnl"/>
        </w:rPr>
        <w:t xml:space="preserve">, y que estas </w:t>
      </w:r>
      <w:r w:rsidRPr="001E3B31">
        <w:rPr>
          <w:rFonts w:asciiTheme="majorHAnsi" w:hAnsiTheme="majorHAnsi"/>
          <w:bCs/>
          <w:color w:val="auto"/>
          <w:sz w:val="20"/>
          <w:szCs w:val="20"/>
          <w:lang w:val="es-ES_tradnl"/>
        </w:rPr>
        <w:t xml:space="preserve">no han tenido acceso real a una justicia efectiva que les asegure la verdad, justicia, reparación integral y no repetición de los hechos. </w:t>
      </w:r>
    </w:p>
    <w:p w14:paraId="12E69860" w14:textId="77777777" w:rsidR="00B27614" w:rsidRPr="001E3B31" w:rsidRDefault="00B27614" w:rsidP="00B27614">
      <w:pPr>
        <w:pStyle w:val="ListParagraph"/>
        <w:rPr>
          <w:rFonts w:asciiTheme="majorHAnsi" w:hAnsiTheme="majorHAnsi"/>
          <w:bCs/>
          <w:color w:val="auto"/>
          <w:sz w:val="20"/>
          <w:szCs w:val="20"/>
          <w:lang w:val="es-ES_tradnl"/>
        </w:rPr>
      </w:pPr>
    </w:p>
    <w:p w14:paraId="4B1ACC2C" w14:textId="52F86803" w:rsidR="00B27614" w:rsidRPr="001E3B31" w:rsidRDefault="00B27614" w:rsidP="00B2761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 xml:space="preserve">La petición también sostiene que las autoridades de la justicia contencioso-administrativa doméstica valoraron las pruebas de modo acrítico, dando plena eficacia demostrativas a las aportadas por las agencias estatales y omitiendo estudiar declaraciones juradas que fueron rendidas por dos testigos y que apuntaban a la inexistencia de un enfrentamiento entre el Ejército Nacional y subversivos. A esto añade que, </w:t>
      </w:r>
      <w:r w:rsidR="00EA2A11" w:rsidRPr="001E3B31">
        <w:rPr>
          <w:rFonts w:asciiTheme="majorHAnsi" w:hAnsiTheme="majorHAnsi"/>
          <w:bCs/>
          <w:color w:val="auto"/>
          <w:sz w:val="20"/>
          <w:szCs w:val="20"/>
          <w:lang w:val="es-ES_tradnl"/>
        </w:rPr>
        <w:t>aun</w:t>
      </w:r>
      <w:r w:rsidRPr="001E3B31">
        <w:rPr>
          <w:rFonts w:asciiTheme="majorHAnsi" w:hAnsiTheme="majorHAnsi"/>
          <w:bCs/>
          <w:color w:val="auto"/>
          <w:sz w:val="20"/>
          <w:szCs w:val="20"/>
          <w:lang w:val="es-ES_tradnl"/>
        </w:rPr>
        <w:t xml:space="preserve"> aceptándose la existencia de tal enfrentamiento, la Nación debió ser condenada</w:t>
      </w:r>
      <w:r w:rsidR="00E71AE7" w:rsidRPr="001E3B31">
        <w:rPr>
          <w:rFonts w:asciiTheme="majorHAnsi" w:hAnsiTheme="majorHAnsi"/>
          <w:bCs/>
          <w:color w:val="auto"/>
          <w:sz w:val="20"/>
          <w:szCs w:val="20"/>
          <w:lang w:val="es-ES_tradnl"/>
        </w:rPr>
        <w:t>,</w:t>
      </w:r>
      <w:r w:rsidRPr="001E3B31">
        <w:rPr>
          <w:rFonts w:asciiTheme="majorHAnsi" w:hAnsiTheme="majorHAnsi"/>
          <w:bCs/>
          <w:color w:val="auto"/>
          <w:sz w:val="20"/>
          <w:szCs w:val="20"/>
          <w:lang w:val="es-ES_tradnl"/>
        </w:rPr>
        <w:t xml:space="preserve"> </w:t>
      </w:r>
      <w:r w:rsidR="00FB191A" w:rsidRPr="001E3B31">
        <w:rPr>
          <w:rFonts w:asciiTheme="majorHAnsi" w:hAnsiTheme="majorHAnsi"/>
          <w:bCs/>
          <w:color w:val="auto"/>
          <w:sz w:val="20"/>
          <w:szCs w:val="20"/>
          <w:lang w:val="es-ES_tradnl"/>
        </w:rPr>
        <w:t xml:space="preserve">pues fue el ocultamiento de los agentes estatales en una vivienda civil ubicada al lado de una vía pública y en la oscuridad de lo noche lo que propició la confusión que conllevó a la </w:t>
      </w:r>
      <w:r w:rsidR="004933AA" w:rsidRPr="001E3B31">
        <w:rPr>
          <w:rFonts w:asciiTheme="majorHAnsi" w:hAnsiTheme="majorHAnsi"/>
          <w:bCs/>
          <w:color w:val="auto"/>
          <w:sz w:val="20"/>
          <w:szCs w:val="20"/>
          <w:lang w:val="es-ES_tradnl"/>
        </w:rPr>
        <w:t>muerte de la presunta víctima.</w:t>
      </w:r>
    </w:p>
    <w:p w14:paraId="63CF2D32" w14:textId="77777777" w:rsidR="00280C1E" w:rsidRPr="001E3B31" w:rsidRDefault="00280C1E" w:rsidP="00280C1E">
      <w:pPr>
        <w:pStyle w:val="ListParagraph"/>
        <w:rPr>
          <w:rFonts w:asciiTheme="majorHAnsi" w:hAnsiTheme="majorHAnsi"/>
          <w:bCs/>
          <w:color w:val="auto"/>
          <w:sz w:val="20"/>
          <w:szCs w:val="20"/>
          <w:lang w:val="es-ES_tradnl"/>
        </w:rPr>
      </w:pPr>
    </w:p>
    <w:p w14:paraId="2A5A4328" w14:textId="0A9D3A72" w:rsidR="00280C1E" w:rsidRPr="001E3B31" w:rsidRDefault="00280C1E" w:rsidP="001E3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 xml:space="preserve">El Estado, por su parte, </w:t>
      </w:r>
      <w:r w:rsidR="00412BCB" w:rsidRPr="001E3B31">
        <w:rPr>
          <w:rFonts w:asciiTheme="majorHAnsi" w:hAnsiTheme="majorHAnsi"/>
          <w:bCs/>
          <w:color w:val="auto"/>
          <w:sz w:val="20"/>
          <w:szCs w:val="20"/>
          <w:lang w:val="es-ES_tradnl"/>
        </w:rPr>
        <w:t>considera que la petición debe ser inadmitida porque esta no cumple con el requisito de agotamiento de los recursos internos</w:t>
      </w:r>
      <w:r w:rsidR="00E71AE7" w:rsidRPr="001E3B31">
        <w:rPr>
          <w:rFonts w:asciiTheme="majorHAnsi" w:hAnsiTheme="majorHAnsi"/>
          <w:bCs/>
          <w:color w:val="auto"/>
          <w:sz w:val="20"/>
          <w:szCs w:val="20"/>
          <w:lang w:val="es-ES_tradnl"/>
        </w:rPr>
        <w:t>;</w:t>
      </w:r>
      <w:r w:rsidR="00412BCB" w:rsidRPr="001E3B31">
        <w:rPr>
          <w:rFonts w:asciiTheme="majorHAnsi" w:hAnsiTheme="majorHAnsi"/>
          <w:bCs/>
          <w:color w:val="auto"/>
          <w:sz w:val="20"/>
          <w:szCs w:val="20"/>
          <w:lang w:val="es-ES_tradnl"/>
        </w:rPr>
        <w:t xml:space="preserve"> y porque su pretensión es que la Comisión actué improcedentemente como un tribunal de alzada o “cuarta instancia”.</w:t>
      </w:r>
    </w:p>
    <w:p w14:paraId="33844E16" w14:textId="77777777" w:rsidR="00412BCB" w:rsidRPr="001E3B31" w:rsidRDefault="00412BCB" w:rsidP="00412BCB">
      <w:pPr>
        <w:pStyle w:val="ListParagraph"/>
        <w:rPr>
          <w:rFonts w:asciiTheme="majorHAnsi" w:hAnsiTheme="majorHAnsi"/>
          <w:bCs/>
          <w:color w:val="auto"/>
          <w:sz w:val="20"/>
          <w:szCs w:val="20"/>
          <w:lang w:val="es-ES_tradnl"/>
        </w:rPr>
      </w:pPr>
    </w:p>
    <w:p w14:paraId="7AA1FD6E" w14:textId="64C1FF35" w:rsidR="00412BCB" w:rsidRPr="001E3B31" w:rsidRDefault="003063F9" w:rsidP="001E3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Según explica el Estado,</w:t>
      </w:r>
      <w:r w:rsidR="00412BCB" w:rsidRPr="001E3B31">
        <w:rPr>
          <w:rFonts w:asciiTheme="majorHAnsi" w:hAnsiTheme="majorHAnsi"/>
          <w:bCs/>
          <w:color w:val="auto"/>
          <w:sz w:val="20"/>
          <w:szCs w:val="20"/>
          <w:lang w:val="es-ES_tradnl"/>
        </w:rPr>
        <w:t xml:space="preserve"> la investigación penal </w:t>
      </w:r>
      <w:r w:rsidR="00A52D8F" w:rsidRPr="001E3B31">
        <w:rPr>
          <w:rFonts w:asciiTheme="majorHAnsi" w:hAnsiTheme="majorHAnsi"/>
          <w:bCs/>
          <w:color w:val="auto"/>
          <w:sz w:val="20"/>
          <w:szCs w:val="20"/>
          <w:lang w:val="es-ES_tradnl"/>
        </w:rPr>
        <w:t>sobre</w:t>
      </w:r>
      <w:r w:rsidR="00412BCB" w:rsidRPr="001E3B31">
        <w:rPr>
          <w:rFonts w:asciiTheme="majorHAnsi" w:hAnsiTheme="majorHAnsi"/>
          <w:bCs/>
          <w:color w:val="auto"/>
          <w:sz w:val="20"/>
          <w:szCs w:val="20"/>
          <w:lang w:val="es-ES_tradnl"/>
        </w:rPr>
        <w:t xml:space="preserve"> la muerte de la presunta víctima fue iniciada por la Fiscalía Local Primera y 17 Seccional del Municipio de Ciénaga</w:t>
      </w:r>
      <w:r w:rsidR="00920786" w:rsidRPr="001E3B31">
        <w:rPr>
          <w:rFonts w:asciiTheme="majorHAnsi" w:hAnsiTheme="majorHAnsi"/>
          <w:bCs/>
          <w:color w:val="auto"/>
          <w:sz w:val="20"/>
          <w:szCs w:val="20"/>
          <w:lang w:val="es-ES_tradnl"/>
        </w:rPr>
        <w:t>,</w:t>
      </w:r>
      <w:r w:rsidR="00412BCB" w:rsidRPr="001E3B31">
        <w:rPr>
          <w:rFonts w:asciiTheme="majorHAnsi" w:hAnsiTheme="majorHAnsi"/>
          <w:bCs/>
          <w:color w:val="auto"/>
          <w:sz w:val="20"/>
          <w:szCs w:val="20"/>
          <w:lang w:val="es-ES_tradnl"/>
        </w:rPr>
        <w:t xml:space="preserve"> pero el 17 de noviembre de 2004 fue remitida al Juzgado 19 de Instrucción Penal Militar. </w:t>
      </w:r>
      <w:r w:rsidR="00920786" w:rsidRPr="001E3B31">
        <w:rPr>
          <w:rFonts w:asciiTheme="majorHAnsi" w:hAnsiTheme="majorHAnsi"/>
          <w:bCs/>
          <w:color w:val="auto"/>
          <w:sz w:val="20"/>
          <w:szCs w:val="20"/>
          <w:lang w:val="es-ES_tradnl"/>
        </w:rPr>
        <w:t>Posteriormente, e</w:t>
      </w:r>
      <w:r w:rsidR="00412BCB" w:rsidRPr="001E3B31">
        <w:rPr>
          <w:rFonts w:asciiTheme="majorHAnsi" w:hAnsiTheme="majorHAnsi"/>
          <w:bCs/>
          <w:color w:val="auto"/>
          <w:sz w:val="20"/>
          <w:szCs w:val="20"/>
          <w:lang w:val="es-ES_tradnl"/>
        </w:rPr>
        <w:t xml:space="preserve">l 24 de febrero de 2008 la Procuraduría General de la Nación solicitó que la investigación fuese remitida nuevamente a la Fiscalía General de la Nación por considerar el asunto de su competencia. </w:t>
      </w:r>
      <w:r w:rsidR="005A496E" w:rsidRPr="001E3B31">
        <w:rPr>
          <w:rFonts w:asciiTheme="majorHAnsi" w:hAnsiTheme="majorHAnsi"/>
          <w:bCs/>
          <w:color w:val="auto"/>
          <w:sz w:val="20"/>
          <w:szCs w:val="20"/>
          <w:lang w:val="es-ES_tradnl"/>
        </w:rPr>
        <w:t xml:space="preserve">Ello conllevó a que la investigación fuera asignada el 28 de julio de 2009 a la Dirección Especializada contra las Violaciones a los Derechos Humanos. </w:t>
      </w:r>
      <w:r w:rsidR="00920786" w:rsidRPr="001E3B31">
        <w:rPr>
          <w:rFonts w:asciiTheme="majorHAnsi" w:hAnsiTheme="majorHAnsi"/>
          <w:bCs/>
          <w:color w:val="auto"/>
          <w:sz w:val="20"/>
          <w:szCs w:val="20"/>
          <w:lang w:val="es-ES_tradnl"/>
        </w:rPr>
        <w:t>Así, e</w:t>
      </w:r>
      <w:r w:rsidR="005A496E" w:rsidRPr="001E3B31">
        <w:rPr>
          <w:rFonts w:asciiTheme="majorHAnsi" w:hAnsiTheme="majorHAnsi"/>
          <w:bCs/>
          <w:color w:val="auto"/>
          <w:sz w:val="20"/>
          <w:szCs w:val="20"/>
          <w:lang w:val="es-ES_tradnl"/>
        </w:rPr>
        <w:t>n su última comunicación</w:t>
      </w:r>
      <w:r w:rsidR="00920786" w:rsidRPr="001E3B31">
        <w:rPr>
          <w:rFonts w:asciiTheme="majorHAnsi" w:hAnsiTheme="majorHAnsi"/>
          <w:bCs/>
          <w:color w:val="auto"/>
          <w:sz w:val="20"/>
          <w:szCs w:val="20"/>
          <w:lang w:val="es-ES_tradnl"/>
        </w:rPr>
        <w:t>,</w:t>
      </w:r>
      <w:r w:rsidR="005A496E" w:rsidRPr="001E3B31">
        <w:rPr>
          <w:rFonts w:asciiTheme="majorHAnsi" w:hAnsiTheme="majorHAnsi"/>
          <w:bCs/>
          <w:color w:val="auto"/>
          <w:sz w:val="20"/>
          <w:szCs w:val="20"/>
          <w:lang w:val="es-ES_tradnl"/>
        </w:rPr>
        <w:t xml:space="preserve"> del 27 de noviembre de 2020</w:t>
      </w:r>
      <w:r w:rsidR="00920786" w:rsidRPr="001E3B31">
        <w:rPr>
          <w:rFonts w:asciiTheme="majorHAnsi" w:hAnsiTheme="majorHAnsi"/>
          <w:bCs/>
          <w:color w:val="auto"/>
          <w:sz w:val="20"/>
          <w:szCs w:val="20"/>
          <w:lang w:val="es-ES_tradnl"/>
        </w:rPr>
        <w:t>,</w:t>
      </w:r>
      <w:r w:rsidR="005A496E" w:rsidRPr="001E3B31">
        <w:rPr>
          <w:rFonts w:asciiTheme="majorHAnsi" w:hAnsiTheme="majorHAnsi"/>
          <w:bCs/>
          <w:color w:val="auto"/>
          <w:sz w:val="20"/>
          <w:szCs w:val="20"/>
          <w:lang w:val="es-ES_tradnl"/>
        </w:rPr>
        <w:t xml:space="preserve"> el Estado indicó que la investigación penal permanecía en curso </w:t>
      </w:r>
      <w:r w:rsidR="004D6E04" w:rsidRPr="001E3B31">
        <w:rPr>
          <w:rFonts w:asciiTheme="majorHAnsi" w:hAnsiTheme="majorHAnsi"/>
          <w:bCs/>
          <w:color w:val="auto"/>
          <w:sz w:val="20"/>
          <w:szCs w:val="20"/>
          <w:lang w:val="es-ES_tradnl"/>
        </w:rPr>
        <w:t>y que la Fiscalía General de la Nación se encontraba analizando todos los elementos probatorios a fin de resolver la situación jurídica de los indiciados</w:t>
      </w:r>
      <w:r w:rsidR="00CC5224" w:rsidRPr="001E3B31">
        <w:rPr>
          <w:rFonts w:asciiTheme="majorHAnsi" w:hAnsiTheme="majorHAnsi"/>
          <w:bCs/>
          <w:color w:val="auto"/>
          <w:sz w:val="20"/>
          <w:szCs w:val="20"/>
          <w:lang w:val="es-ES_tradnl"/>
        </w:rPr>
        <w:t>;</w:t>
      </w:r>
      <w:r w:rsidR="004D6E04" w:rsidRPr="001E3B31">
        <w:rPr>
          <w:rFonts w:asciiTheme="majorHAnsi" w:hAnsiTheme="majorHAnsi"/>
          <w:bCs/>
          <w:color w:val="auto"/>
          <w:sz w:val="20"/>
          <w:szCs w:val="20"/>
          <w:lang w:val="es-ES_tradnl"/>
        </w:rPr>
        <w:t xml:space="preserve"> y de ser necesario, ordenar la práctica de más pruebas.</w:t>
      </w:r>
    </w:p>
    <w:p w14:paraId="042C7851" w14:textId="77777777" w:rsidR="004D6E04" w:rsidRPr="001E3B31" w:rsidRDefault="004D6E04" w:rsidP="004D6E04">
      <w:pPr>
        <w:pStyle w:val="ListParagraph"/>
        <w:rPr>
          <w:rFonts w:asciiTheme="majorHAnsi" w:hAnsiTheme="majorHAnsi"/>
          <w:bCs/>
          <w:color w:val="auto"/>
          <w:sz w:val="20"/>
          <w:szCs w:val="20"/>
          <w:lang w:val="es-ES_tradnl"/>
        </w:rPr>
      </w:pPr>
    </w:p>
    <w:p w14:paraId="2C95A6CB" w14:textId="7FA9918E" w:rsidR="004D6E04" w:rsidRPr="001E3B31" w:rsidRDefault="004D6E04" w:rsidP="001E3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 xml:space="preserve"> </w:t>
      </w:r>
      <w:r w:rsidR="003063F9" w:rsidRPr="001E3B31">
        <w:rPr>
          <w:rFonts w:asciiTheme="majorHAnsi" w:hAnsiTheme="majorHAnsi"/>
          <w:bCs/>
          <w:color w:val="auto"/>
          <w:sz w:val="20"/>
          <w:szCs w:val="20"/>
          <w:lang w:val="es-ES_tradnl"/>
        </w:rPr>
        <w:t xml:space="preserve">El Estado </w:t>
      </w:r>
      <w:r w:rsidR="00CC5224" w:rsidRPr="001E3B31">
        <w:rPr>
          <w:rFonts w:asciiTheme="majorHAnsi" w:hAnsiTheme="majorHAnsi"/>
          <w:bCs/>
          <w:color w:val="auto"/>
          <w:sz w:val="20"/>
          <w:szCs w:val="20"/>
          <w:lang w:val="es-ES_tradnl"/>
        </w:rPr>
        <w:t>plantea que</w:t>
      </w:r>
      <w:r w:rsidRPr="001E3B31">
        <w:rPr>
          <w:rFonts w:asciiTheme="majorHAnsi" w:hAnsiTheme="majorHAnsi"/>
          <w:bCs/>
          <w:color w:val="auto"/>
          <w:sz w:val="20"/>
          <w:szCs w:val="20"/>
          <w:lang w:val="es-ES_tradnl"/>
        </w:rPr>
        <w:t xml:space="preserve"> la Comisión ha establecido que, ante peticiones que alegan la existencia de supuestos hechos delictivos, la acción penal constituye la vía idónea para esclarecer tales hechos y, de ser el caso, juzgar a </w:t>
      </w:r>
      <w:r w:rsidR="00C52701" w:rsidRPr="001E3B31">
        <w:rPr>
          <w:rFonts w:asciiTheme="majorHAnsi" w:hAnsiTheme="majorHAnsi"/>
          <w:bCs/>
          <w:color w:val="auto"/>
          <w:sz w:val="20"/>
          <w:szCs w:val="20"/>
          <w:lang w:val="es-ES_tradnl"/>
        </w:rPr>
        <w:t>los</w:t>
      </w:r>
      <w:r w:rsidRPr="001E3B31">
        <w:rPr>
          <w:rFonts w:asciiTheme="majorHAnsi" w:hAnsiTheme="majorHAnsi"/>
          <w:bCs/>
          <w:color w:val="auto"/>
          <w:sz w:val="20"/>
          <w:szCs w:val="20"/>
          <w:lang w:val="es-ES_tradnl"/>
        </w:rPr>
        <w:t xml:space="preserve"> responsables y determinar las sanciones y las medidas de reparación correspondientes. Por esta razón, considera que, al no encontrarse agotado el proceso penal relacionado con la muerte de la presunta </w:t>
      </w:r>
      <w:r w:rsidRPr="001E3B31">
        <w:rPr>
          <w:rFonts w:asciiTheme="majorHAnsi" w:hAnsiTheme="majorHAnsi"/>
          <w:bCs/>
          <w:color w:val="auto"/>
          <w:sz w:val="20"/>
          <w:szCs w:val="20"/>
          <w:lang w:val="es-ES_tradnl"/>
        </w:rPr>
        <w:lastRenderedPageBreak/>
        <w:t>víctima, la petición resulta inadmisible por no cumplir el requisito de agotamiento de los recursos internos previsto en el artículo 46.1</w:t>
      </w:r>
      <w:r w:rsidR="00CC5224" w:rsidRPr="001E3B31">
        <w:rPr>
          <w:rFonts w:asciiTheme="majorHAnsi" w:hAnsiTheme="majorHAnsi"/>
          <w:bCs/>
          <w:color w:val="auto"/>
          <w:sz w:val="20"/>
          <w:szCs w:val="20"/>
          <w:lang w:val="es-ES_tradnl"/>
        </w:rPr>
        <w:t>.</w:t>
      </w:r>
      <w:r w:rsidRPr="001E3B31">
        <w:rPr>
          <w:rFonts w:asciiTheme="majorHAnsi" w:hAnsiTheme="majorHAnsi"/>
          <w:bCs/>
          <w:color w:val="auto"/>
          <w:sz w:val="20"/>
          <w:szCs w:val="20"/>
          <w:lang w:val="es-ES_tradnl"/>
        </w:rPr>
        <w:t xml:space="preserve">a) de la Convención Americana. </w:t>
      </w:r>
    </w:p>
    <w:p w14:paraId="13E51192" w14:textId="77777777" w:rsidR="004D6E04" w:rsidRPr="001E3B31" w:rsidRDefault="004D6E04" w:rsidP="004D6E04">
      <w:pPr>
        <w:pStyle w:val="ListParagraph"/>
        <w:rPr>
          <w:rFonts w:asciiTheme="majorHAnsi" w:hAnsiTheme="majorHAnsi"/>
          <w:bCs/>
          <w:color w:val="auto"/>
          <w:sz w:val="20"/>
          <w:szCs w:val="20"/>
          <w:lang w:val="es-ES_tradnl"/>
        </w:rPr>
      </w:pPr>
    </w:p>
    <w:p w14:paraId="090889EF" w14:textId="0F986EC2" w:rsidR="00546FC6" w:rsidRPr="001E3B31" w:rsidRDefault="004D6E04" w:rsidP="001E3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A</w:t>
      </w:r>
      <w:r w:rsidR="003063F9" w:rsidRPr="001E3B31">
        <w:rPr>
          <w:rFonts w:asciiTheme="majorHAnsi" w:hAnsiTheme="majorHAnsi"/>
          <w:bCs/>
          <w:color w:val="auto"/>
          <w:sz w:val="20"/>
          <w:szCs w:val="20"/>
          <w:lang w:val="es-ES_tradnl"/>
        </w:rPr>
        <w:t xml:space="preserve"> juicio del Estado, no ha existido un retardo injustificado en el desarrollo del proceso penal pertinente que exima al peticionario de su obligación de agotar previamente los recursos internos. </w:t>
      </w:r>
      <w:r w:rsidR="00056D1D" w:rsidRPr="001E3B31">
        <w:rPr>
          <w:rFonts w:asciiTheme="majorHAnsi" w:hAnsiTheme="majorHAnsi"/>
          <w:bCs/>
          <w:color w:val="auto"/>
          <w:sz w:val="20"/>
          <w:szCs w:val="20"/>
          <w:lang w:val="es-ES_tradnl"/>
        </w:rPr>
        <w:t>Aleja</w:t>
      </w:r>
      <w:r w:rsidR="003063F9" w:rsidRPr="001E3B31">
        <w:rPr>
          <w:rFonts w:asciiTheme="majorHAnsi" w:hAnsiTheme="majorHAnsi"/>
          <w:bCs/>
          <w:color w:val="auto"/>
          <w:sz w:val="20"/>
          <w:szCs w:val="20"/>
          <w:lang w:val="es-ES_tradnl"/>
        </w:rPr>
        <w:t xml:space="preserve"> que </w:t>
      </w:r>
      <w:r w:rsidR="00056D1D" w:rsidRPr="001E3B31">
        <w:rPr>
          <w:rFonts w:asciiTheme="majorHAnsi" w:hAnsiTheme="majorHAnsi"/>
          <w:bCs/>
          <w:color w:val="auto"/>
          <w:sz w:val="20"/>
          <w:szCs w:val="20"/>
          <w:lang w:val="es-ES_tradnl"/>
        </w:rPr>
        <w:t>esta</w:t>
      </w:r>
      <w:r w:rsidR="003063F9" w:rsidRPr="001E3B31">
        <w:rPr>
          <w:rFonts w:asciiTheme="majorHAnsi" w:hAnsiTheme="majorHAnsi"/>
          <w:bCs/>
          <w:color w:val="auto"/>
          <w:sz w:val="20"/>
          <w:szCs w:val="20"/>
          <w:lang w:val="es-ES_tradnl"/>
        </w:rPr>
        <w:t xml:space="preserve"> investigación reviste </w:t>
      </w:r>
      <w:r w:rsidR="00056D1D" w:rsidRPr="001E3B31">
        <w:rPr>
          <w:rFonts w:asciiTheme="majorHAnsi" w:hAnsiTheme="majorHAnsi"/>
          <w:bCs/>
          <w:color w:val="auto"/>
          <w:sz w:val="20"/>
          <w:szCs w:val="20"/>
          <w:lang w:val="es-ES_tradnl"/>
        </w:rPr>
        <w:t>una</w:t>
      </w:r>
      <w:r w:rsidR="003063F9" w:rsidRPr="001E3B31">
        <w:rPr>
          <w:rFonts w:asciiTheme="majorHAnsi" w:hAnsiTheme="majorHAnsi"/>
          <w:bCs/>
          <w:color w:val="auto"/>
          <w:sz w:val="20"/>
          <w:szCs w:val="20"/>
          <w:lang w:val="es-ES_tradnl"/>
        </w:rPr>
        <w:t xml:space="preserve"> complejidad especial</w:t>
      </w:r>
      <w:r w:rsidR="007139B0" w:rsidRPr="001E3B31">
        <w:rPr>
          <w:rFonts w:asciiTheme="majorHAnsi" w:hAnsiTheme="majorHAnsi"/>
          <w:bCs/>
          <w:color w:val="auto"/>
          <w:sz w:val="20"/>
          <w:szCs w:val="20"/>
          <w:lang w:val="es-ES_tradnl"/>
        </w:rPr>
        <w:t xml:space="preserve">, puesto que </w:t>
      </w:r>
      <w:r w:rsidR="003063F9" w:rsidRPr="001E3B31">
        <w:rPr>
          <w:rFonts w:asciiTheme="majorHAnsi" w:hAnsiTheme="majorHAnsi"/>
          <w:bCs/>
          <w:color w:val="auto"/>
          <w:sz w:val="20"/>
          <w:szCs w:val="20"/>
          <w:lang w:val="es-ES_tradnl"/>
        </w:rPr>
        <w:t xml:space="preserve">el paso del tiempo </w:t>
      </w:r>
      <w:r w:rsidR="00056D1D" w:rsidRPr="001E3B31">
        <w:rPr>
          <w:rFonts w:asciiTheme="majorHAnsi" w:hAnsiTheme="majorHAnsi"/>
          <w:bCs/>
          <w:color w:val="auto"/>
          <w:sz w:val="20"/>
          <w:szCs w:val="20"/>
          <w:lang w:val="es-ES_tradnl"/>
        </w:rPr>
        <w:t>con relación a</w:t>
      </w:r>
      <w:r w:rsidR="003063F9" w:rsidRPr="001E3B31">
        <w:rPr>
          <w:rFonts w:asciiTheme="majorHAnsi" w:hAnsiTheme="majorHAnsi"/>
          <w:bCs/>
          <w:color w:val="auto"/>
          <w:sz w:val="20"/>
          <w:szCs w:val="20"/>
          <w:lang w:val="es-ES_tradnl"/>
        </w:rPr>
        <w:t xml:space="preserve"> la ocurrencia de los hechos dificulta la recolección de material probatorio y la realización de labores de campo. De igual forma</w:t>
      </w:r>
      <w:r w:rsidR="00056D1D" w:rsidRPr="001E3B31">
        <w:rPr>
          <w:rFonts w:asciiTheme="majorHAnsi" w:hAnsiTheme="majorHAnsi"/>
          <w:bCs/>
          <w:color w:val="auto"/>
          <w:sz w:val="20"/>
          <w:szCs w:val="20"/>
          <w:lang w:val="es-ES_tradnl"/>
        </w:rPr>
        <w:t>,</w:t>
      </w:r>
      <w:r w:rsidR="003063F9" w:rsidRPr="001E3B31">
        <w:rPr>
          <w:rFonts w:asciiTheme="majorHAnsi" w:hAnsiTheme="majorHAnsi"/>
          <w:bCs/>
          <w:color w:val="auto"/>
          <w:sz w:val="20"/>
          <w:szCs w:val="20"/>
          <w:lang w:val="es-ES_tradnl"/>
        </w:rPr>
        <w:t xml:space="preserve"> manifiesta que no hay información que permita determinar si </w:t>
      </w:r>
      <w:r w:rsidR="00056D1D" w:rsidRPr="001E3B31">
        <w:rPr>
          <w:rFonts w:asciiTheme="majorHAnsi" w:hAnsiTheme="majorHAnsi"/>
          <w:bCs/>
          <w:color w:val="auto"/>
          <w:sz w:val="20"/>
          <w:szCs w:val="20"/>
          <w:lang w:val="es-ES_tradnl"/>
        </w:rPr>
        <w:t>los</w:t>
      </w:r>
      <w:r w:rsidR="003063F9" w:rsidRPr="001E3B31">
        <w:rPr>
          <w:rFonts w:asciiTheme="majorHAnsi" w:hAnsiTheme="majorHAnsi"/>
          <w:bCs/>
          <w:color w:val="auto"/>
          <w:sz w:val="20"/>
          <w:szCs w:val="20"/>
          <w:lang w:val="es-ES_tradnl"/>
        </w:rPr>
        <w:t xml:space="preserve"> familiares de la presunta víctima han intervenido cuando les era razonablemente exigible para dar impulso al proceso. También sostiene que las autoridades estatales han actuado de manera diligente y efectiva en la investigación de los hechos. </w:t>
      </w:r>
    </w:p>
    <w:p w14:paraId="27A04960" w14:textId="77777777" w:rsidR="00546FC6" w:rsidRPr="001E3B31" w:rsidRDefault="00546FC6" w:rsidP="00546FC6">
      <w:pPr>
        <w:pStyle w:val="ListParagraph"/>
        <w:rPr>
          <w:rFonts w:asciiTheme="majorHAnsi" w:hAnsiTheme="majorHAnsi"/>
          <w:bCs/>
          <w:color w:val="auto"/>
          <w:sz w:val="20"/>
          <w:szCs w:val="20"/>
          <w:lang w:val="es-ES_tradnl"/>
        </w:rPr>
      </w:pPr>
    </w:p>
    <w:p w14:paraId="15CA7B33" w14:textId="4EC6CDE7" w:rsidR="004D6E04" w:rsidRPr="001E3B31" w:rsidRDefault="00546FC6" w:rsidP="001E3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Respecto a la diligencia de las autoridades estatales, el Estado</w:t>
      </w:r>
      <w:r w:rsidR="003063F9" w:rsidRPr="001E3B31">
        <w:rPr>
          <w:rFonts w:asciiTheme="majorHAnsi" w:hAnsiTheme="majorHAnsi"/>
          <w:bCs/>
          <w:color w:val="auto"/>
          <w:sz w:val="20"/>
          <w:szCs w:val="20"/>
          <w:lang w:val="es-ES_tradnl"/>
        </w:rPr>
        <w:t xml:space="preserve"> explica que desde que asumió la investigación la Dirección Especializada </w:t>
      </w:r>
      <w:r w:rsidR="00056D1D" w:rsidRPr="001E3B31">
        <w:rPr>
          <w:rFonts w:asciiTheme="majorHAnsi" w:hAnsiTheme="majorHAnsi"/>
          <w:bCs/>
          <w:color w:val="auto"/>
          <w:sz w:val="20"/>
          <w:szCs w:val="20"/>
          <w:lang w:val="es-ES_tradnl"/>
        </w:rPr>
        <w:t xml:space="preserve">contra las Violaciones a los Derechos Humanos </w:t>
      </w:r>
      <w:r w:rsidR="003063F9" w:rsidRPr="001E3B31">
        <w:rPr>
          <w:rFonts w:asciiTheme="majorHAnsi" w:hAnsiTheme="majorHAnsi"/>
          <w:bCs/>
          <w:color w:val="auto"/>
          <w:sz w:val="20"/>
          <w:szCs w:val="20"/>
          <w:lang w:val="es-ES_tradnl"/>
        </w:rPr>
        <w:t>ha venido practicando pruebas pertinentes para el esclarecimiento de los hechos, logrando vincular a once miembros de las fuerzas mil</w:t>
      </w:r>
      <w:r w:rsidRPr="001E3B31">
        <w:rPr>
          <w:rFonts w:asciiTheme="majorHAnsi" w:hAnsiTheme="majorHAnsi"/>
          <w:bCs/>
          <w:color w:val="auto"/>
          <w:sz w:val="20"/>
          <w:szCs w:val="20"/>
          <w:lang w:val="es-ES_tradnl"/>
        </w:rPr>
        <w:t xml:space="preserve">itares. Las pruebas practicadas han incluido algunas encaminadas a identificar a las otras víctimas del suceso quienes figuraran como “NN” y otras relacionadas con las trayectorias de los disparos. A esto, el Estado añade que entre el 15 y 19 de julio de 2019 </w:t>
      </w:r>
      <w:r w:rsidR="00056D1D" w:rsidRPr="001E3B31">
        <w:rPr>
          <w:rFonts w:asciiTheme="majorHAnsi" w:hAnsiTheme="majorHAnsi"/>
          <w:bCs/>
          <w:color w:val="auto"/>
          <w:sz w:val="20"/>
          <w:szCs w:val="20"/>
          <w:lang w:val="es-ES_tradnl"/>
        </w:rPr>
        <w:t>se le tomó indagatoria a los militares vinculados.</w:t>
      </w:r>
    </w:p>
    <w:p w14:paraId="37768117" w14:textId="77777777" w:rsidR="00546FC6" w:rsidRPr="001E3B31" w:rsidRDefault="00546FC6" w:rsidP="00546FC6">
      <w:pPr>
        <w:pStyle w:val="ListParagraph"/>
        <w:rPr>
          <w:rFonts w:asciiTheme="majorHAnsi" w:hAnsiTheme="majorHAnsi"/>
          <w:bCs/>
          <w:color w:val="auto"/>
          <w:sz w:val="20"/>
          <w:szCs w:val="20"/>
          <w:lang w:val="es-ES_tradnl"/>
        </w:rPr>
      </w:pPr>
    </w:p>
    <w:p w14:paraId="6C41E837" w14:textId="7CA39B6A" w:rsidR="00546FC6" w:rsidRPr="001E3B31" w:rsidRDefault="00546FC6" w:rsidP="001E3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 xml:space="preserve">El Estado también argumenta que la petición </w:t>
      </w:r>
      <w:r w:rsidR="00600D3F" w:rsidRPr="001E3B31">
        <w:rPr>
          <w:rFonts w:asciiTheme="majorHAnsi" w:hAnsiTheme="majorHAnsi"/>
          <w:bCs/>
          <w:color w:val="auto"/>
          <w:sz w:val="20"/>
          <w:szCs w:val="20"/>
          <w:lang w:val="es-ES_tradnl"/>
        </w:rPr>
        <w:t>es inadmisible conforme al artículo 47(b) de la Convención Americana porque</w:t>
      </w:r>
      <w:r w:rsidR="008451EF" w:rsidRPr="001E3B31">
        <w:rPr>
          <w:rFonts w:asciiTheme="majorHAnsi" w:hAnsiTheme="majorHAnsi"/>
          <w:bCs/>
          <w:color w:val="auto"/>
          <w:sz w:val="20"/>
          <w:szCs w:val="20"/>
          <w:lang w:val="es-ES_tradnl"/>
        </w:rPr>
        <w:t xml:space="preserve"> el peticionario</w:t>
      </w:r>
      <w:r w:rsidR="00600D3F" w:rsidRPr="001E3B31">
        <w:rPr>
          <w:rFonts w:asciiTheme="majorHAnsi" w:hAnsiTheme="majorHAnsi"/>
          <w:bCs/>
          <w:color w:val="auto"/>
          <w:sz w:val="20"/>
          <w:szCs w:val="20"/>
          <w:lang w:val="es-ES_tradnl"/>
        </w:rPr>
        <w:t xml:space="preserve"> pretende que la Comisión actué como un tribunal de alzada o “cuarta instancia”</w:t>
      </w:r>
      <w:r w:rsidR="00B27614" w:rsidRPr="001E3B31">
        <w:rPr>
          <w:rFonts w:asciiTheme="majorHAnsi" w:hAnsiTheme="majorHAnsi"/>
          <w:bCs/>
          <w:color w:val="auto"/>
          <w:sz w:val="20"/>
          <w:szCs w:val="20"/>
          <w:lang w:val="es-ES_tradnl"/>
        </w:rPr>
        <w:t xml:space="preserve"> </w:t>
      </w:r>
      <w:r w:rsidR="00600D3F" w:rsidRPr="001E3B31">
        <w:rPr>
          <w:rFonts w:asciiTheme="majorHAnsi" w:hAnsiTheme="majorHAnsi"/>
          <w:bCs/>
          <w:color w:val="auto"/>
          <w:sz w:val="20"/>
          <w:szCs w:val="20"/>
          <w:lang w:val="es-ES_tradnl"/>
        </w:rPr>
        <w:t>en</w:t>
      </w:r>
      <w:r w:rsidR="00B27614" w:rsidRPr="001E3B31">
        <w:rPr>
          <w:rFonts w:asciiTheme="majorHAnsi" w:hAnsiTheme="majorHAnsi"/>
          <w:bCs/>
          <w:color w:val="auto"/>
          <w:sz w:val="20"/>
          <w:szCs w:val="20"/>
          <w:lang w:val="es-ES_tradnl"/>
        </w:rPr>
        <w:t xml:space="preserve"> </w:t>
      </w:r>
      <w:r w:rsidR="00600D3F" w:rsidRPr="001E3B31">
        <w:rPr>
          <w:rFonts w:asciiTheme="majorHAnsi" w:hAnsiTheme="majorHAnsi"/>
          <w:bCs/>
          <w:color w:val="auto"/>
          <w:sz w:val="20"/>
          <w:szCs w:val="20"/>
          <w:lang w:val="es-ES_tradnl"/>
        </w:rPr>
        <w:t>contravención al carácter subsid</w:t>
      </w:r>
      <w:r w:rsidR="00B27614" w:rsidRPr="001E3B31">
        <w:rPr>
          <w:rFonts w:asciiTheme="majorHAnsi" w:hAnsiTheme="majorHAnsi"/>
          <w:bCs/>
          <w:color w:val="auto"/>
          <w:sz w:val="20"/>
          <w:szCs w:val="20"/>
          <w:lang w:val="es-ES_tradnl"/>
        </w:rPr>
        <w:t>i</w:t>
      </w:r>
      <w:r w:rsidR="00600D3F" w:rsidRPr="001E3B31">
        <w:rPr>
          <w:rFonts w:asciiTheme="majorHAnsi" w:hAnsiTheme="majorHAnsi"/>
          <w:bCs/>
          <w:color w:val="auto"/>
          <w:sz w:val="20"/>
          <w:szCs w:val="20"/>
          <w:lang w:val="es-ES_tradnl"/>
        </w:rPr>
        <w:t>ario, complementario y coadyuvante del Sistema Int</w:t>
      </w:r>
      <w:r w:rsidR="00D475B1" w:rsidRPr="001E3B31">
        <w:rPr>
          <w:rFonts w:asciiTheme="majorHAnsi" w:hAnsiTheme="majorHAnsi"/>
          <w:bCs/>
          <w:color w:val="auto"/>
          <w:sz w:val="20"/>
          <w:szCs w:val="20"/>
          <w:lang w:val="es-ES_tradnl"/>
        </w:rPr>
        <w:t xml:space="preserve">eramericano. </w:t>
      </w:r>
    </w:p>
    <w:p w14:paraId="41A91D2B" w14:textId="77777777" w:rsidR="00ED31DC" w:rsidRPr="001E3B31" w:rsidRDefault="00ED31DC" w:rsidP="00F15ADC">
      <w:pPr>
        <w:rPr>
          <w:rFonts w:asciiTheme="majorHAnsi" w:hAnsiTheme="majorHAnsi"/>
          <w:bCs/>
          <w:sz w:val="20"/>
          <w:szCs w:val="20"/>
          <w:lang w:val="es-ES_tradnl"/>
        </w:rPr>
      </w:pPr>
    </w:p>
    <w:p w14:paraId="72805E28" w14:textId="6B793608" w:rsidR="00ED31DC" w:rsidRPr="001E3B31" w:rsidRDefault="00F15ADC" w:rsidP="001E3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E</w:t>
      </w:r>
      <w:r w:rsidR="00ED31DC" w:rsidRPr="001E3B31">
        <w:rPr>
          <w:rFonts w:asciiTheme="majorHAnsi" w:hAnsiTheme="majorHAnsi"/>
          <w:bCs/>
          <w:color w:val="auto"/>
          <w:sz w:val="20"/>
          <w:szCs w:val="20"/>
          <w:lang w:val="es-ES_tradnl"/>
        </w:rPr>
        <w:t>n su última comunicación</w:t>
      </w:r>
      <w:r w:rsidR="009B09E9" w:rsidRPr="001E3B31">
        <w:rPr>
          <w:rFonts w:asciiTheme="majorHAnsi" w:hAnsiTheme="majorHAnsi"/>
          <w:bCs/>
          <w:color w:val="auto"/>
          <w:sz w:val="20"/>
          <w:szCs w:val="20"/>
          <w:lang w:val="es-ES_tradnl"/>
        </w:rPr>
        <w:t>,</w:t>
      </w:r>
      <w:r w:rsidR="00ED31DC" w:rsidRPr="001E3B31">
        <w:rPr>
          <w:rFonts w:asciiTheme="majorHAnsi" w:hAnsiTheme="majorHAnsi"/>
          <w:bCs/>
          <w:color w:val="auto"/>
          <w:sz w:val="20"/>
          <w:szCs w:val="20"/>
          <w:lang w:val="es-ES_tradnl"/>
        </w:rPr>
        <w:t xml:space="preserve"> del 27 de noviembre de 2020</w:t>
      </w:r>
      <w:r w:rsidR="009B09E9" w:rsidRPr="001E3B31">
        <w:rPr>
          <w:rFonts w:asciiTheme="majorHAnsi" w:hAnsiTheme="majorHAnsi"/>
          <w:bCs/>
          <w:color w:val="auto"/>
          <w:sz w:val="20"/>
          <w:szCs w:val="20"/>
          <w:lang w:val="es-ES_tradnl"/>
        </w:rPr>
        <w:t>,</w:t>
      </w:r>
      <w:r w:rsidR="00ED31DC" w:rsidRPr="001E3B31">
        <w:rPr>
          <w:rFonts w:asciiTheme="majorHAnsi" w:hAnsiTheme="majorHAnsi"/>
          <w:bCs/>
          <w:color w:val="auto"/>
          <w:sz w:val="20"/>
          <w:szCs w:val="20"/>
          <w:lang w:val="es-ES_tradnl"/>
        </w:rPr>
        <w:t xml:space="preserve"> el Estado </w:t>
      </w:r>
      <w:r w:rsidR="009B09E9" w:rsidRPr="001E3B31">
        <w:rPr>
          <w:rFonts w:asciiTheme="majorHAnsi" w:hAnsiTheme="majorHAnsi"/>
          <w:bCs/>
          <w:color w:val="auto"/>
          <w:sz w:val="20"/>
          <w:szCs w:val="20"/>
          <w:lang w:val="es-ES_tradnl"/>
        </w:rPr>
        <w:t>informó</w:t>
      </w:r>
      <w:r w:rsidR="00ED31DC" w:rsidRPr="001E3B31">
        <w:rPr>
          <w:rFonts w:asciiTheme="majorHAnsi" w:hAnsiTheme="majorHAnsi"/>
          <w:bCs/>
          <w:color w:val="auto"/>
          <w:sz w:val="20"/>
          <w:szCs w:val="20"/>
          <w:lang w:val="es-ES_tradnl"/>
        </w:rPr>
        <w:t xml:space="preserve"> que la decisión que ordenó el pago de reparaciones a </w:t>
      </w:r>
      <w:r w:rsidR="00415A3C" w:rsidRPr="001E3B31">
        <w:rPr>
          <w:rFonts w:asciiTheme="majorHAnsi" w:hAnsiTheme="majorHAnsi"/>
          <w:bCs/>
          <w:color w:val="auto"/>
          <w:sz w:val="20"/>
          <w:szCs w:val="20"/>
          <w:lang w:val="es-ES_tradnl"/>
        </w:rPr>
        <w:t>los</w:t>
      </w:r>
      <w:r w:rsidR="00ED31DC" w:rsidRPr="001E3B31">
        <w:rPr>
          <w:rFonts w:asciiTheme="majorHAnsi" w:hAnsiTheme="majorHAnsi"/>
          <w:bCs/>
          <w:color w:val="auto"/>
          <w:sz w:val="20"/>
          <w:szCs w:val="20"/>
          <w:lang w:val="es-ES_tradnl"/>
        </w:rPr>
        <w:t xml:space="preserve"> familiares </w:t>
      </w:r>
      <w:r w:rsidR="00415A3C" w:rsidRPr="001E3B31">
        <w:rPr>
          <w:rFonts w:asciiTheme="majorHAnsi" w:hAnsiTheme="majorHAnsi"/>
          <w:bCs/>
          <w:color w:val="auto"/>
          <w:sz w:val="20"/>
          <w:szCs w:val="20"/>
          <w:lang w:val="es-ES_tradnl"/>
        </w:rPr>
        <w:t>del Sr. José Alejandro Escobar</w:t>
      </w:r>
      <w:r w:rsidR="00ED31DC" w:rsidRPr="001E3B31">
        <w:rPr>
          <w:rFonts w:asciiTheme="majorHAnsi" w:hAnsiTheme="majorHAnsi"/>
          <w:bCs/>
          <w:color w:val="auto"/>
          <w:sz w:val="20"/>
          <w:szCs w:val="20"/>
          <w:lang w:val="es-ES_tradnl"/>
        </w:rPr>
        <w:t xml:space="preserve"> había sido revocada</w:t>
      </w:r>
      <w:r w:rsidR="00415A3C" w:rsidRPr="001E3B31">
        <w:rPr>
          <w:rFonts w:asciiTheme="majorHAnsi" w:hAnsiTheme="majorHAnsi"/>
          <w:bCs/>
          <w:color w:val="auto"/>
          <w:sz w:val="20"/>
          <w:szCs w:val="20"/>
          <w:lang w:val="es-ES_tradnl"/>
        </w:rPr>
        <w:t>;</w:t>
      </w:r>
      <w:r w:rsidR="00ED31DC" w:rsidRPr="001E3B31">
        <w:rPr>
          <w:rFonts w:asciiTheme="majorHAnsi" w:hAnsiTheme="majorHAnsi"/>
          <w:bCs/>
          <w:color w:val="auto"/>
          <w:sz w:val="20"/>
          <w:szCs w:val="20"/>
          <w:lang w:val="es-ES_tradnl"/>
        </w:rPr>
        <w:t xml:space="preserve"> </w:t>
      </w:r>
      <w:r w:rsidR="00415A3C" w:rsidRPr="001E3B31">
        <w:rPr>
          <w:rFonts w:asciiTheme="majorHAnsi" w:hAnsiTheme="majorHAnsi"/>
          <w:bCs/>
          <w:color w:val="auto"/>
          <w:sz w:val="20"/>
          <w:szCs w:val="20"/>
          <w:lang w:val="es-ES_tradnl"/>
        </w:rPr>
        <w:t>y</w:t>
      </w:r>
      <w:r w:rsidR="00ED31DC" w:rsidRPr="001E3B31">
        <w:rPr>
          <w:rFonts w:asciiTheme="majorHAnsi" w:hAnsiTheme="majorHAnsi"/>
          <w:bCs/>
          <w:color w:val="auto"/>
          <w:sz w:val="20"/>
          <w:szCs w:val="20"/>
          <w:lang w:val="es-ES_tradnl"/>
        </w:rPr>
        <w:t xml:space="preserve"> explicó que </w:t>
      </w:r>
      <w:r w:rsidR="00A87844" w:rsidRPr="001E3B31">
        <w:rPr>
          <w:rFonts w:asciiTheme="majorHAnsi" w:hAnsiTheme="majorHAnsi"/>
          <w:bCs/>
          <w:color w:val="auto"/>
          <w:sz w:val="20"/>
          <w:szCs w:val="20"/>
          <w:lang w:val="es-ES_tradnl"/>
        </w:rPr>
        <w:t xml:space="preserve">la Sección Cuarta del Consejo de Estado revocó la sentencia que había sido proferida a favor de </w:t>
      </w:r>
      <w:r w:rsidR="00C52701" w:rsidRPr="001E3B31">
        <w:rPr>
          <w:rFonts w:asciiTheme="majorHAnsi" w:hAnsiTheme="majorHAnsi"/>
          <w:bCs/>
          <w:color w:val="auto"/>
          <w:sz w:val="20"/>
          <w:szCs w:val="20"/>
          <w:lang w:val="es-ES_tradnl"/>
        </w:rPr>
        <w:t>los familiares</w:t>
      </w:r>
      <w:r w:rsidR="00A87844" w:rsidRPr="001E3B31">
        <w:rPr>
          <w:rFonts w:asciiTheme="majorHAnsi" w:hAnsiTheme="majorHAnsi"/>
          <w:bCs/>
          <w:color w:val="auto"/>
          <w:sz w:val="20"/>
          <w:szCs w:val="20"/>
          <w:lang w:val="es-ES_tradnl"/>
        </w:rPr>
        <w:t xml:space="preserve"> de la presunta víctima. </w:t>
      </w:r>
      <w:r w:rsidR="009B09E9" w:rsidRPr="001E3B31">
        <w:rPr>
          <w:rFonts w:asciiTheme="majorHAnsi" w:hAnsiTheme="majorHAnsi"/>
          <w:bCs/>
          <w:color w:val="auto"/>
          <w:sz w:val="20"/>
          <w:szCs w:val="20"/>
          <w:lang w:val="es-ES_tradnl"/>
        </w:rPr>
        <w:t>Estos interpusieron luego</w:t>
      </w:r>
      <w:r w:rsidR="00A87844" w:rsidRPr="001E3B31">
        <w:rPr>
          <w:rFonts w:asciiTheme="majorHAnsi" w:hAnsiTheme="majorHAnsi"/>
          <w:bCs/>
          <w:color w:val="auto"/>
          <w:sz w:val="20"/>
          <w:szCs w:val="20"/>
          <w:lang w:val="es-ES_tradnl"/>
        </w:rPr>
        <w:t xml:space="preserve"> una acción de tutela argumentando la existencia de un defecto fáctico en las sentencias que les habían sido desfavorables. Inicialmente esa tutela se resolvió a su favor. Sin embargo, la Sección Cuarta luego revocó la decisión tras estimar que las simples diferencias entre </w:t>
      </w:r>
      <w:r w:rsidR="009B09E9" w:rsidRPr="001E3B31">
        <w:rPr>
          <w:rFonts w:asciiTheme="majorHAnsi" w:hAnsiTheme="majorHAnsi"/>
          <w:bCs/>
          <w:color w:val="auto"/>
          <w:sz w:val="20"/>
          <w:szCs w:val="20"/>
          <w:lang w:val="es-ES_tradnl"/>
        </w:rPr>
        <w:t>los</w:t>
      </w:r>
      <w:r w:rsidR="00A87844" w:rsidRPr="001E3B31">
        <w:rPr>
          <w:rFonts w:asciiTheme="majorHAnsi" w:hAnsiTheme="majorHAnsi"/>
          <w:bCs/>
          <w:color w:val="auto"/>
          <w:sz w:val="20"/>
          <w:szCs w:val="20"/>
          <w:lang w:val="es-ES_tradnl"/>
        </w:rPr>
        <w:t xml:space="preserve"> demandantes y el juez no constituían un defecto fáctico, y que </w:t>
      </w:r>
      <w:r w:rsidR="009B09E9" w:rsidRPr="001E3B31">
        <w:rPr>
          <w:rFonts w:asciiTheme="majorHAnsi" w:hAnsiTheme="majorHAnsi"/>
          <w:bCs/>
          <w:color w:val="auto"/>
          <w:sz w:val="20"/>
          <w:szCs w:val="20"/>
          <w:lang w:val="es-ES_tradnl"/>
        </w:rPr>
        <w:t>los</w:t>
      </w:r>
      <w:r w:rsidR="00A87844" w:rsidRPr="001E3B31">
        <w:rPr>
          <w:rFonts w:asciiTheme="majorHAnsi" w:hAnsiTheme="majorHAnsi"/>
          <w:bCs/>
          <w:color w:val="auto"/>
          <w:sz w:val="20"/>
          <w:szCs w:val="20"/>
          <w:lang w:val="es-ES_tradnl"/>
        </w:rPr>
        <w:t xml:space="preserve"> demandantes no habían acreditado que la valoración probatoria del juez había sido caprichosa o contraevidente. </w:t>
      </w:r>
    </w:p>
    <w:p w14:paraId="32CE05AD" w14:textId="77777777" w:rsidR="00A87844" w:rsidRPr="001E3B31" w:rsidRDefault="00A87844" w:rsidP="00A87844">
      <w:pPr>
        <w:pStyle w:val="ListParagraph"/>
        <w:rPr>
          <w:rFonts w:asciiTheme="majorHAnsi" w:hAnsiTheme="majorHAnsi"/>
          <w:bCs/>
          <w:color w:val="auto"/>
          <w:sz w:val="20"/>
          <w:szCs w:val="20"/>
          <w:lang w:val="es-ES_tradnl"/>
        </w:rPr>
      </w:pPr>
    </w:p>
    <w:p w14:paraId="4A0EBF4F" w14:textId="4157ADDF" w:rsidR="00A87844" w:rsidRPr="001E3B31" w:rsidRDefault="00003FE7" w:rsidP="001E31A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color w:val="auto"/>
          <w:sz w:val="20"/>
          <w:szCs w:val="20"/>
          <w:lang w:val="es-ES_tradnl"/>
        </w:rPr>
      </w:pPr>
      <w:r w:rsidRPr="001E3B31">
        <w:rPr>
          <w:rFonts w:asciiTheme="majorHAnsi" w:hAnsiTheme="majorHAnsi"/>
          <w:bCs/>
          <w:color w:val="auto"/>
          <w:sz w:val="20"/>
          <w:szCs w:val="20"/>
          <w:lang w:val="es-ES_tradnl"/>
        </w:rPr>
        <w:t xml:space="preserve">También en su última comunicación, el Estado manifestó que la acción de tutela instaurada por </w:t>
      </w:r>
      <w:r w:rsidR="009B09E9" w:rsidRPr="001E3B31">
        <w:rPr>
          <w:rFonts w:asciiTheme="majorHAnsi" w:hAnsiTheme="majorHAnsi"/>
          <w:bCs/>
          <w:color w:val="auto"/>
          <w:sz w:val="20"/>
          <w:szCs w:val="20"/>
          <w:lang w:val="es-ES_tradnl"/>
        </w:rPr>
        <w:t>los</w:t>
      </w:r>
      <w:r w:rsidRPr="001E3B31">
        <w:rPr>
          <w:rFonts w:asciiTheme="majorHAnsi" w:hAnsiTheme="majorHAnsi"/>
          <w:bCs/>
          <w:color w:val="auto"/>
          <w:sz w:val="20"/>
          <w:szCs w:val="20"/>
          <w:lang w:val="es-ES_tradnl"/>
        </w:rPr>
        <w:t xml:space="preserve"> familiares de la presunta víctima había sido resuelta en respeto de las garantías convencionales, en base a las normas vigentes y con motivación suficiente. Por lo tanto, reafirmó que la pretensión del peticionario estaba dirigida a que los órganos del Sistema Interamericano actuaran como una “cuarta instancia” y realizaran una nueva valoración de las pruebas y de la interpretación de las normas que gobernaban el caso concreto; sin sustentar una vulneración flagrante de garantías convencionales o que las decisiones judiciales domésticas a sus pretensiones hayan desatendido los estándares interamericanos. </w:t>
      </w:r>
    </w:p>
    <w:p w14:paraId="00FD543F" w14:textId="77777777" w:rsidR="00604435" w:rsidRPr="001E3B31" w:rsidRDefault="00604435" w:rsidP="00B5748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6F4D4171" w14:textId="576CF307" w:rsidR="003239B8" w:rsidRPr="001E3B31" w:rsidRDefault="003239B8" w:rsidP="00486B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color w:val="auto"/>
          <w:sz w:val="20"/>
          <w:szCs w:val="20"/>
          <w:lang w:val="es-ES_tradnl"/>
        </w:rPr>
      </w:pPr>
      <w:r w:rsidRPr="001E3B31">
        <w:rPr>
          <w:rFonts w:asciiTheme="majorHAnsi" w:hAnsiTheme="majorHAnsi"/>
          <w:b/>
          <w:bCs/>
          <w:color w:val="auto"/>
          <w:sz w:val="20"/>
          <w:szCs w:val="20"/>
          <w:lang w:val="es-ES_tradnl"/>
        </w:rPr>
        <w:t>VI.</w:t>
      </w:r>
      <w:r w:rsidRPr="001E3B31">
        <w:rPr>
          <w:rFonts w:asciiTheme="majorHAnsi" w:hAnsiTheme="majorHAnsi"/>
          <w:b/>
          <w:bCs/>
          <w:color w:val="auto"/>
          <w:sz w:val="20"/>
          <w:szCs w:val="20"/>
          <w:lang w:val="es-ES_tradnl"/>
        </w:rPr>
        <w:tab/>
      </w:r>
      <w:r w:rsidR="004A6A54" w:rsidRPr="001E3B31">
        <w:rPr>
          <w:rFonts w:asciiTheme="majorHAnsi" w:hAnsiTheme="majorHAnsi"/>
          <w:b/>
          <w:bCs/>
          <w:color w:val="auto"/>
          <w:sz w:val="20"/>
          <w:szCs w:val="20"/>
          <w:lang w:val="es-ES_tradnl"/>
        </w:rPr>
        <w:t xml:space="preserve">ANÁLISIS DE </w:t>
      </w:r>
      <w:r w:rsidR="00C21FEF" w:rsidRPr="001E3B31">
        <w:rPr>
          <w:rFonts w:asciiTheme="majorHAnsi" w:hAnsiTheme="majorHAnsi"/>
          <w:b/>
          <w:color w:val="auto"/>
          <w:sz w:val="20"/>
          <w:szCs w:val="20"/>
          <w:lang w:val="es-ES_tradnl"/>
        </w:rPr>
        <w:t>AGOTAMIENTO DE LOS RECURSOS INTERNOS Y PLAZO DE PRESENTACIÓN</w:t>
      </w:r>
      <w:r w:rsidR="00C21FEF" w:rsidRPr="001E3B31">
        <w:rPr>
          <w:rFonts w:asciiTheme="majorHAnsi" w:hAnsiTheme="majorHAnsi"/>
          <w:b/>
          <w:bCs/>
          <w:color w:val="auto"/>
          <w:sz w:val="20"/>
          <w:szCs w:val="20"/>
          <w:lang w:val="es-ES_tradnl"/>
        </w:rPr>
        <w:t xml:space="preserve"> </w:t>
      </w:r>
    </w:p>
    <w:p w14:paraId="09B43A0C" w14:textId="77777777" w:rsidR="00486BCE" w:rsidRPr="001E3B31" w:rsidRDefault="00486BCE" w:rsidP="00486B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338B3426" w14:textId="2EA4ECAB" w:rsidR="00E158A7" w:rsidRPr="001E3B31" w:rsidRDefault="00E635AC" w:rsidP="00B265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1E3B31">
        <w:rPr>
          <w:rFonts w:asciiTheme="majorHAnsi" w:hAnsiTheme="majorHAnsi"/>
          <w:sz w:val="20"/>
          <w:szCs w:val="20"/>
          <w:lang w:val="es-ES_tradnl"/>
        </w:rPr>
        <w:t xml:space="preserve">El peticionario señala que </w:t>
      </w:r>
      <w:r w:rsidR="00C52701" w:rsidRPr="001E3B31">
        <w:rPr>
          <w:rFonts w:asciiTheme="majorHAnsi" w:hAnsiTheme="majorHAnsi"/>
          <w:sz w:val="20"/>
          <w:szCs w:val="20"/>
          <w:lang w:val="es-ES_tradnl"/>
        </w:rPr>
        <w:t>los familiares</w:t>
      </w:r>
      <w:r w:rsidRPr="001E3B31">
        <w:rPr>
          <w:rFonts w:asciiTheme="majorHAnsi" w:hAnsiTheme="majorHAnsi"/>
          <w:sz w:val="20"/>
          <w:szCs w:val="20"/>
          <w:lang w:val="es-ES_tradnl"/>
        </w:rPr>
        <w:t xml:space="preserve"> de la presunta víctima han agotado infructuosamente la vía prevista en el derecho doméstico para hacer valer sus derechos</w:t>
      </w:r>
      <w:r w:rsidR="00032162" w:rsidRPr="001E3B31">
        <w:rPr>
          <w:rFonts w:asciiTheme="majorHAnsi" w:hAnsiTheme="majorHAnsi"/>
          <w:sz w:val="20"/>
          <w:szCs w:val="20"/>
          <w:lang w:val="es-ES_tradnl"/>
        </w:rPr>
        <w:t xml:space="preserve">. </w:t>
      </w:r>
      <w:r w:rsidRPr="001E3B31">
        <w:rPr>
          <w:rFonts w:asciiTheme="majorHAnsi" w:hAnsiTheme="majorHAnsi"/>
          <w:sz w:val="20"/>
          <w:szCs w:val="20"/>
          <w:lang w:val="es-ES_tradnl"/>
        </w:rPr>
        <w:t xml:space="preserve">A su vez, el Estado ha indicado que la investigación </w:t>
      </w:r>
      <w:r w:rsidR="00032162" w:rsidRPr="001E3B31">
        <w:rPr>
          <w:rFonts w:asciiTheme="majorHAnsi" w:hAnsiTheme="majorHAnsi"/>
          <w:sz w:val="20"/>
          <w:szCs w:val="20"/>
          <w:lang w:val="es-ES_tradnl"/>
        </w:rPr>
        <w:t xml:space="preserve">penal relacionada con la muerte de la presunta víctima </w:t>
      </w:r>
      <w:r w:rsidRPr="001E3B31">
        <w:rPr>
          <w:rFonts w:asciiTheme="majorHAnsi" w:hAnsiTheme="majorHAnsi"/>
          <w:sz w:val="20"/>
          <w:szCs w:val="20"/>
          <w:lang w:val="es-ES_tradnl"/>
        </w:rPr>
        <w:t xml:space="preserve">se mantiene activa, por lo que la petición no cumple con el requisito de agotamiento de los recursos internos. </w:t>
      </w:r>
    </w:p>
    <w:p w14:paraId="35A832A6" w14:textId="77777777" w:rsidR="007046CA" w:rsidRPr="001E3B31" w:rsidRDefault="007046CA" w:rsidP="007046C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_tradnl"/>
        </w:rPr>
      </w:pPr>
    </w:p>
    <w:p w14:paraId="088639F8" w14:textId="23AFFC80" w:rsidR="00CB3936" w:rsidRPr="001E3B31" w:rsidRDefault="004F0227" w:rsidP="00B265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1E3B31">
        <w:rPr>
          <w:rFonts w:asciiTheme="majorHAnsi" w:hAnsiTheme="majorHAnsi"/>
          <w:bCs/>
          <w:sz w:val="20"/>
          <w:szCs w:val="20"/>
          <w:lang w:val="es-ES_tradnl"/>
        </w:rPr>
        <w:t>Según su práctica sostenida, la Comisión debe identificar preliminarmente el objeto de la petición presentada a su conocimiento a fines de determinar la vía procesal adecuada que debía ser agotada a nivel doméstico para dar cumplimiento al requisito de agotamiento de los recursos internos</w:t>
      </w:r>
      <w:r w:rsidRPr="001E3B31">
        <w:rPr>
          <w:rStyle w:val="FootnoteReference"/>
          <w:rFonts w:asciiTheme="majorHAnsi" w:hAnsiTheme="majorHAnsi" w:cs="Calibri"/>
          <w:sz w:val="20"/>
          <w:szCs w:val="20"/>
          <w:lang w:val="es-ES_tradnl"/>
        </w:rPr>
        <w:footnoteReference w:id="5"/>
      </w:r>
      <w:r w:rsidRPr="001E3B31">
        <w:rPr>
          <w:rFonts w:asciiTheme="majorHAnsi" w:hAnsiTheme="majorHAnsi" w:cs="Calibri"/>
          <w:sz w:val="20"/>
          <w:szCs w:val="20"/>
          <w:lang w:val="es-ES_tradnl"/>
        </w:rPr>
        <w:t xml:space="preserve">. En el presente caso, la Comisión entiende que el objeto de la petición es </w:t>
      </w:r>
      <w:r w:rsidR="00E635AC" w:rsidRPr="001E3B31">
        <w:rPr>
          <w:rFonts w:asciiTheme="majorHAnsi" w:hAnsiTheme="majorHAnsi" w:cs="Calibri"/>
          <w:sz w:val="20"/>
          <w:szCs w:val="20"/>
          <w:lang w:val="es-ES_tradnl"/>
        </w:rPr>
        <w:t>reclamar la responsabilidad de agentes estatales por la muerte de la presunta víctima y por haber realizado actos ilícitos con el fin de e</w:t>
      </w:r>
      <w:r w:rsidR="00E80964" w:rsidRPr="001E3B31">
        <w:rPr>
          <w:rFonts w:asciiTheme="majorHAnsi" w:hAnsiTheme="majorHAnsi" w:cs="Calibri"/>
          <w:sz w:val="20"/>
          <w:szCs w:val="20"/>
          <w:lang w:val="es-ES_tradnl"/>
        </w:rPr>
        <w:t>vadir esa responsabilidad</w:t>
      </w:r>
      <w:r w:rsidR="00032162" w:rsidRPr="001E3B31">
        <w:rPr>
          <w:rFonts w:asciiTheme="majorHAnsi" w:hAnsiTheme="majorHAnsi" w:cs="Calibri"/>
          <w:sz w:val="20"/>
          <w:szCs w:val="20"/>
          <w:lang w:val="es-ES_tradnl"/>
        </w:rPr>
        <w:t xml:space="preserve">; </w:t>
      </w:r>
      <w:r w:rsidR="00C21B3D" w:rsidRPr="001E3B31">
        <w:rPr>
          <w:rFonts w:asciiTheme="majorHAnsi" w:hAnsiTheme="majorHAnsi" w:cs="Calibri"/>
          <w:sz w:val="20"/>
          <w:szCs w:val="20"/>
          <w:lang w:val="es-ES_tradnl"/>
        </w:rPr>
        <w:t xml:space="preserve">y </w:t>
      </w:r>
      <w:r w:rsidR="00C21B3D" w:rsidRPr="001E3B31">
        <w:rPr>
          <w:rFonts w:asciiTheme="majorHAnsi" w:hAnsiTheme="majorHAnsi" w:cs="Calibri"/>
          <w:sz w:val="20"/>
          <w:szCs w:val="20"/>
          <w:lang w:val="es-ES_tradnl"/>
        </w:rPr>
        <w:lastRenderedPageBreak/>
        <w:t xml:space="preserve">reclamar porque las autoridades judiciales del Estado se </w:t>
      </w:r>
      <w:r w:rsidR="00EF3579" w:rsidRPr="001E3B31">
        <w:rPr>
          <w:rFonts w:asciiTheme="majorHAnsi" w:hAnsiTheme="majorHAnsi" w:cs="Calibri"/>
          <w:sz w:val="20"/>
          <w:szCs w:val="20"/>
          <w:lang w:val="es-ES_tradnl"/>
        </w:rPr>
        <w:t xml:space="preserve">negaron a reconocer la responsabilidad del Estado por esos hechos y a otorgar reparaciones a favor de </w:t>
      </w:r>
      <w:r w:rsidR="00C52701" w:rsidRPr="001E3B31">
        <w:rPr>
          <w:rFonts w:asciiTheme="majorHAnsi" w:hAnsiTheme="majorHAnsi" w:cs="Calibri"/>
          <w:sz w:val="20"/>
          <w:szCs w:val="20"/>
          <w:lang w:val="es-ES_tradnl"/>
        </w:rPr>
        <w:t>los familiares</w:t>
      </w:r>
      <w:r w:rsidR="00EF3579" w:rsidRPr="001E3B31">
        <w:rPr>
          <w:rFonts w:asciiTheme="majorHAnsi" w:hAnsiTheme="majorHAnsi" w:cs="Calibri"/>
          <w:sz w:val="20"/>
          <w:szCs w:val="20"/>
          <w:lang w:val="es-ES_tradnl"/>
        </w:rPr>
        <w:t xml:space="preserve"> de la presunta víctima.</w:t>
      </w:r>
    </w:p>
    <w:p w14:paraId="206A9D10" w14:textId="77777777" w:rsidR="00CB3936" w:rsidRPr="001E3B31" w:rsidRDefault="00CB3936" w:rsidP="00EF3579">
      <w:pPr>
        <w:pStyle w:val="ListParagraph"/>
        <w:rPr>
          <w:rFonts w:asciiTheme="majorHAnsi" w:hAnsiTheme="majorHAnsi" w:cs="Calibri"/>
          <w:color w:val="auto"/>
          <w:sz w:val="20"/>
          <w:szCs w:val="20"/>
          <w:lang w:val="es-ES_tradnl"/>
        </w:rPr>
      </w:pPr>
    </w:p>
    <w:p w14:paraId="2C8BED5B" w14:textId="623369DD" w:rsidR="00B85B43" w:rsidRPr="001E3B31" w:rsidRDefault="00EF3579" w:rsidP="00B265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1E3B31">
        <w:rPr>
          <w:rFonts w:asciiTheme="majorHAnsi" w:hAnsiTheme="majorHAnsi" w:cs="Calibri"/>
          <w:sz w:val="20"/>
          <w:szCs w:val="20"/>
          <w:lang w:val="es-ES_tradnl"/>
        </w:rPr>
        <w:t>Como la Comisión ya ha determinado</w:t>
      </w:r>
      <w:r w:rsidR="00863924" w:rsidRPr="001E3B31">
        <w:rPr>
          <w:rFonts w:asciiTheme="majorHAnsi" w:hAnsiTheme="majorHAnsi" w:cs="Calibri"/>
          <w:sz w:val="20"/>
          <w:szCs w:val="20"/>
          <w:lang w:val="es-ES_tradnl"/>
        </w:rPr>
        <w:t>,</w:t>
      </w:r>
      <w:r w:rsidRPr="001E3B31">
        <w:rPr>
          <w:rFonts w:asciiTheme="majorHAnsi" w:hAnsiTheme="majorHAnsi" w:cs="Calibri"/>
          <w:sz w:val="20"/>
          <w:szCs w:val="20"/>
          <w:lang w:val="es-ES_tradnl"/>
        </w:rPr>
        <w:t xml:space="preserve"> y como ha sido señalado por el Estado,</w:t>
      </w:r>
      <w:r w:rsidR="00AC0870" w:rsidRPr="001E3B31">
        <w:rPr>
          <w:rFonts w:asciiTheme="majorHAnsi" w:hAnsiTheme="majorHAnsi" w:cs="Calibri"/>
          <w:sz w:val="20"/>
          <w:szCs w:val="20"/>
          <w:lang w:val="es-ES_tradnl"/>
        </w:rPr>
        <w:t xml:space="preserve"> en casos que plantean alegaciones </w:t>
      </w:r>
      <w:r w:rsidRPr="001E3B31">
        <w:rPr>
          <w:rFonts w:asciiTheme="majorHAnsi" w:hAnsiTheme="majorHAnsi" w:cs="Calibri"/>
          <w:sz w:val="20"/>
          <w:szCs w:val="20"/>
          <w:lang w:val="es-ES_tradnl"/>
        </w:rPr>
        <w:t>tales como las contenidas en esta petición, el proceso penal</w:t>
      </w:r>
      <w:r w:rsidR="00AC0870" w:rsidRPr="001E3B31">
        <w:rPr>
          <w:rFonts w:asciiTheme="majorHAnsi" w:hAnsiTheme="majorHAnsi" w:cs="Calibri"/>
          <w:sz w:val="20"/>
          <w:szCs w:val="20"/>
          <w:lang w:val="es-ES_tradnl"/>
        </w:rPr>
        <w:t xml:space="preserve"> ordinario constituye, por regla general, el recurso adecuado que debe ser agotado en la jurisdicción interna. Esto, puesto que ese proceso “constituye la vía idónea para esclarecer los hechos, juzgar a los responsables y establecer las sanciones penales correspondientes, además de posibilitar otros modos de reparación de tipo pecuniario”</w:t>
      </w:r>
      <w:r w:rsidR="00AC0870" w:rsidRPr="001E3B31">
        <w:rPr>
          <w:rStyle w:val="FootnoteReference"/>
          <w:rFonts w:asciiTheme="majorHAnsi" w:hAnsiTheme="majorHAnsi" w:cs="Calibri"/>
          <w:sz w:val="20"/>
          <w:szCs w:val="20"/>
          <w:lang w:val="es-ES_tradnl"/>
        </w:rPr>
        <w:footnoteReference w:id="6"/>
      </w:r>
      <w:r w:rsidR="00AC0870" w:rsidRPr="001E3B31">
        <w:rPr>
          <w:rFonts w:asciiTheme="majorHAnsi" w:hAnsiTheme="majorHAnsi" w:cs="Calibri"/>
          <w:sz w:val="20"/>
          <w:szCs w:val="20"/>
          <w:lang w:val="es-ES_tradnl"/>
        </w:rPr>
        <w:t>.</w:t>
      </w:r>
      <w:r w:rsidRPr="001E3B31">
        <w:rPr>
          <w:rFonts w:asciiTheme="majorHAnsi" w:hAnsiTheme="majorHAnsi" w:cs="Calibri"/>
          <w:sz w:val="20"/>
          <w:szCs w:val="20"/>
          <w:lang w:val="es-ES_tradnl"/>
        </w:rPr>
        <w:t xml:space="preserve"> </w:t>
      </w:r>
    </w:p>
    <w:p w14:paraId="0F1D862A" w14:textId="77777777" w:rsidR="00B85B43" w:rsidRPr="001E3B31" w:rsidRDefault="00B85B43" w:rsidP="00B85B43">
      <w:pPr>
        <w:pStyle w:val="ListParagraph"/>
        <w:rPr>
          <w:rFonts w:asciiTheme="majorHAnsi" w:hAnsiTheme="majorHAnsi" w:cs="Calibri"/>
          <w:color w:val="auto"/>
          <w:sz w:val="20"/>
          <w:szCs w:val="20"/>
          <w:lang w:val="es-ES_tradnl"/>
        </w:rPr>
      </w:pPr>
    </w:p>
    <w:p w14:paraId="57CA784D" w14:textId="63847D8D" w:rsidR="001E31A2" w:rsidRPr="001E3B31" w:rsidRDefault="004F0227" w:rsidP="00D857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1E3B31">
        <w:rPr>
          <w:rFonts w:asciiTheme="majorHAnsi" w:hAnsiTheme="majorHAnsi" w:cs="Calibri"/>
          <w:sz w:val="20"/>
          <w:szCs w:val="20"/>
          <w:lang w:val="es-ES_tradnl"/>
        </w:rPr>
        <w:t xml:space="preserve"> </w:t>
      </w:r>
      <w:r w:rsidR="00AC0870" w:rsidRPr="001E3B31">
        <w:rPr>
          <w:rFonts w:asciiTheme="majorHAnsi" w:hAnsiTheme="majorHAnsi" w:cs="Calibri"/>
          <w:sz w:val="20"/>
          <w:szCs w:val="20"/>
          <w:lang w:val="es-ES_tradnl"/>
        </w:rPr>
        <w:t xml:space="preserve">En el presente caso, las partes concuerdan que el proceso penal </w:t>
      </w:r>
      <w:r w:rsidR="008451EF" w:rsidRPr="001E3B31">
        <w:rPr>
          <w:rFonts w:asciiTheme="majorHAnsi" w:hAnsiTheme="majorHAnsi" w:cs="Calibri"/>
          <w:sz w:val="20"/>
          <w:szCs w:val="20"/>
          <w:lang w:val="es-ES_tradnl"/>
        </w:rPr>
        <w:t xml:space="preserve">relacionado con la muerte de la presunta víctima se inició en la jurisdicción penal ordinaria pero </w:t>
      </w:r>
      <w:r w:rsidR="008451EF" w:rsidRPr="001E3B31">
        <w:rPr>
          <w:rFonts w:asciiTheme="majorHAnsi" w:hAnsiTheme="majorHAnsi"/>
          <w:bCs/>
          <w:sz w:val="20"/>
          <w:szCs w:val="20"/>
          <w:lang w:val="es-ES_tradnl"/>
        </w:rPr>
        <w:t>el 17 de noviembre de 2004 fue remitido a la justicia penal militar donde, según la petición, resultó archivada el 26 de mayo de 2006. Conforme ha indicado el Estado, el 28 de julio de 2009 la investigación fue asignada la Dirección Especializada contra las Violaciones a los Derechos Humanos</w:t>
      </w:r>
      <w:r w:rsidR="00EA02F6" w:rsidRPr="001E3B31">
        <w:rPr>
          <w:rFonts w:asciiTheme="majorHAnsi" w:hAnsiTheme="majorHAnsi"/>
          <w:bCs/>
          <w:sz w:val="20"/>
          <w:szCs w:val="20"/>
          <w:lang w:val="es-ES_tradnl"/>
        </w:rPr>
        <w:t xml:space="preserve"> de la Fiscalía General de la Nación. El Estado ha manifestado que desde ese momento la Dirección Especializada ha venido realizando diligencias con la finalidad de esclarecer los hechos y en su última comunicación indicó que la investigación permanecía activa. </w:t>
      </w:r>
    </w:p>
    <w:p w14:paraId="61740143" w14:textId="77777777" w:rsidR="00EA02F6" w:rsidRPr="001E3B31" w:rsidRDefault="00EA02F6" w:rsidP="00EA02F6">
      <w:pPr>
        <w:pStyle w:val="ListParagraph"/>
        <w:rPr>
          <w:rFonts w:asciiTheme="majorHAnsi" w:hAnsiTheme="majorHAnsi"/>
          <w:b/>
          <w:color w:val="auto"/>
          <w:sz w:val="20"/>
          <w:szCs w:val="20"/>
          <w:lang w:val="es-ES_tradnl"/>
        </w:rPr>
      </w:pPr>
    </w:p>
    <w:p w14:paraId="69C15A61" w14:textId="6CD17511" w:rsidR="00EA02F6" w:rsidRPr="001E3B31" w:rsidRDefault="00EA02F6" w:rsidP="00EA02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1E3B31">
        <w:rPr>
          <w:rFonts w:asciiTheme="majorHAnsi" w:hAnsiTheme="majorHAnsi"/>
          <w:sz w:val="20"/>
          <w:szCs w:val="20"/>
          <w:lang w:val="es-ES_tradnl"/>
        </w:rPr>
        <w:t>Dado que el proceso penal relacionado con el objeto de la petición no ha culminado</w:t>
      </w:r>
      <w:r w:rsidR="00CB3936" w:rsidRPr="001E3B31">
        <w:rPr>
          <w:rFonts w:asciiTheme="majorHAnsi" w:hAnsiTheme="majorHAnsi"/>
          <w:sz w:val="20"/>
          <w:szCs w:val="20"/>
          <w:lang w:val="es-ES_tradnl"/>
        </w:rPr>
        <w:t>,</w:t>
      </w:r>
      <w:r w:rsidRPr="001E3B31">
        <w:rPr>
          <w:rFonts w:asciiTheme="majorHAnsi" w:hAnsiTheme="majorHAnsi"/>
          <w:sz w:val="20"/>
          <w:szCs w:val="20"/>
          <w:lang w:val="es-ES_tradnl"/>
        </w:rPr>
        <w:t xml:space="preserve"> la Comisión debe examinar si alguna de las excepciones al requisito de agotamiento de los recursos internos previstas en el artículo 46.2 de la Convención Americana resulta aplicable a la presente petición. La Comisión recuerda que las disposiciones que establecen esas excepciones “</w:t>
      </w:r>
      <w:r w:rsidRPr="001E3B31">
        <w:rPr>
          <w:rFonts w:asciiTheme="majorHAnsi" w:hAnsiTheme="majorHAnsi" w:cs="Calibri"/>
          <w:sz w:val="20"/>
          <w:szCs w:val="20"/>
          <w:lang w:val="es-ES_tradnl"/>
        </w:rPr>
        <w:t xml:space="preserve">por su naturaleza y objeto, son normas con contenido autónomo </w:t>
      </w:r>
      <w:r w:rsidRPr="001E3B31">
        <w:rPr>
          <w:rFonts w:asciiTheme="majorHAnsi" w:hAnsiTheme="majorHAnsi" w:cs="Calibri"/>
          <w:i/>
          <w:sz w:val="20"/>
          <w:szCs w:val="20"/>
          <w:lang w:val="es-ES_tradnl"/>
        </w:rPr>
        <w:t>vis à vis</w:t>
      </w:r>
      <w:r w:rsidRPr="001E3B31">
        <w:rPr>
          <w:rFonts w:asciiTheme="majorHAnsi" w:hAnsiTheme="majorHAnsi" w:cs="Calibri"/>
          <w:sz w:val="20"/>
          <w:szCs w:val="20"/>
          <w:lang w:val="es-ES_tradnl"/>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w:t>
      </w:r>
      <w:r w:rsidRPr="001E3B31">
        <w:rPr>
          <w:rStyle w:val="FootnoteReference"/>
          <w:rFonts w:asciiTheme="majorHAnsi" w:hAnsiTheme="majorHAnsi" w:cs="Calibri"/>
          <w:sz w:val="20"/>
          <w:szCs w:val="20"/>
          <w:lang w:val="es-ES_tradnl"/>
        </w:rPr>
        <w:footnoteReference w:id="7"/>
      </w:r>
      <w:r w:rsidRPr="001E3B31">
        <w:rPr>
          <w:rFonts w:asciiTheme="majorHAnsi" w:hAnsiTheme="majorHAnsi" w:cs="Calibri"/>
          <w:sz w:val="20"/>
          <w:szCs w:val="20"/>
          <w:lang w:val="es-ES_tradnl"/>
        </w:rPr>
        <w:t>.</w:t>
      </w:r>
    </w:p>
    <w:p w14:paraId="4636C2B6" w14:textId="77777777" w:rsidR="00EA02F6" w:rsidRPr="001E3B31" w:rsidRDefault="00EA02F6" w:rsidP="00EA02F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0E81081D" w14:textId="29DE450B" w:rsidR="0080441A" w:rsidRPr="001E3B31" w:rsidRDefault="00EA02F6" w:rsidP="008044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1E3B31">
        <w:rPr>
          <w:rFonts w:asciiTheme="majorHAnsi" w:hAnsiTheme="majorHAnsi"/>
          <w:bCs/>
          <w:sz w:val="20"/>
          <w:szCs w:val="20"/>
          <w:lang w:val="es-ES_tradnl"/>
        </w:rPr>
        <w:t>En el presente caso, la Comisión valora que habrían transcurrido más de diecisiete años desde que el Estado tuvo conocimiento de la muerte de la presunta víctima sin que el proceso penal pertinente haya avanzado más allá de la etapa de investigación</w:t>
      </w:r>
      <w:r w:rsidR="00032162" w:rsidRPr="001E3B31">
        <w:rPr>
          <w:rFonts w:asciiTheme="majorHAnsi" w:hAnsiTheme="majorHAnsi"/>
          <w:bCs/>
          <w:sz w:val="20"/>
          <w:szCs w:val="20"/>
          <w:lang w:val="es-ES_tradnl"/>
        </w:rPr>
        <w:t xml:space="preserve">. </w:t>
      </w:r>
      <w:r w:rsidR="00032162" w:rsidRPr="001E3B31">
        <w:rPr>
          <w:rFonts w:asciiTheme="majorHAnsi" w:hAnsiTheme="majorHAnsi"/>
          <w:sz w:val="20"/>
          <w:szCs w:val="20"/>
          <w:lang w:val="es-ES_tradnl"/>
        </w:rPr>
        <w:t xml:space="preserve">La Comisión además valora que no obra información en el expediente que indique </w:t>
      </w:r>
      <w:r w:rsidR="00C52701" w:rsidRPr="001E3B31">
        <w:rPr>
          <w:rFonts w:asciiTheme="majorHAnsi" w:hAnsiTheme="majorHAnsi"/>
          <w:sz w:val="20"/>
          <w:szCs w:val="20"/>
          <w:lang w:val="es-ES_tradnl"/>
        </w:rPr>
        <w:t>los familiares</w:t>
      </w:r>
      <w:r w:rsidR="00032162" w:rsidRPr="001E3B31">
        <w:rPr>
          <w:rFonts w:asciiTheme="majorHAnsi" w:hAnsiTheme="majorHAnsi"/>
          <w:sz w:val="20"/>
          <w:szCs w:val="20"/>
          <w:lang w:val="es-ES_tradnl"/>
        </w:rPr>
        <w:t xml:space="preserve"> de la presunta víctima hayan sido responsables por dilatar el proceso.</w:t>
      </w:r>
      <w:r w:rsidR="00CB3936" w:rsidRPr="001E3B31">
        <w:rPr>
          <w:rFonts w:asciiTheme="majorHAnsi" w:hAnsiTheme="majorHAnsi"/>
          <w:sz w:val="20"/>
          <w:szCs w:val="20"/>
          <w:lang w:val="es-ES_tradnl"/>
        </w:rPr>
        <w:t xml:space="preserve"> </w:t>
      </w:r>
    </w:p>
    <w:p w14:paraId="0720F91C" w14:textId="77777777" w:rsidR="0080441A" w:rsidRPr="001E3B31" w:rsidRDefault="0080441A" w:rsidP="0080441A">
      <w:pPr>
        <w:pStyle w:val="ListParagraph"/>
        <w:rPr>
          <w:rFonts w:asciiTheme="majorHAnsi" w:hAnsiTheme="majorHAnsi"/>
          <w:color w:val="auto"/>
          <w:sz w:val="20"/>
          <w:szCs w:val="20"/>
          <w:lang w:val="es-ES_tradnl"/>
        </w:rPr>
      </w:pPr>
    </w:p>
    <w:p w14:paraId="2AF0A2F3" w14:textId="30A9EB14" w:rsidR="00577AED" w:rsidRPr="001E3B31" w:rsidRDefault="00863924" w:rsidP="008044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1E3B31">
        <w:rPr>
          <w:rFonts w:asciiTheme="majorHAnsi" w:hAnsiTheme="majorHAnsi"/>
          <w:sz w:val="20"/>
          <w:szCs w:val="20"/>
          <w:lang w:val="es-ES_tradnl"/>
        </w:rPr>
        <w:t>Con respecto al alegado del Estado sobre la supuesta falta de impulso de los familiares de la víctima</w:t>
      </w:r>
      <w:r w:rsidR="00680DB5" w:rsidRPr="001E3B31">
        <w:rPr>
          <w:rFonts w:asciiTheme="majorHAnsi" w:hAnsiTheme="majorHAnsi"/>
          <w:sz w:val="20"/>
          <w:szCs w:val="20"/>
          <w:lang w:val="es-ES_tradnl"/>
        </w:rPr>
        <w:t xml:space="preserve"> al proceso penal</w:t>
      </w:r>
      <w:r w:rsidRPr="001E3B31">
        <w:rPr>
          <w:rFonts w:asciiTheme="majorHAnsi" w:hAnsiTheme="majorHAnsi"/>
          <w:sz w:val="20"/>
          <w:szCs w:val="20"/>
          <w:lang w:val="es-ES_tradnl"/>
        </w:rPr>
        <w:t xml:space="preserve">, </w:t>
      </w:r>
      <w:r w:rsidR="00FD162A" w:rsidRPr="001E3B31">
        <w:rPr>
          <w:rFonts w:asciiTheme="majorHAnsi" w:hAnsiTheme="majorHAnsi"/>
          <w:sz w:val="20"/>
          <w:szCs w:val="20"/>
          <w:lang w:val="es-ES_tradnl"/>
        </w:rPr>
        <w:t xml:space="preserve">la Comisión observa que la parte peticionaria </w:t>
      </w:r>
      <w:r w:rsidRPr="001E3B31">
        <w:rPr>
          <w:rFonts w:asciiTheme="majorHAnsi" w:hAnsiTheme="majorHAnsi"/>
          <w:sz w:val="20"/>
          <w:szCs w:val="20"/>
          <w:lang w:val="es-ES_tradnl"/>
        </w:rPr>
        <w:t>alega</w:t>
      </w:r>
      <w:r w:rsidR="00FD162A" w:rsidRPr="001E3B31">
        <w:rPr>
          <w:rFonts w:asciiTheme="majorHAnsi" w:hAnsiTheme="majorHAnsi"/>
          <w:sz w:val="20"/>
          <w:szCs w:val="20"/>
          <w:lang w:val="es-ES_tradnl"/>
        </w:rPr>
        <w:t xml:space="preserve"> que </w:t>
      </w:r>
      <w:r w:rsidR="00680DB5" w:rsidRPr="001E3B31">
        <w:rPr>
          <w:rFonts w:asciiTheme="majorHAnsi" w:hAnsiTheme="majorHAnsi"/>
          <w:sz w:val="20"/>
          <w:szCs w:val="20"/>
          <w:lang w:val="es-ES_tradnl"/>
        </w:rPr>
        <w:t>estos</w:t>
      </w:r>
      <w:r w:rsidR="00FD162A" w:rsidRPr="001E3B31">
        <w:rPr>
          <w:rFonts w:asciiTheme="majorHAnsi" w:hAnsiTheme="majorHAnsi"/>
          <w:sz w:val="20"/>
          <w:szCs w:val="20"/>
          <w:lang w:val="es-ES_tradnl"/>
        </w:rPr>
        <w:t xml:space="preserve"> no han tenido conocimiento respecto a que la investigación hubiera sido reiniciada en la jurisdicción ordinaria tras su archivo por parte de la justicia penal militar. En adición, la Comisión recuerda que </w:t>
      </w:r>
      <w:r w:rsidR="0080441A" w:rsidRPr="001E3B31">
        <w:rPr>
          <w:rFonts w:asciiTheme="majorHAnsi" w:hAnsiTheme="majorHAnsi"/>
          <w:sz w:val="20"/>
          <w:szCs w:val="20"/>
          <w:lang w:val="es-ES_tradnl"/>
        </w:rPr>
        <w:t>los Estados tienen el deber de investigar de oficio los casos que involucren posibles violaciones a los derechos humanos que constituyan delitos perseguibles de oficio, sobre todo cuando agentes estatales pudieran estar involucrados. “</w:t>
      </w:r>
      <w:r w:rsidR="0080441A" w:rsidRPr="001E3B31">
        <w:rPr>
          <w:rFonts w:asciiTheme="majorHAnsi" w:hAnsiTheme="majorHAnsi" w:cs="Calibri"/>
          <w:i/>
          <w:iCs/>
          <w:sz w:val="20"/>
          <w:szCs w:val="20"/>
          <w:lang w:val="es-ES_tradnl"/>
        </w:rPr>
        <w:t>Esta carga debe ser asumida por el Estado como un deber jurídico propio, y no como una gestión de intereses de particulares o que dependa de la iniciativa de éstos o de la aportación de pruebas por parte de los mismos</w:t>
      </w:r>
      <w:r w:rsidR="0080441A" w:rsidRPr="001E3B31">
        <w:rPr>
          <w:rFonts w:asciiTheme="majorHAnsi" w:hAnsiTheme="majorHAnsi" w:cs="Calibri"/>
          <w:sz w:val="20"/>
          <w:szCs w:val="20"/>
          <w:lang w:val="es-ES_tradnl"/>
        </w:rPr>
        <w:t>”</w:t>
      </w:r>
      <w:r w:rsidR="0080441A" w:rsidRPr="001E3B31">
        <w:rPr>
          <w:rStyle w:val="FootnoteReference"/>
          <w:rFonts w:asciiTheme="majorHAnsi" w:hAnsiTheme="majorHAnsi" w:cs="Calibri"/>
          <w:sz w:val="20"/>
          <w:szCs w:val="20"/>
          <w:lang w:val="es-ES_tradnl"/>
        </w:rPr>
        <w:footnoteReference w:id="8"/>
      </w:r>
      <w:r w:rsidR="0080441A" w:rsidRPr="001E3B31">
        <w:rPr>
          <w:rFonts w:asciiTheme="majorHAnsi" w:hAnsiTheme="majorHAnsi" w:cs="Calibri"/>
          <w:sz w:val="20"/>
          <w:szCs w:val="20"/>
          <w:lang w:val="es-ES_tradnl"/>
        </w:rPr>
        <w:t>.</w:t>
      </w:r>
    </w:p>
    <w:p w14:paraId="6CA81F03" w14:textId="77777777" w:rsidR="00577AED" w:rsidRPr="001E3B31" w:rsidRDefault="00577AED" w:rsidP="00577AED">
      <w:pPr>
        <w:pStyle w:val="ListParagraph"/>
        <w:rPr>
          <w:rFonts w:asciiTheme="majorHAnsi" w:hAnsiTheme="majorHAnsi"/>
          <w:color w:val="auto"/>
          <w:sz w:val="20"/>
          <w:szCs w:val="20"/>
          <w:lang w:val="es-ES_tradnl"/>
        </w:rPr>
      </w:pPr>
    </w:p>
    <w:p w14:paraId="52201E7F" w14:textId="48472D3E" w:rsidR="0080441A" w:rsidRPr="001E3B31" w:rsidRDefault="00CB3936" w:rsidP="003215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1E3B31">
        <w:rPr>
          <w:rFonts w:asciiTheme="majorHAnsi" w:hAnsiTheme="majorHAnsi"/>
          <w:sz w:val="20"/>
          <w:szCs w:val="20"/>
          <w:lang w:val="es-ES_tradnl"/>
        </w:rPr>
        <w:t>La Comisión</w:t>
      </w:r>
      <w:r w:rsidR="0080441A" w:rsidRPr="001E3B31">
        <w:rPr>
          <w:rFonts w:asciiTheme="majorHAnsi" w:hAnsiTheme="majorHAnsi"/>
          <w:sz w:val="20"/>
          <w:szCs w:val="20"/>
          <w:lang w:val="es-ES_tradnl"/>
        </w:rPr>
        <w:t xml:space="preserve"> también</w:t>
      </w:r>
      <w:r w:rsidRPr="001E3B31">
        <w:rPr>
          <w:rFonts w:asciiTheme="majorHAnsi" w:hAnsiTheme="majorHAnsi"/>
          <w:sz w:val="20"/>
          <w:szCs w:val="20"/>
          <w:lang w:val="es-ES_tradnl"/>
        </w:rPr>
        <w:t xml:space="preserve"> toma nota de la información aportada por el Estado respecto a la diligencia desplegada por la Dirección Especializada contra las Violaciones a los Derechos Humanos desde que </w:t>
      </w:r>
      <w:r w:rsidR="00260CA4" w:rsidRPr="001E3B31">
        <w:rPr>
          <w:rFonts w:asciiTheme="majorHAnsi" w:hAnsiTheme="majorHAnsi"/>
          <w:sz w:val="20"/>
          <w:szCs w:val="20"/>
          <w:lang w:val="es-ES_tradnl"/>
        </w:rPr>
        <w:t>e</w:t>
      </w:r>
      <w:r w:rsidRPr="001E3B31">
        <w:rPr>
          <w:rFonts w:asciiTheme="majorHAnsi" w:hAnsiTheme="majorHAnsi"/>
          <w:sz w:val="20"/>
          <w:szCs w:val="20"/>
          <w:lang w:val="es-ES_tradnl"/>
        </w:rPr>
        <w:t>sta asumió las investigaciones</w:t>
      </w:r>
      <w:r w:rsidR="0080441A" w:rsidRPr="001E3B31">
        <w:rPr>
          <w:rFonts w:asciiTheme="majorHAnsi" w:hAnsiTheme="majorHAnsi"/>
          <w:sz w:val="20"/>
          <w:szCs w:val="20"/>
          <w:lang w:val="es-ES_tradnl"/>
        </w:rPr>
        <w:t xml:space="preserve"> y a que las labores de dicha Dirección se han visto dificultadas por el paso </w:t>
      </w:r>
      <w:r w:rsidR="00260CA4" w:rsidRPr="001E3B31">
        <w:rPr>
          <w:rFonts w:asciiTheme="majorHAnsi" w:hAnsiTheme="majorHAnsi"/>
          <w:sz w:val="20"/>
          <w:szCs w:val="20"/>
          <w:lang w:val="es-ES_tradnl"/>
        </w:rPr>
        <w:t>del tiempo</w:t>
      </w:r>
      <w:r w:rsidR="0080441A" w:rsidRPr="001E3B31">
        <w:rPr>
          <w:rFonts w:asciiTheme="majorHAnsi" w:hAnsiTheme="majorHAnsi"/>
          <w:sz w:val="20"/>
          <w:szCs w:val="20"/>
          <w:lang w:val="es-ES_tradnl"/>
        </w:rPr>
        <w:t xml:space="preserve"> </w:t>
      </w:r>
      <w:r w:rsidR="001E3B31" w:rsidRPr="001E3B31">
        <w:rPr>
          <w:rFonts w:asciiTheme="majorHAnsi" w:hAnsiTheme="majorHAnsi"/>
          <w:sz w:val="20"/>
          <w:szCs w:val="20"/>
          <w:lang w:val="es-ES_tradnl"/>
        </w:rPr>
        <w:t>con relación a</w:t>
      </w:r>
      <w:r w:rsidR="0080441A" w:rsidRPr="001E3B31">
        <w:rPr>
          <w:rFonts w:asciiTheme="majorHAnsi" w:hAnsiTheme="majorHAnsi"/>
          <w:sz w:val="20"/>
          <w:szCs w:val="20"/>
          <w:lang w:val="es-ES_tradnl"/>
        </w:rPr>
        <w:t xml:space="preserve"> la ocurrencia de los hechos. Al respecto, la</w:t>
      </w:r>
      <w:r w:rsidR="00C55A45" w:rsidRPr="001E3B31">
        <w:rPr>
          <w:rFonts w:asciiTheme="majorHAnsi" w:hAnsiTheme="majorHAnsi"/>
          <w:sz w:val="20"/>
          <w:szCs w:val="20"/>
          <w:lang w:val="es-ES_tradnl"/>
        </w:rPr>
        <w:t xml:space="preserve"> Corte Interamericana ha señalado que “</w:t>
      </w:r>
      <w:r w:rsidR="00260CA4" w:rsidRPr="001E3B31">
        <w:rPr>
          <w:rFonts w:asciiTheme="majorHAnsi" w:hAnsiTheme="majorHAnsi"/>
          <w:i/>
          <w:iCs/>
          <w:sz w:val="20"/>
          <w:szCs w:val="20"/>
          <w:lang w:val="es-ES_tradnl"/>
        </w:rPr>
        <w:t>[e]</w:t>
      </w:r>
      <w:r w:rsidR="00C55A45" w:rsidRPr="001E3B31">
        <w:rPr>
          <w:rFonts w:asciiTheme="majorHAnsi" w:hAnsiTheme="majorHAnsi"/>
          <w:i/>
          <w:iCs/>
          <w:sz w:val="20"/>
          <w:szCs w:val="20"/>
          <w:lang w:val="es-ES_tradnl"/>
        </w:rPr>
        <w:t>n la investigación de la muerte violenta de una persona, es crucial la importancia que tienen las primeras etapas de la investigación y el impacto negativo que las omisiones e irregularidades en tales etapas puede tener en las perspectivas reales y efectivas de esclarecer el hecho</w:t>
      </w:r>
      <w:r w:rsidR="00C55A45" w:rsidRPr="001E3B31">
        <w:rPr>
          <w:rFonts w:asciiTheme="majorHAnsi" w:hAnsiTheme="majorHAnsi"/>
          <w:sz w:val="20"/>
          <w:szCs w:val="20"/>
          <w:lang w:val="es-ES_tradnl"/>
        </w:rPr>
        <w:t>”</w:t>
      </w:r>
      <w:r w:rsidR="00C55A45" w:rsidRPr="001E3B31">
        <w:rPr>
          <w:rStyle w:val="FootnoteReference"/>
          <w:rFonts w:asciiTheme="majorHAnsi" w:hAnsiTheme="majorHAnsi"/>
          <w:sz w:val="20"/>
          <w:szCs w:val="20"/>
          <w:lang w:val="es-ES_tradnl"/>
        </w:rPr>
        <w:footnoteReference w:id="9"/>
      </w:r>
      <w:r w:rsidR="00C55A45" w:rsidRPr="001E3B31">
        <w:rPr>
          <w:rFonts w:asciiTheme="majorHAnsi" w:hAnsiTheme="majorHAnsi"/>
          <w:sz w:val="20"/>
          <w:szCs w:val="20"/>
          <w:lang w:val="es-ES_tradnl"/>
        </w:rPr>
        <w:t>.</w:t>
      </w:r>
    </w:p>
    <w:p w14:paraId="1DE624BA" w14:textId="77777777" w:rsidR="00C55A45" w:rsidRPr="001E3B31" w:rsidRDefault="00C55A45" w:rsidP="00C55A45">
      <w:pPr>
        <w:pStyle w:val="ListParagraph"/>
        <w:rPr>
          <w:rFonts w:asciiTheme="majorHAnsi" w:hAnsiTheme="majorHAnsi"/>
          <w:b/>
          <w:color w:val="auto"/>
          <w:sz w:val="20"/>
          <w:szCs w:val="20"/>
          <w:lang w:val="es-ES_tradnl"/>
        </w:rPr>
      </w:pPr>
    </w:p>
    <w:p w14:paraId="5AA8EF03" w14:textId="11346459" w:rsidR="00C55A45" w:rsidRPr="001E3B31" w:rsidRDefault="00C55A45" w:rsidP="003215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1E3B31">
        <w:rPr>
          <w:rFonts w:asciiTheme="majorHAnsi" w:hAnsiTheme="majorHAnsi"/>
          <w:bCs/>
          <w:sz w:val="20"/>
          <w:szCs w:val="20"/>
          <w:lang w:val="es-ES_tradnl"/>
        </w:rPr>
        <w:t xml:space="preserve">En </w:t>
      </w:r>
      <w:r w:rsidR="008931EF" w:rsidRPr="001E3B31">
        <w:rPr>
          <w:rFonts w:asciiTheme="majorHAnsi" w:hAnsiTheme="majorHAnsi"/>
          <w:bCs/>
          <w:sz w:val="20"/>
          <w:szCs w:val="20"/>
          <w:lang w:val="es-ES_tradnl"/>
        </w:rPr>
        <w:t>el presente caso,</w:t>
      </w:r>
      <w:r w:rsidRPr="001E3B31">
        <w:rPr>
          <w:rFonts w:asciiTheme="majorHAnsi" w:hAnsiTheme="majorHAnsi"/>
          <w:bCs/>
          <w:sz w:val="20"/>
          <w:szCs w:val="20"/>
          <w:lang w:val="es-ES_tradnl"/>
        </w:rPr>
        <w:t xml:space="preserve"> la Comisión observa que las investigaciones fueron inicialmente desviadas a la jurisdicción penal militar</w:t>
      </w:r>
      <w:r w:rsidR="008931EF" w:rsidRPr="001E3B31">
        <w:rPr>
          <w:rFonts w:asciiTheme="majorHAnsi" w:hAnsiTheme="majorHAnsi"/>
          <w:bCs/>
          <w:sz w:val="20"/>
          <w:szCs w:val="20"/>
          <w:lang w:val="es-ES_tradnl"/>
        </w:rPr>
        <w:t xml:space="preserve"> la cual, según ya ha concluido la Comisión, “</w:t>
      </w:r>
      <w:r w:rsidR="008931EF" w:rsidRPr="001E3B31">
        <w:rPr>
          <w:rFonts w:asciiTheme="majorHAnsi" w:hAnsiTheme="majorHAnsi" w:cs="Calibri"/>
          <w:i/>
          <w:iCs/>
          <w:sz w:val="20"/>
          <w:szCs w:val="20"/>
          <w:lang w:val="es-ES_tradnl"/>
        </w:rPr>
        <w:t>no constituye un foro apropiado y por lo tanto no brinda un recurso adecuado para investigar, juzgar y sancionar las alegadas violaciones a los derechos humanos consagrados en la Convención Americana, presuntamente cometidas por miembros de la Fuerza Pública</w:t>
      </w:r>
      <w:r w:rsidR="008931EF" w:rsidRPr="001E3B31">
        <w:rPr>
          <w:rFonts w:asciiTheme="majorHAnsi" w:hAnsiTheme="majorHAnsi" w:cs="Calibri"/>
          <w:sz w:val="20"/>
          <w:szCs w:val="20"/>
          <w:lang w:val="es-ES_tradnl"/>
        </w:rPr>
        <w:t>”</w:t>
      </w:r>
      <w:r w:rsidR="008931EF" w:rsidRPr="001E3B31">
        <w:rPr>
          <w:rStyle w:val="FootnoteReference"/>
          <w:rFonts w:asciiTheme="majorHAnsi" w:hAnsiTheme="majorHAnsi" w:cs="Calibri"/>
          <w:sz w:val="20"/>
          <w:szCs w:val="20"/>
          <w:lang w:val="es-ES_tradnl"/>
        </w:rPr>
        <w:footnoteReference w:id="10"/>
      </w:r>
      <w:r w:rsidR="008931EF" w:rsidRPr="001E3B31">
        <w:rPr>
          <w:rFonts w:asciiTheme="majorHAnsi" w:hAnsiTheme="majorHAnsi" w:cs="Calibri"/>
          <w:sz w:val="20"/>
          <w:szCs w:val="20"/>
          <w:lang w:val="es-ES_tradnl"/>
        </w:rPr>
        <w:t>. En consecuencia, la Comisión estima que las dificultades relacionadas con el paso del tiempo que estarían</w:t>
      </w:r>
      <w:r w:rsidR="004621A2" w:rsidRPr="001E3B31">
        <w:rPr>
          <w:rFonts w:asciiTheme="majorHAnsi" w:hAnsiTheme="majorHAnsi" w:cs="Calibri"/>
          <w:sz w:val="20"/>
          <w:szCs w:val="20"/>
          <w:lang w:val="es-ES_tradnl"/>
        </w:rPr>
        <w:t xml:space="preserve"> en el presente</w:t>
      </w:r>
      <w:r w:rsidR="008931EF" w:rsidRPr="001E3B31">
        <w:rPr>
          <w:rFonts w:asciiTheme="majorHAnsi" w:hAnsiTheme="majorHAnsi" w:cs="Calibri"/>
          <w:sz w:val="20"/>
          <w:szCs w:val="20"/>
          <w:lang w:val="es-ES_tradnl"/>
        </w:rPr>
        <w:t xml:space="preserve"> afrontando las autoridades de la jurisdicción penal ordinaria serían atribuibles a que la investigación en sus </w:t>
      </w:r>
      <w:r w:rsidR="004621A2" w:rsidRPr="001E3B31">
        <w:rPr>
          <w:rFonts w:asciiTheme="majorHAnsi" w:hAnsiTheme="majorHAnsi" w:cs="Calibri"/>
          <w:sz w:val="20"/>
          <w:szCs w:val="20"/>
          <w:lang w:val="es-ES_tradnl"/>
        </w:rPr>
        <w:t xml:space="preserve">primeras etapas, las más cruciales, haya sido desarrollada en una jurisdicción que no era la apropiada; circunstancia cuya responsabilidad recaería en el propio Estado. </w:t>
      </w:r>
    </w:p>
    <w:p w14:paraId="353EC7AD" w14:textId="77777777" w:rsidR="0080441A" w:rsidRPr="001E3B31" w:rsidRDefault="0080441A" w:rsidP="0080441A">
      <w:pPr>
        <w:pStyle w:val="ListParagraph"/>
        <w:rPr>
          <w:rFonts w:asciiTheme="majorHAnsi" w:hAnsiTheme="majorHAnsi"/>
          <w:color w:val="auto"/>
          <w:sz w:val="20"/>
          <w:szCs w:val="20"/>
          <w:lang w:val="es-ES_tradnl"/>
        </w:rPr>
      </w:pPr>
    </w:p>
    <w:p w14:paraId="713EDACF" w14:textId="2E702FD2" w:rsidR="00321521" w:rsidRPr="001E3B31" w:rsidRDefault="004621A2" w:rsidP="0032152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1E3B31">
        <w:rPr>
          <w:rFonts w:asciiTheme="majorHAnsi" w:hAnsiTheme="majorHAnsi"/>
          <w:sz w:val="20"/>
          <w:szCs w:val="20"/>
          <w:lang w:val="es-ES_tradnl"/>
        </w:rPr>
        <w:t>Por lo expuesto en los párrafos anteriores y</w:t>
      </w:r>
      <w:r w:rsidR="00CB3936" w:rsidRPr="001E3B31">
        <w:rPr>
          <w:rFonts w:asciiTheme="majorHAnsi" w:hAnsiTheme="majorHAnsi"/>
          <w:sz w:val="20"/>
          <w:szCs w:val="20"/>
          <w:lang w:val="es-ES_tradnl"/>
        </w:rPr>
        <w:t xml:space="preserve">, sin perjuicio de que </w:t>
      </w:r>
      <w:r w:rsidRPr="001E3B31">
        <w:rPr>
          <w:rFonts w:asciiTheme="majorHAnsi" w:hAnsiTheme="majorHAnsi"/>
          <w:sz w:val="20"/>
          <w:szCs w:val="20"/>
          <w:lang w:val="es-ES_tradnl"/>
        </w:rPr>
        <w:t>la información aportada por el Estado respecto a la diligencia de sus autoridades</w:t>
      </w:r>
      <w:r w:rsidR="00CB3936" w:rsidRPr="001E3B31">
        <w:rPr>
          <w:rFonts w:asciiTheme="majorHAnsi" w:hAnsiTheme="majorHAnsi"/>
          <w:sz w:val="20"/>
          <w:szCs w:val="20"/>
          <w:lang w:val="es-ES_tradnl"/>
        </w:rPr>
        <w:t xml:space="preserve"> deba ser nuevamente analizada en la etapa de fon</w:t>
      </w:r>
      <w:r w:rsidR="00321521" w:rsidRPr="001E3B31">
        <w:rPr>
          <w:rFonts w:asciiTheme="majorHAnsi" w:hAnsiTheme="majorHAnsi"/>
          <w:sz w:val="20"/>
          <w:szCs w:val="20"/>
          <w:lang w:val="es-ES_tradnl"/>
        </w:rPr>
        <w:t>do, la Comisión estima que</w:t>
      </w:r>
      <w:r w:rsidR="00321521" w:rsidRPr="001E3B31">
        <w:rPr>
          <w:rFonts w:asciiTheme="majorHAnsi" w:hAnsiTheme="majorHAnsi"/>
          <w:b/>
          <w:sz w:val="20"/>
          <w:szCs w:val="20"/>
          <w:lang w:val="es-ES_tradnl"/>
        </w:rPr>
        <w:t xml:space="preserve"> </w:t>
      </w:r>
      <w:r w:rsidR="00032162" w:rsidRPr="001E3B31">
        <w:rPr>
          <w:rFonts w:asciiTheme="majorHAnsi" w:hAnsiTheme="majorHAnsi"/>
          <w:sz w:val="20"/>
          <w:szCs w:val="20"/>
          <w:lang w:val="es-ES_tradnl"/>
        </w:rPr>
        <w:t>para efectos de admisibilidad, resulta justificado aplicar a la presente petición la excepción al requisito de agotamiento de los recursos internos prevista en el artículo 46.2(c) de la Convención Americana.</w:t>
      </w:r>
    </w:p>
    <w:p w14:paraId="135D3CCD" w14:textId="77777777" w:rsidR="00321521" w:rsidRPr="001E3B31" w:rsidRDefault="00321521" w:rsidP="00321521">
      <w:pPr>
        <w:pStyle w:val="ListParagraph"/>
        <w:rPr>
          <w:rFonts w:asciiTheme="majorHAnsi" w:hAnsiTheme="majorHAnsi"/>
          <w:color w:val="auto"/>
          <w:sz w:val="20"/>
          <w:szCs w:val="20"/>
          <w:lang w:val="es-ES_tradnl"/>
        </w:rPr>
      </w:pPr>
    </w:p>
    <w:p w14:paraId="60882157" w14:textId="77D20DDC" w:rsidR="00EA02F6" w:rsidRPr="001E3B31" w:rsidRDefault="00032162" w:rsidP="00D8579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1E3B31">
        <w:rPr>
          <w:rFonts w:asciiTheme="majorHAnsi" w:hAnsiTheme="majorHAnsi"/>
          <w:sz w:val="20"/>
          <w:szCs w:val="20"/>
          <w:lang w:val="es-ES_tradnl"/>
        </w:rPr>
        <w:t xml:space="preserve"> La Comisión además observa que la</w:t>
      </w:r>
      <w:r w:rsidR="00321521" w:rsidRPr="001E3B31">
        <w:rPr>
          <w:rFonts w:asciiTheme="majorHAnsi" w:hAnsiTheme="majorHAnsi"/>
          <w:sz w:val="20"/>
          <w:szCs w:val="20"/>
          <w:lang w:val="es-ES_tradnl"/>
        </w:rPr>
        <w:t>s investigaciones penales relacionadas con la muerte de la presunta víctima iniciaron en 2004, que la petición fue presentada en 2013, y que según lo expuesto por el Estado, las investigaciones continuarían en curso</w:t>
      </w:r>
      <w:r w:rsidR="004621A2" w:rsidRPr="001E3B31">
        <w:rPr>
          <w:rFonts w:asciiTheme="majorHAnsi" w:hAnsiTheme="majorHAnsi"/>
          <w:sz w:val="20"/>
          <w:szCs w:val="20"/>
          <w:lang w:val="es-ES_tradnl"/>
        </w:rPr>
        <w:t>, en etapa de investigación,</w:t>
      </w:r>
      <w:r w:rsidR="00321521" w:rsidRPr="001E3B31">
        <w:rPr>
          <w:rFonts w:asciiTheme="majorHAnsi" w:hAnsiTheme="majorHAnsi"/>
          <w:sz w:val="20"/>
          <w:szCs w:val="20"/>
          <w:lang w:val="es-ES_tradnl"/>
        </w:rPr>
        <w:t xml:space="preserve"> hasta el presente. </w:t>
      </w:r>
      <w:r w:rsidR="00224D7D" w:rsidRPr="001E3B31">
        <w:rPr>
          <w:rFonts w:asciiTheme="majorHAnsi" w:hAnsiTheme="majorHAnsi"/>
          <w:sz w:val="20"/>
          <w:szCs w:val="20"/>
          <w:lang w:val="es-ES_tradnl"/>
        </w:rPr>
        <w:t>Por lo tanto, la Comisión concluye que la petición fue presentada dentro de plazo razonable en los términos del artículo 32.2 de su reglamento</w:t>
      </w:r>
      <w:r w:rsidR="008518FC" w:rsidRPr="001E3B31">
        <w:rPr>
          <w:rFonts w:asciiTheme="majorHAnsi" w:hAnsiTheme="majorHAnsi"/>
          <w:sz w:val="20"/>
          <w:szCs w:val="20"/>
          <w:lang w:val="es-ES_tradnl"/>
        </w:rPr>
        <w:t>.</w:t>
      </w:r>
    </w:p>
    <w:p w14:paraId="534B5771" w14:textId="77777777" w:rsidR="00224D7D" w:rsidRPr="001E3B31" w:rsidRDefault="00224D7D" w:rsidP="00224D7D">
      <w:pPr>
        <w:pStyle w:val="ListParagraph"/>
        <w:rPr>
          <w:rFonts w:asciiTheme="majorHAnsi" w:hAnsiTheme="majorHAnsi"/>
          <w:b/>
          <w:color w:val="auto"/>
          <w:sz w:val="20"/>
          <w:szCs w:val="20"/>
          <w:lang w:val="es-ES_tradnl"/>
        </w:rPr>
      </w:pPr>
    </w:p>
    <w:p w14:paraId="69BC3505" w14:textId="3748B3F4" w:rsidR="00A609EF" w:rsidRPr="001E3B31" w:rsidRDefault="00A609EF" w:rsidP="00A609E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1E3B31">
        <w:rPr>
          <w:rFonts w:asciiTheme="majorHAnsi" w:hAnsiTheme="majorHAnsi"/>
          <w:sz w:val="20"/>
          <w:szCs w:val="20"/>
          <w:lang w:val="es-ES_tradnl"/>
        </w:rPr>
        <w:t xml:space="preserve">Las determinaciones alcanzadas en </w:t>
      </w:r>
      <w:r w:rsidR="004621A2" w:rsidRPr="001E3B31">
        <w:rPr>
          <w:rFonts w:asciiTheme="majorHAnsi" w:hAnsiTheme="majorHAnsi"/>
          <w:sz w:val="20"/>
          <w:szCs w:val="20"/>
          <w:lang w:val="es-ES_tradnl"/>
        </w:rPr>
        <w:t>los párrafos anteriores</w:t>
      </w:r>
      <w:r w:rsidRPr="001E3B31">
        <w:rPr>
          <w:rFonts w:asciiTheme="majorHAnsi" w:hAnsiTheme="majorHAnsi"/>
          <w:sz w:val="20"/>
          <w:szCs w:val="20"/>
          <w:lang w:val="es-ES_tradnl"/>
        </w:rPr>
        <w:t xml:space="preserve"> no prejuzgan sobre el fondo del asunto ni sobre la veracidad de las alegaciones. La Comisión analizará en la etapa de fondo los alegatos presentados por el Estado respecto a la diligencia de sus autoridades y las causas que habrían impedido que el proceso penal concluyera en forma más temprana. </w:t>
      </w:r>
    </w:p>
    <w:p w14:paraId="71A2FD85" w14:textId="77777777" w:rsidR="004621A2" w:rsidRPr="001E3B31" w:rsidRDefault="004621A2" w:rsidP="004621A2">
      <w:pPr>
        <w:pStyle w:val="ListParagraph"/>
        <w:rPr>
          <w:rFonts w:asciiTheme="majorHAnsi" w:hAnsiTheme="majorHAnsi"/>
          <w:b/>
          <w:bCs/>
          <w:color w:val="auto"/>
          <w:sz w:val="20"/>
          <w:szCs w:val="20"/>
          <w:lang w:val="es-ES_tradnl"/>
        </w:rPr>
      </w:pPr>
    </w:p>
    <w:p w14:paraId="10CDED7D" w14:textId="56603069" w:rsidR="00EB411E" w:rsidRPr="001E3B31" w:rsidRDefault="004621A2" w:rsidP="00A609E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1E3B31">
        <w:rPr>
          <w:rFonts w:asciiTheme="majorHAnsi" w:hAnsiTheme="majorHAnsi"/>
          <w:sz w:val="20"/>
          <w:szCs w:val="20"/>
          <w:lang w:val="es-ES_tradnl"/>
        </w:rPr>
        <w:t xml:space="preserve">En adición, y dado que la parte peticionaria ha presentado reclamaciones específicamente sobre la negativa de </w:t>
      </w:r>
      <w:r w:rsidR="00EB411E" w:rsidRPr="001E3B31">
        <w:rPr>
          <w:rFonts w:asciiTheme="majorHAnsi" w:hAnsiTheme="majorHAnsi"/>
          <w:sz w:val="20"/>
          <w:szCs w:val="20"/>
          <w:lang w:val="es-ES_tradnl"/>
        </w:rPr>
        <w:t>la justicia contencioso-administrativa</w:t>
      </w:r>
      <w:r w:rsidRPr="001E3B31">
        <w:rPr>
          <w:rFonts w:asciiTheme="majorHAnsi" w:hAnsiTheme="majorHAnsi"/>
          <w:sz w:val="20"/>
          <w:szCs w:val="20"/>
          <w:lang w:val="es-ES_tradnl"/>
        </w:rPr>
        <w:t xml:space="preserve"> doméstica a reconocer la responsabilidad del Estado y a otorgar reparaciones a favor de </w:t>
      </w:r>
      <w:r w:rsidR="00C52701" w:rsidRPr="001E3B31">
        <w:rPr>
          <w:rFonts w:asciiTheme="majorHAnsi" w:hAnsiTheme="majorHAnsi"/>
          <w:sz w:val="20"/>
          <w:szCs w:val="20"/>
          <w:lang w:val="es-ES_tradnl"/>
        </w:rPr>
        <w:t>los familiares</w:t>
      </w:r>
      <w:r w:rsidRPr="001E3B31">
        <w:rPr>
          <w:rFonts w:asciiTheme="majorHAnsi" w:hAnsiTheme="majorHAnsi"/>
          <w:sz w:val="20"/>
          <w:szCs w:val="20"/>
          <w:lang w:val="es-ES_tradnl"/>
        </w:rPr>
        <w:t xml:space="preserve"> de la presunta </w:t>
      </w:r>
      <w:r w:rsidR="00EB411E" w:rsidRPr="001E3B31">
        <w:rPr>
          <w:rFonts w:asciiTheme="majorHAnsi" w:hAnsiTheme="majorHAnsi"/>
          <w:sz w:val="20"/>
          <w:szCs w:val="20"/>
          <w:lang w:val="es-ES_tradnl"/>
        </w:rPr>
        <w:t xml:space="preserve">víctima, la Comisión analizará los recursos internos agotados por </w:t>
      </w:r>
      <w:r w:rsidR="00C52701" w:rsidRPr="001E3B31">
        <w:rPr>
          <w:rFonts w:asciiTheme="majorHAnsi" w:hAnsiTheme="majorHAnsi"/>
          <w:sz w:val="20"/>
          <w:szCs w:val="20"/>
          <w:lang w:val="es-ES_tradnl"/>
        </w:rPr>
        <w:t>los familiares</w:t>
      </w:r>
      <w:r w:rsidR="00EB411E" w:rsidRPr="001E3B31">
        <w:rPr>
          <w:rFonts w:asciiTheme="majorHAnsi" w:hAnsiTheme="majorHAnsi"/>
          <w:sz w:val="20"/>
          <w:szCs w:val="20"/>
          <w:lang w:val="es-ES_tradnl"/>
        </w:rPr>
        <w:t xml:space="preserve"> de la presunta víctima en esa jurisdicción.</w:t>
      </w:r>
    </w:p>
    <w:p w14:paraId="471C7F6B" w14:textId="77777777" w:rsidR="00EB411E" w:rsidRPr="001E3B31" w:rsidRDefault="00EB411E" w:rsidP="00EB411E">
      <w:pPr>
        <w:pStyle w:val="ListParagraph"/>
        <w:rPr>
          <w:rFonts w:asciiTheme="majorHAnsi" w:hAnsiTheme="majorHAnsi"/>
          <w:color w:val="auto"/>
          <w:sz w:val="20"/>
          <w:szCs w:val="20"/>
          <w:lang w:val="es-ES_tradnl"/>
        </w:rPr>
      </w:pPr>
    </w:p>
    <w:p w14:paraId="7FADF5E6" w14:textId="4124B08A" w:rsidR="00FE17DC" w:rsidRPr="001E3B31" w:rsidRDefault="00EB411E" w:rsidP="00FE17D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1E3B31">
        <w:rPr>
          <w:rFonts w:asciiTheme="majorHAnsi" w:hAnsiTheme="majorHAnsi"/>
          <w:bCs/>
          <w:sz w:val="20"/>
          <w:szCs w:val="20"/>
          <w:lang w:val="es-ES_tradnl"/>
        </w:rPr>
        <w:t xml:space="preserve">El 30 de noviembre de 2005 los familiares de la presunta víctima presentaron una demanda contencioso-administrativa contra el Ministerio de Defensa, Ejército Nacional y la Nación a fin de obtener reparación por los perjuicios materiales y morales que les causó la muerte de la presunta víctima. El proceso fue remitido al Juzgado Sexto Administrativo del Circuito de Santa Marta; quien el 12 de abril de 2012 negó esas pretensiones. </w:t>
      </w:r>
      <w:r w:rsidR="00C52701" w:rsidRPr="001E3B31">
        <w:rPr>
          <w:rFonts w:asciiTheme="majorHAnsi" w:hAnsiTheme="majorHAnsi"/>
          <w:bCs/>
          <w:sz w:val="20"/>
          <w:szCs w:val="20"/>
          <w:lang w:val="es-ES_tradnl"/>
        </w:rPr>
        <w:t>Los familiares</w:t>
      </w:r>
      <w:r w:rsidRPr="001E3B31">
        <w:rPr>
          <w:rFonts w:asciiTheme="majorHAnsi" w:hAnsiTheme="majorHAnsi"/>
          <w:bCs/>
          <w:sz w:val="20"/>
          <w:szCs w:val="20"/>
          <w:lang w:val="es-ES_tradnl"/>
        </w:rPr>
        <w:t xml:space="preserve"> de la presunta víctima apelaron la decisión del Juzgado Sexto, conllevando a que esa decisión fuera confirmada el 17 de octubre de 2012 por el Tribunal Administrativo de Magdalena. </w:t>
      </w:r>
      <w:r w:rsidR="00C52701" w:rsidRPr="001E3B31">
        <w:rPr>
          <w:rFonts w:asciiTheme="majorHAnsi" w:hAnsiTheme="majorHAnsi"/>
          <w:bCs/>
          <w:sz w:val="20"/>
          <w:szCs w:val="20"/>
          <w:lang w:val="es-ES_tradnl"/>
        </w:rPr>
        <w:t>Los familiares</w:t>
      </w:r>
      <w:r w:rsidR="00FE17DC" w:rsidRPr="001E3B31">
        <w:rPr>
          <w:rFonts w:asciiTheme="majorHAnsi" w:hAnsiTheme="majorHAnsi"/>
          <w:bCs/>
          <w:sz w:val="20"/>
          <w:szCs w:val="20"/>
          <w:lang w:val="es-ES_tradnl"/>
        </w:rPr>
        <w:t xml:space="preserve"> de la presunta víctima interpusieran una acción de tutela contra la decisión del Tribunal Administrativo de Magdalena, la que fue resuelta a su favor el 20 de abril de 2013, ordenándose a dicho Tribunal Administrativo que dictara una nueva sentencia. El 16 de junio de 2013 el Tribunal Administrativo de Magdalena emitió una nueva sentencia favorable a las pretensiones de </w:t>
      </w:r>
      <w:r w:rsidR="00C52701" w:rsidRPr="001E3B31">
        <w:rPr>
          <w:rFonts w:asciiTheme="majorHAnsi" w:hAnsiTheme="majorHAnsi"/>
          <w:bCs/>
          <w:sz w:val="20"/>
          <w:szCs w:val="20"/>
          <w:lang w:val="es-ES_tradnl"/>
        </w:rPr>
        <w:t>los familiares</w:t>
      </w:r>
      <w:r w:rsidR="00FE17DC" w:rsidRPr="001E3B31">
        <w:rPr>
          <w:rFonts w:asciiTheme="majorHAnsi" w:hAnsiTheme="majorHAnsi"/>
          <w:bCs/>
          <w:sz w:val="20"/>
          <w:szCs w:val="20"/>
          <w:lang w:val="es-ES_tradnl"/>
        </w:rPr>
        <w:t xml:space="preserve"> de la presunta víctima. Sin embargo, esa sentencia fue impugnada por el Ministerio de Defensa Nacional, conllevando a que el 25 de julio de 2013 fuera revocada por la Sala de lo Contencioso Administrativo, Sección Cuarta, del Consejo de Estado, </w:t>
      </w:r>
      <w:r w:rsidR="00255586" w:rsidRPr="001E3B31">
        <w:rPr>
          <w:rFonts w:asciiTheme="majorHAnsi" w:hAnsiTheme="majorHAnsi"/>
          <w:bCs/>
          <w:sz w:val="20"/>
          <w:szCs w:val="20"/>
          <w:lang w:val="es-ES_tradnl"/>
        </w:rPr>
        <w:t>que</w:t>
      </w:r>
      <w:r w:rsidR="00FE17DC" w:rsidRPr="001E3B31">
        <w:rPr>
          <w:rFonts w:asciiTheme="majorHAnsi" w:hAnsiTheme="majorHAnsi"/>
          <w:bCs/>
          <w:sz w:val="20"/>
          <w:szCs w:val="20"/>
          <w:lang w:val="es-ES_tradnl"/>
        </w:rPr>
        <w:t xml:space="preserve"> ordenó denegar las pretensiones de </w:t>
      </w:r>
      <w:r w:rsidR="00C52701" w:rsidRPr="001E3B31">
        <w:rPr>
          <w:rFonts w:asciiTheme="majorHAnsi" w:hAnsiTheme="majorHAnsi"/>
          <w:bCs/>
          <w:sz w:val="20"/>
          <w:szCs w:val="20"/>
          <w:lang w:val="es-ES_tradnl"/>
        </w:rPr>
        <w:t>los familiares</w:t>
      </w:r>
      <w:r w:rsidR="00FE17DC" w:rsidRPr="001E3B31">
        <w:rPr>
          <w:rFonts w:asciiTheme="majorHAnsi" w:hAnsiTheme="majorHAnsi"/>
          <w:bCs/>
          <w:sz w:val="20"/>
          <w:szCs w:val="20"/>
          <w:lang w:val="es-ES_tradnl"/>
        </w:rPr>
        <w:t xml:space="preserve">. </w:t>
      </w:r>
    </w:p>
    <w:p w14:paraId="1B61DDFC" w14:textId="77777777" w:rsidR="00FE17DC" w:rsidRPr="001E3B31" w:rsidRDefault="00FE17DC" w:rsidP="00FE17D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sz w:val="20"/>
          <w:szCs w:val="20"/>
          <w:lang w:val="es-ES_tradnl"/>
        </w:rPr>
      </w:pPr>
    </w:p>
    <w:p w14:paraId="4BE6E69B" w14:textId="1457C641" w:rsidR="00FE17DC" w:rsidRPr="001E3B31" w:rsidRDefault="005F7EE5" w:rsidP="0060285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sz w:val="20"/>
          <w:szCs w:val="20"/>
          <w:lang w:val="es-ES_tradnl"/>
        </w:rPr>
      </w:pPr>
      <w:r w:rsidRPr="001E3B31">
        <w:rPr>
          <w:rFonts w:asciiTheme="majorHAnsi" w:hAnsiTheme="majorHAnsi"/>
          <w:bCs/>
          <w:sz w:val="20"/>
          <w:szCs w:val="20"/>
          <w:lang w:val="es-ES_tradnl"/>
        </w:rPr>
        <w:t>Así, dado</w:t>
      </w:r>
      <w:r w:rsidR="008735DC" w:rsidRPr="001E3B31">
        <w:rPr>
          <w:rFonts w:asciiTheme="majorHAnsi" w:hAnsiTheme="majorHAnsi"/>
          <w:bCs/>
          <w:sz w:val="20"/>
          <w:szCs w:val="20"/>
          <w:lang w:val="es-ES_tradnl"/>
        </w:rPr>
        <w:t xml:space="preserve"> que la decisión definitiva de la justicia contencioso-administrativa se profirió el 25 de julio de 2013 y la petición fue presentada el 18 de marzo de 2013, la Comisión concluye que este extremo de la petición cumple con los requisitos del artículo 46.1(a) y (b) de la Convención Americana.</w:t>
      </w:r>
    </w:p>
    <w:p w14:paraId="642CAB53" w14:textId="77777777" w:rsidR="00EB411E" w:rsidRPr="001E3B31" w:rsidRDefault="00EB411E" w:rsidP="00EB411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sz w:val="20"/>
          <w:szCs w:val="20"/>
          <w:lang w:val="es-ES_tradnl"/>
        </w:rPr>
      </w:pPr>
    </w:p>
    <w:p w14:paraId="2C9ACA4F" w14:textId="77777777" w:rsidR="00A431E2" w:rsidRDefault="00A431E2" w:rsidP="00FE08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color w:val="auto"/>
          <w:sz w:val="20"/>
          <w:szCs w:val="20"/>
          <w:lang w:val="es-ES_tradnl"/>
        </w:rPr>
      </w:pPr>
    </w:p>
    <w:p w14:paraId="717BB49D" w14:textId="5D51F7C3" w:rsidR="00B57483" w:rsidRPr="001E3B31" w:rsidRDefault="00B57483" w:rsidP="00FE08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color w:val="auto"/>
          <w:sz w:val="20"/>
          <w:szCs w:val="20"/>
          <w:lang w:val="es-ES_tradnl"/>
        </w:rPr>
      </w:pPr>
      <w:r w:rsidRPr="001E3B31">
        <w:rPr>
          <w:rFonts w:asciiTheme="majorHAnsi" w:hAnsiTheme="majorHAnsi"/>
          <w:b/>
          <w:bCs/>
          <w:color w:val="auto"/>
          <w:sz w:val="20"/>
          <w:szCs w:val="20"/>
          <w:lang w:val="es-ES_tradnl"/>
        </w:rPr>
        <w:lastRenderedPageBreak/>
        <w:t>VII.</w:t>
      </w:r>
      <w:r w:rsidRPr="001E3B31">
        <w:rPr>
          <w:rFonts w:asciiTheme="majorHAnsi" w:hAnsiTheme="majorHAnsi"/>
          <w:b/>
          <w:bCs/>
          <w:color w:val="auto"/>
          <w:sz w:val="20"/>
          <w:szCs w:val="20"/>
          <w:lang w:val="es-ES_tradnl"/>
        </w:rPr>
        <w:tab/>
        <w:t>ANÁLISIS DE CARACTERIZACIÓN DE LOS HECHOS ALEGADOS</w:t>
      </w:r>
    </w:p>
    <w:p w14:paraId="53452D19" w14:textId="77C43EFF" w:rsidR="00B57483" w:rsidRPr="001E3B31" w:rsidRDefault="00B57483" w:rsidP="00B574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1E3B31">
        <w:rPr>
          <w:rFonts w:asciiTheme="majorHAnsi" w:hAnsiTheme="majorHAnsi"/>
          <w:sz w:val="20"/>
          <w:szCs w:val="20"/>
          <w:lang w:val="es-ES_tradnl"/>
        </w:rPr>
        <w:t xml:space="preserve">Preliminarmente y dado que el Estado ha presentado argumentos relacionados con la fórmula de la “cuarta instancia”, la Comisión reitera que </w:t>
      </w:r>
      <w:r w:rsidR="00C74189" w:rsidRPr="001E3B31">
        <w:rPr>
          <w:rFonts w:asciiTheme="majorHAnsi" w:hAnsiTheme="majorHAnsi"/>
          <w:sz w:val="20"/>
          <w:szCs w:val="20"/>
          <w:lang w:val="es-ES_tradnl"/>
        </w:rPr>
        <w:t>–</w:t>
      </w:r>
      <w:r w:rsidRPr="001E3B31">
        <w:rPr>
          <w:rFonts w:asciiTheme="majorHAnsi" w:hAnsiTheme="majorHAnsi"/>
          <w:sz w:val="20"/>
          <w:szCs w:val="20"/>
          <w:lang w:val="es-ES_tradnl"/>
        </w:rPr>
        <w:t>a efectos de la admisibilidad</w:t>
      </w:r>
      <w:r w:rsidR="00C74189" w:rsidRPr="001E3B31">
        <w:rPr>
          <w:rFonts w:asciiTheme="majorHAnsi" w:hAnsiTheme="majorHAnsi"/>
          <w:sz w:val="20"/>
          <w:szCs w:val="20"/>
          <w:lang w:val="es-ES_tradnl"/>
        </w:rPr>
        <w:t>–</w:t>
      </w:r>
      <w:r w:rsidRPr="001E3B31">
        <w:rPr>
          <w:rFonts w:asciiTheme="majorHAnsi" w:hAnsiTheme="majorHAnsi"/>
          <w:sz w:val="20"/>
          <w:szCs w:val="20"/>
          <w:lang w:val="es-ES_tradnl"/>
        </w:rPr>
        <w:t xml:space="preserve">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dichos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prima facie violaciones a la Convención Americana</w:t>
      </w:r>
      <w:r w:rsidRPr="001E3B31">
        <w:rPr>
          <w:rStyle w:val="FootnoteReference"/>
          <w:rFonts w:asciiTheme="majorHAnsi" w:hAnsiTheme="majorHAnsi" w:cs="Calibri"/>
          <w:sz w:val="20"/>
          <w:szCs w:val="20"/>
          <w:lang w:val="es-ES_tradnl"/>
        </w:rPr>
        <w:footnoteReference w:id="11"/>
      </w:r>
      <w:r w:rsidRPr="001E3B31">
        <w:rPr>
          <w:rFonts w:asciiTheme="majorHAnsi" w:hAnsiTheme="majorHAnsi"/>
          <w:sz w:val="20"/>
          <w:szCs w:val="20"/>
          <w:lang w:val="es-ES_tradnl"/>
        </w:rPr>
        <w:t>.</w:t>
      </w:r>
    </w:p>
    <w:p w14:paraId="7C3D5EED" w14:textId="77777777" w:rsidR="008D11ED" w:rsidRPr="001E3B31" w:rsidRDefault="008D11ED" w:rsidP="008D11E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79A38DD8" w14:textId="19B334CE" w:rsidR="00B57483" w:rsidRPr="001E3B31" w:rsidRDefault="00A609EF" w:rsidP="008D11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1E3B31">
        <w:rPr>
          <w:rFonts w:asciiTheme="majorHAnsi" w:hAnsiTheme="majorHAnsi"/>
          <w:sz w:val="20"/>
          <w:szCs w:val="20"/>
          <w:lang w:val="es-ES_tradnl"/>
        </w:rPr>
        <w:t xml:space="preserve">La presente petición incluye alegaciones respecto a que agentes del Ejército Nacional se instalaron en una vivienda particular o en áreas muy cercanas a una, sin </w:t>
      </w:r>
      <w:r w:rsidR="001E3B31" w:rsidRPr="001E3B31">
        <w:rPr>
          <w:rFonts w:asciiTheme="majorHAnsi" w:hAnsiTheme="majorHAnsi"/>
          <w:sz w:val="20"/>
          <w:szCs w:val="20"/>
          <w:lang w:val="es-ES_tradnl"/>
        </w:rPr>
        <w:t>avisar</w:t>
      </w:r>
      <w:r w:rsidRPr="001E3B31">
        <w:rPr>
          <w:rFonts w:asciiTheme="majorHAnsi" w:hAnsiTheme="majorHAnsi"/>
          <w:sz w:val="20"/>
          <w:szCs w:val="20"/>
          <w:lang w:val="es-ES_tradnl"/>
        </w:rPr>
        <w:t xml:space="preserve"> a la población civil y sin tomar ninguna precaución para proteger a esta. Luego, dispararon contra un grupo de campesinos que se aproximó a la vivienda para pedir ayuda, sin realizarles ninguna advertencia previa y sin haber hecho ningún esfuerzo para determinar su identidad. A consecuencia de estos disparos falleció la presunta víctima. Posteriormente y a fines de salvar su responsabilidad por la muerte de la presunta víctima, los agentes estatales ejecutarían a otra persona de identidad desconocida y simularían un combate armado para hacer aparentar que la presunta víctima murió durante una situación de </w:t>
      </w:r>
      <w:r w:rsidR="008D11ED" w:rsidRPr="001E3B31">
        <w:rPr>
          <w:rFonts w:asciiTheme="majorHAnsi" w:hAnsiTheme="majorHAnsi"/>
          <w:sz w:val="20"/>
          <w:szCs w:val="20"/>
          <w:lang w:val="es-ES_tradnl"/>
        </w:rPr>
        <w:t>fuego cruzado</w:t>
      </w:r>
      <w:r w:rsidR="00546C80" w:rsidRPr="001E3B31">
        <w:rPr>
          <w:rFonts w:asciiTheme="majorHAnsi" w:hAnsiTheme="majorHAnsi"/>
          <w:sz w:val="20"/>
          <w:szCs w:val="20"/>
          <w:lang w:val="es-ES_tradnl"/>
        </w:rPr>
        <w:t>. Más de diecisiete años luego de la muerte de la presunta víctima no se habrían proferida sanciones penales o disciplinarias en relación con su muerte y las autoridades judiciales doméstica</w:t>
      </w:r>
      <w:r w:rsidR="00B35731" w:rsidRPr="001E3B31">
        <w:rPr>
          <w:rFonts w:asciiTheme="majorHAnsi" w:hAnsiTheme="majorHAnsi"/>
          <w:sz w:val="20"/>
          <w:szCs w:val="20"/>
          <w:lang w:val="es-ES_tradnl"/>
        </w:rPr>
        <w:t>s</w:t>
      </w:r>
      <w:r w:rsidR="00546C80" w:rsidRPr="001E3B31">
        <w:rPr>
          <w:rFonts w:asciiTheme="majorHAnsi" w:hAnsiTheme="majorHAnsi"/>
          <w:sz w:val="20"/>
          <w:szCs w:val="20"/>
          <w:lang w:val="es-ES_tradnl"/>
        </w:rPr>
        <w:t xml:space="preserve"> habrían negado reparación a sus familiares</w:t>
      </w:r>
      <w:r w:rsidR="00524E1B" w:rsidRPr="001E3B31">
        <w:rPr>
          <w:rFonts w:asciiTheme="majorHAnsi" w:hAnsiTheme="majorHAnsi"/>
          <w:sz w:val="20"/>
          <w:szCs w:val="20"/>
          <w:lang w:val="es-ES_tradnl"/>
        </w:rPr>
        <w:t xml:space="preserve"> tras concluir que la falta de responsabilidad del Estado. </w:t>
      </w:r>
    </w:p>
    <w:p w14:paraId="67B1D38C" w14:textId="77777777" w:rsidR="008D11ED" w:rsidRPr="001E3B31" w:rsidRDefault="008D11ED" w:rsidP="008D11ED">
      <w:pPr>
        <w:pStyle w:val="ListParagraph"/>
        <w:rPr>
          <w:rFonts w:asciiTheme="majorHAnsi" w:hAnsiTheme="majorHAnsi"/>
          <w:b/>
          <w:bCs/>
          <w:color w:val="auto"/>
          <w:sz w:val="20"/>
          <w:szCs w:val="20"/>
          <w:lang w:val="es-ES_tradnl"/>
        </w:rPr>
      </w:pPr>
    </w:p>
    <w:p w14:paraId="4DC4AB35" w14:textId="04F84D55" w:rsidR="00E67FEB" w:rsidRPr="001E3B31" w:rsidRDefault="00546C80" w:rsidP="008D11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1E3B31">
        <w:rPr>
          <w:rFonts w:asciiTheme="majorHAnsi" w:hAnsiTheme="majorHAnsi"/>
          <w:sz w:val="20"/>
          <w:szCs w:val="20"/>
          <w:lang w:val="es-ES_tradnl"/>
        </w:rPr>
        <w:t>La C</w:t>
      </w:r>
      <w:r w:rsidR="00524E1B" w:rsidRPr="001E3B31">
        <w:rPr>
          <w:rFonts w:asciiTheme="majorHAnsi" w:hAnsiTheme="majorHAnsi"/>
          <w:sz w:val="20"/>
          <w:szCs w:val="20"/>
          <w:lang w:val="es-ES_tradnl"/>
        </w:rPr>
        <w:t xml:space="preserve">orte Interamericana ha reconocido que el hecho de que la jurisdicción contenciosa-administrativa de un Estado se haya pronunciado respecto a la ausencia de responsabilidad de </w:t>
      </w:r>
      <w:r w:rsidR="006354D1" w:rsidRPr="001E3B31">
        <w:rPr>
          <w:rFonts w:asciiTheme="majorHAnsi" w:hAnsiTheme="majorHAnsi"/>
          <w:sz w:val="20"/>
          <w:szCs w:val="20"/>
          <w:lang w:val="es-ES_tradnl"/>
        </w:rPr>
        <w:t>e</w:t>
      </w:r>
      <w:r w:rsidR="00524E1B" w:rsidRPr="001E3B31">
        <w:rPr>
          <w:rFonts w:asciiTheme="majorHAnsi" w:hAnsiTheme="majorHAnsi"/>
          <w:sz w:val="20"/>
          <w:szCs w:val="20"/>
          <w:lang w:val="es-ES_tradnl"/>
        </w:rPr>
        <w:t>ste no inhibe a los órganos del Sistema Interamericano de efectuar su propia determinación al respecto a fines de efectuar un análisis sobre la presunta violación a los derechos contenidos en la Convención Americana</w:t>
      </w:r>
      <w:r w:rsidR="006354D1" w:rsidRPr="001E3B31">
        <w:rPr>
          <w:rFonts w:asciiTheme="majorHAnsi" w:hAnsiTheme="majorHAnsi"/>
          <w:sz w:val="20"/>
          <w:szCs w:val="20"/>
          <w:lang w:val="es-ES_tradnl"/>
        </w:rPr>
        <w:t>; principio que aplica independientemente de que los procesos contencioso-administrativos domésticos se hayan desarrollado en respeto o no de las garantías judiciales</w:t>
      </w:r>
      <w:r w:rsidR="00524E1B" w:rsidRPr="001E3B31">
        <w:rPr>
          <w:rStyle w:val="FootnoteReference"/>
          <w:rFonts w:asciiTheme="majorHAnsi" w:hAnsiTheme="majorHAnsi"/>
          <w:sz w:val="20"/>
          <w:szCs w:val="20"/>
          <w:lang w:val="es-ES_tradnl"/>
        </w:rPr>
        <w:footnoteReference w:id="12"/>
      </w:r>
      <w:r w:rsidR="00524E1B" w:rsidRPr="001E3B31">
        <w:rPr>
          <w:rFonts w:asciiTheme="majorHAnsi" w:hAnsiTheme="majorHAnsi"/>
          <w:sz w:val="20"/>
          <w:szCs w:val="20"/>
          <w:lang w:val="es-ES_tradnl"/>
        </w:rPr>
        <w:t xml:space="preserve">. </w:t>
      </w:r>
      <w:r w:rsidR="006354D1" w:rsidRPr="001E3B31">
        <w:rPr>
          <w:rFonts w:asciiTheme="majorHAnsi" w:hAnsiTheme="majorHAnsi"/>
          <w:sz w:val="20"/>
          <w:szCs w:val="20"/>
          <w:lang w:val="es-ES_tradnl"/>
        </w:rPr>
        <w:t xml:space="preserve">En el presente caso, la Comisión estima que el peticionario ha explicado las razones por las que considera que el Estado y sus agentes han incurrido en responsabilidad por la muerte de la presunta víctima, y que estas razones no pueden ser tachadas </w:t>
      </w:r>
      <w:r w:rsidR="006354D1" w:rsidRPr="001E3B31">
        <w:rPr>
          <w:rFonts w:asciiTheme="majorHAnsi" w:hAnsiTheme="majorHAnsi"/>
          <w:i/>
          <w:iCs/>
          <w:sz w:val="20"/>
          <w:szCs w:val="20"/>
          <w:lang w:val="es-ES_tradnl"/>
        </w:rPr>
        <w:t>prima facie</w:t>
      </w:r>
      <w:r w:rsidR="006354D1" w:rsidRPr="001E3B31">
        <w:rPr>
          <w:rFonts w:asciiTheme="majorHAnsi" w:hAnsiTheme="majorHAnsi"/>
          <w:sz w:val="20"/>
          <w:szCs w:val="20"/>
          <w:lang w:val="es-ES_tradnl"/>
        </w:rPr>
        <w:t xml:space="preserve"> de manifiestamente infundadas en esta etapa de admisibilidad. </w:t>
      </w:r>
      <w:r w:rsidR="00404514" w:rsidRPr="001E3B31">
        <w:rPr>
          <w:rFonts w:asciiTheme="majorHAnsi" w:hAnsiTheme="majorHAnsi"/>
          <w:sz w:val="20"/>
          <w:szCs w:val="20"/>
          <w:lang w:val="es-ES_tradnl"/>
        </w:rPr>
        <w:t xml:space="preserve">En específico, la Comisión estima que no puede tachar </w:t>
      </w:r>
      <w:r w:rsidR="00404514" w:rsidRPr="001E3B31">
        <w:rPr>
          <w:rFonts w:asciiTheme="majorHAnsi" w:hAnsiTheme="majorHAnsi"/>
          <w:i/>
          <w:iCs/>
          <w:sz w:val="20"/>
          <w:szCs w:val="20"/>
          <w:lang w:val="es-ES_tradnl"/>
        </w:rPr>
        <w:t>prima facie</w:t>
      </w:r>
      <w:r w:rsidR="00404514" w:rsidRPr="001E3B31">
        <w:rPr>
          <w:rFonts w:asciiTheme="majorHAnsi" w:hAnsiTheme="majorHAnsi"/>
          <w:sz w:val="20"/>
          <w:szCs w:val="20"/>
          <w:lang w:val="es-ES_tradnl"/>
        </w:rPr>
        <w:t xml:space="preserve"> de manifiestamente infundadas en esta etapa las alegaciones de la parte peticionaria respecto a que agentes del Estado habrían ejecutado a una persona y simulado un combate a fines de ocultar su responsabilidad en la muerte de la presunta víctima. Esto, puesto que esas alegaciones se enmarcan dentro del patrón de conducta conocido como “falsos positivos” </w:t>
      </w:r>
      <w:r w:rsidR="00AE7AA6" w:rsidRPr="001E3B31">
        <w:rPr>
          <w:rFonts w:asciiTheme="majorHAnsi" w:hAnsiTheme="majorHAnsi"/>
          <w:sz w:val="20"/>
          <w:szCs w:val="20"/>
          <w:lang w:val="es-ES_tradnl"/>
        </w:rPr>
        <w:t xml:space="preserve">y los hechos habrían ocurrido en fechas en </w:t>
      </w:r>
      <w:r w:rsidR="00825630" w:rsidRPr="001E3B31">
        <w:rPr>
          <w:rFonts w:asciiTheme="majorHAnsi" w:hAnsiTheme="majorHAnsi"/>
          <w:sz w:val="20"/>
          <w:szCs w:val="20"/>
          <w:lang w:val="es-ES_tradnl"/>
        </w:rPr>
        <w:t xml:space="preserve">las que se conoce que ese patrón </w:t>
      </w:r>
      <w:r w:rsidR="00AD2949" w:rsidRPr="001E3B31">
        <w:rPr>
          <w:rFonts w:asciiTheme="majorHAnsi" w:hAnsiTheme="majorHAnsi"/>
          <w:sz w:val="20"/>
          <w:szCs w:val="20"/>
          <w:lang w:val="es-ES_tradnl"/>
        </w:rPr>
        <w:t>era</w:t>
      </w:r>
      <w:r w:rsidR="00825630" w:rsidRPr="001E3B31">
        <w:rPr>
          <w:rFonts w:asciiTheme="majorHAnsi" w:hAnsiTheme="majorHAnsi"/>
          <w:sz w:val="20"/>
          <w:szCs w:val="20"/>
          <w:lang w:val="es-ES_tradnl"/>
        </w:rPr>
        <w:t xml:space="preserve"> desarrollado por agentes de la fuerza pública colombiana</w:t>
      </w:r>
      <w:r w:rsidR="00825630" w:rsidRPr="001E3B31">
        <w:rPr>
          <w:rStyle w:val="FootnoteReference"/>
          <w:rFonts w:asciiTheme="majorHAnsi" w:hAnsiTheme="majorHAnsi"/>
          <w:sz w:val="20"/>
          <w:szCs w:val="20"/>
          <w:lang w:val="es-ES_tradnl"/>
        </w:rPr>
        <w:footnoteReference w:id="13"/>
      </w:r>
      <w:r w:rsidR="00825630" w:rsidRPr="001E3B31">
        <w:rPr>
          <w:rFonts w:asciiTheme="majorHAnsi" w:hAnsiTheme="majorHAnsi"/>
          <w:sz w:val="20"/>
          <w:szCs w:val="20"/>
          <w:lang w:val="es-ES_tradnl"/>
        </w:rPr>
        <w:t>.</w:t>
      </w:r>
      <w:r w:rsidR="00AE7AA6" w:rsidRPr="001E3B31">
        <w:rPr>
          <w:rFonts w:asciiTheme="majorHAnsi" w:hAnsiTheme="majorHAnsi"/>
          <w:sz w:val="20"/>
          <w:szCs w:val="20"/>
          <w:lang w:val="es-ES_tradnl"/>
        </w:rPr>
        <w:t xml:space="preserve"> </w:t>
      </w:r>
    </w:p>
    <w:p w14:paraId="0CE8EA9F" w14:textId="77777777" w:rsidR="00E67FEB" w:rsidRPr="001E3B31" w:rsidRDefault="00E67FEB" w:rsidP="00E67FEB">
      <w:pPr>
        <w:pStyle w:val="ListParagraph"/>
        <w:rPr>
          <w:rFonts w:asciiTheme="majorHAnsi" w:hAnsiTheme="majorHAnsi"/>
          <w:color w:val="auto"/>
          <w:sz w:val="20"/>
          <w:szCs w:val="20"/>
          <w:lang w:val="es-ES_tradnl"/>
        </w:rPr>
      </w:pPr>
    </w:p>
    <w:p w14:paraId="49D99EE9" w14:textId="0A92A0F4" w:rsidR="00B35731" w:rsidRPr="001E3B31" w:rsidRDefault="00706FED" w:rsidP="008D11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1E3B31">
        <w:rPr>
          <w:rFonts w:asciiTheme="majorHAnsi" w:hAnsiTheme="majorHAnsi"/>
          <w:sz w:val="20"/>
          <w:szCs w:val="20"/>
          <w:lang w:val="es-ES_tradnl"/>
        </w:rPr>
        <w:t>En adición</w:t>
      </w:r>
      <w:r w:rsidR="006354D1" w:rsidRPr="001E3B31">
        <w:rPr>
          <w:rFonts w:asciiTheme="majorHAnsi" w:hAnsiTheme="majorHAnsi"/>
          <w:sz w:val="20"/>
          <w:szCs w:val="20"/>
          <w:lang w:val="es-ES_tradnl"/>
        </w:rPr>
        <w:t>, la Comisión</w:t>
      </w:r>
      <w:r w:rsidR="00B35731" w:rsidRPr="001E3B31">
        <w:rPr>
          <w:rFonts w:asciiTheme="majorHAnsi" w:hAnsiTheme="majorHAnsi"/>
          <w:sz w:val="20"/>
          <w:szCs w:val="20"/>
          <w:lang w:val="es-ES_tradnl"/>
        </w:rPr>
        <w:t xml:space="preserve"> valora </w:t>
      </w:r>
      <w:r w:rsidRPr="001E3B31">
        <w:rPr>
          <w:rFonts w:asciiTheme="majorHAnsi" w:hAnsiTheme="majorHAnsi"/>
          <w:sz w:val="20"/>
          <w:szCs w:val="20"/>
          <w:lang w:val="es-ES_tradnl"/>
        </w:rPr>
        <w:t>los</w:t>
      </w:r>
      <w:r w:rsidR="006354D1" w:rsidRPr="001E3B31">
        <w:rPr>
          <w:rFonts w:asciiTheme="majorHAnsi" w:hAnsiTheme="majorHAnsi"/>
          <w:sz w:val="20"/>
          <w:szCs w:val="20"/>
          <w:lang w:val="es-ES_tradnl"/>
        </w:rPr>
        <w:t xml:space="preserve"> más de diecisiete años transcurridos desde la muerte de la presunta víctima </w:t>
      </w:r>
      <w:r w:rsidRPr="001E3B31">
        <w:rPr>
          <w:rFonts w:asciiTheme="majorHAnsi" w:hAnsiTheme="majorHAnsi"/>
          <w:sz w:val="20"/>
          <w:szCs w:val="20"/>
          <w:lang w:val="es-ES_tradnl"/>
        </w:rPr>
        <w:t xml:space="preserve">sin que haya concluido el proceso penal relacionado con </w:t>
      </w:r>
      <w:r w:rsidR="00B35731" w:rsidRPr="001E3B31">
        <w:rPr>
          <w:rFonts w:asciiTheme="majorHAnsi" w:hAnsiTheme="majorHAnsi"/>
          <w:sz w:val="20"/>
          <w:szCs w:val="20"/>
          <w:lang w:val="es-ES_tradnl"/>
        </w:rPr>
        <w:t xml:space="preserve">esa </w:t>
      </w:r>
      <w:r w:rsidRPr="001E3B31">
        <w:rPr>
          <w:rFonts w:asciiTheme="majorHAnsi" w:hAnsiTheme="majorHAnsi"/>
          <w:sz w:val="20"/>
          <w:szCs w:val="20"/>
          <w:lang w:val="es-ES_tradnl"/>
        </w:rPr>
        <w:t>muerte</w:t>
      </w:r>
      <w:r w:rsidR="00B35731" w:rsidRPr="001E3B31">
        <w:rPr>
          <w:rFonts w:asciiTheme="majorHAnsi" w:hAnsiTheme="majorHAnsi"/>
          <w:sz w:val="20"/>
          <w:szCs w:val="20"/>
          <w:lang w:val="es-ES_tradnl"/>
        </w:rPr>
        <w:t xml:space="preserve">; lo que impide descartar </w:t>
      </w:r>
      <w:r w:rsidR="00B35731" w:rsidRPr="001E3B31">
        <w:rPr>
          <w:rFonts w:asciiTheme="majorHAnsi" w:hAnsiTheme="majorHAnsi"/>
          <w:i/>
          <w:iCs/>
          <w:sz w:val="20"/>
          <w:szCs w:val="20"/>
          <w:lang w:val="es-ES_tradnl"/>
        </w:rPr>
        <w:t>prima facie</w:t>
      </w:r>
      <w:r w:rsidR="00B35731" w:rsidRPr="001E3B31">
        <w:rPr>
          <w:rFonts w:asciiTheme="majorHAnsi" w:hAnsiTheme="majorHAnsi"/>
          <w:sz w:val="20"/>
          <w:szCs w:val="20"/>
          <w:lang w:val="es-ES_tradnl"/>
        </w:rPr>
        <w:t xml:space="preserve"> en esta etapa los alegatos de la parte peticionaria respecto a que </w:t>
      </w:r>
      <w:r w:rsidR="00C52701" w:rsidRPr="001E3B31">
        <w:rPr>
          <w:rFonts w:asciiTheme="majorHAnsi" w:hAnsiTheme="majorHAnsi"/>
          <w:sz w:val="20"/>
          <w:szCs w:val="20"/>
          <w:lang w:val="es-ES_tradnl"/>
        </w:rPr>
        <w:t>los familiares</w:t>
      </w:r>
      <w:r w:rsidR="00B35731" w:rsidRPr="001E3B31">
        <w:rPr>
          <w:rFonts w:asciiTheme="majorHAnsi" w:hAnsiTheme="majorHAnsi"/>
          <w:sz w:val="20"/>
          <w:szCs w:val="20"/>
          <w:lang w:val="es-ES_tradnl"/>
        </w:rPr>
        <w:t xml:space="preserve"> de la presunta víctima no han tenido a acceso a una justicia efectiva para procurar su derecho a la verdad y justicia. </w:t>
      </w:r>
      <w:r w:rsidR="00E67FEB" w:rsidRPr="001E3B31">
        <w:rPr>
          <w:rFonts w:asciiTheme="majorHAnsi" w:hAnsiTheme="majorHAnsi"/>
          <w:sz w:val="20"/>
          <w:szCs w:val="20"/>
          <w:lang w:val="es-ES_tradnl"/>
        </w:rPr>
        <w:t>Esto, sin perjuicio de que la información aportada por el Estado respecto a la diligencia de sus autoridades deba ser valorada en la etapa de fondo.</w:t>
      </w:r>
    </w:p>
    <w:p w14:paraId="17F5612A" w14:textId="77777777" w:rsidR="00B35731" w:rsidRPr="001E3B31" w:rsidRDefault="00B35731" w:rsidP="00B3573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230A7D43" w14:textId="03961D64" w:rsidR="003B560F" w:rsidRPr="001E3B31" w:rsidRDefault="003B560F" w:rsidP="003B560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1E3B31">
        <w:rPr>
          <w:rFonts w:asciiTheme="majorHAnsi" w:hAnsiTheme="majorHAnsi"/>
          <w:sz w:val="20"/>
          <w:szCs w:val="20"/>
          <w:lang w:val="es-ES_tradnl"/>
        </w:rPr>
        <w:lastRenderedPageBreak/>
        <w:t xml:space="preserve">En atención a estas consideraciones y tras examinar los elementos de hecho y de derecho expuestos por las partes, la CIDH estima que las alegaciones de la parte peticionaria no resultan manifiestamente infundadas y que estas requieren un estudio de fondo pues los hechos alegados, de corroborarse como ciertos, podrían caracterizar violaciones a los artículos </w:t>
      </w:r>
      <w:r w:rsidRPr="001E3B31">
        <w:rPr>
          <w:rFonts w:asciiTheme="majorHAnsi" w:hAnsiTheme="majorHAnsi"/>
          <w:bCs/>
          <w:sz w:val="20"/>
          <w:szCs w:val="20"/>
          <w:lang w:val="es-ES_tradnl"/>
        </w:rPr>
        <w:t xml:space="preserve">4 (vida), 5 (integridad personal), 8 (garantías judiciales), y 25 (protección judicial) de la Convención Americana en relación con su artículo 1.1. (obligación de respetar los derechos). </w:t>
      </w:r>
    </w:p>
    <w:p w14:paraId="594E936D" w14:textId="77777777" w:rsidR="00AD2949" w:rsidRPr="001E3B31" w:rsidRDefault="00AD2949" w:rsidP="00AD2949">
      <w:pPr>
        <w:pStyle w:val="ListParagraph"/>
        <w:rPr>
          <w:rFonts w:asciiTheme="majorHAnsi" w:hAnsiTheme="majorHAnsi"/>
          <w:b/>
          <w:bCs/>
          <w:color w:val="auto"/>
          <w:sz w:val="20"/>
          <w:szCs w:val="20"/>
          <w:lang w:val="es-ES_tradnl"/>
        </w:rPr>
      </w:pPr>
    </w:p>
    <w:p w14:paraId="7A1987F5" w14:textId="5D64E297" w:rsidR="00524E1B" w:rsidRPr="001E3B31" w:rsidRDefault="00AD2949" w:rsidP="005F7EE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1E3B31">
        <w:rPr>
          <w:rFonts w:asciiTheme="majorHAnsi" w:hAnsiTheme="majorHAnsi"/>
          <w:sz w:val="20"/>
          <w:szCs w:val="20"/>
          <w:lang w:val="es-ES_tradnl"/>
        </w:rPr>
        <w:t>Respecto a las alegadas violaciones al artículo 3 (personalidad jurídica) de la Convención Americana, la Comisión estima que la parte peticionaria no ha aportado ni surgen del expediente elementos o sustento suficiente para considerar</w:t>
      </w:r>
      <w:r w:rsidRPr="001E3B31">
        <w:rPr>
          <w:rFonts w:asciiTheme="majorHAnsi" w:hAnsiTheme="majorHAnsi"/>
          <w:i/>
          <w:iCs/>
          <w:sz w:val="20"/>
          <w:szCs w:val="20"/>
          <w:lang w:val="es-ES_tradnl"/>
        </w:rPr>
        <w:t xml:space="preserve"> prima facie</w:t>
      </w:r>
      <w:r w:rsidRPr="001E3B31">
        <w:rPr>
          <w:rFonts w:asciiTheme="majorHAnsi" w:hAnsiTheme="majorHAnsi"/>
          <w:sz w:val="20"/>
          <w:szCs w:val="20"/>
          <w:lang w:val="es-ES_tradnl"/>
        </w:rPr>
        <w:t xml:space="preserve"> su posible violación.</w:t>
      </w:r>
    </w:p>
    <w:p w14:paraId="02559E4A" w14:textId="77777777" w:rsidR="005F7EE5" w:rsidRPr="001E3B31" w:rsidRDefault="005F7EE5" w:rsidP="005F7EE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9BB41F5" w14:textId="2848560A" w:rsidR="003239B8" w:rsidRPr="001E3B31" w:rsidRDefault="003239B8" w:rsidP="00A609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1E3B31">
        <w:rPr>
          <w:rFonts w:asciiTheme="majorHAnsi" w:hAnsiTheme="majorHAnsi"/>
          <w:b/>
          <w:bCs/>
          <w:sz w:val="20"/>
          <w:szCs w:val="20"/>
          <w:lang w:val="es-ES_tradnl"/>
        </w:rPr>
        <w:t xml:space="preserve">VIII. </w:t>
      </w:r>
      <w:r w:rsidRPr="001E3B31">
        <w:rPr>
          <w:rFonts w:asciiTheme="majorHAnsi" w:hAnsiTheme="majorHAnsi"/>
          <w:b/>
          <w:bCs/>
          <w:sz w:val="20"/>
          <w:szCs w:val="20"/>
          <w:lang w:val="es-ES_tradnl"/>
        </w:rPr>
        <w:tab/>
        <w:t>DECISIÓN</w:t>
      </w:r>
    </w:p>
    <w:p w14:paraId="6B7021A0" w14:textId="00DB569A" w:rsidR="00AA11BD" w:rsidRPr="001E3B31" w:rsidRDefault="003239B8"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E3B31">
        <w:rPr>
          <w:rFonts w:asciiTheme="majorHAnsi" w:hAnsiTheme="majorHAnsi"/>
          <w:sz w:val="20"/>
          <w:szCs w:val="20"/>
          <w:lang w:val="es-ES_tradnl"/>
        </w:rPr>
        <w:t xml:space="preserve">Declarar </w:t>
      </w:r>
      <w:r w:rsidR="00E82C25" w:rsidRPr="001E3B31">
        <w:rPr>
          <w:rFonts w:asciiTheme="majorHAnsi" w:hAnsiTheme="majorHAnsi"/>
          <w:sz w:val="20"/>
          <w:szCs w:val="20"/>
          <w:lang w:val="es-ES_tradnl"/>
        </w:rPr>
        <w:t xml:space="preserve">admisible la presente petición en relación con los artículos </w:t>
      </w:r>
      <w:r w:rsidR="003B560F" w:rsidRPr="001E3B31">
        <w:rPr>
          <w:rFonts w:asciiTheme="majorHAnsi" w:hAnsiTheme="majorHAnsi"/>
          <w:sz w:val="20"/>
          <w:szCs w:val="20"/>
          <w:lang w:val="es-ES_tradnl"/>
        </w:rPr>
        <w:t xml:space="preserve">4, </w:t>
      </w:r>
      <w:r w:rsidR="00E82C25" w:rsidRPr="001E3B31">
        <w:rPr>
          <w:rFonts w:asciiTheme="majorHAnsi" w:hAnsiTheme="majorHAnsi"/>
          <w:sz w:val="20"/>
          <w:szCs w:val="20"/>
          <w:lang w:val="es-ES_tradnl"/>
        </w:rPr>
        <w:t>5, 8 y 25 de la Convención Americana en relación con su artículo 1.1</w:t>
      </w:r>
      <w:r w:rsidR="00996432">
        <w:rPr>
          <w:rFonts w:asciiTheme="majorHAnsi" w:hAnsiTheme="majorHAnsi"/>
          <w:sz w:val="20"/>
          <w:szCs w:val="20"/>
          <w:lang w:val="es-ES_tradnl"/>
        </w:rPr>
        <w:t>;</w:t>
      </w:r>
    </w:p>
    <w:p w14:paraId="4B0A278F" w14:textId="189DF251" w:rsidR="00AD2949" w:rsidRPr="001E3B31" w:rsidRDefault="00AD2949"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E3B31">
        <w:rPr>
          <w:rFonts w:asciiTheme="majorHAnsi" w:hAnsiTheme="majorHAnsi"/>
          <w:sz w:val="20"/>
          <w:szCs w:val="20"/>
          <w:lang w:val="es-ES_tradnl"/>
        </w:rPr>
        <w:t>Declarar inadmisible la presente petición en relación con el artículo 3 de la Convención Americana</w:t>
      </w:r>
      <w:r w:rsidR="00996432">
        <w:rPr>
          <w:rFonts w:asciiTheme="majorHAnsi" w:hAnsiTheme="majorHAnsi"/>
          <w:sz w:val="20"/>
          <w:szCs w:val="20"/>
          <w:lang w:val="es-ES_tradnl"/>
        </w:rPr>
        <w:t>, y;</w:t>
      </w:r>
    </w:p>
    <w:p w14:paraId="1C99F912" w14:textId="2073032E" w:rsidR="003A3939" w:rsidRDefault="003A3939"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E3B31">
        <w:rPr>
          <w:rFonts w:asciiTheme="majorHAnsi" w:hAnsiTheme="majorHAnsi"/>
          <w:sz w:val="20"/>
          <w:szCs w:val="20"/>
          <w:lang w:val="es-ES_tradnl"/>
        </w:rPr>
        <w:t>Notificar a las partes la presente decisión</w:t>
      </w:r>
      <w:r w:rsidR="00FE0802" w:rsidRPr="001E3B31">
        <w:rPr>
          <w:rFonts w:asciiTheme="majorHAnsi" w:hAnsiTheme="majorHAnsi"/>
          <w:sz w:val="20"/>
          <w:szCs w:val="20"/>
          <w:lang w:val="es-ES_tradnl"/>
        </w:rPr>
        <w:t>:</w:t>
      </w:r>
      <w:r w:rsidR="00E82C25" w:rsidRPr="001E3B31">
        <w:rPr>
          <w:rFonts w:asciiTheme="majorHAnsi" w:hAnsiTheme="majorHAnsi"/>
          <w:sz w:val="20"/>
          <w:szCs w:val="20"/>
          <w:lang w:val="es-ES_tradnl"/>
        </w:rPr>
        <w:t xml:space="preserve"> proceder al análisis del fondo del asunto;</w:t>
      </w:r>
      <w:r w:rsidR="00AA11BD" w:rsidRPr="001E3B31">
        <w:rPr>
          <w:rFonts w:asciiTheme="majorHAnsi" w:hAnsiTheme="majorHAnsi"/>
          <w:sz w:val="20"/>
          <w:szCs w:val="20"/>
          <w:lang w:val="es-ES_tradnl"/>
        </w:rPr>
        <w:t xml:space="preserve"> </w:t>
      </w:r>
      <w:r w:rsidRPr="001E3B31">
        <w:rPr>
          <w:rFonts w:asciiTheme="majorHAnsi" w:hAnsiTheme="majorHAnsi"/>
          <w:sz w:val="20"/>
          <w:szCs w:val="20"/>
          <w:lang w:val="es-ES_tradnl"/>
        </w:rPr>
        <w:t>y publicar esta decisión e incluirla en su Informe Anual a la Asamblea General de la Organización de los Estados Americanos.</w:t>
      </w:r>
    </w:p>
    <w:p w14:paraId="21DCA1A0" w14:textId="217283E9" w:rsidR="00996432" w:rsidRPr="00A648CF" w:rsidRDefault="00996432" w:rsidP="00A648C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13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A648CF">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p>
    <w:p w14:paraId="35650480" w14:textId="77777777" w:rsidR="00E52C5B" w:rsidRPr="001E3B31" w:rsidRDefault="00E52C5B" w:rsidP="00E52C5B">
      <w:pPr>
        <w:ind w:left="720"/>
        <w:rPr>
          <w:rFonts w:asciiTheme="majorHAnsi" w:hAnsiTheme="majorHAnsi" w:cs="Calibri"/>
          <w:b/>
          <w:bCs/>
          <w:sz w:val="20"/>
          <w:szCs w:val="20"/>
          <w:lang w:val="es-ES_tradnl"/>
        </w:rPr>
      </w:pPr>
    </w:p>
    <w:sectPr w:rsidR="00E52C5B" w:rsidRPr="001E3B31"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BB32" w14:textId="77777777" w:rsidR="00A7499F" w:rsidRDefault="00A7499F">
      <w:r>
        <w:separator/>
      </w:r>
    </w:p>
  </w:endnote>
  <w:endnote w:type="continuationSeparator" w:id="0">
    <w:p w14:paraId="565E012B" w14:textId="77777777" w:rsidR="00A7499F" w:rsidRDefault="00A7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11EBB" w:rsidRDefault="0051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511EBB" w:rsidRPr="00934A2C" w:rsidRDefault="00511EBB">
    <w:pPr>
      <w:pStyle w:val="Footer"/>
      <w:jc w:val="center"/>
      <w:rPr>
        <w:sz w:val="16"/>
        <w:szCs w:val="22"/>
      </w:rPr>
    </w:pPr>
  </w:p>
  <w:p w14:paraId="4EA5439C" w14:textId="77777777" w:rsidR="00511EBB" w:rsidRDefault="0051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B6B5BFE"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0FD8">
          <w:rPr>
            <w:noProof/>
            <w:sz w:val="16"/>
            <w:szCs w:val="22"/>
          </w:rPr>
          <w:t>5</w:t>
        </w:r>
        <w:r w:rsidRPr="00934A2C">
          <w:rPr>
            <w:noProof/>
            <w:sz w:val="16"/>
            <w:szCs w:val="22"/>
          </w:rPr>
          <w:fldChar w:fldCharType="end"/>
        </w:r>
      </w:p>
    </w:sdtContent>
  </w:sdt>
  <w:p w14:paraId="68530E6A" w14:textId="77777777" w:rsidR="00511EBB" w:rsidRDefault="00511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511EBB" w:rsidRPr="00934A2C" w:rsidRDefault="00511EBB">
    <w:pPr>
      <w:pStyle w:val="Footer"/>
      <w:jc w:val="center"/>
      <w:rPr>
        <w:sz w:val="16"/>
        <w:szCs w:val="22"/>
      </w:rPr>
    </w:pPr>
  </w:p>
  <w:p w14:paraId="49059CE3" w14:textId="77777777" w:rsidR="00511EBB" w:rsidRDefault="0051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D312C" w14:textId="77777777" w:rsidR="00A7499F" w:rsidRPr="000F35ED" w:rsidRDefault="00A7499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31AE185" w14:textId="77777777" w:rsidR="00A7499F" w:rsidRPr="000F35ED" w:rsidRDefault="00A7499F" w:rsidP="000F35ED">
      <w:pPr>
        <w:rPr>
          <w:rFonts w:asciiTheme="majorHAnsi" w:hAnsiTheme="majorHAnsi"/>
          <w:sz w:val="16"/>
          <w:szCs w:val="16"/>
        </w:rPr>
      </w:pPr>
      <w:r w:rsidRPr="000F35ED">
        <w:rPr>
          <w:rFonts w:asciiTheme="majorHAnsi" w:hAnsiTheme="majorHAnsi"/>
          <w:sz w:val="16"/>
          <w:szCs w:val="16"/>
        </w:rPr>
        <w:separator/>
      </w:r>
    </w:p>
    <w:p w14:paraId="794A800F" w14:textId="77777777" w:rsidR="00A7499F" w:rsidRPr="000F35ED" w:rsidRDefault="00A7499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BC980DD" w14:textId="77777777" w:rsidR="00A7499F" w:rsidRPr="000F35ED" w:rsidRDefault="00A7499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E3E319D" w14:textId="442146EC" w:rsidR="00456D10" w:rsidRPr="00A431E2" w:rsidRDefault="00456D10" w:rsidP="00456D10">
      <w:pPr>
        <w:pStyle w:val="FootnoteText"/>
        <w:ind w:firstLine="720"/>
        <w:jc w:val="both"/>
        <w:rPr>
          <w:rFonts w:asciiTheme="majorHAnsi" w:hAnsiTheme="majorHAnsi"/>
          <w:color w:val="auto"/>
          <w:sz w:val="16"/>
          <w:szCs w:val="16"/>
          <w:lang w:val="es-PA"/>
        </w:rPr>
      </w:pPr>
      <w:r w:rsidRPr="00A431E2">
        <w:rPr>
          <w:rStyle w:val="FootnoteReference"/>
          <w:rFonts w:asciiTheme="majorHAnsi" w:hAnsiTheme="majorHAnsi"/>
          <w:color w:val="auto"/>
          <w:sz w:val="16"/>
          <w:szCs w:val="16"/>
        </w:rPr>
        <w:footnoteRef/>
      </w:r>
      <w:r w:rsidRPr="00A431E2">
        <w:rPr>
          <w:rFonts w:asciiTheme="majorHAnsi" w:hAnsiTheme="majorHAnsi"/>
          <w:color w:val="auto"/>
          <w:sz w:val="16"/>
          <w:szCs w:val="16"/>
          <w:lang w:val="es-PA"/>
        </w:rPr>
        <w:t xml:space="preserve"> </w:t>
      </w:r>
      <w:r w:rsidRPr="00A431E2">
        <w:rPr>
          <w:rFonts w:asciiTheme="majorHAnsi" w:hAnsiTheme="majorHAnsi"/>
          <w:color w:val="auto"/>
          <w:sz w:val="16"/>
          <w:szCs w:val="16"/>
          <w:lang w:val="es-ES"/>
        </w:rPr>
        <w:t xml:space="preserve">Conforme a lo dispuesto en el artículo 17.2.a del Reglamento de la Comisión, </w:t>
      </w:r>
      <w:r w:rsidR="0008406E" w:rsidRPr="00A431E2">
        <w:rPr>
          <w:rFonts w:asciiTheme="majorHAnsi" w:hAnsiTheme="majorHAnsi"/>
          <w:color w:val="auto"/>
          <w:sz w:val="16"/>
          <w:szCs w:val="16"/>
          <w:lang w:val="es-ES"/>
        </w:rPr>
        <w:t>el Comisionado Carlos Bernal Pulido</w:t>
      </w:r>
      <w:r w:rsidRPr="00A431E2">
        <w:rPr>
          <w:rFonts w:asciiTheme="majorHAnsi" w:hAnsiTheme="majorHAnsi"/>
          <w:color w:val="auto"/>
          <w:sz w:val="16"/>
          <w:szCs w:val="16"/>
          <w:lang w:val="es-ES"/>
        </w:rPr>
        <w:t>, de nacionalidad c</w:t>
      </w:r>
      <w:r w:rsidR="0008406E" w:rsidRPr="00A431E2">
        <w:rPr>
          <w:rFonts w:asciiTheme="majorHAnsi" w:hAnsiTheme="majorHAnsi"/>
          <w:color w:val="auto"/>
          <w:sz w:val="16"/>
          <w:szCs w:val="16"/>
          <w:lang w:val="es-ES"/>
        </w:rPr>
        <w:t>olombiana</w:t>
      </w:r>
      <w:r w:rsidRPr="00A431E2">
        <w:rPr>
          <w:rFonts w:asciiTheme="majorHAnsi" w:hAnsiTheme="majorHAnsi"/>
          <w:color w:val="auto"/>
          <w:sz w:val="16"/>
          <w:szCs w:val="16"/>
          <w:lang w:val="es-ES"/>
        </w:rPr>
        <w:t>, no participó en el debate ni en la decisión del presente asunto.</w:t>
      </w:r>
    </w:p>
  </w:footnote>
  <w:footnote w:id="3">
    <w:p w14:paraId="2CF14ED2" w14:textId="1D50D5B4" w:rsidR="00511EBB" w:rsidRPr="00A431E2" w:rsidRDefault="00511EBB" w:rsidP="0067536A">
      <w:pPr>
        <w:pStyle w:val="FootnoteText"/>
        <w:ind w:firstLine="720"/>
        <w:jc w:val="both"/>
        <w:rPr>
          <w:rFonts w:asciiTheme="majorHAnsi" w:hAnsiTheme="majorHAnsi"/>
          <w:color w:val="auto"/>
          <w:sz w:val="16"/>
          <w:szCs w:val="16"/>
          <w:lang w:val="es-US"/>
        </w:rPr>
      </w:pPr>
      <w:r w:rsidRPr="00A431E2">
        <w:rPr>
          <w:rStyle w:val="FootnoteReference"/>
          <w:rFonts w:asciiTheme="majorHAnsi" w:hAnsiTheme="majorHAnsi"/>
          <w:color w:val="auto"/>
          <w:sz w:val="16"/>
          <w:szCs w:val="16"/>
        </w:rPr>
        <w:footnoteRef/>
      </w:r>
      <w:r w:rsidRPr="00A431E2">
        <w:rPr>
          <w:rFonts w:asciiTheme="majorHAnsi" w:hAnsiTheme="majorHAnsi"/>
          <w:color w:val="auto"/>
          <w:sz w:val="16"/>
          <w:szCs w:val="16"/>
          <w:lang w:val="es-PA"/>
        </w:rPr>
        <w:t xml:space="preserve"> En adelante “la Convención Americana”</w:t>
      </w:r>
      <w:r w:rsidR="00F272D0" w:rsidRPr="00A431E2">
        <w:rPr>
          <w:rFonts w:asciiTheme="majorHAnsi" w:hAnsiTheme="majorHAnsi"/>
          <w:color w:val="auto"/>
          <w:sz w:val="16"/>
          <w:szCs w:val="16"/>
          <w:lang w:val="es-PA"/>
        </w:rPr>
        <w:t xml:space="preserve"> o “la Convención”</w:t>
      </w:r>
      <w:r w:rsidRPr="00A431E2">
        <w:rPr>
          <w:rFonts w:asciiTheme="majorHAnsi" w:hAnsiTheme="majorHAnsi"/>
          <w:color w:val="auto"/>
          <w:sz w:val="16"/>
          <w:szCs w:val="16"/>
          <w:lang w:val="es-PA"/>
        </w:rPr>
        <w:t>.</w:t>
      </w:r>
    </w:p>
  </w:footnote>
  <w:footnote w:id="4">
    <w:p w14:paraId="08CD6656" w14:textId="77777777" w:rsidR="00511EBB" w:rsidRPr="00A431E2" w:rsidRDefault="00511EBB" w:rsidP="0067536A">
      <w:pPr>
        <w:pStyle w:val="FootnoteText"/>
        <w:ind w:firstLine="720"/>
        <w:jc w:val="both"/>
        <w:rPr>
          <w:rFonts w:asciiTheme="majorHAnsi" w:hAnsiTheme="majorHAnsi"/>
          <w:color w:val="auto"/>
          <w:sz w:val="16"/>
          <w:szCs w:val="16"/>
          <w:lang w:val="es-ES"/>
        </w:rPr>
      </w:pPr>
      <w:r w:rsidRPr="00A431E2">
        <w:rPr>
          <w:rStyle w:val="FootnoteReference"/>
          <w:rFonts w:asciiTheme="majorHAnsi" w:hAnsiTheme="majorHAnsi"/>
          <w:color w:val="auto"/>
          <w:sz w:val="16"/>
          <w:szCs w:val="16"/>
        </w:rPr>
        <w:footnoteRef/>
      </w:r>
      <w:r w:rsidRPr="00A431E2">
        <w:rPr>
          <w:rFonts w:asciiTheme="majorHAnsi" w:hAnsiTheme="majorHAnsi"/>
          <w:color w:val="auto"/>
          <w:sz w:val="16"/>
          <w:szCs w:val="16"/>
          <w:lang w:val="es-ES"/>
        </w:rPr>
        <w:t xml:space="preserve"> Las observaciones de cada parte fueron debidamente trasladadas a la parte contraria.</w:t>
      </w:r>
    </w:p>
  </w:footnote>
  <w:footnote w:id="5">
    <w:p w14:paraId="20F70C58" w14:textId="77777777" w:rsidR="004F0227" w:rsidRPr="00A431E2" w:rsidRDefault="004F0227" w:rsidP="004F0227">
      <w:pPr>
        <w:ind w:firstLine="720"/>
        <w:contextualSpacing/>
        <w:jc w:val="both"/>
        <w:rPr>
          <w:rFonts w:ascii="Cambria" w:hAnsi="Cambria" w:cs="Calibri"/>
          <w:sz w:val="16"/>
          <w:szCs w:val="16"/>
          <w:lang w:val="es-ES_tradnl"/>
        </w:rPr>
      </w:pPr>
      <w:r w:rsidRPr="00A431E2">
        <w:rPr>
          <w:rStyle w:val="FootnoteReference"/>
          <w:rFonts w:ascii="Cambria" w:hAnsi="Cambria" w:cs="Calibri"/>
          <w:sz w:val="16"/>
          <w:szCs w:val="16"/>
        </w:rPr>
        <w:footnoteRef/>
      </w:r>
      <w:r w:rsidRPr="00A431E2">
        <w:rPr>
          <w:rFonts w:ascii="Cambria" w:hAnsi="Cambria" w:cs="Calibri"/>
          <w:sz w:val="16"/>
          <w:szCs w:val="16"/>
          <w:lang w:val="es-ES"/>
        </w:rPr>
        <w:t xml:space="preserve">  </w:t>
      </w:r>
      <w:r w:rsidRPr="00A431E2">
        <w:rPr>
          <w:rFonts w:ascii="Cambria" w:hAnsi="Cambria" w:cs="Calibri"/>
          <w:sz w:val="16"/>
          <w:szCs w:val="16"/>
          <w:lang w:val="es-ES_tradnl"/>
        </w:rPr>
        <w:t>CIDH, Informe No. 56/08, Petición 11.602. Admisibilidad. Trabajadores despedidos de Petróleos Del Perú (Petroperú) Zona Noroeste – Talara. Perú. 24 de julio de 2008, párr. 58.</w:t>
      </w:r>
    </w:p>
  </w:footnote>
  <w:footnote w:id="6">
    <w:p w14:paraId="5184D6A2" w14:textId="77777777" w:rsidR="00AC0870" w:rsidRPr="00A431E2" w:rsidRDefault="00AC0870" w:rsidP="00AC0870">
      <w:pPr>
        <w:pStyle w:val="FootnoteText"/>
        <w:jc w:val="both"/>
        <w:rPr>
          <w:rFonts w:ascii="Cambria" w:hAnsi="Cambria"/>
          <w:color w:val="auto"/>
          <w:sz w:val="16"/>
          <w:szCs w:val="16"/>
          <w:lang w:val="es-ES_tradnl"/>
        </w:rPr>
      </w:pPr>
      <w:r w:rsidRPr="00A431E2">
        <w:rPr>
          <w:rFonts w:ascii="Cambria" w:hAnsi="Cambria"/>
          <w:color w:val="auto"/>
          <w:sz w:val="16"/>
          <w:szCs w:val="16"/>
          <w:lang w:val="es-ES"/>
        </w:rPr>
        <w:tab/>
      </w:r>
      <w:r w:rsidRPr="00A431E2">
        <w:rPr>
          <w:rStyle w:val="FootnoteReference"/>
          <w:rFonts w:ascii="Cambria" w:hAnsi="Cambria"/>
          <w:color w:val="auto"/>
          <w:sz w:val="16"/>
          <w:szCs w:val="16"/>
        </w:rPr>
        <w:footnoteRef/>
      </w:r>
      <w:r w:rsidRPr="00A431E2">
        <w:rPr>
          <w:rFonts w:ascii="Cambria" w:hAnsi="Cambria"/>
          <w:color w:val="auto"/>
          <w:sz w:val="16"/>
          <w:szCs w:val="16"/>
          <w:lang w:val="es-ES"/>
        </w:rPr>
        <w:t xml:space="preserve"> CIDH, Informe No. 78/16, Petición 1170-09. Admisibilidad. </w:t>
      </w:r>
      <w:r w:rsidRPr="00A431E2">
        <w:rPr>
          <w:rFonts w:ascii="Cambria" w:hAnsi="Cambria"/>
          <w:color w:val="auto"/>
          <w:sz w:val="16"/>
          <w:szCs w:val="16"/>
          <w:lang w:val="pt-BR"/>
        </w:rPr>
        <w:t xml:space="preserve">Almir Muniz Da Silva. Brasil. </w:t>
      </w:r>
      <w:r w:rsidRPr="00A431E2">
        <w:rPr>
          <w:rFonts w:ascii="Cambria" w:hAnsi="Cambria"/>
          <w:color w:val="auto"/>
          <w:sz w:val="16"/>
          <w:szCs w:val="16"/>
          <w:lang w:val="es-ES"/>
        </w:rPr>
        <w:t>30 de diciembre de 2016, párr. 31.</w:t>
      </w:r>
    </w:p>
  </w:footnote>
  <w:footnote w:id="7">
    <w:p w14:paraId="760CEE5F" w14:textId="77777777" w:rsidR="00EA02F6" w:rsidRPr="00A431E2" w:rsidRDefault="00EA02F6" w:rsidP="00EA02F6">
      <w:pPr>
        <w:pStyle w:val="FootnoteText"/>
        <w:jc w:val="both"/>
        <w:rPr>
          <w:rFonts w:ascii="Cambria" w:hAnsi="Cambria"/>
          <w:color w:val="auto"/>
          <w:sz w:val="16"/>
          <w:szCs w:val="16"/>
          <w:lang w:val="es-ES_tradnl"/>
        </w:rPr>
      </w:pPr>
      <w:r w:rsidRPr="00A431E2">
        <w:rPr>
          <w:rFonts w:ascii="Cambria" w:hAnsi="Cambria"/>
          <w:color w:val="auto"/>
          <w:sz w:val="16"/>
          <w:szCs w:val="16"/>
          <w:lang w:val="es-ES"/>
        </w:rPr>
        <w:tab/>
      </w:r>
      <w:r w:rsidRPr="00A431E2">
        <w:rPr>
          <w:rStyle w:val="FootnoteReference"/>
          <w:rFonts w:ascii="Cambria" w:hAnsi="Cambria"/>
          <w:color w:val="auto"/>
          <w:sz w:val="16"/>
          <w:szCs w:val="16"/>
        </w:rPr>
        <w:footnoteRef/>
      </w:r>
      <w:r w:rsidRPr="00A431E2">
        <w:rPr>
          <w:rFonts w:ascii="Cambria" w:hAnsi="Cambria"/>
          <w:color w:val="auto"/>
          <w:sz w:val="16"/>
          <w:szCs w:val="16"/>
          <w:lang w:val="es-ES"/>
        </w:rPr>
        <w:t xml:space="preserve"> CIDH, Informe No. 71/17, Petición 271-07. Admisibilidad. Jorge Luis de la Rosa Mejía y otros. Colombia. 29 de junio de 2017, párr</w:t>
      </w:r>
      <w:r w:rsidRPr="00A431E2">
        <w:rPr>
          <w:rFonts w:ascii="Cambria" w:hAnsi="Cambria"/>
          <w:color w:val="auto"/>
          <w:sz w:val="16"/>
          <w:szCs w:val="16"/>
          <w:lang w:val="es-ES_tradnl"/>
        </w:rPr>
        <w:t>. 51.</w:t>
      </w:r>
    </w:p>
  </w:footnote>
  <w:footnote w:id="8">
    <w:p w14:paraId="00B88BFB" w14:textId="77777777" w:rsidR="0080441A" w:rsidRPr="00A431E2" w:rsidRDefault="0080441A" w:rsidP="0080441A">
      <w:pPr>
        <w:pStyle w:val="FootnoteText"/>
        <w:jc w:val="both"/>
        <w:rPr>
          <w:rFonts w:ascii="Cambria" w:hAnsi="Cambria"/>
          <w:color w:val="auto"/>
          <w:sz w:val="16"/>
          <w:szCs w:val="16"/>
          <w:lang w:val="es-ES"/>
        </w:rPr>
      </w:pPr>
      <w:r w:rsidRPr="00A431E2">
        <w:rPr>
          <w:rFonts w:ascii="Cambria" w:hAnsi="Cambria"/>
          <w:color w:val="auto"/>
          <w:sz w:val="16"/>
          <w:szCs w:val="16"/>
          <w:lang w:val="es-ES"/>
        </w:rPr>
        <w:tab/>
      </w:r>
      <w:r w:rsidRPr="00A431E2">
        <w:rPr>
          <w:rStyle w:val="FootnoteReference"/>
          <w:rFonts w:ascii="Cambria" w:hAnsi="Cambria"/>
          <w:color w:val="auto"/>
          <w:sz w:val="16"/>
          <w:szCs w:val="16"/>
        </w:rPr>
        <w:footnoteRef/>
      </w:r>
      <w:r w:rsidRPr="00A431E2">
        <w:rPr>
          <w:rFonts w:ascii="Cambria" w:hAnsi="Cambria"/>
          <w:color w:val="auto"/>
          <w:sz w:val="16"/>
          <w:szCs w:val="16"/>
          <w:lang w:val="es-ES"/>
        </w:rPr>
        <w:t xml:space="preserve"> CIDH, Informe No. 159/17, Petición 712-08. Admisibilidad. Sebastián Larroza Velázquez y familia. Paraguay. 30 de noviembre de 2017, párr. 14.</w:t>
      </w:r>
    </w:p>
  </w:footnote>
  <w:footnote w:id="9">
    <w:p w14:paraId="748FD7CF" w14:textId="457E335B" w:rsidR="00C55A45" w:rsidRPr="00A431E2" w:rsidRDefault="00C55A45" w:rsidP="00C55A45">
      <w:pPr>
        <w:pStyle w:val="FootnoteText"/>
        <w:ind w:firstLine="720"/>
        <w:jc w:val="both"/>
        <w:rPr>
          <w:rFonts w:asciiTheme="majorHAnsi" w:hAnsiTheme="majorHAnsi"/>
          <w:color w:val="auto"/>
          <w:sz w:val="16"/>
          <w:szCs w:val="16"/>
          <w:lang w:val="es-PA"/>
        </w:rPr>
      </w:pPr>
      <w:r w:rsidRPr="00A431E2">
        <w:rPr>
          <w:rStyle w:val="FootnoteReference"/>
          <w:rFonts w:asciiTheme="majorHAnsi" w:hAnsiTheme="majorHAnsi"/>
          <w:color w:val="auto"/>
          <w:sz w:val="16"/>
          <w:szCs w:val="16"/>
        </w:rPr>
        <w:footnoteRef/>
      </w:r>
      <w:r w:rsidRPr="00A431E2">
        <w:rPr>
          <w:rFonts w:asciiTheme="majorHAnsi" w:hAnsiTheme="majorHAnsi"/>
          <w:color w:val="auto"/>
          <w:sz w:val="16"/>
          <w:szCs w:val="16"/>
          <w:lang w:val="es-PA"/>
        </w:rPr>
        <w:t xml:space="preserve"> Corte IDH. Caso Acosta y otros Vs. Nicaragua. Excepciones Preliminares, Fondo, Reparaciones y Costas. Sentencia de 25 de marzo de 2017. Serie C No. 334, párr 135.</w:t>
      </w:r>
    </w:p>
  </w:footnote>
  <w:footnote w:id="10">
    <w:p w14:paraId="13F9535E" w14:textId="77777777" w:rsidR="008931EF" w:rsidRPr="00A431E2" w:rsidRDefault="008931EF" w:rsidP="008931EF">
      <w:pPr>
        <w:pStyle w:val="FootnoteText"/>
        <w:jc w:val="both"/>
        <w:rPr>
          <w:rFonts w:ascii="Cambria" w:hAnsi="Cambria"/>
          <w:color w:val="auto"/>
          <w:sz w:val="16"/>
          <w:szCs w:val="16"/>
          <w:lang w:val="es-ES"/>
        </w:rPr>
      </w:pPr>
      <w:r w:rsidRPr="00A431E2">
        <w:rPr>
          <w:rFonts w:ascii="Cambria" w:hAnsi="Cambria"/>
          <w:color w:val="auto"/>
          <w:sz w:val="16"/>
          <w:szCs w:val="16"/>
          <w:lang w:val="es-ES"/>
        </w:rPr>
        <w:tab/>
      </w:r>
      <w:r w:rsidRPr="00A431E2">
        <w:rPr>
          <w:rStyle w:val="FootnoteReference"/>
          <w:rFonts w:ascii="Cambria" w:hAnsi="Cambria"/>
          <w:color w:val="auto"/>
          <w:sz w:val="16"/>
          <w:szCs w:val="16"/>
        </w:rPr>
        <w:footnoteRef/>
      </w:r>
      <w:r w:rsidRPr="00A431E2">
        <w:rPr>
          <w:rFonts w:ascii="Cambria" w:hAnsi="Cambria"/>
          <w:color w:val="auto"/>
          <w:sz w:val="16"/>
          <w:szCs w:val="16"/>
          <w:lang w:val="es-ES"/>
        </w:rPr>
        <w:t xml:space="preserve"> CIDH, Informe No. 154/17, Petición 239-07. Admisibilidad. Nicanor Alfonso Terreros Londoño y familia. Colombia. 30 de noviembre de 2017, párr. 10.</w:t>
      </w:r>
    </w:p>
  </w:footnote>
  <w:footnote w:id="11">
    <w:p w14:paraId="1FE0034F" w14:textId="77777777" w:rsidR="00B57483" w:rsidRPr="00A431E2" w:rsidRDefault="00B57483" w:rsidP="00E07036">
      <w:pPr>
        <w:pStyle w:val="FootnoteText"/>
        <w:ind w:firstLine="720"/>
        <w:jc w:val="both"/>
        <w:rPr>
          <w:rFonts w:asciiTheme="majorHAnsi" w:hAnsiTheme="majorHAnsi"/>
          <w:color w:val="auto"/>
          <w:sz w:val="16"/>
          <w:szCs w:val="16"/>
          <w:lang w:val="es-ES"/>
        </w:rPr>
      </w:pPr>
      <w:r w:rsidRPr="00A431E2">
        <w:rPr>
          <w:rStyle w:val="FootnoteReference"/>
          <w:rFonts w:asciiTheme="majorHAnsi" w:hAnsiTheme="majorHAnsi"/>
          <w:color w:val="auto"/>
          <w:sz w:val="16"/>
          <w:szCs w:val="16"/>
        </w:rPr>
        <w:footnoteRef/>
      </w:r>
      <w:r w:rsidRPr="00A431E2">
        <w:rPr>
          <w:rFonts w:asciiTheme="majorHAnsi" w:hAnsiTheme="majorHAnsi"/>
          <w:color w:val="auto"/>
          <w:sz w:val="16"/>
          <w:szCs w:val="16"/>
          <w:lang w:val="es-ES"/>
        </w:rPr>
        <w:t xml:space="preserve"> CIDH, Informe No. 143/18, Petición 940-08. Admisibilidad. Luis Américo Ayala Gonzales. Perú. 4 de diciembre de 2018, párr. 12.</w:t>
      </w:r>
    </w:p>
  </w:footnote>
  <w:footnote w:id="12">
    <w:p w14:paraId="2B67BC6C" w14:textId="76C264C5" w:rsidR="00524E1B" w:rsidRPr="00A431E2" w:rsidRDefault="00524E1B" w:rsidP="00524E1B">
      <w:pPr>
        <w:pStyle w:val="FootnoteText"/>
        <w:ind w:firstLine="720"/>
        <w:jc w:val="both"/>
        <w:rPr>
          <w:rFonts w:asciiTheme="majorHAnsi" w:hAnsiTheme="majorHAnsi"/>
          <w:color w:val="auto"/>
          <w:sz w:val="16"/>
          <w:szCs w:val="16"/>
          <w:lang w:val="es-PA"/>
        </w:rPr>
      </w:pPr>
      <w:r w:rsidRPr="00A431E2">
        <w:rPr>
          <w:rStyle w:val="FootnoteReference"/>
          <w:rFonts w:asciiTheme="majorHAnsi" w:hAnsiTheme="majorHAnsi"/>
          <w:color w:val="auto"/>
          <w:sz w:val="16"/>
          <w:szCs w:val="16"/>
        </w:rPr>
        <w:footnoteRef/>
      </w:r>
      <w:r w:rsidRPr="00A431E2">
        <w:rPr>
          <w:rFonts w:asciiTheme="majorHAnsi" w:hAnsiTheme="majorHAnsi"/>
          <w:color w:val="auto"/>
          <w:sz w:val="16"/>
          <w:szCs w:val="16"/>
          <w:lang w:val="es-PA"/>
        </w:rPr>
        <w:t xml:space="preserve"> Corte IDH, </w:t>
      </w:r>
      <w:r w:rsidRPr="00A431E2">
        <w:rPr>
          <w:rFonts w:asciiTheme="majorHAnsi" w:hAnsiTheme="majorHAnsi" w:cs="Open Sans"/>
          <w:color w:val="auto"/>
          <w:sz w:val="16"/>
          <w:szCs w:val="16"/>
          <w:shd w:val="clear" w:color="auto" w:fill="FFFFFF"/>
          <w:lang w:val="es-PA"/>
        </w:rPr>
        <w:t xml:space="preserve">Corte IDH. Caso Villamizar Durán y otros Vs. Colombia. Excepción Preliminar, Fondo, Reparaciones y Costas. </w:t>
      </w:r>
      <w:r w:rsidRPr="00A431E2">
        <w:rPr>
          <w:rFonts w:asciiTheme="majorHAnsi" w:hAnsiTheme="majorHAnsi" w:cs="Open Sans"/>
          <w:color w:val="auto"/>
          <w:sz w:val="16"/>
          <w:szCs w:val="16"/>
          <w:shd w:val="clear" w:color="auto" w:fill="FFFFFF"/>
          <w:lang w:val="es-US"/>
        </w:rPr>
        <w:t>Sentencia de 20 de noviembre de 2018. Serie C No. 364, párr 132.</w:t>
      </w:r>
    </w:p>
  </w:footnote>
  <w:footnote w:id="13">
    <w:p w14:paraId="05785473" w14:textId="3E7786DB" w:rsidR="00825630" w:rsidRPr="00A431E2" w:rsidRDefault="00825630" w:rsidP="00825630">
      <w:pPr>
        <w:pStyle w:val="FootnoteText"/>
        <w:ind w:firstLine="720"/>
        <w:jc w:val="both"/>
        <w:rPr>
          <w:rFonts w:asciiTheme="majorHAnsi" w:hAnsiTheme="majorHAnsi"/>
          <w:color w:val="auto"/>
          <w:sz w:val="16"/>
          <w:szCs w:val="16"/>
          <w:lang w:val="es-PA"/>
        </w:rPr>
      </w:pPr>
      <w:r w:rsidRPr="00A431E2">
        <w:rPr>
          <w:rStyle w:val="FootnoteReference"/>
          <w:rFonts w:asciiTheme="majorHAnsi" w:hAnsiTheme="majorHAnsi"/>
          <w:color w:val="auto"/>
          <w:sz w:val="16"/>
          <w:szCs w:val="16"/>
        </w:rPr>
        <w:footnoteRef/>
      </w:r>
      <w:r w:rsidRPr="00A431E2">
        <w:rPr>
          <w:rFonts w:asciiTheme="majorHAnsi" w:hAnsiTheme="majorHAnsi"/>
          <w:color w:val="auto"/>
          <w:sz w:val="16"/>
          <w:szCs w:val="16"/>
          <w:lang w:val="es-PA"/>
        </w:rPr>
        <w:t xml:space="preserve"> CIDH. Verdad Justicia y Reparación: Cuarto Informe sobre la situación de derechos humanos en Colombia. OEA/Ser. L/V/II. Doc. 49/13. 31 de diciembre de 2013. Capítulo 2 (Vida, Integridad Personal y Libertad Personal), Sección B (Ejecuciones Extrajudiciales).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11EBB" w:rsidRDefault="0051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11EBB" w:rsidRPr="00EC7D62" w:rsidRDefault="008439E3"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11EBB" w:rsidRDefault="00511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11EBB" w:rsidRPr="00EC7D62" w:rsidRDefault="008439E3"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7DE772B"/>
    <w:multiLevelType w:val="hybridMultilevel"/>
    <w:tmpl w:val="FE2EB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86298017">
    <w:abstractNumId w:val="4"/>
  </w:num>
  <w:num w:numId="2" w16cid:durableId="1220049472">
    <w:abstractNumId w:val="5"/>
  </w:num>
  <w:num w:numId="3" w16cid:durableId="900750446">
    <w:abstractNumId w:val="51"/>
  </w:num>
  <w:num w:numId="4" w16cid:durableId="1155100251">
    <w:abstractNumId w:val="20"/>
  </w:num>
  <w:num w:numId="5" w16cid:durableId="1666935732">
    <w:abstractNumId w:val="44"/>
  </w:num>
  <w:num w:numId="6" w16cid:durableId="233470864">
    <w:abstractNumId w:val="25"/>
  </w:num>
  <w:num w:numId="7" w16cid:durableId="1770586640">
    <w:abstractNumId w:val="6"/>
  </w:num>
  <w:num w:numId="8" w16cid:durableId="1785268624">
    <w:abstractNumId w:val="16"/>
  </w:num>
  <w:num w:numId="9" w16cid:durableId="190579570">
    <w:abstractNumId w:val="35"/>
  </w:num>
  <w:num w:numId="10" w16cid:durableId="153184391">
    <w:abstractNumId w:val="39"/>
  </w:num>
  <w:num w:numId="11" w16cid:durableId="1784572372">
    <w:abstractNumId w:val="1"/>
  </w:num>
  <w:num w:numId="12" w16cid:durableId="1476099602">
    <w:abstractNumId w:val="34"/>
  </w:num>
  <w:num w:numId="13" w16cid:durableId="52240251">
    <w:abstractNumId w:val="41"/>
  </w:num>
  <w:num w:numId="14" w16cid:durableId="1207638394">
    <w:abstractNumId w:val="2"/>
  </w:num>
  <w:num w:numId="15" w16cid:durableId="1254700810">
    <w:abstractNumId w:val="3"/>
  </w:num>
  <w:num w:numId="16" w16cid:durableId="2111006644">
    <w:abstractNumId w:val="7"/>
  </w:num>
  <w:num w:numId="17" w16cid:durableId="318002728">
    <w:abstractNumId w:val="8"/>
  </w:num>
  <w:num w:numId="18" w16cid:durableId="896162846">
    <w:abstractNumId w:val="9"/>
  </w:num>
  <w:num w:numId="19" w16cid:durableId="1281763266">
    <w:abstractNumId w:val="10"/>
  </w:num>
  <w:num w:numId="20" w16cid:durableId="1395201314">
    <w:abstractNumId w:val="11"/>
  </w:num>
  <w:num w:numId="21" w16cid:durableId="1245257651">
    <w:abstractNumId w:val="12"/>
  </w:num>
  <w:num w:numId="22" w16cid:durableId="2130079444">
    <w:abstractNumId w:val="13"/>
  </w:num>
  <w:num w:numId="23" w16cid:durableId="870269531">
    <w:abstractNumId w:val="14"/>
  </w:num>
  <w:num w:numId="24" w16cid:durableId="12466182">
    <w:abstractNumId w:val="15"/>
  </w:num>
  <w:num w:numId="25" w16cid:durableId="1477258856">
    <w:abstractNumId w:val="17"/>
  </w:num>
  <w:num w:numId="26" w16cid:durableId="2067145919">
    <w:abstractNumId w:val="18"/>
  </w:num>
  <w:num w:numId="27" w16cid:durableId="966400417">
    <w:abstractNumId w:val="21"/>
  </w:num>
  <w:num w:numId="28" w16cid:durableId="1957520153">
    <w:abstractNumId w:val="22"/>
  </w:num>
  <w:num w:numId="29" w16cid:durableId="629092664">
    <w:abstractNumId w:val="23"/>
  </w:num>
  <w:num w:numId="30" w16cid:durableId="943729623">
    <w:abstractNumId w:val="24"/>
  </w:num>
  <w:num w:numId="31" w16cid:durableId="1744646392">
    <w:abstractNumId w:val="26"/>
  </w:num>
  <w:num w:numId="32" w16cid:durableId="1507866210">
    <w:abstractNumId w:val="27"/>
  </w:num>
  <w:num w:numId="33" w16cid:durableId="112598119">
    <w:abstractNumId w:val="28"/>
  </w:num>
  <w:num w:numId="34" w16cid:durableId="993803471">
    <w:abstractNumId w:val="29"/>
  </w:num>
  <w:num w:numId="35" w16cid:durableId="1596867503">
    <w:abstractNumId w:val="30"/>
  </w:num>
  <w:num w:numId="36" w16cid:durableId="194730735">
    <w:abstractNumId w:val="31"/>
  </w:num>
  <w:num w:numId="37" w16cid:durableId="1440949896">
    <w:abstractNumId w:val="32"/>
  </w:num>
  <w:num w:numId="38" w16cid:durableId="551774471">
    <w:abstractNumId w:val="33"/>
  </w:num>
  <w:num w:numId="39" w16cid:durableId="1102260050">
    <w:abstractNumId w:val="36"/>
  </w:num>
  <w:num w:numId="40" w16cid:durableId="2103718765">
    <w:abstractNumId w:val="37"/>
  </w:num>
  <w:num w:numId="41" w16cid:durableId="1403675262">
    <w:abstractNumId w:val="43"/>
  </w:num>
  <w:num w:numId="42" w16cid:durableId="1212111624">
    <w:abstractNumId w:val="46"/>
  </w:num>
  <w:num w:numId="43" w16cid:durableId="2140144532">
    <w:abstractNumId w:val="47"/>
  </w:num>
  <w:num w:numId="44" w16cid:durableId="955913316">
    <w:abstractNumId w:val="49"/>
  </w:num>
  <w:num w:numId="45" w16cid:durableId="899247349">
    <w:abstractNumId w:val="50"/>
  </w:num>
  <w:num w:numId="46" w16cid:durableId="2067869828">
    <w:abstractNumId w:val="52"/>
  </w:num>
  <w:num w:numId="47" w16cid:durableId="983391922">
    <w:abstractNumId w:val="53"/>
  </w:num>
  <w:num w:numId="48" w16cid:durableId="463472205">
    <w:abstractNumId w:val="54"/>
  </w:num>
  <w:num w:numId="49" w16cid:durableId="1850483659">
    <w:abstractNumId w:val="55"/>
  </w:num>
  <w:num w:numId="50" w16cid:durableId="18900550">
    <w:abstractNumId w:val="56"/>
  </w:num>
  <w:num w:numId="51" w16cid:durableId="1367827994">
    <w:abstractNumId w:val="19"/>
  </w:num>
  <w:num w:numId="52" w16cid:durableId="1674529052">
    <w:abstractNumId w:val="38"/>
  </w:num>
  <w:num w:numId="53" w16cid:durableId="1467312058">
    <w:abstractNumId w:val="48"/>
  </w:num>
  <w:num w:numId="54" w16cid:durableId="54861580">
    <w:abstractNumId w:val="42"/>
  </w:num>
  <w:num w:numId="55" w16cid:durableId="976565131">
    <w:abstractNumId w:val="40"/>
  </w:num>
  <w:num w:numId="56" w16cid:durableId="1794202534">
    <w:abstractNumId w:val="0"/>
  </w:num>
  <w:num w:numId="57" w16cid:durableId="149908289">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257D"/>
    <w:rsid w:val="00003109"/>
    <w:rsid w:val="00003FE7"/>
    <w:rsid w:val="0000415A"/>
    <w:rsid w:val="00005076"/>
    <w:rsid w:val="00006E1F"/>
    <w:rsid w:val="000070D7"/>
    <w:rsid w:val="00010E22"/>
    <w:rsid w:val="000112E0"/>
    <w:rsid w:val="000123DD"/>
    <w:rsid w:val="00014313"/>
    <w:rsid w:val="000155F2"/>
    <w:rsid w:val="0001788C"/>
    <w:rsid w:val="00017E85"/>
    <w:rsid w:val="00020A06"/>
    <w:rsid w:val="00024488"/>
    <w:rsid w:val="00026736"/>
    <w:rsid w:val="00027415"/>
    <w:rsid w:val="00032162"/>
    <w:rsid w:val="00032BAD"/>
    <w:rsid w:val="000337EF"/>
    <w:rsid w:val="00040C3A"/>
    <w:rsid w:val="000419AD"/>
    <w:rsid w:val="000433C9"/>
    <w:rsid w:val="00045A01"/>
    <w:rsid w:val="000524F9"/>
    <w:rsid w:val="00054639"/>
    <w:rsid w:val="00056D1D"/>
    <w:rsid w:val="000610B8"/>
    <w:rsid w:val="000649BA"/>
    <w:rsid w:val="00064B57"/>
    <w:rsid w:val="000673D0"/>
    <w:rsid w:val="000716C5"/>
    <w:rsid w:val="00071B7D"/>
    <w:rsid w:val="00072EE4"/>
    <w:rsid w:val="00075E23"/>
    <w:rsid w:val="00077D76"/>
    <w:rsid w:val="00083CC4"/>
    <w:rsid w:val="0008406E"/>
    <w:rsid w:val="0008586B"/>
    <w:rsid w:val="000878E6"/>
    <w:rsid w:val="00087C87"/>
    <w:rsid w:val="00091C07"/>
    <w:rsid w:val="0009344A"/>
    <w:rsid w:val="000A3866"/>
    <w:rsid w:val="000A392E"/>
    <w:rsid w:val="000A4746"/>
    <w:rsid w:val="000A504F"/>
    <w:rsid w:val="000A52FC"/>
    <w:rsid w:val="000A575F"/>
    <w:rsid w:val="000B4AE9"/>
    <w:rsid w:val="000B6028"/>
    <w:rsid w:val="000B6F0D"/>
    <w:rsid w:val="000D05CB"/>
    <w:rsid w:val="000D10DB"/>
    <w:rsid w:val="000D128C"/>
    <w:rsid w:val="000D1FE6"/>
    <w:rsid w:val="000D3651"/>
    <w:rsid w:val="000D5C38"/>
    <w:rsid w:val="000D715A"/>
    <w:rsid w:val="000E1D86"/>
    <w:rsid w:val="000E2985"/>
    <w:rsid w:val="000E35B6"/>
    <w:rsid w:val="000E5EB5"/>
    <w:rsid w:val="000E6E18"/>
    <w:rsid w:val="000F02EC"/>
    <w:rsid w:val="000F2B0F"/>
    <w:rsid w:val="000F35A9"/>
    <w:rsid w:val="000F35ED"/>
    <w:rsid w:val="00104B2C"/>
    <w:rsid w:val="00107131"/>
    <w:rsid w:val="0010736F"/>
    <w:rsid w:val="00113595"/>
    <w:rsid w:val="00113F73"/>
    <w:rsid w:val="001164C7"/>
    <w:rsid w:val="00116FBF"/>
    <w:rsid w:val="00121CC2"/>
    <w:rsid w:val="00124DBD"/>
    <w:rsid w:val="00126299"/>
    <w:rsid w:val="00126642"/>
    <w:rsid w:val="001276B7"/>
    <w:rsid w:val="00131425"/>
    <w:rsid w:val="0013183A"/>
    <w:rsid w:val="00133EE5"/>
    <w:rsid w:val="00136EC3"/>
    <w:rsid w:val="001553CD"/>
    <w:rsid w:val="00157C85"/>
    <w:rsid w:val="001609D1"/>
    <w:rsid w:val="00163890"/>
    <w:rsid w:val="00167A34"/>
    <w:rsid w:val="00174378"/>
    <w:rsid w:val="00174681"/>
    <w:rsid w:val="00175057"/>
    <w:rsid w:val="00182B29"/>
    <w:rsid w:val="00183B75"/>
    <w:rsid w:val="001903E5"/>
    <w:rsid w:val="001A22A2"/>
    <w:rsid w:val="001A40E9"/>
    <w:rsid w:val="001A4B74"/>
    <w:rsid w:val="001A6323"/>
    <w:rsid w:val="001A6C2D"/>
    <w:rsid w:val="001A7027"/>
    <w:rsid w:val="001A7870"/>
    <w:rsid w:val="001B10AA"/>
    <w:rsid w:val="001B1BBB"/>
    <w:rsid w:val="001B3A00"/>
    <w:rsid w:val="001B57D0"/>
    <w:rsid w:val="001B6333"/>
    <w:rsid w:val="001C1B41"/>
    <w:rsid w:val="001C5A65"/>
    <w:rsid w:val="001C7C23"/>
    <w:rsid w:val="001D138A"/>
    <w:rsid w:val="001D259A"/>
    <w:rsid w:val="001D3954"/>
    <w:rsid w:val="001D65EF"/>
    <w:rsid w:val="001E2632"/>
    <w:rsid w:val="001E2BC7"/>
    <w:rsid w:val="001E2FDE"/>
    <w:rsid w:val="001E31A2"/>
    <w:rsid w:val="001E3B31"/>
    <w:rsid w:val="001E49E7"/>
    <w:rsid w:val="001E6E96"/>
    <w:rsid w:val="001E7959"/>
    <w:rsid w:val="001E7D36"/>
    <w:rsid w:val="001F1F58"/>
    <w:rsid w:val="001F2470"/>
    <w:rsid w:val="001F25BA"/>
    <w:rsid w:val="001F7201"/>
    <w:rsid w:val="00200592"/>
    <w:rsid w:val="00205B16"/>
    <w:rsid w:val="002076EF"/>
    <w:rsid w:val="0021124E"/>
    <w:rsid w:val="0021279D"/>
    <w:rsid w:val="00213297"/>
    <w:rsid w:val="00215A57"/>
    <w:rsid w:val="00216A1D"/>
    <w:rsid w:val="0022072D"/>
    <w:rsid w:val="00223A29"/>
    <w:rsid w:val="00224D7D"/>
    <w:rsid w:val="002250A3"/>
    <w:rsid w:val="00227EB5"/>
    <w:rsid w:val="00230FD4"/>
    <w:rsid w:val="00233517"/>
    <w:rsid w:val="00235217"/>
    <w:rsid w:val="002354F2"/>
    <w:rsid w:val="0024546E"/>
    <w:rsid w:val="00246D1F"/>
    <w:rsid w:val="00247403"/>
    <w:rsid w:val="00247542"/>
    <w:rsid w:val="00251109"/>
    <w:rsid w:val="00255586"/>
    <w:rsid w:val="0025568F"/>
    <w:rsid w:val="002563F6"/>
    <w:rsid w:val="00260CA4"/>
    <w:rsid w:val="0026100C"/>
    <w:rsid w:val="00262BAD"/>
    <w:rsid w:val="00263F6F"/>
    <w:rsid w:val="00266530"/>
    <w:rsid w:val="00266B61"/>
    <w:rsid w:val="0026712A"/>
    <w:rsid w:val="002704DB"/>
    <w:rsid w:val="002712A4"/>
    <w:rsid w:val="00271629"/>
    <w:rsid w:val="0027412B"/>
    <w:rsid w:val="00280C1E"/>
    <w:rsid w:val="002836F3"/>
    <w:rsid w:val="00284308"/>
    <w:rsid w:val="002931BF"/>
    <w:rsid w:val="00294E3C"/>
    <w:rsid w:val="00296E4E"/>
    <w:rsid w:val="00297F38"/>
    <w:rsid w:val="002A0AAE"/>
    <w:rsid w:val="002A5820"/>
    <w:rsid w:val="002A6627"/>
    <w:rsid w:val="002B0B90"/>
    <w:rsid w:val="002B3ECA"/>
    <w:rsid w:val="002B6C04"/>
    <w:rsid w:val="002C3B2B"/>
    <w:rsid w:val="002C4F0D"/>
    <w:rsid w:val="002C633E"/>
    <w:rsid w:val="002C6A45"/>
    <w:rsid w:val="002D1AB4"/>
    <w:rsid w:val="002D2B26"/>
    <w:rsid w:val="002D7EA2"/>
    <w:rsid w:val="002E1119"/>
    <w:rsid w:val="002E187C"/>
    <w:rsid w:val="002E29E1"/>
    <w:rsid w:val="002E4781"/>
    <w:rsid w:val="002F0DE0"/>
    <w:rsid w:val="002F3179"/>
    <w:rsid w:val="002F635A"/>
    <w:rsid w:val="00302733"/>
    <w:rsid w:val="0030535D"/>
    <w:rsid w:val="003063F9"/>
    <w:rsid w:val="00314078"/>
    <w:rsid w:val="003142DE"/>
    <w:rsid w:val="0031535D"/>
    <w:rsid w:val="00316D14"/>
    <w:rsid w:val="00321521"/>
    <w:rsid w:val="00322A02"/>
    <w:rsid w:val="003239B8"/>
    <w:rsid w:val="0033169F"/>
    <w:rsid w:val="00332121"/>
    <w:rsid w:val="00335CCC"/>
    <w:rsid w:val="00335F9F"/>
    <w:rsid w:val="00341D0B"/>
    <w:rsid w:val="00344977"/>
    <w:rsid w:val="00345599"/>
    <w:rsid w:val="00345ED5"/>
    <w:rsid w:val="00346C95"/>
    <w:rsid w:val="003534CB"/>
    <w:rsid w:val="00354763"/>
    <w:rsid w:val="00356185"/>
    <w:rsid w:val="00360380"/>
    <w:rsid w:val="00362A1D"/>
    <w:rsid w:val="00366053"/>
    <w:rsid w:val="0037058D"/>
    <w:rsid w:val="0037484E"/>
    <w:rsid w:val="00374F43"/>
    <w:rsid w:val="0037519E"/>
    <w:rsid w:val="00375317"/>
    <w:rsid w:val="00375DAE"/>
    <w:rsid w:val="00377E2B"/>
    <w:rsid w:val="00381659"/>
    <w:rsid w:val="0038223E"/>
    <w:rsid w:val="0038524B"/>
    <w:rsid w:val="00386CF0"/>
    <w:rsid w:val="00390590"/>
    <w:rsid w:val="00394009"/>
    <w:rsid w:val="00397D63"/>
    <w:rsid w:val="003A3939"/>
    <w:rsid w:val="003A3E87"/>
    <w:rsid w:val="003A4ADA"/>
    <w:rsid w:val="003A4C16"/>
    <w:rsid w:val="003A60E2"/>
    <w:rsid w:val="003A7A00"/>
    <w:rsid w:val="003B0EE3"/>
    <w:rsid w:val="003B536B"/>
    <w:rsid w:val="003B560F"/>
    <w:rsid w:val="003B58A3"/>
    <w:rsid w:val="003B70FB"/>
    <w:rsid w:val="003C27DE"/>
    <w:rsid w:val="003C42DB"/>
    <w:rsid w:val="003C676B"/>
    <w:rsid w:val="003C78FC"/>
    <w:rsid w:val="003D1505"/>
    <w:rsid w:val="003D3BC2"/>
    <w:rsid w:val="003E04BE"/>
    <w:rsid w:val="003E6CA1"/>
    <w:rsid w:val="003F1C6B"/>
    <w:rsid w:val="003F2D0B"/>
    <w:rsid w:val="0040206F"/>
    <w:rsid w:val="00402393"/>
    <w:rsid w:val="00404514"/>
    <w:rsid w:val="00405201"/>
    <w:rsid w:val="004065A8"/>
    <w:rsid w:val="00406675"/>
    <w:rsid w:val="00411591"/>
    <w:rsid w:val="00411E44"/>
    <w:rsid w:val="00412BCB"/>
    <w:rsid w:val="0041338C"/>
    <w:rsid w:val="00415A3C"/>
    <w:rsid w:val="004165C2"/>
    <w:rsid w:val="00424192"/>
    <w:rsid w:val="0042475A"/>
    <w:rsid w:val="004255C7"/>
    <w:rsid w:val="004273CC"/>
    <w:rsid w:val="00427495"/>
    <w:rsid w:val="00430BE6"/>
    <w:rsid w:val="00432178"/>
    <w:rsid w:val="004347D7"/>
    <w:rsid w:val="00435660"/>
    <w:rsid w:val="00440191"/>
    <w:rsid w:val="004411B5"/>
    <w:rsid w:val="00441ECB"/>
    <w:rsid w:val="00445193"/>
    <w:rsid w:val="00447725"/>
    <w:rsid w:val="00450ED4"/>
    <w:rsid w:val="00452DAC"/>
    <w:rsid w:val="00454F0A"/>
    <w:rsid w:val="00456D10"/>
    <w:rsid w:val="00456FBB"/>
    <w:rsid w:val="00461C4F"/>
    <w:rsid w:val="004621A2"/>
    <w:rsid w:val="00462C1B"/>
    <w:rsid w:val="00462F19"/>
    <w:rsid w:val="00463273"/>
    <w:rsid w:val="00467B7E"/>
    <w:rsid w:val="00472805"/>
    <w:rsid w:val="00473BB4"/>
    <w:rsid w:val="00473C9D"/>
    <w:rsid w:val="00477592"/>
    <w:rsid w:val="0048136A"/>
    <w:rsid w:val="0048440B"/>
    <w:rsid w:val="004844A7"/>
    <w:rsid w:val="00484848"/>
    <w:rsid w:val="00486BCE"/>
    <w:rsid w:val="00486F1C"/>
    <w:rsid w:val="00491AF5"/>
    <w:rsid w:val="004933AA"/>
    <w:rsid w:val="0049356F"/>
    <w:rsid w:val="0049419D"/>
    <w:rsid w:val="004943E4"/>
    <w:rsid w:val="00494CCE"/>
    <w:rsid w:val="00495852"/>
    <w:rsid w:val="004A0FD8"/>
    <w:rsid w:val="004A3F79"/>
    <w:rsid w:val="004A4B9C"/>
    <w:rsid w:val="004A6A54"/>
    <w:rsid w:val="004A6B04"/>
    <w:rsid w:val="004B5810"/>
    <w:rsid w:val="004C0E8D"/>
    <w:rsid w:val="004C1EDB"/>
    <w:rsid w:val="004C20D2"/>
    <w:rsid w:val="004C2312"/>
    <w:rsid w:val="004C4B62"/>
    <w:rsid w:val="004C54C9"/>
    <w:rsid w:val="004D12DE"/>
    <w:rsid w:val="004D2395"/>
    <w:rsid w:val="004D4ABA"/>
    <w:rsid w:val="004D5DB4"/>
    <w:rsid w:val="004D6025"/>
    <w:rsid w:val="004D6E04"/>
    <w:rsid w:val="004D70F9"/>
    <w:rsid w:val="004D7DF2"/>
    <w:rsid w:val="004E2649"/>
    <w:rsid w:val="004E76F6"/>
    <w:rsid w:val="004E7E9F"/>
    <w:rsid w:val="004F0227"/>
    <w:rsid w:val="004F4AEC"/>
    <w:rsid w:val="004F626F"/>
    <w:rsid w:val="00501399"/>
    <w:rsid w:val="0050633D"/>
    <w:rsid w:val="00506BC1"/>
    <w:rsid w:val="005076DA"/>
    <w:rsid w:val="00507BC4"/>
    <w:rsid w:val="00511602"/>
    <w:rsid w:val="00511EBB"/>
    <w:rsid w:val="00512398"/>
    <w:rsid w:val="005128E4"/>
    <w:rsid w:val="005133DB"/>
    <w:rsid w:val="00514504"/>
    <w:rsid w:val="00520906"/>
    <w:rsid w:val="00520E16"/>
    <w:rsid w:val="00522158"/>
    <w:rsid w:val="005224F5"/>
    <w:rsid w:val="005246D3"/>
    <w:rsid w:val="00524E1B"/>
    <w:rsid w:val="005253C4"/>
    <w:rsid w:val="00525560"/>
    <w:rsid w:val="00530901"/>
    <w:rsid w:val="00530A97"/>
    <w:rsid w:val="0053201A"/>
    <w:rsid w:val="00533A62"/>
    <w:rsid w:val="0053487B"/>
    <w:rsid w:val="00536AF8"/>
    <w:rsid w:val="00542D39"/>
    <w:rsid w:val="00544C49"/>
    <w:rsid w:val="00546C80"/>
    <w:rsid w:val="00546D4B"/>
    <w:rsid w:val="00546FC6"/>
    <w:rsid w:val="00550045"/>
    <w:rsid w:val="005516A1"/>
    <w:rsid w:val="0055189F"/>
    <w:rsid w:val="005559EF"/>
    <w:rsid w:val="00556917"/>
    <w:rsid w:val="005609ED"/>
    <w:rsid w:val="00563557"/>
    <w:rsid w:val="00570094"/>
    <w:rsid w:val="0057402A"/>
    <w:rsid w:val="005749F1"/>
    <w:rsid w:val="005771D0"/>
    <w:rsid w:val="00577AED"/>
    <w:rsid w:val="005806AD"/>
    <w:rsid w:val="0058363F"/>
    <w:rsid w:val="005847E6"/>
    <w:rsid w:val="00585264"/>
    <w:rsid w:val="00585A16"/>
    <w:rsid w:val="005862DF"/>
    <w:rsid w:val="0059191A"/>
    <w:rsid w:val="005921FF"/>
    <w:rsid w:val="005A24ED"/>
    <w:rsid w:val="005A496E"/>
    <w:rsid w:val="005A6D0E"/>
    <w:rsid w:val="005A6E00"/>
    <w:rsid w:val="005B52B0"/>
    <w:rsid w:val="005B6806"/>
    <w:rsid w:val="005C4225"/>
    <w:rsid w:val="005D13C5"/>
    <w:rsid w:val="005D443C"/>
    <w:rsid w:val="005D6FF2"/>
    <w:rsid w:val="005E3E07"/>
    <w:rsid w:val="005E529A"/>
    <w:rsid w:val="005E5F78"/>
    <w:rsid w:val="005F0DAD"/>
    <w:rsid w:val="005F0F33"/>
    <w:rsid w:val="005F1E6E"/>
    <w:rsid w:val="005F7EE5"/>
    <w:rsid w:val="00600555"/>
    <w:rsid w:val="00600D3F"/>
    <w:rsid w:val="00600DEB"/>
    <w:rsid w:val="00601040"/>
    <w:rsid w:val="00604435"/>
    <w:rsid w:val="00605860"/>
    <w:rsid w:val="00607424"/>
    <w:rsid w:val="00611856"/>
    <w:rsid w:val="00623843"/>
    <w:rsid w:val="00623CF0"/>
    <w:rsid w:val="00625420"/>
    <w:rsid w:val="00627C9F"/>
    <w:rsid w:val="006309E1"/>
    <w:rsid w:val="006311E9"/>
    <w:rsid w:val="006321E8"/>
    <w:rsid w:val="00632354"/>
    <w:rsid w:val="006333F3"/>
    <w:rsid w:val="00634461"/>
    <w:rsid w:val="00635421"/>
    <w:rsid w:val="006354D1"/>
    <w:rsid w:val="00636308"/>
    <w:rsid w:val="00642810"/>
    <w:rsid w:val="006433B8"/>
    <w:rsid w:val="00643535"/>
    <w:rsid w:val="00645CC9"/>
    <w:rsid w:val="00652333"/>
    <w:rsid w:val="00657842"/>
    <w:rsid w:val="00665B75"/>
    <w:rsid w:val="00666C5B"/>
    <w:rsid w:val="00671176"/>
    <w:rsid w:val="006724A3"/>
    <w:rsid w:val="0067536A"/>
    <w:rsid w:val="00675B2C"/>
    <w:rsid w:val="0068009E"/>
    <w:rsid w:val="00680DB5"/>
    <w:rsid w:val="00682C7F"/>
    <w:rsid w:val="006856C8"/>
    <w:rsid w:val="00686191"/>
    <w:rsid w:val="00691772"/>
    <w:rsid w:val="00691776"/>
    <w:rsid w:val="00692219"/>
    <w:rsid w:val="00692FA0"/>
    <w:rsid w:val="0069536F"/>
    <w:rsid w:val="00695EEB"/>
    <w:rsid w:val="006A17D2"/>
    <w:rsid w:val="006A53B4"/>
    <w:rsid w:val="006A73E6"/>
    <w:rsid w:val="006B2D5C"/>
    <w:rsid w:val="006B79EA"/>
    <w:rsid w:val="006B7CB5"/>
    <w:rsid w:val="006C32B9"/>
    <w:rsid w:val="006C3525"/>
    <w:rsid w:val="006C4EB1"/>
    <w:rsid w:val="006D14F3"/>
    <w:rsid w:val="006D46DB"/>
    <w:rsid w:val="006E0166"/>
    <w:rsid w:val="006E0314"/>
    <w:rsid w:val="006E2837"/>
    <w:rsid w:val="006E2FFB"/>
    <w:rsid w:val="006E3931"/>
    <w:rsid w:val="006E7B34"/>
    <w:rsid w:val="006E7DFE"/>
    <w:rsid w:val="006F3A59"/>
    <w:rsid w:val="006F6D8B"/>
    <w:rsid w:val="006F72FA"/>
    <w:rsid w:val="007046CA"/>
    <w:rsid w:val="0070697F"/>
    <w:rsid w:val="00706FED"/>
    <w:rsid w:val="00710283"/>
    <w:rsid w:val="007139B0"/>
    <w:rsid w:val="0072199C"/>
    <w:rsid w:val="00722C9F"/>
    <w:rsid w:val="007253B8"/>
    <w:rsid w:val="00732E0B"/>
    <w:rsid w:val="00733F2E"/>
    <w:rsid w:val="0073741F"/>
    <w:rsid w:val="00737B5B"/>
    <w:rsid w:val="00741DEE"/>
    <w:rsid w:val="00743AFE"/>
    <w:rsid w:val="00745B46"/>
    <w:rsid w:val="007463D2"/>
    <w:rsid w:val="00746790"/>
    <w:rsid w:val="007510A8"/>
    <w:rsid w:val="00754260"/>
    <w:rsid w:val="00754F3E"/>
    <w:rsid w:val="00756339"/>
    <w:rsid w:val="00763D26"/>
    <w:rsid w:val="00765F6C"/>
    <w:rsid w:val="0076643F"/>
    <w:rsid w:val="007701BF"/>
    <w:rsid w:val="007749E9"/>
    <w:rsid w:val="00776740"/>
    <w:rsid w:val="007776B9"/>
    <w:rsid w:val="00777F63"/>
    <w:rsid w:val="007802E5"/>
    <w:rsid w:val="007812DA"/>
    <w:rsid w:val="00782D83"/>
    <w:rsid w:val="0078377F"/>
    <w:rsid w:val="00783AE9"/>
    <w:rsid w:val="007848CF"/>
    <w:rsid w:val="00785D5C"/>
    <w:rsid w:val="0079129C"/>
    <w:rsid w:val="00793F54"/>
    <w:rsid w:val="00794F2C"/>
    <w:rsid w:val="007A145C"/>
    <w:rsid w:val="007A2DFC"/>
    <w:rsid w:val="007A446D"/>
    <w:rsid w:val="007A550A"/>
    <w:rsid w:val="007A5817"/>
    <w:rsid w:val="007B009C"/>
    <w:rsid w:val="007B05C4"/>
    <w:rsid w:val="007B3FE1"/>
    <w:rsid w:val="007B60E9"/>
    <w:rsid w:val="007B6CC3"/>
    <w:rsid w:val="007B71E2"/>
    <w:rsid w:val="007B767B"/>
    <w:rsid w:val="007B76D3"/>
    <w:rsid w:val="007C3334"/>
    <w:rsid w:val="007C4159"/>
    <w:rsid w:val="007D26D8"/>
    <w:rsid w:val="007D2B98"/>
    <w:rsid w:val="007D328D"/>
    <w:rsid w:val="007D4B9D"/>
    <w:rsid w:val="007E0E79"/>
    <w:rsid w:val="007E1D45"/>
    <w:rsid w:val="007E21BC"/>
    <w:rsid w:val="007E563F"/>
    <w:rsid w:val="007E75F4"/>
    <w:rsid w:val="007E7C82"/>
    <w:rsid w:val="007F0A67"/>
    <w:rsid w:val="007F2AA1"/>
    <w:rsid w:val="007F372A"/>
    <w:rsid w:val="007F3777"/>
    <w:rsid w:val="007F588D"/>
    <w:rsid w:val="007F58A4"/>
    <w:rsid w:val="00803423"/>
    <w:rsid w:val="00803A03"/>
    <w:rsid w:val="00803AE2"/>
    <w:rsid w:val="00803C12"/>
    <w:rsid w:val="00803DC6"/>
    <w:rsid w:val="00803F1C"/>
    <w:rsid w:val="0080441A"/>
    <w:rsid w:val="00804DC5"/>
    <w:rsid w:val="0080600E"/>
    <w:rsid w:val="00811520"/>
    <w:rsid w:val="00814024"/>
    <w:rsid w:val="00814688"/>
    <w:rsid w:val="0081486B"/>
    <w:rsid w:val="008169F9"/>
    <w:rsid w:val="008171CD"/>
    <w:rsid w:val="00817612"/>
    <w:rsid w:val="0082179A"/>
    <w:rsid w:val="00824278"/>
    <w:rsid w:val="00825630"/>
    <w:rsid w:val="008260C5"/>
    <w:rsid w:val="00831D07"/>
    <w:rsid w:val="008338A4"/>
    <w:rsid w:val="00834D49"/>
    <w:rsid w:val="00837C45"/>
    <w:rsid w:val="00837E7F"/>
    <w:rsid w:val="00840B5C"/>
    <w:rsid w:val="00841873"/>
    <w:rsid w:val="008439E3"/>
    <w:rsid w:val="00844730"/>
    <w:rsid w:val="00844BAF"/>
    <w:rsid w:val="008451EF"/>
    <w:rsid w:val="008457C2"/>
    <w:rsid w:val="00846046"/>
    <w:rsid w:val="008461D0"/>
    <w:rsid w:val="008518FC"/>
    <w:rsid w:val="00855121"/>
    <w:rsid w:val="00855C3F"/>
    <w:rsid w:val="00857A82"/>
    <w:rsid w:val="00860C21"/>
    <w:rsid w:val="00863924"/>
    <w:rsid w:val="00865230"/>
    <w:rsid w:val="00866A35"/>
    <w:rsid w:val="00870856"/>
    <w:rsid w:val="008735DC"/>
    <w:rsid w:val="00873836"/>
    <w:rsid w:val="00874540"/>
    <w:rsid w:val="00874720"/>
    <w:rsid w:val="008749D8"/>
    <w:rsid w:val="00883F95"/>
    <w:rsid w:val="00885737"/>
    <w:rsid w:val="00885993"/>
    <w:rsid w:val="00890650"/>
    <w:rsid w:val="00891CDD"/>
    <w:rsid w:val="008931EF"/>
    <w:rsid w:val="00896D7E"/>
    <w:rsid w:val="008970FF"/>
    <w:rsid w:val="008979A6"/>
    <w:rsid w:val="00897E12"/>
    <w:rsid w:val="008A0AB8"/>
    <w:rsid w:val="008A0CEB"/>
    <w:rsid w:val="008A1DFA"/>
    <w:rsid w:val="008A364A"/>
    <w:rsid w:val="008A7E0F"/>
    <w:rsid w:val="008B12F5"/>
    <w:rsid w:val="008B134E"/>
    <w:rsid w:val="008B619C"/>
    <w:rsid w:val="008C1678"/>
    <w:rsid w:val="008C2BBC"/>
    <w:rsid w:val="008C3727"/>
    <w:rsid w:val="008C423D"/>
    <w:rsid w:val="008C5E2D"/>
    <w:rsid w:val="008C6336"/>
    <w:rsid w:val="008D114A"/>
    <w:rsid w:val="008D11ED"/>
    <w:rsid w:val="008D23BF"/>
    <w:rsid w:val="008D61BA"/>
    <w:rsid w:val="008D768D"/>
    <w:rsid w:val="008E1315"/>
    <w:rsid w:val="008E2347"/>
    <w:rsid w:val="008E3759"/>
    <w:rsid w:val="008E3BFE"/>
    <w:rsid w:val="008E49DC"/>
    <w:rsid w:val="008E4F1C"/>
    <w:rsid w:val="008E53D4"/>
    <w:rsid w:val="008E580E"/>
    <w:rsid w:val="008E6564"/>
    <w:rsid w:val="008F1912"/>
    <w:rsid w:val="008F1971"/>
    <w:rsid w:val="008F1974"/>
    <w:rsid w:val="008F33A6"/>
    <w:rsid w:val="008F6D29"/>
    <w:rsid w:val="00901323"/>
    <w:rsid w:val="00902235"/>
    <w:rsid w:val="0090270B"/>
    <w:rsid w:val="00903DAC"/>
    <w:rsid w:val="00904013"/>
    <w:rsid w:val="009041DC"/>
    <w:rsid w:val="00904827"/>
    <w:rsid w:val="00904C8E"/>
    <w:rsid w:val="00912BF9"/>
    <w:rsid w:val="0091491E"/>
    <w:rsid w:val="00917B5A"/>
    <w:rsid w:val="00920786"/>
    <w:rsid w:val="00920A58"/>
    <w:rsid w:val="00920A8C"/>
    <w:rsid w:val="00920FE3"/>
    <w:rsid w:val="00922E6C"/>
    <w:rsid w:val="00926E4A"/>
    <w:rsid w:val="00931417"/>
    <w:rsid w:val="009328B2"/>
    <w:rsid w:val="00932DF2"/>
    <w:rsid w:val="009335CB"/>
    <w:rsid w:val="00934A2C"/>
    <w:rsid w:val="00935362"/>
    <w:rsid w:val="00935C44"/>
    <w:rsid w:val="00940285"/>
    <w:rsid w:val="00943C5E"/>
    <w:rsid w:val="0094529B"/>
    <w:rsid w:val="009462C8"/>
    <w:rsid w:val="00960B12"/>
    <w:rsid w:val="00964ABA"/>
    <w:rsid w:val="009666E2"/>
    <w:rsid w:val="0096697B"/>
    <w:rsid w:val="0096706E"/>
    <w:rsid w:val="00970C55"/>
    <w:rsid w:val="009725F4"/>
    <w:rsid w:val="009731CA"/>
    <w:rsid w:val="00973FAC"/>
    <w:rsid w:val="00974491"/>
    <w:rsid w:val="0097531B"/>
    <w:rsid w:val="00975B18"/>
    <w:rsid w:val="00975C4E"/>
    <w:rsid w:val="00976FB8"/>
    <w:rsid w:val="00981386"/>
    <w:rsid w:val="00981FBA"/>
    <w:rsid w:val="00982053"/>
    <w:rsid w:val="00982AA3"/>
    <w:rsid w:val="00985F88"/>
    <w:rsid w:val="00986BB4"/>
    <w:rsid w:val="00987411"/>
    <w:rsid w:val="00990498"/>
    <w:rsid w:val="009905B2"/>
    <w:rsid w:val="00996432"/>
    <w:rsid w:val="00997149"/>
    <w:rsid w:val="00997BC5"/>
    <w:rsid w:val="009A045F"/>
    <w:rsid w:val="009A4F41"/>
    <w:rsid w:val="009A5FF0"/>
    <w:rsid w:val="009A73BC"/>
    <w:rsid w:val="009B006E"/>
    <w:rsid w:val="009B09E9"/>
    <w:rsid w:val="009B2AC0"/>
    <w:rsid w:val="009B381B"/>
    <w:rsid w:val="009B42B5"/>
    <w:rsid w:val="009C527B"/>
    <w:rsid w:val="009C6CB7"/>
    <w:rsid w:val="009C6D33"/>
    <w:rsid w:val="009D1750"/>
    <w:rsid w:val="009D1753"/>
    <w:rsid w:val="009D1F23"/>
    <w:rsid w:val="009D737D"/>
    <w:rsid w:val="009D7611"/>
    <w:rsid w:val="009E0B61"/>
    <w:rsid w:val="009E1356"/>
    <w:rsid w:val="009E3387"/>
    <w:rsid w:val="009E41D6"/>
    <w:rsid w:val="009E4A4D"/>
    <w:rsid w:val="009E4EC3"/>
    <w:rsid w:val="009E53DE"/>
    <w:rsid w:val="009F2874"/>
    <w:rsid w:val="009F314C"/>
    <w:rsid w:val="009F6B48"/>
    <w:rsid w:val="009F6CD8"/>
    <w:rsid w:val="009F76C6"/>
    <w:rsid w:val="009F7778"/>
    <w:rsid w:val="00A02AF2"/>
    <w:rsid w:val="00A11212"/>
    <w:rsid w:val="00A115CE"/>
    <w:rsid w:val="00A11E44"/>
    <w:rsid w:val="00A12B84"/>
    <w:rsid w:val="00A13081"/>
    <w:rsid w:val="00A131C0"/>
    <w:rsid w:val="00A13A8F"/>
    <w:rsid w:val="00A15664"/>
    <w:rsid w:val="00A20002"/>
    <w:rsid w:val="00A2556C"/>
    <w:rsid w:val="00A26CCA"/>
    <w:rsid w:val="00A2714A"/>
    <w:rsid w:val="00A30100"/>
    <w:rsid w:val="00A322E4"/>
    <w:rsid w:val="00A328B3"/>
    <w:rsid w:val="00A33348"/>
    <w:rsid w:val="00A3454F"/>
    <w:rsid w:val="00A36DB3"/>
    <w:rsid w:val="00A37B52"/>
    <w:rsid w:val="00A431E2"/>
    <w:rsid w:val="00A4461E"/>
    <w:rsid w:val="00A50FCF"/>
    <w:rsid w:val="00A528D1"/>
    <w:rsid w:val="00A52D8F"/>
    <w:rsid w:val="00A60826"/>
    <w:rsid w:val="00A609EF"/>
    <w:rsid w:val="00A610CD"/>
    <w:rsid w:val="00A648CF"/>
    <w:rsid w:val="00A65011"/>
    <w:rsid w:val="00A67639"/>
    <w:rsid w:val="00A7499F"/>
    <w:rsid w:val="00A74B43"/>
    <w:rsid w:val="00A758AA"/>
    <w:rsid w:val="00A77712"/>
    <w:rsid w:val="00A800A2"/>
    <w:rsid w:val="00A80B0C"/>
    <w:rsid w:val="00A84A4F"/>
    <w:rsid w:val="00A850E6"/>
    <w:rsid w:val="00A861CD"/>
    <w:rsid w:val="00A865AF"/>
    <w:rsid w:val="00A87844"/>
    <w:rsid w:val="00A91AA6"/>
    <w:rsid w:val="00A93C5B"/>
    <w:rsid w:val="00AA09A2"/>
    <w:rsid w:val="00AA11BD"/>
    <w:rsid w:val="00AA47F9"/>
    <w:rsid w:val="00AA7996"/>
    <w:rsid w:val="00AB2DCE"/>
    <w:rsid w:val="00AC0870"/>
    <w:rsid w:val="00AC19CB"/>
    <w:rsid w:val="00AC244D"/>
    <w:rsid w:val="00AC75CA"/>
    <w:rsid w:val="00AD096B"/>
    <w:rsid w:val="00AD1574"/>
    <w:rsid w:val="00AD2949"/>
    <w:rsid w:val="00AD489F"/>
    <w:rsid w:val="00AD56B1"/>
    <w:rsid w:val="00AD5C3C"/>
    <w:rsid w:val="00AE0953"/>
    <w:rsid w:val="00AE5488"/>
    <w:rsid w:val="00AE6489"/>
    <w:rsid w:val="00AE6F91"/>
    <w:rsid w:val="00AE7AA6"/>
    <w:rsid w:val="00AF3602"/>
    <w:rsid w:val="00AF43C2"/>
    <w:rsid w:val="00AF5571"/>
    <w:rsid w:val="00AF5D74"/>
    <w:rsid w:val="00B00B8E"/>
    <w:rsid w:val="00B07341"/>
    <w:rsid w:val="00B1098C"/>
    <w:rsid w:val="00B149FF"/>
    <w:rsid w:val="00B231C8"/>
    <w:rsid w:val="00B261A9"/>
    <w:rsid w:val="00B2649E"/>
    <w:rsid w:val="00B2652A"/>
    <w:rsid w:val="00B26F20"/>
    <w:rsid w:val="00B27614"/>
    <w:rsid w:val="00B30539"/>
    <w:rsid w:val="00B3144D"/>
    <w:rsid w:val="00B314DB"/>
    <w:rsid w:val="00B318C1"/>
    <w:rsid w:val="00B33154"/>
    <w:rsid w:val="00B35731"/>
    <w:rsid w:val="00B357BF"/>
    <w:rsid w:val="00B361F2"/>
    <w:rsid w:val="00B3718B"/>
    <w:rsid w:val="00B3745F"/>
    <w:rsid w:val="00B41349"/>
    <w:rsid w:val="00B45E23"/>
    <w:rsid w:val="00B46185"/>
    <w:rsid w:val="00B4632A"/>
    <w:rsid w:val="00B46622"/>
    <w:rsid w:val="00B478B9"/>
    <w:rsid w:val="00B530F1"/>
    <w:rsid w:val="00B56C46"/>
    <w:rsid w:val="00B57483"/>
    <w:rsid w:val="00B60E1F"/>
    <w:rsid w:val="00B634F5"/>
    <w:rsid w:val="00B6353D"/>
    <w:rsid w:val="00B64ED9"/>
    <w:rsid w:val="00B650D3"/>
    <w:rsid w:val="00B72468"/>
    <w:rsid w:val="00B72A9A"/>
    <w:rsid w:val="00B767C7"/>
    <w:rsid w:val="00B81E29"/>
    <w:rsid w:val="00B83336"/>
    <w:rsid w:val="00B85B43"/>
    <w:rsid w:val="00B86627"/>
    <w:rsid w:val="00B87058"/>
    <w:rsid w:val="00B97E7C"/>
    <w:rsid w:val="00BA0CBA"/>
    <w:rsid w:val="00BA276C"/>
    <w:rsid w:val="00BA2D77"/>
    <w:rsid w:val="00BA5484"/>
    <w:rsid w:val="00BB036A"/>
    <w:rsid w:val="00BB265C"/>
    <w:rsid w:val="00BB306F"/>
    <w:rsid w:val="00BB4786"/>
    <w:rsid w:val="00BB79D4"/>
    <w:rsid w:val="00BC0802"/>
    <w:rsid w:val="00BC139E"/>
    <w:rsid w:val="00BC2D75"/>
    <w:rsid w:val="00BD1020"/>
    <w:rsid w:val="00BD4B89"/>
    <w:rsid w:val="00BD5922"/>
    <w:rsid w:val="00BD5FD2"/>
    <w:rsid w:val="00BD78E0"/>
    <w:rsid w:val="00BE646F"/>
    <w:rsid w:val="00BE7972"/>
    <w:rsid w:val="00BF02CB"/>
    <w:rsid w:val="00BF1898"/>
    <w:rsid w:val="00BF3609"/>
    <w:rsid w:val="00BF6FD8"/>
    <w:rsid w:val="00BF703C"/>
    <w:rsid w:val="00C014D9"/>
    <w:rsid w:val="00C03680"/>
    <w:rsid w:val="00C054DF"/>
    <w:rsid w:val="00C05AC2"/>
    <w:rsid w:val="00C116DC"/>
    <w:rsid w:val="00C12176"/>
    <w:rsid w:val="00C14BD4"/>
    <w:rsid w:val="00C171A0"/>
    <w:rsid w:val="00C17865"/>
    <w:rsid w:val="00C202F0"/>
    <w:rsid w:val="00C21762"/>
    <w:rsid w:val="00C21B3D"/>
    <w:rsid w:val="00C21FEF"/>
    <w:rsid w:val="00C23BA4"/>
    <w:rsid w:val="00C24543"/>
    <w:rsid w:val="00C25153"/>
    <w:rsid w:val="00C256A2"/>
    <w:rsid w:val="00C25ADB"/>
    <w:rsid w:val="00C2623F"/>
    <w:rsid w:val="00C32764"/>
    <w:rsid w:val="00C355C6"/>
    <w:rsid w:val="00C36917"/>
    <w:rsid w:val="00C454DD"/>
    <w:rsid w:val="00C46D46"/>
    <w:rsid w:val="00C51515"/>
    <w:rsid w:val="00C52701"/>
    <w:rsid w:val="00C53390"/>
    <w:rsid w:val="00C549EF"/>
    <w:rsid w:val="00C55A45"/>
    <w:rsid w:val="00C5660B"/>
    <w:rsid w:val="00C60A30"/>
    <w:rsid w:val="00C6279E"/>
    <w:rsid w:val="00C63055"/>
    <w:rsid w:val="00C66B72"/>
    <w:rsid w:val="00C70198"/>
    <w:rsid w:val="00C71B81"/>
    <w:rsid w:val="00C72A01"/>
    <w:rsid w:val="00C74189"/>
    <w:rsid w:val="00C7464E"/>
    <w:rsid w:val="00C74737"/>
    <w:rsid w:val="00C8540B"/>
    <w:rsid w:val="00C86F5D"/>
    <w:rsid w:val="00C87AC4"/>
    <w:rsid w:val="00C9107B"/>
    <w:rsid w:val="00C910EC"/>
    <w:rsid w:val="00C9491D"/>
    <w:rsid w:val="00C9567A"/>
    <w:rsid w:val="00C97C6E"/>
    <w:rsid w:val="00CA499E"/>
    <w:rsid w:val="00CA5AA3"/>
    <w:rsid w:val="00CB212D"/>
    <w:rsid w:val="00CB2660"/>
    <w:rsid w:val="00CB3936"/>
    <w:rsid w:val="00CB5127"/>
    <w:rsid w:val="00CB5A4B"/>
    <w:rsid w:val="00CC1376"/>
    <w:rsid w:val="00CC26F5"/>
    <w:rsid w:val="00CC48ED"/>
    <w:rsid w:val="00CC5224"/>
    <w:rsid w:val="00CC5E90"/>
    <w:rsid w:val="00CC7BA0"/>
    <w:rsid w:val="00CD0293"/>
    <w:rsid w:val="00CD046C"/>
    <w:rsid w:val="00CD3CC9"/>
    <w:rsid w:val="00CD3F6F"/>
    <w:rsid w:val="00CD702A"/>
    <w:rsid w:val="00CE076C"/>
    <w:rsid w:val="00CE112B"/>
    <w:rsid w:val="00CE2834"/>
    <w:rsid w:val="00CE5199"/>
    <w:rsid w:val="00CE5D0E"/>
    <w:rsid w:val="00CE6152"/>
    <w:rsid w:val="00CE66D5"/>
    <w:rsid w:val="00CE73C2"/>
    <w:rsid w:val="00CF3C72"/>
    <w:rsid w:val="00CF41C4"/>
    <w:rsid w:val="00CF5B51"/>
    <w:rsid w:val="00CF637A"/>
    <w:rsid w:val="00CF7E33"/>
    <w:rsid w:val="00D000B5"/>
    <w:rsid w:val="00D059DE"/>
    <w:rsid w:val="00D05ABD"/>
    <w:rsid w:val="00D06F66"/>
    <w:rsid w:val="00D074A4"/>
    <w:rsid w:val="00D120F6"/>
    <w:rsid w:val="00D126F3"/>
    <w:rsid w:val="00D13FCE"/>
    <w:rsid w:val="00D1541A"/>
    <w:rsid w:val="00D20E05"/>
    <w:rsid w:val="00D2102D"/>
    <w:rsid w:val="00D25849"/>
    <w:rsid w:val="00D30288"/>
    <w:rsid w:val="00D304E7"/>
    <w:rsid w:val="00D306D1"/>
    <w:rsid w:val="00D30800"/>
    <w:rsid w:val="00D32F71"/>
    <w:rsid w:val="00D33CE1"/>
    <w:rsid w:val="00D34786"/>
    <w:rsid w:val="00D37BFC"/>
    <w:rsid w:val="00D4014E"/>
    <w:rsid w:val="00D40161"/>
    <w:rsid w:val="00D426B1"/>
    <w:rsid w:val="00D444F3"/>
    <w:rsid w:val="00D475B1"/>
    <w:rsid w:val="00D47A8E"/>
    <w:rsid w:val="00D47DA8"/>
    <w:rsid w:val="00D5028B"/>
    <w:rsid w:val="00D50478"/>
    <w:rsid w:val="00D51A44"/>
    <w:rsid w:val="00D52D14"/>
    <w:rsid w:val="00D535A0"/>
    <w:rsid w:val="00D55153"/>
    <w:rsid w:val="00D55FBB"/>
    <w:rsid w:val="00D63874"/>
    <w:rsid w:val="00D70731"/>
    <w:rsid w:val="00D712D3"/>
    <w:rsid w:val="00D71422"/>
    <w:rsid w:val="00D72DC6"/>
    <w:rsid w:val="00D7558D"/>
    <w:rsid w:val="00D81D92"/>
    <w:rsid w:val="00D848AC"/>
    <w:rsid w:val="00D86818"/>
    <w:rsid w:val="00D876F9"/>
    <w:rsid w:val="00D91B0B"/>
    <w:rsid w:val="00D92EA5"/>
    <w:rsid w:val="00D93608"/>
    <w:rsid w:val="00D95005"/>
    <w:rsid w:val="00D96054"/>
    <w:rsid w:val="00D97D59"/>
    <w:rsid w:val="00DA0801"/>
    <w:rsid w:val="00DA13A2"/>
    <w:rsid w:val="00DA23D4"/>
    <w:rsid w:val="00DA2628"/>
    <w:rsid w:val="00DA7B5F"/>
    <w:rsid w:val="00DA7C36"/>
    <w:rsid w:val="00DB15D2"/>
    <w:rsid w:val="00DB24EE"/>
    <w:rsid w:val="00DC0AFE"/>
    <w:rsid w:val="00DC11E7"/>
    <w:rsid w:val="00DC24E3"/>
    <w:rsid w:val="00DC6177"/>
    <w:rsid w:val="00DC7023"/>
    <w:rsid w:val="00DC769A"/>
    <w:rsid w:val="00DC7D31"/>
    <w:rsid w:val="00DD3D86"/>
    <w:rsid w:val="00DD4AD2"/>
    <w:rsid w:val="00DD56D6"/>
    <w:rsid w:val="00DD7C73"/>
    <w:rsid w:val="00DE0342"/>
    <w:rsid w:val="00DE0EF4"/>
    <w:rsid w:val="00DF1360"/>
    <w:rsid w:val="00DF16D8"/>
    <w:rsid w:val="00DF1EC4"/>
    <w:rsid w:val="00DF3C24"/>
    <w:rsid w:val="00DF58C8"/>
    <w:rsid w:val="00E016A2"/>
    <w:rsid w:val="00E0340B"/>
    <w:rsid w:val="00E0460E"/>
    <w:rsid w:val="00E046B6"/>
    <w:rsid w:val="00E04A90"/>
    <w:rsid w:val="00E04D16"/>
    <w:rsid w:val="00E0551F"/>
    <w:rsid w:val="00E07036"/>
    <w:rsid w:val="00E158A7"/>
    <w:rsid w:val="00E15A90"/>
    <w:rsid w:val="00E219C7"/>
    <w:rsid w:val="00E23E15"/>
    <w:rsid w:val="00E32889"/>
    <w:rsid w:val="00E4118C"/>
    <w:rsid w:val="00E4309F"/>
    <w:rsid w:val="00E43157"/>
    <w:rsid w:val="00E449A2"/>
    <w:rsid w:val="00E461CE"/>
    <w:rsid w:val="00E47C20"/>
    <w:rsid w:val="00E52C5B"/>
    <w:rsid w:val="00E56F4F"/>
    <w:rsid w:val="00E573E4"/>
    <w:rsid w:val="00E57658"/>
    <w:rsid w:val="00E614FE"/>
    <w:rsid w:val="00E62314"/>
    <w:rsid w:val="00E635AC"/>
    <w:rsid w:val="00E638D2"/>
    <w:rsid w:val="00E644B2"/>
    <w:rsid w:val="00E6559B"/>
    <w:rsid w:val="00E66D51"/>
    <w:rsid w:val="00E67981"/>
    <w:rsid w:val="00E67DEC"/>
    <w:rsid w:val="00E67FEB"/>
    <w:rsid w:val="00E70953"/>
    <w:rsid w:val="00E71AE7"/>
    <w:rsid w:val="00E71C69"/>
    <w:rsid w:val="00E720CA"/>
    <w:rsid w:val="00E8028E"/>
    <w:rsid w:val="00E80964"/>
    <w:rsid w:val="00E820B5"/>
    <w:rsid w:val="00E82C25"/>
    <w:rsid w:val="00E84876"/>
    <w:rsid w:val="00E84EB5"/>
    <w:rsid w:val="00E85662"/>
    <w:rsid w:val="00E8789F"/>
    <w:rsid w:val="00E87A0F"/>
    <w:rsid w:val="00E91AB7"/>
    <w:rsid w:val="00E94EA0"/>
    <w:rsid w:val="00E95557"/>
    <w:rsid w:val="00E97B71"/>
    <w:rsid w:val="00EA02F6"/>
    <w:rsid w:val="00EA2A11"/>
    <w:rsid w:val="00EA375E"/>
    <w:rsid w:val="00EA3D34"/>
    <w:rsid w:val="00EA4756"/>
    <w:rsid w:val="00EA76DE"/>
    <w:rsid w:val="00EB2B99"/>
    <w:rsid w:val="00EB2FE4"/>
    <w:rsid w:val="00EB39D6"/>
    <w:rsid w:val="00EB411E"/>
    <w:rsid w:val="00EB454D"/>
    <w:rsid w:val="00EB5703"/>
    <w:rsid w:val="00EC48FB"/>
    <w:rsid w:val="00ED31DC"/>
    <w:rsid w:val="00ED4955"/>
    <w:rsid w:val="00ED549D"/>
    <w:rsid w:val="00ED76BE"/>
    <w:rsid w:val="00EE00E9"/>
    <w:rsid w:val="00EE12CB"/>
    <w:rsid w:val="00EE247F"/>
    <w:rsid w:val="00EE340A"/>
    <w:rsid w:val="00EE57EB"/>
    <w:rsid w:val="00EF04D5"/>
    <w:rsid w:val="00EF1353"/>
    <w:rsid w:val="00EF1AAA"/>
    <w:rsid w:val="00EF1BA6"/>
    <w:rsid w:val="00EF1C61"/>
    <w:rsid w:val="00EF1E3A"/>
    <w:rsid w:val="00EF3579"/>
    <w:rsid w:val="00EF4031"/>
    <w:rsid w:val="00EF4225"/>
    <w:rsid w:val="00EF4A26"/>
    <w:rsid w:val="00EF619B"/>
    <w:rsid w:val="00F00B55"/>
    <w:rsid w:val="00F02AD1"/>
    <w:rsid w:val="00F050B2"/>
    <w:rsid w:val="00F115A5"/>
    <w:rsid w:val="00F136BB"/>
    <w:rsid w:val="00F15ADC"/>
    <w:rsid w:val="00F25040"/>
    <w:rsid w:val="00F253CC"/>
    <w:rsid w:val="00F261EE"/>
    <w:rsid w:val="00F272D0"/>
    <w:rsid w:val="00F305A0"/>
    <w:rsid w:val="00F308F1"/>
    <w:rsid w:val="00F3260F"/>
    <w:rsid w:val="00F37106"/>
    <w:rsid w:val="00F43D1D"/>
    <w:rsid w:val="00F44E02"/>
    <w:rsid w:val="00F44E25"/>
    <w:rsid w:val="00F519CF"/>
    <w:rsid w:val="00F56BA5"/>
    <w:rsid w:val="00F57827"/>
    <w:rsid w:val="00F60374"/>
    <w:rsid w:val="00F60E22"/>
    <w:rsid w:val="00F65013"/>
    <w:rsid w:val="00F65FC7"/>
    <w:rsid w:val="00F722EC"/>
    <w:rsid w:val="00F7288F"/>
    <w:rsid w:val="00F72F01"/>
    <w:rsid w:val="00F76E84"/>
    <w:rsid w:val="00F80E49"/>
    <w:rsid w:val="00F81395"/>
    <w:rsid w:val="00F81BB8"/>
    <w:rsid w:val="00F85E9D"/>
    <w:rsid w:val="00F87019"/>
    <w:rsid w:val="00F87AA1"/>
    <w:rsid w:val="00F90C64"/>
    <w:rsid w:val="00F90CC9"/>
    <w:rsid w:val="00F917D1"/>
    <w:rsid w:val="00F94965"/>
    <w:rsid w:val="00F9653B"/>
    <w:rsid w:val="00FA0C29"/>
    <w:rsid w:val="00FA1A39"/>
    <w:rsid w:val="00FA3F1C"/>
    <w:rsid w:val="00FB191A"/>
    <w:rsid w:val="00FB62CF"/>
    <w:rsid w:val="00FB6C81"/>
    <w:rsid w:val="00FC0324"/>
    <w:rsid w:val="00FC03B8"/>
    <w:rsid w:val="00FC2DC4"/>
    <w:rsid w:val="00FC45E0"/>
    <w:rsid w:val="00FD162A"/>
    <w:rsid w:val="00FD3C3B"/>
    <w:rsid w:val="00FD3F01"/>
    <w:rsid w:val="00FD4A52"/>
    <w:rsid w:val="00FD5A9B"/>
    <w:rsid w:val="00FE07DD"/>
    <w:rsid w:val="00FE0802"/>
    <w:rsid w:val="00FE17DC"/>
    <w:rsid w:val="00FE1F28"/>
    <w:rsid w:val="00FE6B45"/>
    <w:rsid w:val="00FE7E03"/>
    <w:rsid w:val="00FF0E58"/>
    <w:rsid w:val="00FF55F3"/>
    <w:rsid w:val="00FF5851"/>
    <w:rsid w:val="00FF7B79"/>
    <w:rsid w:val="00FF7F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 w:type="character" w:customStyle="1" w:styleId="n">
    <w:name w:val="n"/>
    <w:basedOn w:val="DefaultParagraphFont"/>
    <w:rsid w:val="00710283"/>
  </w:style>
  <w:style w:type="character" w:styleId="UnresolvedMention">
    <w:name w:val="Unresolved Mention"/>
    <w:basedOn w:val="DefaultParagraphFont"/>
    <w:uiPriority w:val="99"/>
    <w:semiHidden/>
    <w:unhideWhenUsed/>
    <w:rsid w:val="00E52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878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208"/>
    <w:rsid w:val="000C0FCB"/>
    <w:rsid w:val="00120FA3"/>
    <w:rsid w:val="00151E1F"/>
    <w:rsid w:val="001F7FF3"/>
    <w:rsid w:val="00200821"/>
    <w:rsid w:val="0025245B"/>
    <w:rsid w:val="002C52A7"/>
    <w:rsid w:val="002E6B20"/>
    <w:rsid w:val="00314194"/>
    <w:rsid w:val="00374D45"/>
    <w:rsid w:val="00394049"/>
    <w:rsid w:val="003B0699"/>
    <w:rsid w:val="003B217A"/>
    <w:rsid w:val="00406C18"/>
    <w:rsid w:val="004679A0"/>
    <w:rsid w:val="004B5BBB"/>
    <w:rsid w:val="004F2DF8"/>
    <w:rsid w:val="00555DD5"/>
    <w:rsid w:val="005909CC"/>
    <w:rsid w:val="00666399"/>
    <w:rsid w:val="0069641B"/>
    <w:rsid w:val="006F24A1"/>
    <w:rsid w:val="007B051A"/>
    <w:rsid w:val="007C6EC2"/>
    <w:rsid w:val="00833FB5"/>
    <w:rsid w:val="00857B5B"/>
    <w:rsid w:val="0087361D"/>
    <w:rsid w:val="009A261B"/>
    <w:rsid w:val="00A94CA0"/>
    <w:rsid w:val="00AA2E17"/>
    <w:rsid w:val="00AC15A4"/>
    <w:rsid w:val="00B0336C"/>
    <w:rsid w:val="00B105F3"/>
    <w:rsid w:val="00B17E31"/>
    <w:rsid w:val="00B35543"/>
    <w:rsid w:val="00BB0B14"/>
    <w:rsid w:val="00BE185B"/>
    <w:rsid w:val="00BF58B8"/>
    <w:rsid w:val="00C179AD"/>
    <w:rsid w:val="00C35B5F"/>
    <w:rsid w:val="00CB329F"/>
    <w:rsid w:val="00D17D96"/>
    <w:rsid w:val="00D23D9A"/>
    <w:rsid w:val="00D241E9"/>
    <w:rsid w:val="00D7750D"/>
    <w:rsid w:val="00DB6954"/>
    <w:rsid w:val="00E21CD1"/>
    <w:rsid w:val="00EE4EED"/>
    <w:rsid w:val="00EE77EC"/>
    <w:rsid w:val="00F00D2F"/>
    <w:rsid w:val="00F128DF"/>
    <w:rsid w:val="00F9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D515-085A-4B01-89C8-19094F8E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4638</Words>
  <Characters>26441</Characters>
  <Application>Microsoft Office Word</Application>
  <DocSecurity>0</DocSecurity>
  <Lines>220</Lines>
  <Paragraphs>62</Paragraphs>
  <ScaleCrop>false</ScaleCrop>
  <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2022-10-14T13:52:00Z</dcterms:created>
  <dcterms:modified xsi:type="dcterms:W3CDTF">2022-10-14T13:52:00Z</dcterms:modified>
</cp:coreProperties>
</file>