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2F40538" w:rsidR="00040C3A" w:rsidRPr="001A2788" w:rsidRDefault="002966A3" w:rsidP="00627C9F">
      <w:pPr>
        <w:jc w:val="both"/>
        <w:rPr>
          <w:rFonts w:asciiTheme="majorHAnsi" w:hAnsiTheme="majorHAnsi" w:cs="Univers"/>
          <w:b/>
          <w:bCs/>
          <w:sz w:val="22"/>
          <w:szCs w:val="22"/>
          <w:lang w:val="es-VE"/>
        </w:rPr>
      </w:pPr>
      <w:r>
        <w:rPr>
          <w:noProof/>
        </w:rPr>
        <mc:AlternateContent>
          <mc:Choice Requires="wps">
            <w:drawing>
              <wp:anchor distT="0" distB="0" distL="114300" distR="114300" simplePos="0" relativeHeight="251661311" behindDoc="0" locked="0" layoutInCell="1" allowOverlap="1" wp14:anchorId="7B30AF04" wp14:editId="64065B93">
                <wp:simplePos x="0" y="0"/>
                <wp:positionH relativeFrom="column">
                  <wp:posOffset>-415925</wp:posOffset>
                </wp:positionH>
                <wp:positionV relativeFrom="paragraph">
                  <wp:posOffset>-439420</wp:posOffset>
                </wp:positionV>
                <wp:extent cx="1543050" cy="909637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05501" id="Rectangle 9"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" fillcolor="#4a7194" stroked="f" strokeweight="2pt"/>
            </w:pict>
          </mc:Fallback>
        </mc:AlternateContent>
      </w:r>
      <w:r>
        <w:rPr>
          <w:noProof/>
        </w:rPr>
        <mc:AlternateContent>
          <mc:Choice Requires="wps">
            <w:drawing>
              <wp:anchor distT="0" distB="0" distL="114300" distR="114300" simplePos="0" relativeHeight="251673600" behindDoc="0" locked="0" layoutInCell="1" allowOverlap="1" wp14:anchorId="718AF2B6" wp14:editId="414AA1ED">
                <wp:simplePos x="0" y="0"/>
                <wp:positionH relativeFrom="column">
                  <wp:posOffset>1282065</wp:posOffset>
                </wp:positionH>
                <wp:positionV relativeFrom="paragraph">
                  <wp:posOffset>-424180</wp:posOffset>
                </wp:positionV>
                <wp:extent cx="5248275" cy="9023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AF2B6" id="_x0000_t202" coordsize="21600,21600" o:spt="202" path="m,l,21600r21600,l21600,xe">
                <v:stroke joinstyle="miter"/>
                <v:path gradientshapeok="t" o:connecttype="rect"/>
              </v:shapetype>
              <v:shape id="Text Box 8"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1A2788">
        <w:rPr>
          <w:rFonts w:asciiTheme="majorHAnsi" w:hAnsiTheme="majorHAnsi" w:cs="Univers"/>
          <w:b/>
          <w:bCs/>
          <w:sz w:val="22"/>
          <w:szCs w:val="22"/>
          <w:lang w:val="es-VE"/>
        </w:rPr>
        <w:t xml:space="preserve"> </w:t>
      </w:r>
    </w:p>
    <w:p w14:paraId="751BC92D" w14:textId="77777777" w:rsidR="00040C3A" w:rsidRPr="001A2788" w:rsidRDefault="00040C3A" w:rsidP="00040C3A">
      <w:pPr>
        <w:tabs>
          <w:tab w:val="center" w:pos="5400"/>
        </w:tabs>
        <w:suppressAutoHyphens/>
        <w:jc w:val="both"/>
        <w:rPr>
          <w:rFonts w:asciiTheme="majorHAnsi" w:hAnsiTheme="majorHAnsi"/>
          <w:sz w:val="22"/>
          <w:szCs w:val="22"/>
          <w:lang w:val="es-VE"/>
        </w:rPr>
      </w:pPr>
    </w:p>
    <w:p w14:paraId="4601B0E5" w14:textId="77777777" w:rsidR="00040C3A" w:rsidRPr="001A2788" w:rsidRDefault="00040C3A" w:rsidP="00040C3A">
      <w:pPr>
        <w:tabs>
          <w:tab w:val="center" w:pos="5400"/>
        </w:tabs>
        <w:suppressAutoHyphens/>
        <w:jc w:val="both"/>
        <w:rPr>
          <w:rFonts w:asciiTheme="majorHAnsi" w:hAnsiTheme="majorHAnsi"/>
          <w:sz w:val="22"/>
          <w:szCs w:val="22"/>
          <w:lang w:val="es-VE"/>
        </w:rPr>
      </w:pPr>
    </w:p>
    <w:p w14:paraId="49EC0A3F" w14:textId="77777777" w:rsidR="005128E4" w:rsidRPr="001A2788" w:rsidRDefault="005128E4" w:rsidP="00040C3A">
      <w:pPr>
        <w:tabs>
          <w:tab w:val="center" w:pos="5400"/>
        </w:tabs>
        <w:suppressAutoHyphens/>
        <w:rPr>
          <w:rFonts w:asciiTheme="majorHAnsi" w:hAnsiTheme="majorHAnsi"/>
          <w:sz w:val="22"/>
          <w:szCs w:val="22"/>
          <w:lang w:val="es-VE"/>
        </w:rPr>
      </w:pPr>
    </w:p>
    <w:p w14:paraId="7F51F08B" w14:textId="77777777" w:rsidR="005128E4" w:rsidRPr="001A2788" w:rsidRDefault="005128E4" w:rsidP="00040C3A">
      <w:pPr>
        <w:tabs>
          <w:tab w:val="center" w:pos="5400"/>
        </w:tabs>
        <w:suppressAutoHyphens/>
        <w:rPr>
          <w:rFonts w:asciiTheme="majorHAnsi" w:hAnsiTheme="majorHAnsi"/>
          <w:sz w:val="22"/>
          <w:szCs w:val="22"/>
          <w:lang w:val="es-VE"/>
        </w:rPr>
      </w:pPr>
    </w:p>
    <w:p w14:paraId="058606A7" w14:textId="77777777" w:rsidR="005128E4" w:rsidRPr="001A2788" w:rsidRDefault="005128E4" w:rsidP="00040C3A">
      <w:pPr>
        <w:tabs>
          <w:tab w:val="center" w:pos="5400"/>
        </w:tabs>
        <w:suppressAutoHyphens/>
        <w:rPr>
          <w:rFonts w:asciiTheme="majorHAnsi" w:hAnsiTheme="majorHAnsi"/>
          <w:sz w:val="22"/>
          <w:szCs w:val="22"/>
          <w:lang w:val="es-VE"/>
        </w:rPr>
      </w:pPr>
    </w:p>
    <w:p w14:paraId="01B9D56A" w14:textId="77777777" w:rsidR="00040C3A" w:rsidRPr="001A2788" w:rsidRDefault="00040C3A" w:rsidP="005128E4">
      <w:pPr>
        <w:tabs>
          <w:tab w:val="center" w:pos="5400"/>
        </w:tabs>
        <w:suppressAutoHyphens/>
        <w:jc w:val="center"/>
        <w:rPr>
          <w:rFonts w:asciiTheme="majorHAnsi" w:hAnsiTheme="majorHAnsi"/>
          <w:sz w:val="22"/>
          <w:szCs w:val="22"/>
          <w:lang w:val="es-VE"/>
        </w:rPr>
      </w:pPr>
    </w:p>
    <w:p w14:paraId="513D0572" w14:textId="77777777" w:rsidR="00040C3A" w:rsidRPr="001A2788" w:rsidRDefault="00040C3A" w:rsidP="005128E4">
      <w:pPr>
        <w:tabs>
          <w:tab w:val="center" w:pos="5400"/>
        </w:tabs>
        <w:suppressAutoHyphens/>
        <w:jc w:val="center"/>
        <w:rPr>
          <w:rFonts w:asciiTheme="majorHAnsi" w:hAnsiTheme="majorHAnsi"/>
          <w:sz w:val="22"/>
          <w:szCs w:val="22"/>
          <w:lang w:val="es-VE"/>
        </w:rPr>
      </w:pPr>
    </w:p>
    <w:p w14:paraId="2D06BA43" w14:textId="77777777" w:rsidR="005B52B0" w:rsidRPr="001A2788" w:rsidRDefault="005B52B0" w:rsidP="005128E4">
      <w:pPr>
        <w:tabs>
          <w:tab w:val="center" w:pos="5400"/>
        </w:tabs>
        <w:suppressAutoHyphens/>
        <w:jc w:val="center"/>
        <w:rPr>
          <w:rFonts w:asciiTheme="majorHAnsi" w:hAnsiTheme="majorHAnsi"/>
          <w:sz w:val="22"/>
          <w:szCs w:val="22"/>
          <w:lang w:val="es-VE"/>
        </w:rPr>
      </w:pPr>
    </w:p>
    <w:p w14:paraId="762470A2" w14:textId="77777777" w:rsidR="005B52B0" w:rsidRPr="001A2788" w:rsidRDefault="005B52B0" w:rsidP="005128E4">
      <w:pPr>
        <w:tabs>
          <w:tab w:val="center" w:pos="5400"/>
        </w:tabs>
        <w:suppressAutoHyphens/>
        <w:jc w:val="center"/>
        <w:rPr>
          <w:rFonts w:asciiTheme="majorHAnsi" w:hAnsiTheme="majorHAnsi"/>
          <w:sz w:val="22"/>
          <w:szCs w:val="22"/>
          <w:lang w:val="es-VE"/>
        </w:rPr>
      </w:pPr>
    </w:p>
    <w:p w14:paraId="6F01DDF3" w14:textId="77777777" w:rsidR="005B52B0" w:rsidRPr="001A2788" w:rsidRDefault="005B52B0" w:rsidP="005128E4">
      <w:pPr>
        <w:tabs>
          <w:tab w:val="center" w:pos="5400"/>
        </w:tabs>
        <w:suppressAutoHyphens/>
        <w:jc w:val="center"/>
        <w:rPr>
          <w:rFonts w:asciiTheme="majorHAnsi" w:hAnsiTheme="majorHAnsi"/>
          <w:sz w:val="22"/>
          <w:szCs w:val="22"/>
          <w:lang w:val="es-VE"/>
        </w:rPr>
      </w:pPr>
    </w:p>
    <w:p w14:paraId="35ACB115"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3D124B92"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01E9EAD2" w14:textId="7905C969" w:rsidR="00040C3A" w:rsidRPr="001A2788" w:rsidRDefault="002966A3" w:rsidP="00040C3A">
      <w:pPr>
        <w:tabs>
          <w:tab w:val="center" w:pos="5400"/>
        </w:tabs>
        <w:suppressAutoHyphens/>
        <w:jc w:val="center"/>
        <w:rPr>
          <w:rFonts w:asciiTheme="majorHAnsi" w:hAnsiTheme="majorHAnsi"/>
          <w:sz w:val="22"/>
          <w:szCs w:val="22"/>
          <w:lang w:val="es-VE"/>
        </w:rPr>
      </w:pPr>
      <w:r>
        <w:rPr>
          <w:noProof/>
        </w:rPr>
        <mc:AlternateContent>
          <mc:Choice Requires="wps">
            <w:drawing>
              <wp:anchor distT="0" distB="0" distL="114300" distR="114300" simplePos="0" relativeHeight="251669504" behindDoc="0" locked="0" layoutInCell="1" allowOverlap="1" wp14:anchorId="2D38710E" wp14:editId="40DE322B">
                <wp:simplePos x="0" y="0"/>
                <wp:positionH relativeFrom="column">
                  <wp:posOffset>1206337</wp:posOffset>
                </wp:positionH>
                <wp:positionV relativeFrom="paragraph">
                  <wp:posOffset>106680</wp:posOffset>
                </wp:positionV>
                <wp:extent cx="5269117" cy="2181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117"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142FCB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74F98">
                              <w:rPr>
                                <w:rFonts w:asciiTheme="majorHAnsi" w:hAnsiTheme="majorHAnsi" w:cs="Arial"/>
                                <w:b/>
                                <w:bCs/>
                                <w:color w:val="0D0D0D" w:themeColor="text1" w:themeTint="F2"/>
                                <w:sz w:val="36"/>
                                <w:szCs w:val="22"/>
                                <w:lang w:val="es-ES_tradnl"/>
                              </w:rPr>
                              <w:t>372</w:t>
                            </w:r>
                            <w:r w:rsidR="007B05C4">
                              <w:rPr>
                                <w:rFonts w:asciiTheme="majorHAnsi" w:hAnsiTheme="majorHAnsi" w:cs="Arial"/>
                                <w:b/>
                                <w:bCs/>
                                <w:color w:val="0D0D0D" w:themeColor="text1" w:themeTint="F2"/>
                                <w:sz w:val="36"/>
                                <w:szCs w:val="22"/>
                                <w:lang w:val="es-ES_tradnl"/>
                              </w:rPr>
                              <w:t>/</w:t>
                            </w:r>
                            <w:r w:rsidR="00C2554E">
                              <w:rPr>
                                <w:rFonts w:asciiTheme="majorHAnsi" w:hAnsiTheme="majorHAnsi" w:cs="Arial"/>
                                <w:b/>
                                <w:bCs/>
                                <w:color w:val="0D0D0D" w:themeColor="text1" w:themeTint="F2"/>
                                <w:sz w:val="36"/>
                                <w:szCs w:val="22"/>
                                <w:lang w:val="es-ES_tradnl"/>
                              </w:rPr>
                              <w:t>22</w:t>
                            </w:r>
                          </w:p>
                          <w:p w14:paraId="45F30ECA" w14:textId="3562F5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704D6">
                              <w:rPr>
                                <w:rFonts w:asciiTheme="majorHAnsi" w:hAnsiTheme="majorHAnsi" w:cs="Arial"/>
                                <w:b/>
                                <w:color w:val="0D0D0D" w:themeColor="text1" w:themeTint="F2"/>
                                <w:sz w:val="36"/>
                                <w:szCs w:val="22"/>
                                <w:lang w:val="es-ES_tradnl"/>
                              </w:rPr>
                              <w:t>750</w:t>
                            </w:r>
                            <w:r w:rsidR="00246D1F" w:rsidRPr="004E2649">
                              <w:rPr>
                                <w:rFonts w:asciiTheme="majorHAnsi" w:hAnsiTheme="majorHAnsi" w:cs="Arial"/>
                                <w:b/>
                                <w:color w:val="0D0D0D" w:themeColor="text1" w:themeTint="F2"/>
                                <w:sz w:val="36"/>
                                <w:szCs w:val="22"/>
                                <w:lang w:val="es-ES_tradnl"/>
                              </w:rPr>
                              <w:t>-</w:t>
                            </w:r>
                            <w:r w:rsidR="00D704D6">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44F616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5D94C026" w:rsidR="005B52B0" w:rsidRPr="0010736F" w:rsidRDefault="00D340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VE"/>
                              </w:rPr>
                              <w:t xml:space="preserve">MARTHA GONZÁLEZ RODRÍGUEZ, </w:t>
                            </w:r>
                            <w:r w:rsidR="006D397C" w:rsidRPr="006D397C">
                              <w:rPr>
                                <w:rFonts w:asciiTheme="majorHAnsi" w:hAnsiTheme="majorHAnsi" w:cs="Arial"/>
                                <w:bCs/>
                                <w:color w:val="0D0D0D" w:themeColor="text1" w:themeTint="F2"/>
                                <w:szCs w:val="22"/>
                                <w:lang w:val="es-VE"/>
                              </w:rPr>
                              <w:t>ÁLVARO GONZÁLEZ SANTANA Y FAMILIA</w:t>
                            </w:r>
                          </w:p>
                          <w:bookmarkEnd w:id="0"/>
                          <w:p w14:paraId="0B9F7D22" w14:textId="462636C4" w:rsidR="005B52B0" w:rsidRPr="00F56ECB" w:rsidRDefault="006D397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710E" id="Text Box 7" o:spid="_x0000_s1027" type="#_x0000_t202" style="position:absolute;left:0;text-align:left;margin-left:95pt;margin-top:8.4pt;width:414.9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" filled="f" stroked="f" strokeweight=".5pt">
                <v:textbox>
                  <w:txbxContent>
                    <w:p w14:paraId="7D7328D9" w14:textId="142FCBF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74F98">
                        <w:rPr>
                          <w:rFonts w:asciiTheme="majorHAnsi" w:hAnsiTheme="majorHAnsi" w:cs="Arial"/>
                          <w:b/>
                          <w:bCs/>
                          <w:color w:val="0D0D0D" w:themeColor="text1" w:themeTint="F2"/>
                          <w:sz w:val="36"/>
                          <w:szCs w:val="22"/>
                          <w:lang w:val="es-ES_tradnl"/>
                        </w:rPr>
                        <w:t>372</w:t>
                      </w:r>
                      <w:r w:rsidR="007B05C4">
                        <w:rPr>
                          <w:rFonts w:asciiTheme="majorHAnsi" w:hAnsiTheme="majorHAnsi" w:cs="Arial"/>
                          <w:b/>
                          <w:bCs/>
                          <w:color w:val="0D0D0D" w:themeColor="text1" w:themeTint="F2"/>
                          <w:sz w:val="36"/>
                          <w:szCs w:val="22"/>
                          <w:lang w:val="es-ES_tradnl"/>
                        </w:rPr>
                        <w:t>/</w:t>
                      </w:r>
                      <w:r w:rsidR="00C2554E">
                        <w:rPr>
                          <w:rFonts w:asciiTheme="majorHAnsi" w:hAnsiTheme="majorHAnsi" w:cs="Arial"/>
                          <w:b/>
                          <w:bCs/>
                          <w:color w:val="0D0D0D" w:themeColor="text1" w:themeTint="F2"/>
                          <w:sz w:val="36"/>
                          <w:szCs w:val="22"/>
                          <w:lang w:val="es-ES_tradnl"/>
                        </w:rPr>
                        <w:t>22</w:t>
                      </w:r>
                    </w:p>
                    <w:p w14:paraId="45F30ECA" w14:textId="3562F5A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D704D6">
                        <w:rPr>
                          <w:rFonts w:asciiTheme="majorHAnsi" w:hAnsiTheme="majorHAnsi" w:cs="Arial"/>
                          <w:b/>
                          <w:color w:val="0D0D0D" w:themeColor="text1" w:themeTint="F2"/>
                          <w:sz w:val="36"/>
                          <w:szCs w:val="22"/>
                          <w:lang w:val="es-ES_tradnl"/>
                        </w:rPr>
                        <w:t>750</w:t>
                      </w:r>
                      <w:r w:rsidR="00246D1F" w:rsidRPr="004E2649">
                        <w:rPr>
                          <w:rFonts w:asciiTheme="majorHAnsi" w:hAnsiTheme="majorHAnsi" w:cs="Arial"/>
                          <w:b/>
                          <w:color w:val="0D0D0D" w:themeColor="text1" w:themeTint="F2"/>
                          <w:sz w:val="36"/>
                          <w:szCs w:val="22"/>
                          <w:lang w:val="es-ES_tradnl"/>
                        </w:rPr>
                        <w:t>-</w:t>
                      </w:r>
                      <w:r w:rsidR="00D704D6">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044F616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5D94C026" w:rsidR="005B52B0" w:rsidRPr="0010736F" w:rsidRDefault="00D340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bCs/>
                          <w:color w:val="0D0D0D" w:themeColor="text1" w:themeTint="F2"/>
                          <w:szCs w:val="22"/>
                          <w:lang w:val="es-VE"/>
                        </w:rPr>
                        <w:t xml:space="preserve">MARTHA GONZÁLEZ RODRÍGUEZ, </w:t>
                      </w:r>
                      <w:r w:rsidR="006D397C" w:rsidRPr="006D397C">
                        <w:rPr>
                          <w:rFonts w:asciiTheme="majorHAnsi" w:hAnsiTheme="majorHAnsi" w:cs="Arial"/>
                          <w:bCs/>
                          <w:color w:val="0D0D0D" w:themeColor="text1" w:themeTint="F2"/>
                          <w:szCs w:val="22"/>
                          <w:lang w:val="es-VE"/>
                        </w:rPr>
                        <w:t>ÁLVARO GONZÁLEZ SANTANA Y FAMILIA</w:t>
                      </w:r>
                    </w:p>
                    <w:bookmarkEnd w:id="1"/>
                    <w:p w14:paraId="0B9F7D22" w14:textId="462636C4" w:rsidR="005B52B0" w:rsidRPr="00F56ECB" w:rsidRDefault="006D397C"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36CF987" wp14:editId="33C638B0">
                <wp:simplePos x="0" y="0"/>
                <wp:positionH relativeFrom="column">
                  <wp:posOffset>-342900</wp:posOffset>
                </wp:positionH>
                <wp:positionV relativeFrom="paragraph">
                  <wp:posOffset>164465</wp:posOffset>
                </wp:positionV>
                <wp:extent cx="1390650" cy="137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294BAB5B" w:rsidR="00627C9F" w:rsidRPr="00094311" w:rsidRDefault="00834D49" w:rsidP="007A5817">
                            <w:pPr>
                              <w:spacing w:line="276" w:lineRule="auto"/>
                              <w:jc w:val="right"/>
                              <w:rPr>
                                <w:rFonts w:asciiTheme="minorHAnsi" w:hAnsiTheme="minorHAnsi"/>
                                <w:color w:val="FFFFFF" w:themeColor="background1"/>
                                <w:sz w:val="22"/>
                                <w:lang w:val="es-AR"/>
                              </w:rPr>
                            </w:pPr>
                            <w:r w:rsidRPr="00094311">
                              <w:rPr>
                                <w:rFonts w:asciiTheme="minorHAnsi" w:hAnsiTheme="minorHAnsi"/>
                                <w:color w:val="FFFFFF" w:themeColor="background1"/>
                                <w:sz w:val="22"/>
                                <w:lang w:val="es-AR"/>
                              </w:rPr>
                              <w:t>OEA/Ser.L/V/II</w:t>
                            </w:r>
                          </w:p>
                          <w:p w14:paraId="71D2D5D2" w14:textId="4F42D192" w:rsidR="00627C9F" w:rsidRPr="00094311" w:rsidRDefault="00627C9F" w:rsidP="007A5817">
                            <w:pPr>
                              <w:spacing w:line="276" w:lineRule="auto"/>
                              <w:jc w:val="right"/>
                              <w:rPr>
                                <w:rFonts w:asciiTheme="minorHAnsi" w:hAnsiTheme="minorHAnsi"/>
                                <w:color w:val="FFFFFF" w:themeColor="background1"/>
                                <w:sz w:val="22"/>
                                <w:lang w:val="es-AR"/>
                              </w:rPr>
                            </w:pPr>
                            <w:r w:rsidRPr="00094311">
                              <w:rPr>
                                <w:rFonts w:asciiTheme="minorHAnsi" w:hAnsiTheme="minorHAnsi"/>
                                <w:color w:val="FFFFFF" w:themeColor="background1"/>
                                <w:sz w:val="22"/>
                                <w:lang w:val="es-AR"/>
                              </w:rPr>
                              <w:t>Doc.</w:t>
                            </w:r>
                            <w:r w:rsidR="00766179" w:rsidRPr="00094311">
                              <w:rPr>
                                <w:rFonts w:asciiTheme="minorHAnsi" w:hAnsiTheme="minorHAnsi"/>
                                <w:color w:val="FFFFFF" w:themeColor="background1"/>
                                <w:sz w:val="22"/>
                                <w:lang w:val="es-AR"/>
                              </w:rPr>
                              <w:t xml:space="preserve"> </w:t>
                            </w:r>
                            <w:r w:rsidR="00472D5C" w:rsidRPr="00094311">
                              <w:rPr>
                                <w:rFonts w:asciiTheme="minorHAnsi" w:hAnsiTheme="minorHAnsi"/>
                                <w:color w:val="FFFFFF" w:themeColor="background1"/>
                                <w:sz w:val="22"/>
                                <w:lang w:val="es-AR"/>
                              </w:rPr>
                              <w:t>380</w:t>
                            </w:r>
                            <w:r w:rsidRPr="00094311">
                              <w:rPr>
                                <w:rFonts w:asciiTheme="minorHAnsi" w:hAnsiTheme="minorHAnsi"/>
                                <w:color w:val="FFFFFF" w:themeColor="background1"/>
                                <w:sz w:val="22"/>
                                <w:lang w:val="es-AR"/>
                              </w:rPr>
                              <w:t xml:space="preserve"> </w:t>
                            </w:r>
                          </w:p>
                          <w:p w14:paraId="4061DBBD" w14:textId="23CA7B2F" w:rsidR="00627C9F" w:rsidRPr="00C25ADB" w:rsidRDefault="008F0C3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C23F3E">
                              <w:rPr>
                                <w:rFonts w:asciiTheme="minorHAnsi" w:hAnsiTheme="minorHAnsi"/>
                                <w:color w:val="FFFFFF" w:themeColor="background1"/>
                                <w:sz w:val="22"/>
                                <w:lang w:val="es-PA"/>
                              </w:rPr>
                              <w:t xml:space="preserve">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D397C">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F987" id="Text Box 6"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3633871B" w14:textId="294BAB5B" w:rsidR="00627C9F" w:rsidRPr="00094311" w:rsidRDefault="00834D49" w:rsidP="007A5817">
                      <w:pPr>
                        <w:spacing w:line="276" w:lineRule="auto"/>
                        <w:jc w:val="right"/>
                        <w:rPr>
                          <w:rFonts w:asciiTheme="minorHAnsi" w:hAnsiTheme="minorHAnsi"/>
                          <w:color w:val="FFFFFF" w:themeColor="background1"/>
                          <w:sz w:val="22"/>
                          <w:lang w:val="es-AR"/>
                        </w:rPr>
                      </w:pPr>
                      <w:r w:rsidRPr="00094311">
                        <w:rPr>
                          <w:rFonts w:asciiTheme="minorHAnsi" w:hAnsiTheme="minorHAnsi"/>
                          <w:color w:val="FFFFFF" w:themeColor="background1"/>
                          <w:sz w:val="22"/>
                          <w:lang w:val="es-AR"/>
                        </w:rPr>
                        <w:t>OEA/Ser.L/V/II</w:t>
                      </w:r>
                    </w:p>
                    <w:p w14:paraId="71D2D5D2" w14:textId="4F42D192" w:rsidR="00627C9F" w:rsidRPr="00094311" w:rsidRDefault="00627C9F" w:rsidP="007A5817">
                      <w:pPr>
                        <w:spacing w:line="276" w:lineRule="auto"/>
                        <w:jc w:val="right"/>
                        <w:rPr>
                          <w:rFonts w:asciiTheme="minorHAnsi" w:hAnsiTheme="minorHAnsi"/>
                          <w:color w:val="FFFFFF" w:themeColor="background1"/>
                          <w:sz w:val="22"/>
                          <w:lang w:val="es-AR"/>
                        </w:rPr>
                      </w:pPr>
                      <w:r w:rsidRPr="00094311">
                        <w:rPr>
                          <w:rFonts w:asciiTheme="minorHAnsi" w:hAnsiTheme="minorHAnsi"/>
                          <w:color w:val="FFFFFF" w:themeColor="background1"/>
                          <w:sz w:val="22"/>
                          <w:lang w:val="es-AR"/>
                        </w:rPr>
                        <w:t>Doc.</w:t>
                      </w:r>
                      <w:r w:rsidR="00766179" w:rsidRPr="00094311">
                        <w:rPr>
                          <w:rFonts w:asciiTheme="minorHAnsi" w:hAnsiTheme="minorHAnsi"/>
                          <w:color w:val="FFFFFF" w:themeColor="background1"/>
                          <w:sz w:val="22"/>
                          <w:lang w:val="es-AR"/>
                        </w:rPr>
                        <w:t xml:space="preserve"> </w:t>
                      </w:r>
                      <w:r w:rsidR="00472D5C" w:rsidRPr="00094311">
                        <w:rPr>
                          <w:rFonts w:asciiTheme="minorHAnsi" w:hAnsiTheme="minorHAnsi"/>
                          <w:color w:val="FFFFFF" w:themeColor="background1"/>
                          <w:sz w:val="22"/>
                          <w:lang w:val="es-AR"/>
                        </w:rPr>
                        <w:t>380</w:t>
                      </w:r>
                      <w:r w:rsidRPr="00094311">
                        <w:rPr>
                          <w:rFonts w:asciiTheme="minorHAnsi" w:hAnsiTheme="minorHAnsi"/>
                          <w:color w:val="FFFFFF" w:themeColor="background1"/>
                          <w:sz w:val="22"/>
                          <w:lang w:val="es-AR"/>
                        </w:rPr>
                        <w:t xml:space="preserve"> </w:t>
                      </w:r>
                    </w:p>
                    <w:p w14:paraId="4061DBBD" w14:textId="23CA7B2F" w:rsidR="00627C9F" w:rsidRPr="00C25ADB" w:rsidRDefault="008F0C3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w:t>
                      </w:r>
                      <w:r w:rsidR="00C23F3E">
                        <w:rPr>
                          <w:rFonts w:asciiTheme="minorHAnsi" w:hAnsiTheme="minorHAnsi"/>
                          <w:color w:val="FFFFFF" w:themeColor="background1"/>
                          <w:sz w:val="22"/>
                          <w:lang w:val="es-PA"/>
                        </w:rPr>
                        <w:t xml:space="preserve">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6D397C">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529AB783"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147F033C" w14:textId="77777777" w:rsidR="00040C3A" w:rsidRPr="001A2788" w:rsidRDefault="00040C3A" w:rsidP="00040C3A">
      <w:pPr>
        <w:tabs>
          <w:tab w:val="center" w:pos="5400"/>
        </w:tabs>
        <w:suppressAutoHyphens/>
        <w:jc w:val="center"/>
        <w:rPr>
          <w:rFonts w:asciiTheme="majorHAnsi" w:hAnsiTheme="majorHAnsi" w:cs="Arial"/>
          <w:sz w:val="22"/>
          <w:szCs w:val="22"/>
          <w:lang w:val="es-VE"/>
        </w:rPr>
      </w:pPr>
    </w:p>
    <w:p w14:paraId="67ABD981"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46C4195B"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6C0D9CAF"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6140E39A"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116878DE" w14:textId="77777777" w:rsidR="005128E4" w:rsidRPr="001A2788" w:rsidRDefault="005128E4" w:rsidP="00040C3A">
      <w:pPr>
        <w:tabs>
          <w:tab w:val="center" w:pos="5400"/>
        </w:tabs>
        <w:suppressAutoHyphens/>
        <w:jc w:val="center"/>
        <w:rPr>
          <w:rFonts w:asciiTheme="majorHAnsi" w:hAnsiTheme="majorHAnsi"/>
          <w:sz w:val="22"/>
          <w:szCs w:val="22"/>
          <w:lang w:val="es-VE"/>
        </w:rPr>
      </w:pPr>
    </w:p>
    <w:p w14:paraId="6FF1A208"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23E1EE64" w14:textId="77777777" w:rsidR="005128E4" w:rsidRPr="001A2788" w:rsidRDefault="005128E4" w:rsidP="00040C3A">
      <w:pPr>
        <w:tabs>
          <w:tab w:val="center" w:pos="5400"/>
        </w:tabs>
        <w:suppressAutoHyphens/>
        <w:jc w:val="center"/>
        <w:rPr>
          <w:rFonts w:asciiTheme="majorHAnsi" w:hAnsiTheme="majorHAnsi"/>
          <w:sz w:val="22"/>
          <w:szCs w:val="22"/>
          <w:lang w:val="es-VE"/>
        </w:rPr>
      </w:pPr>
    </w:p>
    <w:p w14:paraId="2D8331F2" w14:textId="77777777" w:rsidR="005128E4" w:rsidRPr="001A2788" w:rsidRDefault="005128E4" w:rsidP="00040C3A">
      <w:pPr>
        <w:tabs>
          <w:tab w:val="center" w:pos="5400"/>
        </w:tabs>
        <w:suppressAutoHyphens/>
        <w:jc w:val="center"/>
        <w:rPr>
          <w:rFonts w:asciiTheme="majorHAnsi" w:hAnsiTheme="majorHAnsi"/>
          <w:sz w:val="22"/>
          <w:szCs w:val="22"/>
          <w:lang w:val="es-VE"/>
        </w:rPr>
      </w:pPr>
    </w:p>
    <w:p w14:paraId="1D1FCC8F" w14:textId="77777777" w:rsidR="005128E4" w:rsidRPr="001A2788" w:rsidRDefault="005128E4" w:rsidP="00040C3A">
      <w:pPr>
        <w:tabs>
          <w:tab w:val="center" w:pos="5400"/>
        </w:tabs>
        <w:suppressAutoHyphens/>
        <w:jc w:val="center"/>
        <w:rPr>
          <w:rFonts w:asciiTheme="majorHAnsi" w:hAnsiTheme="majorHAnsi"/>
          <w:sz w:val="22"/>
          <w:szCs w:val="22"/>
          <w:lang w:val="es-VE"/>
        </w:rPr>
      </w:pPr>
    </w:p>
    <w:p w14:paraId="67F753E7"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165AA979" w14:textId="77777777" w:rsidR="00040C3A" w:rsidRPr="001A2788" w:rsidRDefault="00040C3A" w:rsidP="00040C3A">
      <w:pPr>
        <w:tabs>
          <w:tab w:val="center" w:pos="5400"/>
        </w:tabs>
        <w:suppressAutoHyphens/>
        <w:jc w:val="center"/>
        <w:rPr>
          <w:rFonts w:asciiTheme="majorHAnsi" w:hAnsiTheme="majorHAnsi"/>
          <w:sz w:val="22"/>
          <w:szCs w:val="22"/>
          <w:lang w:val="es-VE"/>
        </w:rPr>
      </w:pPr>
    </w:p>
    <w:p w14:paraId="2F2457A8"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20439390"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5B80B262"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734846D8"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36D2C63A"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4F0B7F5A"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07218933"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2C99136A"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078A9198"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6A001DA7"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217E7AAB"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0C34B449"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5CF516E8"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417C9993"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641C6754" w14:textId="0AED19A4" w:rsidR="00A50FCF" w:rsidRPr="001A2788" w:rsidRDefault="002966A3" w:rsidP="00040C3A">
      <w:pPr>
        <w:tabs>
          <w:tab w:val="center" w:pos="5400"/>
        </w:tabs>
        <w:suppressAutoHyphens/>
        <w:jc w:val="center"/>
        <w:rPr>
          <w:rFonts w:asciiTheme="majorHAnsi" w:hAnsiTheme="majorHAnsi"/>
          <w:sz w:val="18"/>
          <w:szCs w:val="22"/>
          <w:lang w:val="es-VE"/>
        </w:rPr>
      </w:pPr>
      <w:r>
        <w:rPr>
          <w:noProof/>
        </w:rPr>
        <mc:AlternateContent>
          <mc:Choice Requires="wps">
            <w:drawing>
              <wp:anchor distT="0" distB="0" distL="114300" distR="114300" simplePos="0" relativeHeight="251670528" behindDoc="0" locked="0" layoutInCell="1" allowOverlap="1" wp14:anchorId="06E6C506" wp14:editId="647F83B8">
                <wp:simplePos x="0" y="0"/>
                <wp:positionH relativeFrom="column">
                  <wp:posOffset>1341755</wp:posOffset>
                </wp:positionH>
                <wp:positionV relativeFrom="paragraph">
                  <wp:posOffset>22860</wp:posOffset>
                </wp:positionV>
                <wp:extent cx="4933950" cy="6648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97ACAD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1A2788">
                              <w:rPr>
                                <w:rFonts w:asciiTheme="majorHAnsi" w:hAnsiTheme="majorHAnsi"/>
                                <w:color w:val="0D0D0D" w:themeColor="text1" w:themeTint="F2"/>
                                <w:sz w:val="18"/>
                                <w:szCs w:val="22"/>
                                <w:lang w:val="es-VE"/>
                              </w:rPr>
                              <w:t>Aprobado electrónicamente por la Comisión</w:t>
                            </w:r>
                            <w:r w:rsidRPr="00890650">
                              <w:rPr>
                                <w:rFonts w:asciiTheme="majorHAnsi" w:hAnsiTheme="majorHAnsi"/>
                                <w:color w:val="0D0D0D" w:themeColor="text1" w:themeTint="F2"/>
                                <w:sz w:val="18"/>
                                <w:szCs w:val="22"/>
                                <w:lang w:val="es-ES"/>
                              </w:rPr>
                              <w:t xml:space="preserve"> el </w:t>
                            </w:r>
                            <w:r w:rsidR="002F12C9">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2F12C9">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16114">
                              <w:rPr>
                                <w:rFonts w:asciiTheme="majorHAnsi" w:hAnsiTheme="majorHAnsi"/>
                                <w:color w:val="0D0D0D" w:themeColor="text1" w:themeTint="F2"/>
                                <w:sz w:val="18"/>
                                <w:szCs w:val="22"/>
                                <w:lang w:val="es-ES"/>
                              </w:rPr>
                              <w:t>2</w:t>
                            </w:r>
                            <w:r w:rsidR="007E0C6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6C506" id="Text Box 5"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79E1DD7" w14:textId="297ACAD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1A2788">
                        <w:rPr>
                          <w:rFonts w:asciiTheme="majorHAnsi" w:hAnsiTheme="majorHAnsi"/>
                          <w:color w:val="0D0D0D" w:themeColor="text1" w:themeTint="F2"/>
                          <w:sz w:val="18"/>
                          <w:szCs w:val="22"/>
                          <w:lang w:val="es-VE"/>
                        </w:rPr>
                        <w:t>Aprobado electrónicamente por la Comisión</w:t>
                      </w:r>
                      <w:r w:rsidRPr="00890650">
                        <w:rPr>
                          <w:rFonts w:asciiTheme="majorHAnsi" w:hAnsiTheme="majorHAnsi"/>
                          <w:color w:val="0D0D0D" w:themeColor="text1" w:themeTint="F2"/>
                          <w:sz w:val="18"/>
                          <w:szCs w:val="22"/>
                          <w:lang w:val="es-ES"/>
                        </w:rPr>
                        <w:t xml:space="preserve"> el </w:t>
                      </w:r>
                      <w:r w:rsidR="002F12C9">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2F12C9">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16114">
                        <w:rPr>
                          <w:rFonts w:asciiTheme="majorHAnsi" w:hAnsiTheme="majorHAnsi"/>
                          <w:color w:val="0D0D0D" w:themeColor="text1" w:themeTint="F2"/>
                          <w:sz w:val="18"/>
                          <w:szCs w:val="22"/>
                          <w:lang w:val="es-ES"/>
                        </w:rPr>
                        <w:t>2</w:t>
                      </w:r>
                      <w:r w:rsidR="007E0C63">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28FED950"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53E3A276"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5EDC5EE2"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4730F205" w14:textId="740CD3C1" w:rsidR="00A50FCF" w:rsidRPr="001A2788" w:rsidRDefault="002966A3" w:rsidP="00040C3A">
      <w:pPr>
        <w:tabs>
          <w:tab w:val="center" w:pos="5400"/>
        </w:tabs>
        <w:suppressAutoHyphens/>
        <w:jc w:val="center"/>
        <w:rPr>
          <w:rFonts w:asciiTheme="majorHAnsi" w:hAnsiTheme="majorHAnsi"/>
          <w:sz w:val="18"/>
          <w:szCs w:val="22"/>
          <w:lang w:val="es-VE"/>
        </w:rPr>
      </w:pPr>
      <w:r>
        <w:rPr>
          <w:noProof/>
        </w:rPr>
        <mc:AlternateContent>
          <mc:Choice Requires="wps">
            <w:drawing>
              <wp:anchor distT="0" distB="0" distL="114300" distR="114300" simplePos="0" relativeHeight="251678720" behindDoc="0" locked="0" layoutInCell="1" allowOverlap="1" wp14:anchorId="39D7C335" wp14:editId="24F8B38C">
                <wp:simplePos x="0" y="0"/>
                <wp:positionH relativeFrom="column">
                  <wp:posOffset>1333500</wp:posOffset>
                </wp:positionH>
                <wp:positionV relativeFrom="paragraph">
                  <wp:posOffset>5715</wp:posOffset>
                </wp:positionV>
                <wp:extent cx="4943475" cy="6572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30D96C0" w:rsidR="00113F73" w:rsidRPr="001A2788" w:rsidRDefault="00113F73" w:rsidP="00113F73">
                            <w:pPr>
                              <w:spacing w:line="276" w:lineRule="auto"/>
                              <w:rPr>
                                <w:rFonts w:asciiTheme="majorHAnsi" w:hAnsiTheme="majorHAnsi"/>
                                <w:color w:val="595959" w:themeColor="text1" w:themeTint="A6"/>
                                <w:sz w:val="18"/>
                                <w:szCs w:val="18"/>
                                <w:lang w:val="es-VE"/>
                              </w:rPr>
                            </w:pPr>
                            <w:r w:rsidRPr="00C2554E">
                              <w:rPr>
                                <w:rFonts w:asciiTheme="majorHAnsi" w:hAnsiTheme="majorHAnsi"/>
                                <w:b/>
                                <w:color w:val="595959" w:themeColor="text1" w:themeTint="A6"/>
                                <w:sz w:val="18"/>
                                <w:szCs w:val="18"/>
                                <w:lang w:val="pt-BR"/>
                              </w:rPr>
                              <w:t>Citar como:</w:t>
                            </w:r>
                            <w:r w:rsidRPr="00C2554E">
                              <w:rPr>
                                <w:rFonts w:asciiTheme="majorHAnsi" w:hAnsiTheme="majorHAnsi"/>
                                <w:color w:val="595959" w:themeColor="text1" w:themeTint="A6"/>
                                <w:sz w:val="18"/>
                                <w:szCs w:val="18"/>
                                <w:lang w:val="pt-BR"/>
                              </w:rPr>
                              <w:t xml:space="preserve"> CIDH, Informe No. </w:t>
                            </w:r>
                            <w:r w:rsidR="00954D86">
                              <w:rPr>
                                <w:rFonts w:asciiTheme="majorHAnsi" w:hAnsiTheme="majorHAnsi"/>
                                <w:color w:val="595959" w:themeColor="text1" w:themeTint="A6"/>
                                <w:sz w:val="18"/>
                                <w:szCs w:val="18"/>
                                <w:lang w:val="pt-BR"/>
                              </w:rPr>
                              <w:t>372</w:t>
                            </w:r>
                            <w:r w:rsidR="007B05C4" w:rsidRPr="00954D86">
                              <w:rPr>
                                <w:rFonts w:asciiTheme="majorHAnsi" w:hAnsiTheme="majorHAnsi"/>
                                <w:color w:val="595959" w:themeColor="text1" w:themeTint="A6"/>
                                <w:sz w:val="18"/>
                                <w:szCs w:val="18"/>
                                <w:lang w:val="pt-BR"/>
                              </w:rPr>
                              <w:t>/</w:t>
                            </w:r>
                            <w:r w:rsidR="00954D86" w:rsidRPr="00954D86">
                              <w:rPr>
                                <w:rFonts w:asciiTheme="majorHAnsi" w:hAnsiTheme="majorHAnsi"/>
                                <w:color w:val="595959" w:themeColor="text1" w:themeTint="A6"/>
                                <w:sz w:val="18"/>
                                <w:szCs w:val="18"/>
                                <w:lang w:val="pt-BR"/>
                              </w:rPr>
                              <w:t>22</w:t>
                            </w:r>
                            <w:r w:rsidRPr="00954D86">
                              <w:rPr>
                                <w:rFonts w:asciiTheme="majorHAnsi" w:hAnsiTheme="majorHAnsi"/>
                                <w:color w:val="595959" w:themeColor="text1" w:themeTint="A6"/>
                                <w:sz w:val="18"/>
                                <w:szCs w:val="18"/>
                                <w:lang w:val="pt-BR"/>
                              </w:rPr>
                              <w:t xml:space="preserve">. </w:t>
                            </w:r>
                            <w:r w:rsidR="000433C9" w:rsidRPr="001A2788">
                              <w:rPr>
                                <w:rFonts w:asciiTheme="majorHAnsi" w:hAnsiTheme="majorHAnsi"/>
                                <w:color w:val="595959" w:themeColor="text1" w:themeTint="A6"/>
                                <w:sz w:val="18"/>
                                <w:szCs w:val="18"/>
                                <w:lang w:val="es-VE"/>
                              </w:rPr>
                              <w:t>Petición</w:t>
                            </w:r>
                            <w:r w:rsidR="00F07DE6">
                              <w:rPr>
                                <w:rFonts w:asciiTheme="majorHAnsi" w:hAnsiTheme="majorHAnsi"/>
                                <w:color w:val="595959" w:themeColor="text1" w:themeTint="A6"/>
                                <w:sz w:val="18"/>
                                <w:szCs w:val="18"/>
                                <w:lang w:val="es-VE"/>
                              </w:rPr>
                              <w:t xml:space="preserve"> 750-14</w:t>
                            </w:r>
                            <w:r w:rsidR="000433C9" w:rsidRPr="001A2788">
                              <w:rPr>
                                <w:rFonts w:asciiTheme="majorHAnsi" w:hAnsiTheme="majorHAnsi"/>
                                <w:color w:val="595959" w:themeColor="text1" w:themeTint="A6"/>
                                <w:sz w:val="18"/>
                                <w:szCs w:val="18"/>
                                <w:lang w:val="es-VE"/>
                              </w:rPr>
                              <w:t xml:space="preserve">. </w:t>
                            </w:r>
                            <w:r w:rsidRPr="001A2788">
                              <w:rPr>
                                <w:rFonts w:asciiTheme="majorHAnsi" w:hAnsiTheme="majorHAnsi"/>
                                <w:color w:val="595959" w:themeColor="text1" w:themeTint="A6"/>
                                <w:sz w:val="18"/>
                                <w:szCs w:val="18"/>
                                <w:lang w:val="es-VE"/>
                              </w:rPr>
                              <w:t xml:space="preserve">Admisibilidad. </w:t>
                            </w:r>
                            <w:r w:rsidR="00D340CD">
                              <w:rPr>
                                <w:rFonts w:asciiTheme="majorHAnsi" w:hAnsiTheme="majorHAnsi"/>
                                <w:color w:val="595959" w:themeColor="text1" w:themeTint="A6"/>
                                <w:sz w:val="18"/>
                                <w:szCs w:val="18"/>
                                <w:lang w:val="es-VE"/>
                              </w:rPr>
                              <w:t xml:space="preserve">Martha González Rodríguez, </w:t>
                            </w:r>
                            <w:r w:rsidR="006D397C" w:rsidRPr="006D397C">
                              <w:rPr>
                                <w:rFonts w:asciiTheme="majorHAnsi" w:hAnsiTheme="majorHAnsi"/>
                                <w:bCs/>
                                <w:color w:val="595959" w:themeColor="text1" w:themeTint="A6"/>
                                <w:sz w:val="18"/>
                                <w:szCs w:val="18"/>
                                <w:lang w:val="es-VE"/>
                              </w:rPr>
                              <w:t>Álvaro González Santana y familia</w:t>
                            </w:r>
                            <w:r w:rsidRPr="001A2788">
                              <w:rPr>
                                <w:rFonts w:asciiTheme="majorHAnsi" w:hAnsiTheme="majorHAnsi"/>
                                <w:color w:val="595959" w:themeColor="text1" w:themeTint="A6"/>
                                <w:sz w:val="18"/>
                                <w:szCs w:val="18"/>
                                <w:lang w:val="es-VE"/>
                              </w:rPr>
                              <w:t xml:space="preserve">. </w:t>
                            </w:r>
                            <w:r w:rsidR="00F07DE6">
                              <w:rPr>
                                <w:rFonts w:asciiTheme="majorHAnsi" w:hAnsiTheme="majorHAnsi"/>
                                <w:color w:val="595959" w:themeColor="text1" w:themeTint="A6"/>
                                <w:sz w:val="18"/>
                                <w:szCs w:val="18"/>
                                <w:lang w:val="es-VE"/>
                              </w:rPr>
                              <w:t>Colombia</w:t>
                            </w:r>
                            <w:r w:rsidRPr="001A2788">
                              <w:rPr>
                                <w:rFonts w:asciiTheme="majorHAnsi" w:hAnsiTheme="majorHAnsi"/>
                                <w:color w:val="595959" w:themeColor="text1" w:themeTint="A6"/>
                                <w:sz w:val="18"/>
                                <w:szCs w:val="18"/>
                                <w:lang w:val="es-VE"/>
                              </w:rPr>
                              <w:t xml:space="preserve">. </w:t>
                            </w:r>
                            <w:r w:rsidR="00701BFA">
                              <w:rPr>
                                <w:rFonts w:asciiTheme="majorHAnsi" w:hAnsiTheme="majorHAnsi"/>
                                <w:color w:val="595959" w:themeColor="text1" w:themeTint="A6"/>
                                <w:sz w:val="18"/>
                                <w:szCs w:val="18"/>
                                <w:lang w:val="es-VE"/>
                              </w:rPr>
                              <w:t>19 de diciembre de 2022</w:t>
                            </w:r>
                            <w:r w:rsidRPr="001A2788">
                              <w:rPr>
                                <w:rFonts w:asciiTheme="majorHAnsi" w:hAnsiTheme="majorHAnsi"/>
                                <w:color w:val="595959" w:themeColor="text1" w:themeTint="A6"/>
                                <w:sz w:val="18"/>
                                <w:szCs w:val="18"/>
                                <w:lang w:val="es-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C335" id="Text Box 4"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7FD77785" w14:textId="330D96C0" w:rsidR="00113F73" w:rsidRPr="001A2788" w:rsidRDefault="00113F73" w:rsidP="00113F73">
                      <w:pPr>
                        <w:spacing w:line="276" w:lineRule="auto"/>
                        <w:rPr>
                          <w:rFonts w:asciiTheme="majorHAnsi" w:hAnsiTheme="majorHAnsi"/>
                          <w:color w:val="595959" w:themeColor="text1" w:themeTint="A6"/>
                          <w:sz w:val="18"/>
                          <w:szCs w:val="18"/>
                          <w:lang w:val="es-VE"/>
                        </w:rPr>
                      </w:pPr>
                      <w:r w:rsidRPr="00C2554E">
                        <w:rPr>
                          <w:rFonts w:asciiTheme="majorHAnsi" w:hAnsiTheme="majorHAnsi"/>
                          <w:b/>
                          <w:color w:val="595959" w:themeColor="text1" w:themeTint="A6"/>
                          <w:sz w:val="18"/>
                          <w:szCs w:val="18"/>
                          <w:lang w:val="pt-BR"/>
                        </w:rPr>
                        <w:t>Citar como:</w:t>
                      </w:r>
                      <w:r w:rsidRPr="00C2554E">
                        <w:rPr>
                          <w:rFonts w:asciiTheme="majorHAnsi" w:hAnsiTheme="majorHAnsi"/>
                          <w:color w:val="595959" w:themeColor="text1" w:themeTint="A6"/>
                          <w:sz w:val="18"/>
                          <w:szCs w:val="18"/>
                          <w:lang w:val="pt-BR"/>
                        </w:rPr>
                        <w:t xml:space="preserve"> CIDH, Informe No. </w:t>
                      </w:r>
                      <w:r w:rsidR="00954D86">
                        <w:rPr>
                          <w:rFonts w:asciiTheme="majorHAnsi" w:hAnsiTheme="majorHAnsi"/>
                          <w:color w:val="595959" w:themeColor="text1" w:themeTint="A6"/>
                          <w:sz w:val="18"/>
                          <w:szCs w:val="18"/>
                          <w:lang w:val="pt-BR"/>
                        </w:rPr>
                        <w:t>372</w:t>
                      </w:r>
                      <w:r w:rsidR="007B05C4" w:rsidRPr="00954D86">
                        <w:rPr>
                          <w:rFonts w:asciiTheme="majorHAnsi" w:hAnsiTheme="majorHAnsi"/>
                          <w:color w:val="595959" w:themeColor="text1" w:themeTint="A6"/>
                          <w:sz w:val="18"/>
                          <w:szCs w:val="18"/>
                          <w:lang w:val="pt-BR"/>
                        </w:rPr>
                        <w:t>/</w:t>
                      </w:r>
                      <w:r w:rsidR="00954D86" w:rsidRPr="00954D86">
                        <w:rPr>
                          <w:rFonts w:asciiTheme="majorHAnsi" w:hAnsiTheme="majorHAnsi"/>
                          <w:color w:val="595959" w:themeColor="text1" w:themeTint="A6"/>
                          <w:sz w:val="18"/>
                          <w:szCs w:val="18"/>
                          <w:lang w:val="pt-BR"/>
                        </w:rPr>
                        <w:t>22</w:t>
                      </w:r>
                      <w:r w:rsidRPr="00954D86">
                        <w:rPr>
                          <w:rFonts w:asciiTheme="majorHAnsi" w:hAnsiTheme="majorHAnsi"/>
                          <w:color w:val="595959" w:themeColor="text1" w:themeTint="A6"/>
                          <w:sz w:val="18"/>
                          <w:szCs w:val="18"/>
                          <w:lang w:val="pt-BR"/>
                        </w:rPr>
                        <w:t xml:space="preserve">. </w:t>
                      </w:r>
                      <w:r w:rsidR="000433C9" w:rsidRPr="001A2788">
                        <w:rPr>
                          <w:rFonts w:asciiTheme="majorHAnsi" w:hAnsiTheme="majorHAnsi"/>
                          <w:color w:val="595959" w:themeColor="text1" w:themeTint="A6"/>
                          <w:sz w:val="18"/>
                          <w:szCs w:val="18"/>
                          <w:lang w:val="es-VE"/>
                        </w:rPr>
                        <w:t>Petición</w:t>
                      </w:r>
                      <w:r w:rsidR="00F07DE6">
                        <w:rPr>
                          <w:rFonts w:asciiTheme="majorHAnsi" w:hAnsiTheme="majorHAnsi"/>
                          <w:color w:val="595959" w:themeColor="text1" w:themeTint="A6"/>
                          <w:sz w:val="18"/>
                          <w:szCs w:val="18"/>
                          <w:lang w:val="es-VE"/>
                        </w:rPr>
                        <w:t xml:space="preserve"> 750-14</w:t>
                      </w:r>
                      <w:r w:rsidR="000433C9" w:rsidRPr="001A2788">
                        <w:rPr>
                          <w:rFonts w:asciiTheme="majorHAnsi" w:hAnsiTheme="majorHAnsi"/>
                          <w:color w:val="595959" w:themeColor="text1" w:themeTint="A6"/>
                          <w:sz w:val="18"/>
                          <w:szCs w:val="18"/>
                          <w:lang w:val="es-VE"/>
                        </w:rPr>
                        <w:t xml:space="preserve">. </w:t>
                      </w:r>
                      <w:r w:rsidRPr="001A2788">
                        <w:rPr>
                          <w:rFonts w:asciiTheme="majorHAnsi" w:hAnsiTheme="majorHAnsi"/>
                          <w:color w:val="595959" w:themeColor="text1" w:themeTint="A6"/>
                          <w:sz w:val="18"/>
                          <w:szCs w:val="18"/>
                          <w:lang w:val="es-VE"/>
                        </w:rPr>
                        <w:t xml:space="preserve">Admisibilidad. </w:t>
                      </w:r>
                      <w:r w:rsidR="00D340CD">
                        <w:rPr>
                          <w:rFonts w:asciiTheme="majorHAnsi" w:hAnsiTheme="majorHAnsi"/>
                          <w:color w:val="595959" w:themeColor="text1" w:themeTint="A6"/>
                          <w:sz w:val="18"/>
                          <w:szCs w:val="18"/>
                          <w:lang w:val="es-VE"/>
                        </w:rPr>
                        <w:t xml:space="preserve">Martha González Rodríguez, </w:t>
                      </w:r>
                      <w:r w:rsidR="006D397C" w:rsidRPr="006D397C">
                        <w:rPr>
                          <w:rFonts w:asciiTheme="majorHAnsi" w:hAnsiTheme="majorHAnsi"/>
                          <w:bCs/>
                          <w:color w:val="595959" w:themeColor="text1" w:themeTint="A6"/>
                          <w:sz w:val="18"/>
                          <w:szCs w:val="18"/>
                          <w:lang w:val="es-VE"/>
                        </w:rPr>
                        <w:t>Álvaro González Santana y familia</w:t>
                      </w:r>
                      <w:r w:rsidRPr="001A2788">
                        <w:rPr>
                          <w:rFonts w:asciiTheme="majorHAnsi" w:hAnsiTheme="majorHAnsi"/>
                          <w:color w:val="595959" w:themeColor="text1" w:themeTint="A6"/>
                          <w:sz w:val="18"/>
                          <w:szCs w:val="18"/>
                          <w:lang w:val="es-VE"/>
                        </w:rPr>
                        <w:t xml:space="preserve">. </w:t>
                      </w:r>
                      <w:r w:rsidR="00F07DE6">
                        <w:rPr>
                          <w:rFonts w:asciiTheme="majorHAnsi" w:hAnsiTheme="majorHAnsi"/>
                          <w:color w:val="595959" w:themeColor="text1" w:themeTint="A6"/>
                          <w:sz w:val="18"/>
                          <w:szCs w:val="18"/>
                          <w:lang w:val="es-VE"/>
                        </w:rPr>
                        <w:t>Colombia</w:t>
                      </w:r>
                      <w:r w:rsidRPr="001A2788">
                        <w:rPr>
                          <w:rFonts w:asciiTheme="majorHAnsi" w:hAnsiTheme="majorHAnsi"/>
                          <w:color w:val="595959" w:themeColor="text1" w:themeTint="A6"/>
                          <w:sz w:val="18"/>
                          <w:szCs w:val="18"/>
                          <w:lang w:val="es-VE"/>
                        </w:rPr>
                        <w:t xml:space="preserve">. </w:t>
                      </w:r>
                      <w:r w:rsidR="00701BFA">
                        <w:rPr>
                          <w:rFonts w:asciiTheme="majorHAnsi" w:hAnsiTheme="majorHAnsi"/>
                          <w:color w:val="595959" w:themeColor="text1" w:themeTint="A6"/>
                          <w:sz w:val="18"/>
                          <w:szCs w:val="18"/>
                          <w:lang w:val="es-VE"/>
                        </w:rPr>
                        <w:t>19 de diciembre de 2022</w:t>
                      </w:r>
                      <w:r w:rsidRPr="001A2788">
                        <w:rPr>
                          <w:rFonts w:asciiTheme="majorHAnsi" w:hAnsiTheme="majorHAnsi"/>
                          <w:color w:val="595959" w:themeColor="text1" w:themeTint="A6"/>
                          <w:sz w:val="18"/>
                          <w:szCs w:val="18"/>
                          <w:lang w:val="es-VE"/>
                        </w:rPr>
                        <w:t>.</w:t>
                      </w:r>
                    </w:p>
                  </w:txbxContent>
                </v:textbox>
              </v:shape>
            </w:pict>
          </mc:Fallback>
        </mc:AlternateContent>
      </w:r>
    </w:p>
    <w:p w14:paraId="3BC19590" w14:textId="77777777" w:rsidR="00A50FCF" w:rsidRPr="001A2788" w:rsidRDefault="00A50FCF" w:rsidP="00040C3A">
      <w:pPr>
        <w:tabs>
          <w:tab w:val="center" w:pos="5400"/>
        </w:tabs>
        <w:suppressAutoHyphens/>
        <w:jc w:val="center"/>
        <w:rPr>
          <w:rFonts w:asciiTheme="majorHAnsi" w:hAnsiTheme="majorHAnsi"/>
          <w:sz w:val="18"/>
          <w:szCs w:val="22"/>
          <w:lang w:val="es-VE"/>
        </w:rPr>
      </w:pPr>
    </w:p>
    <w:p w14:paraId="0C9396CC" w14:textId="6A92F98F" w:rsidR="0090270B" w:rsidRPr="001A2788" w:rsidRDefault="002966A3" w:rsidP="005516A1">
      <w:pPr>
        <w:tabs>
          <w:tab w:val="center" w:pos="5400"/>
        </w:tabs>
        <w:suppressAutoHyphens/>
        <w:jc w:val="center"/>
        <w:rPr>
          <w:rFonts w:asciiTheme="majorHAnsi" w:hAnsiTheme="majorHAnsi"/>
          <w:b/>
          <w:sz w:val="20"/>
          <w:lang w:val="es-VE"/>
        </w:rPr>
      </w:pPr>
      <w:r>
        <w:rPr>
          <w:noProof/>
        </w:rPr>
        <mc:AlternateContent>
          <mc:Choice Requires="wps">
            <w:drawing>
              <wp:anchor distT="0" distB="0" distL="114300" distR="114300" simplePos="0" relativeHeight="251680768" behindDoc="0" locked="0" layoutInCell="1" allowOverlap="1" wp14:anchorId="0D47A9C4" wp14:editId="036C3DFE">
                <wp:simplePos x="0" y="0"/>
                <wp:positionH relativeFrom="column">
                  <wp:posOffset>1329690</wp:posOffset>
                </wp:positionH>
                <wp:positionV relativeFrom="paragraph">
                  <wp:posOffset>638810</wp:posOffset>
                </wp:positionV>
                <wp:extent cx="4096385" cy="567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3D0C32"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A9C4" id="Text Box 3"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m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" fillcolor="white [3201]" stroked="f" strokeweight=".5pt">
                <v:textbox>
                  <w:txbxContent>
                    <w:p w14:paraId="16E85441" w14:textId="36B2F143" w:rsidR="00D72DC6" w:rsidRPr="003D0C32" w:rsidRDefault="001004FE" w:rsidP="00F02AD1">
                      <w:pPr>
                        <w:rPr>
                          <w:color w:val="FFFFFF" w:themeColor="background1"/>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17FF1513" wp14:editId="59CC120E">
                <wp:simplePos x="0" y="0"/>
                <wp:positionH relativeFrom="column">
                  <wp:posOffset>-272415</wp:posOffset>
                </wp:positionH>
                <wp:positionV relativeFrom="paragraph">
                  <wp:posOffset>915035</wp:posOffset>
                </wp:positionV>
                <wp:extent cx="1181100" cy="332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F1513" id="Text Box 1"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NW+PF56AgAA&#10;XQUAAA4AAAAAAAAAAAAAAAAALgIAAGRycy9lMm9Eb2MueG1sUEsBAi0AFAAGAAgAAAAhAF0tME/i&#10;AAAACwEAAA8AAAAAAAAAAAAAAAAA1AQAAGRycy9kb3ducmV2LnhtbFBLBQYAAAAABAAEAPMAAADj&#10;BQ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A2788" w:rsidRDefault="004A6A54" w:rsidP="005516A1">
      <w:pPr>
        <w:tabs>
          <w:tab w:val="center" w:pos="5400"/>
        </w:tabs>
        <w:suppressAutoHyphens/>
        <w:jc w:val="center"/>
        <w:rPr>
          <w:rFonts w:asciiTheme="majorHAnsi" w:hAnsiTheme="majorHAnsi"/>
          <w:b/>
          <w:sz w:val="20"/>
          <w:lang w:val="es-VE"/>
        </w:rPr>
        <w:sectPr w:rsidR="0070697F" w:rsidRPr="001A278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A2788">
        <w:rPr>
          <w:rFonts w:asciiTheme="majorHAnsi" w:hAnsiTheme="majorHAnsi"/>
          <w:b/>
          <w:sz w:val="20"/>
          <w:lang w:val="es-VE"/>
        </w:rPr>
        <w:tab/>
      </w:r>
    </w:p>
    <w:p w14:paraId="2786EE58" w14:textId="3592EBC3" w:rsidR="003239B8" w:rsidRPr="00C2554E" w:rsidRDefault="003239B8" w:rsidP="00C2554E">
      <w:pPr>
        <w:pStyle w:val="ListParagraph"/>
        <w:numPr>
          <w:ilvl w:val="0"/>
          <w:numId w:val="60"/>
        </w:numPr>
        <w:spacing w:after="240"/>
        <w:jc w:val="both"/>
        <w:rPr>
          <w:rFonts w:asciiTheme="majorHAnsi" w:hAnsiTheme="majorHAnsi"/>
          <w:b/>
          <w:bCs/>
          <w:sz w:val="20"/>
          <w:szCs w:val="20"/>
          <w:lang w:val="es-VE"/>
        </w:rPr>
      </w:pPr>
      <w:r w:rsidRPr="00C2554E">
        <w:rPr>
          <w:rFonts w:asciiTheme="majorHAnsi" w:hAnsiTheme="majorHAnsi"/>
          <w:b/>
          <w:bCs/>
          <w:sz w:val="20"/>
          <w:szCs w:val="20"/>
          <w:lang w:val="es-VE"/>
        </w:rPr>
        <w:lastRenderedPageBreak/>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9431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Parte peticionaria:</w:t>
            </w:r>
          </w:p>
        </w:tc>
        <w:tc>
          <w:tcPr>
            <w:tcW w:w="5647" w:type="dxa"/>
            <w:vAlign w:val="center"/>
          </w:tcPr>
          <w:p w14:paraId="07DAAE2E" w14:textId="79B2172F" w:rsidR="003239B8" w:rsidRPr="001A2788" w:rsidRDefault="00DC2237" w:rsidP="00A77E85">
            <w:pPr>
              <w:jc w:val="both"/>
              <w:rPr>
                <w:rFonts w:ascii="Cambria" w:hAnsi="Cambria"/>
                <w:bCs/>
                <w:sz w:val="20"/>
                <w:szCs w:val="20"/>
                <w:lang w:val="es-VE"/>
              </w:rPr>
            </w:pPr>
            <w:r w:rsidRPr="001A2788">
              <w:rPr>
                <w:rFonts w:ascii="Cambria" w:hAnsi="Cambria"/>
                <w:bCs/>
                <w:sz w:val="20"/>
                <w:szCs w:val="20"/>
                <w:lang w:val="es-VE"/>
              </w:rPr>
              <w:t>Comisión Colombiana de Juristas</w:t>
            </w:r>
            <w:r w:rsidR="00F07DE6">
              <w:rPr>
                <w:rFonts w:ascii="Cambria" w:hAnsi="Cambria"/>
                <w:bCs/>
                <w:sz w:val="20"/>
                <w:szCs w:val="20"/>
                <w:lang w:val="es-VE"/>
              </w:rPr>
              <w:t xml:space="preserve"> </w:t>
            </w:r>
            <w:r w:rsidRPr="001A2788">
              <w:rPr>
                <w:rFonts w:ascii="Cambria" w:hAnsi="Cambria"/>
                <w:bCs/>
                <w:sz w:val="20"/>
                <w:szCs w:val="20"/>
                <w:lang w:val="es-VE"/>
              </w:rPr>
              <w:t>y Martha Lucía González Rodríguez</w:t>
            </w:r>
          </w:p>
        </w:tc>
      </w:tr>
      <w:tr w:rsidR="003239B8" w:rsidRPr="0009431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2FD683B4"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Presunta víctima</w:t>
            </w:r>
            <w:r w:rsidR="00CD2909" w:rsidRPr="001A2788">
              <w:rPr>
                <w:rFonts w:ascii="Cambria" w:hAnsi="Cambria"/>
                <w:b/>
                <w:bCs/>
                <w:color w:val="FFFFFF" w:themeColor="background1"/>
                <w:sz w:val="20"/>
                <w:szCs w:val="20"/>
                <w:lang w:val="es-VE"/>
              </w:rPr>
              <w:t>:</w:t>
            </w:r>
          </w:p>
        </w:tc>
        <w:tc>
          <w:tcPr>
            <w:tcW w:w="5647" w:type="dxa"/>
            <w:vAlign w:val="center"/>
          </w:tcPr>
          <w:p w14:paraId="143D44A8" w14:textId="52F73FB8" w:rsidR="003239B8" w:rsidRPr="001A2788" w:rsidRDefault="00D340CD" w:rsidP="00A77E85">
            <w:pPr>
              <w:jc w:val="both"/>
              <w:rPr>
                <w:rFonts w:ascii="Cambria" w:hAnsi="Cambria"/>
                <w:bCs/>
                <w:sz w:val="20"/>
                <w:szCs w:val="20"/>
                <w:lang w:val="es-VE"/>
              </w:rPr>
            </w:pPr>
            <w:bookmarkStart w:id="2" w:name="_Hlk113450050"/>
            <w:r>
              <w:rPr>
                <w:rFonts w:ascii="Cambria" w:hAnsi="Cambria"/>
                <w:bCs/>
                <w:sz w:val="20"/>
                <w:szCs w:val="20"/>
                <w:lang w:val="es-VE"/>
              </w:rPr>
              <w:t xml:space="preserve">Martha </w:t>
            </w:r>
            <w:r w:rsidR="00C2554E">
              <w:rPr>
                <w:rFonts w:ascii="Cambria" w:hAnsi="Cambria"/>
                <w:bCs/>
                <w:sz w:val="20"/>
                <w:szCs w:val="20"/>
                <w:lang w:val="es-VE"/>
              </w:rPr>
              <w:t xml:space="preserve">Lucía </w:t>
            </w:r>
            <w:r>
              <w:rPr>
                <w:rFonts w:ascii="Cambria" w:hAnsi="Cambria"/>
                <w:bCs/>
                <w:sz w:val="20"/>
                <w:szCs w:val="20"/>
                <w:lang w:val="es-VE"/>
              </w:rPr>
              <w:t xml:space="preserve">González Rodríguez, </w:t>
            </w:r>
            <w:r w:rsidR="00DC2237" w:rsidRPr="001A2788">
              <w:rPr>
                <w:rFonts w:ascii="Cambria" w:hAnsi="Cambria"/>
                <w:bCs/>
                <w:sz w:val="20"/>
                <w:szCs w:val="20"/>
                <w:lang w:val="es-VE"/>
              </w:rPr>
              <w:t>Álvaro González Santana y familia</w:t>
            </w:r>
            <w:bookmarkEnd w:id="2"/>
            <w:r w:rsidR="00DC2237" w:rsidRPr="001A2788">
              <w:rPr>
                <w:rStyle w:val="FootnoteReference"/>
                <w:rFonts w:ascii="Cambria" w:hAnsi="Cambria"/>
                <w:bCs/>
                <w:sz w:val="20"/>
                <w:szCs w:val="20"/>
                <w:lang w:val="es-VE"/>
              </w:rPr>
              <w:footnoteReference w:id="2"/>
            </w:r>
          </w:p>
        </w:tc>
      </w:tr>
      <w:tr w:rsidR="003239B8" w:rsidRPr="001A278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Estado denunciado:</w:t>
            </w:r>
          </w:p>
        </w:tc>
        <w:tc>
          <w:tcPr>
            <w:tcW w:w="5647" w:type="dxa"/>
            <w:vAlign w:val="center"/>
          </w:tcPr>
          <w:p w14:paraId="5D0EC05D" w14:textId="2FB83FC7" w:rsidR="003239B8" w:rsidRPr="001A2788" w:rsidRDefault="00DC2237" w:rsidP="00A77E85">
            <w:pPr>
              <w:jc w:val="both"/>
              <w:rPr>
                <w:rFonts w:ascii="Cambria" w:hAnsi="Cambria"/>
                <w:bCs/>
                <w:sz w:val="20"/>
                <w:szCs w:val="20"/>
                <w:lang w:val="es-VE"/>
              </w:rPr>
            </w:pPr>
            <w:r w:rsidRPr="001A2788">
              <w:rPr>
                <w:rFonts w:ascii="Cambria" w:hAnsi="Cambria"/>
                <w:bCs/>
                <w:sz w:val="20"/>
                <w:szCs w:val="20"/>
                <w:lang w:val="es-VE"/>
              </w:rPr>
              <w:t>Colombia</w:t>
            </w:r>
            <w:r w:rsidR="004A6A54" w:rsidRPr="001A2788">
              <w:rPr>
                <w:rStyle w:val="FootnoteReference"/>
                <w:rFonts w:ascii="Cambria" w:hAnsi="Cambria"/>
                <w:bCs/>
                <w:sz w:val="20"/>
                <w:szCs w:val="20"/>
                <w:lang w:val="es-VE"/>
              </w:rPr>
              <w:footnoteReference w:id="3"/>
            </w:r>
          </w:p>
        </w:tc>
      </w:tr>
      <w:tr w:rsidR="00223A29" w:rsidRPr="0009431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1A2788" w:rsidRDefault="001B3A00" w:rsidP="00E4118C">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 xml:space="preserve">Derechos </w:t>
            </w:r>
            <w:r w:rsidR="00E4118C" w:rsidRPr="001A2788">
              <w:rPr>
                <w:rFonts w:ascii="Cambria" w:hAnsi="Cambria"/>
                <w:b/>
                <w:bCs/>
                <w:color w:val="FFFFFF" w:themeColor="background1"/>
                <w:sz w:val="20"/>
                <w:szCs w:val="20"/>
                <w:lang w:val="es-VE"/>
              </w:rPr>
              <w:t>invocados</w:t>
            </w:r>
            <w:r w:rsidRPr="001A2788">
              <w:rPr>
                <w:rFonts w:ascii="Cambria" w:hAnsi="Cambria"/>
                <w:b/>
                <w:bCs/>
                <w:color w:val="FFFFFF" w:themeColor="background1"/>
                <w:sz w:val="20"/>
                <w:szCs w:val="20"/>
                <w:lang w:val="es-VE"/>
              </w:rPr>
              <w:t>:</w:t>
            </w:r>
          </w:p>
        </w:tc>
        <w:tc>
          <w:tcPr>
            <w:tcW w:w="5647" w:type="dxa"/>
            <w:vAlign w:val="center"/>
          </w:tcPr>
          <w:p w14:paraId="52B28392" w14:textId="4043D882" w:rsidR="00223A29" w:rsidRPr="001A2788" w:rsidRDefault="00DC2237" w:rsidP="00DC2237">
            <w:pPr>
              <w:jc w:val="both"/>
              <w:rPr>
                <w:rFonts w:ascii="Cambria" w:hAnsi="Cambria"/>
                <w:bCs/>
                <w:sz w:val="20"/>
                <w:szCs w:val="20"/>
                <w:lang w:val="es-VE"/>
              </w:rPr>
            </w:pPr>
            <w:r w:rsidRPr="001A2788">
              <w:rPr>
                <w:rFonts w:ascii="Cambria" w:hAnsi="Cambria"/>
                <w:bCs/>
                <w:sz w:val="20"/>
                <w:szCs w:val="20"/>
                <w:lang w:val="es-VE"/>
              </w:rPr>
              <w:t>Artículos 4 (vida), 5 (integridad personal), 8 (garantías judiciales), 17 (protección a la familia), 19 (</w:t>
            </w:r>
            <w:r w:rsidR="00F07DE6">
              <w:rPr>
                <w:rFonts w:ascii="Cambria" w:hAnsi="Cambria"/>
                <w:bCs/>
                <w:sz w:val="20"/>
                <w:szCs w:val="20"/>
                <w:lang w:val="es-VE"/>
              </w:rPr>
              <w:t>derechos del niño</w:t>
            </w:r>
            <w:r w:rsidRPr="001A2788">
              <w:rPr>
                <w:rFonts w:ascii="Cambria" w:hAnsi="Cambria"/>
                <w:bCs/>
                <w:sz w:val="20"/>
                <w:szCs w:val="20"/>
                <w:lang w:val="es-VE"/>
              </w:rPr>
              <w:t>), 22 (circulación y residencia) y 25 (protección judicial) de la Convención Americana sobre Derechos Humanos</w:t>
            </w:r>
            <w:r w:rsidRPr="001A2788">
              <w:rPr>
                <w:rStyle w:val="FootnoteReference"/>
                <w:rFonts w:ascii="Cambria" w:hAnsi="Cambria"/>
                <w:bCs/>
                <w:sz w:val="20"/>
                <w:szCs w:val="20"/>
                <w:lang w:val="es-VE"/>
              </w:rPr>
              <w:footnoteReference w:id="4"/>
            </w:r>
            <w:r w:rsidR="00C2554E">
              <w:rPr>
                <w:rFonts w:ascii="Cambria" w:hAnsi="Cambria"/>
                <w:bCs/>
                <w:sz w:val="20"/>
                <w:szCs w:val="20"/>
                <w:lang w:val="es-VE"/>
              </w:rPr>
              <w:t>,</w:t>
            </w:r>
            <w:r w:rsidRPr="001A2788">
              <w:rPr>
                <w:rFonts w:ascii="Cambria" w:hAnsi="Cambria"/>
                <w:bCs/>
                <w:sz w:val="20"/>
                <w:szCs w:val="20"/>
                <w:lang w:val="es-VE"/>
              </w:rPr>
              <w:t xml:space="preserve"> en relación con </w:t>
            </w:r>
            <w:r w:rsidR="00C2554E">
              <w:rPr>
                <w:rFonts w:ascii="Cambria" w:hAnsi="Cambria"/>
                <w:bCs/>
                <w:sz w:val="20"/>
                <w:szCs w:val="20"/>
                <w:lang w:val="es-VE"/>
              </w:rPr>
              <w:t>sus</w:t>
            </w:r>
            <w:r w:rsidRPr="001A2788">
              <w:rPr>
                <w:rFonts w:ascii="Cambria" w:hAnsi="Cambria"/>
                <w:bCs/>
                <w:sz w:val="20"/>
                <w:szCs w:val="20"/>
                <w:lang w:val="es-VE"/>
              </w:rPr>
              <w:t xml:space="preserve"> artículos </w:t>
            </w:r>
            <w:r w:rsidR="00F07DE6" w:rsidRPr="00F07DE6">
              <w:rPr>
                <w:rFonts w:ascii="Cambria" w:hAnsi="Cambria"/>
                <w:bCs/>
                <w:sz w:val="20"/>
                <w:szCs w:val="20"/>
                <w:lang w:val="es-VE"/>
              </w:rPr>
              <w:t xml:space="preserve">1.1 (obligación de respetar los derechos) y 2 (deber de adoptar disposiciones de derecho interno) </w:t>
            </w:r>
          </w:p>
        </w:tc>
      </w:tr>
    </w:tbl>
    <w:p w14:paraId="176FB213" w14:textId="780F7B51" w:rsidR="003239B8" w:rsidRPr="00C2554E" w:rsidRDefault="003239B8" w:rsidP="00C2554E">
      <w:pPr>
        <w:pStyle w:val="ListParagraph"/>
        <w:numPr>
          <w:ilvl w:val="0"/>
          <w:numId w:val="60"/>
        </w:numPr>
        <w:spacing w:before="240" w:after="240"/>
        <w:jc w:val="both"/>
        <w:rPr>
          <w:rFonts w:asciiTheme="majorHAnsi" w:hAnsiTheme="majorHAnsi"/>
          <w:b/>
          <w:bCs/>
          <w:sz w:val="20"/>
          <w:szCs w:val="20"/>
          <w:lang w:val="es-VE"/>
        </w:rPr>
      </w:pPr>
      <w:r w:rsidRPr="00C2554E">
        <w:rPr>
          <w:rFonts w:asciiTheme="majorHAnsi" w:hAnsiTheme="majorHAnsi"/>
          <w:b/>
          <w:bCs/>
          <w:sz w:val="20"/>
          <w:szCs w:val="20"/>
          <w:lang w:val="es-VE"/>
        </w:rPr>
        <w:t>TRÁMITE ANTE LA CIDH</w:t>
      </w:r>
      <w:r w:rsidR="008E3BFE" w:rsidRPr="001A2788">
        <w:rPr>
          <w:rStyle w:val="FootnoteReference"/>
          <w:b/>
          <w:sz w:val="20"/>
          <w:szCs w:val="20"/>
          <w:lang w:val="es-VE"/>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1A2788"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1A2788" w:rsidRDefault="004A6A54" w:rsidP="004A6A54">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P</w:t>
            </w:r>
            <w:r w:rsidR="004C2312" w:rsidRPr="001A2788">
              <w:rPr>
                <w:rFonts w:ascii="Cambria" w:hAnsi="Cambria"/>
                <w:b/>
                <w:bCs/>
                <w:color w:val="FFFFFF" w:themeColor="background1"/>
                <w:sz w:val="20"/>
                <w:szCs w:val="20"/>
                <w:lang w:val="es-VE"/>
              </w:rPr>
              <w:t>resentación de la petición:</w:t>
            </w:r>
          </w:p>
        </w:tc>
        <w:tc>
          <w:tcPr>
            <w:tcW w:w="5647" w:type="dxa"/>
            <w:vAlign w:val="center"/>
          </w:tcPr>
          <w:p w14:paraId="6883A5F8" w14:textId="7499A8C2" w:rsidR="004C2312" w:rsidRPr="00F07DE6" w:rsidRDefault="00D704D6" w:rsidP="00A77E85">
            <w:pPr>
              <w:jc w:val="both"/>
              <w:rPr>
                <w:rFonts w:ascii="Cambria" w:hAnsi="Cambria"/>
                <w:bCs/>
                <w:sz w:val="20"/>
                <w:szCs w:val="20"/>
                <w:lang w:val="es-VE"/>
              </w:rPr>
            </w:pPr>
            <w:r w:rsidRPr="00F07DE6">
              <w:rPr>
                <w:rFonts w:ascii="Cambria" w:hAnsi="Cambria"/>
                <w:bCs/>
                <w:sz w:val="20"/>
                <w:szCs w:val="20"/>
                <w:lang w:val="es-VE"/>
              </w:rPr>
              <w:t>27 de mayo de 2014</w:t>
            </w:r>
          </w:p>
        </w:tc>
      </w:tr>
      <w:tr w:rsidR="00131425" w:rsidRPr="0009431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1A2788" w:rsidRDefault="00131425" w:rsidP="004A6A54">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Información adicional recibida durante la etapa de estudio:</w:t>
            </w:r>
          </w:p>
        </w:tc>
        <w:tc>
          <w:tcPr>
            <w:tcW w:w="5647" w:type="dxa"/>
            <w:vAlign w:val="center"/>
          </w:tcPr>
          <w:p w14:paraId="65CBC29E" w14:textId="1305DD65" w:rsidR="00131425" w:rsidRPr="00F07DE6" w:rsidRDefault="00A02768" w:rsidP="00A77E85">
            <w:pPr>
              <w:jc w:val="both"/>
              <w:rPr>
                <w:rFonts w:ascii="Cambria" w:hAnsi="Cambria"/>
                <w:bCs/>
                <w:sz w:val="20"/>
                <w:szCs w:val="20"/>
                <w:lang w:val="es-VE"/>
              </w:rPr>
            </w:pPr>
            <w:r w:rsidRPr="00F07DE6">
              <w:rPr>
                <w:rFonts w:ascii="Cambria" w:hAnsi="Cambria"/>
                <w:bCs/>
                <w:sz w:val="20"/>
                <w:szCs w:val="20"/>
                <w:lang w:val="es-VE"/>
              </w:rPr>
              <w:t>26 de junio, 11 y 20 de agosto, 16 de septiembre y 6 de octubre del 2014; 26 de enero, 24 y 27 de febrero, 17 de marzo</w:t>
            </w:r>
            <w:r w:rsidR="00997A2E" w:rsidRPr="00F07DE6">
              <w:rPr>
                <w:rFonts w:ascii="Cambria" w:hAnsi="Cambria"/>
                <w:bCs/>
                <w:sz w:val="20"/>
                <w:szCs w:val="20"/>
                <w:lang w:val="es-VE"/>
              </w:rPr>
              <w:t xml:space="preserve"> y</w:t>
            </w:r>
            <w:r w:rsidRPr="00F07DE6">
              <w:rPr>
                <w:rFonts w:ascii="Cambria" w:hAnsi="Cambria"/>
                <w:bCs/>
                <w:sz w:val="20"/>
                <w:szCs w:val="20"/>
                <w:lang w:val="es-VE"/>
              </w:rPr>
              <w:t xml:space="preserve"> 15 de abril </w:t>
            </w:r>
            <w:r w:rsidR="00997A2E" w:rsidRPr="00F07DE6">
              <w:rPr>
                <w:rFonts w:ascii="Cambria" w:hAnsi="Cambria"/>
                <w:bCs/>
                <w:sz w:val="20"/>
                <w:szCs w:val="20"/>
                <w:lang w:val="es-VE"/>
              </w:rPr>
              <w:t>del 2015; 3 de marzo, 23 de agosto, 8 de septiembre y 26 de diciembre de 2016; 30 de marzo de 2017; y 11 de abril y 3 de julio de 2019</w:t>
            </w:r>
          </w:p>
        </w:tc>
      </w:tr>
      <w:tr w:rsidR="004C2312" w:rsidRPr="001A2788"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1A2788" w:rsidRDefault="004A6A54" w:rsidP="004A6A54">
            <w:pPr>
              <w:jc w:val="center"/>
              <w:rPr>
                <w:rFonts w:ascii="Cambria" w:hAnsi="Cambria"/>
                <w:b/>
                <w:bCs/>
                <w:color w:val="FFFFFF" w:themeColor="background1"/>
                <w:sz w:val="20"/>
                <w:szCs w:val="20"/>
                <w:lang w:val="es-VE"/>
              </w:rPr>
            </w:pPr>
            <w:r w:rsidRPr="001A2788">
              <w:rPr>
                <w:rFonts w:ascii="Cambria" w:hAnsi="Cambria"/>
                <w:b/>
                <w:color w:val="FFFFFF" w:themeColor="background1"/>
                <w:sz w:val="20"/>
                <w:szCs w:val="20"/>
                <w:lang w:val="es-VE"/>
              </w:rPr>
              <w:t>N</w:t>
            </w:r>
            <w:r w:rsidR="004C2312" w:rsidRPr="001A2788">
              <w:rPr>
                <w:rFonts w:ascii="Cambria" w:hAnsi="Cambria"/>
                <w:b/>
                <w:color w:val="FFFFFF" w:themeColor="background1"/>
                <w:sz w:val="20"/>
                <w:szCs w:val="20"/>
                <w:lang w:val="es-VE"/>
              </w:rPr>
              <w:t>otificación de la petición al Estado:</w:t>
            </w:r>
          </w:p>
        </w:tc>
        <w:tc>
          <w:tcPr>
            <w:tcW w:w="5647" w:type="dxa"/>
            <w:vAlign w:val="center"/>
          </w:tcPr>
          <w:p w14:paraId="58485921" w14:textId="79D46E7D" w:rsidR="004C2312" w:rsidRPr="00F07DE6" w:rsidRDefault="00730EA7" w:rsidP="00A77E85">
            <w:pPr>
              <w:jc w:val="both"/>
              <w:rPr>
                <w:rFonts w:ascii="Cambria" w:hAnsi="Cambria"/>
                <w:bCs/>
                <w:sz w:val="20"/>
                <w:szCs w:val="20"/>
                <w:lang w:val="es-VE"/>
              </w:rPr>
            </w:pPr>
            <w:r w:rsidRPr="00F07DE6">
              <w:rPr>
                <w:rFonts w:ascii="Cambria" w:hAnsi="Cambria"/>
                <w:bCs/>
                <w:sz w:val="20"/>
                <w:szCs w:val="20"/>
                <w:lang w:val="es-VE"/>
              </w:rPr>
              <w:t>4 de noviembre de 2019</w:t>
            </w:r>
          </w:p>
        </w:tc>
      </w:tr>
      <w:tr w:rsidR="004C2312" w:rsidRPr="001A2788"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1A2788" w:rsidRDefault="004A6A54" w:rsidP="004A6A54">
            <w:pPr>
              <w:jc w:val="center"/>
              <w:rPr>
                <w:rFonts w:ascii="Cambria" w:hAnsi="Cambria"/>
                <w:b/>
                <w:bCs/>
                <w:color w:val="FFFFFF" w:themeColor="background1"/>
                <w:sz w:val="20"/>
                <w:szCs w:val="20"/>
                <w:lang w:val="es-VE"/>
              </w:rPr>
            </w:pPr>
            <w:r w:rsidRPr="001A2788">
              <w:rPr>
                <w:rFonts w:ascii="Cambria" w:hAnsi="Cambria"/>
                <w:b/>
                <w:color w:val="FFFFFF" w:themeColor="background1"/>
                <w:sz w:val="20"/>
                <w:szCs w:val="20"/>
                <w:lang w:val="es-VE"/>
              </w:rPr>
              <w:t>P</w:t>
            </w:r>
            <w:r w:rsidR="004C2312" w:rsidRPr="001A2788">
              <w:rPr>
                <w:rFonts w:ascii="Cambria" w:hAnsi="Cambria"/>
                <w:b/>
                <w:color w:val="FFFFFF" w:themeColor="background1"/>
                <w:sz w:val="20"/>
                <w:szCs w:val="20"/>
                <w:lang w:val="es-VE"/>
              </w:rPr>
              <w:t>rimera respuesta del Estado:</w:t>
            </w:r>
          </w:p>
        </w:tc>
        <w:tc>
          <w:tcPr>
            <w:tcW w:w="5647" w:type="dxa"/>
            <w:vAlign w:val="center"/>
          </w:tcPr>
          <w:p w14:paraId="6B47064C" w14:textId="1BD7CF73" w:rsidR="004C2312" w:rsidRPr="00F07DE6" w:rsidRDefault="00730EA7" w:rsidP="00A77E85">
            <w:pPr>
              <w:jc w:val="both"/>
              <w:rPr>
                <w:rFonts w:ascii="Cambria" w:hAnsi="Cambria"/>
                <w:bCs/>
                <w:sz w:val="20"/>
                <w:szCs w:val="20"/>
                <w:lang w:val="es-VE"/>
              </w:rPr>
            </w:pPr>
            <w:r w:rsidRPr="00F07DE6">
              <w:rPr>
                <w:rFonts w:ascii="Cambria" w:hAnsi="Cambria"/>
                <w:bCs/>
                <w:sz w:val="20"/>
                <w:szCs w:val="20"/>
                <w:lang w:val="es-VE"/>
              </w:rPr>
              <w:t>28 de mayo de 2020</w:t>
            </w:r>
          </w:p>
        </w:tc>
      </w:tr>
      <w:tr w:rsidR="004C2312" w:rsidRPr="0009431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1A2788" w:rsidRDefault="008E3BFE" w:rsidP="008E3BFE">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Observaciones adicionales de la parte peticionaria:</w:t>
            </w:r>
          </w:p>
        </w:tc>
        <w:tc>
          <w:tcPr>
            <w:tcW w:w="5647" w:type="dxa"/>
            <w:vAlign w:val="center"/>
          </w:tcPr>
          <w:p w14:paraId="66A99206" w14:textId="78F49DDD" w:rsidR="004C2312" w:rsidRPr="00F07DE6" w:rsidRDefault="00730EA7" w:rsidP="00A77E85">
            <w:pPr>
              <w:jc w:val="both"/>
              <w:rPr>
                <w:rFonts w:ascii="Cambria" w:hAnsi="Cambria"/>
                <w:bCs/>
                <w:sz w:val="20"/>
                <w:szCs w:val="20"/>
                <w:lang w:val="es-VE"/>
              </w:rPr>
            </w:pPr>
            <w:r w:rsidRPr="00F07DE6">
              <w:rPr>
                <w:rFonts w:ascii="Cambria" w:hAnsi="Cambria"/>
                <w:bCs/>
                <w:sz w:val="20"/>
                <w:szCs w:val="20"/>
                <w:lang w:val="es-VE"/>
              </w:rPr>
              <w:t>27 de febrero, 27 de octubre y 23 de noviembre de 2020</w:t>
            </w:r>
          </w:p>
        </w:tc>
      </w:tr>
      <w:tr w:rsidR="004C2312" w:rsidRPr="00F57A73"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1A2788" w:rsidRDefault="004C2312" w:rsidP="008E3BFE">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Observaciones adicionales del Estado:</w:t>
            </w:r>
          </w:p>
        </w:tc>
        <w:tc>
          <w:tcPr>
            <w:tcW w:w="5647" w:type="dxa"/>
            <w:vAlign w:val="center"/>
          </w:tcPr>
          <w:p w14:paraId="15747C57" w14:textId="754C601E" w:rsidR="004C2312" w:rsidRPr="00F07DE6" w:rsidRDefault="00A02768" w:rsidP="00A77E85">
            <w:pPr>
              <w:jc w:val="both"/>
              <w:rPr>
                <w:rFonts w:ascii="Cambria" w:hAnsi="Cambria"/>
                <w:bCs/>
                <w:sz w:val="20"/>
                <w:szCs w:val="20"/>
                <w:lang w:val="es-VE"/>
              </w:rPr>
            </w:pPr>
            <w:r w:rsidRPr="00F07DE6">
              <w:rPr>
                <w:rFonts w:ascii="Cambria" w:hAnsi="Cambria"/>
                <w:bCs/>
                <w:sz w:val="20"/>
                <w:szCs w:val="20"/>
                <w:lang w:val="es-VE"/>
              </w:rPr>
              <w:t xml:space="preserve">19 de mayo </w:t>
            </w:r>
            <w:r w:rsidR="0069194D">
              <w:rPr>
                <w:rFonts w:ascii="Cambria" w:hAnsi="Cambria"/>
                <w:bCs/>
                <w:sz w:val="20"/>
                <w:szCs w:val="20"/>
                <w:lang w:val="es-VE"/>
              </w:rPr>
              <w:t>2021</w:t>
            </w:r>
          </w:p>
        </w:tc>
      </w:tr>
    </w:tbl>
    <w:p w14:paraId="0FC6E9E8" w14:textId="4302B710" w:rsidR="003239B8" w:rsidRPr="001A2788" w:rsidRDefault="003239B8" w:rsidP="00C2554E">
      <w:pPr>
        <w:pStyle w:val="ListParagraph"/>
        <w:numPr>
          <w:ilvl w:val="0"/>
          <w:numId w:val="60"/>
        </w:numPr>
        <w:spacing w:before="240" w:after="240"/>
        <w:ind w:left="0" w:firstLine="720"/>
        <w:jc w:val="both"/>
        <w:rPr>
          <w:rFonts w:asciiTheme="majorHAnsi" w:hAnsiTheme="majorHAnsi"/>
          <w:b/>
          <w:bCs/>
          <w:sz w:val="20"/>
          <w:szCs w:val="20"/>
          <w:lang w:val="es-VE"/>
        </w:rPr>
      </w:pPr>
      <w:r w:rsidRPr="001A2788">
        <w:rPr>
          <w:rFonts w:asciiTheme="majorHAnsi" w:hAnsiTheme="majorHAnsi"/>
          <w:b/>
          <w:bCs/>
          <w:sz w:val="20"/>
          <w:szCs w:val="20"/>
          <w:lang w:val="es-VE"/>
        </w:rPr>
        <w:t>COMPETENCIA</w:t>
      </w:r>
      <w:r w:rsidR="00EE00E9" w:rsidRPr="001A2788">
        <w:rPr>
          <w:rFonts w:asciiTheme="majorHAnsi" w:hAnsiTheme="majorHAnsi"/>
          <w:b/>
          <w:bCs/>
          <w:sz w:val="20"/>
          <w:szCs w:val="20"/>
          <w:lang w:val="es-VE"/>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A2788"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1A2788" w:rsidRDefault="003239B8" w:rsidP="00A77E85">
            <w:pPr>
              <w:jc w:val="center"/>
              <w:rPr>
                <w:rFonts w:ascii="Cambria" w:hAnsi="Cambria"/>
                <w:b/>
                <w:bCs/>
                <w:i/>
                <w:color w:val="FFFFFF" w:themeColor="background1"/>
                <w:sz w:val="20"/>
                <w:szCs w:val="20"/>
                <w:lang w:val="es-VE"/>
              </w:rPr>
            </w:pPr>
            <w:r w:rsidRPr="001A2788">
              <w:rPr>
                <w:rFonts w:ascii="Cambria" w:hAnsi="Cambria"/>
                <w:b/>
                <w:bCs/>
                <w:color w:val="FFFFFF" w:themeColor="background1"/>
                <w:sz w:val="20"/>
                <w:szCs w:val="20"/>
                <w:lang w:val="es-VE"/>
              </w:rPr>
              <w:t>Competencia</w:t>
            </w:r>
            <w:r w:rsidRPr="001A2788">
              <w:rPr>
                <w:rFonts w:ascii="Cambria" w:hAnsi="Cambria"/>
                <w:b/>
                <w:bCs/>
                <w:i/>
                <w:color w:val="FFFFFF" w:themeColor="background1"/>
                <w:sz w:val="20"/>
                <w:szCs w:val="20"/>
                <w:lang w:val="es-VE"/>
              </w:rPr>
              <w:t xml:space="preserve"> Ratione personae:</w:t>
            </w:r>
          </w:p>
        </w:tc>
        <w:tc>
          <w:tcPr>
            <w:tcW w:w="5760" w:type="dxa"/>
            <w:vAlign w:val="center"/>
          </w:tcPr>
          <w:p w14:paraId="1E494D5D" w14:textId="194C037F" w:rsidR="003239B8" w:rsidRPr="001A2788" w:rsidRDefault="00A02768" w:rsidP="00A77E85">
            <w:pPr>
              <w:rPr>
                <w:rFonts w:ascii="Cambria" w:hAnsi="Cambria"/>
                <w:bCs/>
                <w:sz w:val="20"/>
                <w:szCs w:val="20"/>
                <w:lang w:val="es-VE"/>
              </w:rPr>
            </w:pPr>
            <w:r>
              <w:rPr>
                <w:rFonts w:ascii="Cambria" w:hAnsi="Cambria"/>
                <w:bCs/>
                <w:sz w:val="20"/>
                <w:szCs w:val="20"/>
                <w:lang w:val="es-VE"/>
              </w:rPr>
              <w:t>Sí</w:t>
            </w:r>
          </w:p>
        </w:tc>
      </w:tr>
      <w:tr w:rsidR="003239B8" w:rsidRPr="001A2788"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Competencia</w:t>
            </w:r>
            <w:r w:rsidRPr="001A2788">
              <w:rPr>
                <w:rFonts w:ascii="Cambria" w:hAnsi="Cambria"/>
                <w:b/>
                <w:bCs/>
                <w:i/>
                <w:color w:val="FFFFFF" w:themeColor="background1"/>
                <w:sz w:val="20"/>
                <w:szCs w:val="20"/>
                <w:lang w:val="es-VE"/>
              </w:rPr>
              <w:t xml:space="preserve"> Ratione loci</w:t>
            </w:r>
            <w:r w:rsidRPr="001A2788">
              <w:rPr>
                <w:rFonts w:ascii="Cambria" w:hAnsi="Cambria"/>
                <w:b/>
                <w:bCs/>
                <w:color w:val="FFFFFF" w:themeColor="background1"/>
                <w:sz w:val="20"/>
                <w:szCs w:val="20"/>
                <w:lang w:val="es-VE"/>
              </w:rPr>
              <w:t>:</w:t>
            </w:r>
          </w:p>
        </w:tc>
        <w:tc>
          <w:tcPr>
            <w:tcW w:w="5760" w:type="dxa"/>
            <w:vAlign w:val="center"/>
          </w:tcPr>
          <w:p w14:paraId="77C8256A" w14:textId="67017849" w:rsidR="003239B8" w:rsidRPr="001A2788" w:rsidRDefault="00A02768" w:rsidP="00A77E85">
            <w:pPr>
              <w:rPr>
                <w:rFonts w:ascii="Cambria" w:hAnsi="Cambria"/>
                <w:bCs/>
                <w:sz w:val="20"/>
                <w:szCs w:val="20"/>
                <w:lang w:val="es-VE"/>
              </w:rPr>
            </w:pPr>
            <w:r>
              <w:rPr>
                <w:rFonts w:ascii="Cambria" w:hAnsi="Cambria"/>
                <w:bCs/>
                <w:sz w:val="20"/>
                <w:szCs w:val="20"/>
                <w:lang w:val="es-VE"/>
              </w:rPr>
              <w:t>Sí</w:t>
            </w:r>
          </w:p>
        </w:tc>
      </w:tr>
      <w:tr w:rsidR="003239B8" w:rsidRPr="001A2788"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Competencia</w:t>
            </w:r>
            <w:r w:rsidRPr="001A2788">
              <w:rPr>
                <w:rFonts w:ascii="Cambria" w:hAnsi="Cambria"/>
                <w:b/>
                <w:bCs/>
                <w:i/>
                <w:color w:val="FFFFFF" w:themeColor="background1"/>
                <w:sz w:val="20"/>
                <w:szCs w:val="20"/>
                <w:lang w:val="es-VE"/>
              </w:rPr>
              <w:t xml:space="preserve"> Ratione temporis</w:t>
            </w:r>
            <w:r w:rsidRPr="001A2788">
              <w:rPr>
                <w:rFonts w:ascii="Cambria" w:hAnsi="Cambria"/>
                <w:b/>
                <w:bCs/>
                <w:color w:val="FFFFFF" w:themeColor="background1"/>
                <w:sz w:val="20"/>
                <w:szCs w:val="20"/>
                <w:lang w:val="es-VE"/>
              </w:rPr>
              <w:t>:</w:t>
            </w:r>
          </w:p>
        </w:tc>
        <w:tc>
          <w:tcPr>
            <w:tcW w:w="5760" w:type="dxa"/>
            <w:vAlign w:val="center"/>
          </w:tcPr>
          <w:p w14:paraId="523F6BD6" w14:textId="7CCFC32C" w:rsidR="003239B8" w:rsidRPr="001A2788" w:rsidRDefault="00A02768" w:rsidP="00A77E85">
            <w:pPr>
              <w:rPr>
                <w:rFonts w:ascii="Cambria" w:hAnsi="Cambria"/>
                <w:bCs/>
                <w:sz w:val="20"/>
                <w:szCs w:val="20"/>
                <w:lang w:val="es-VE"/>
              </w:rPr>
            </w:pPr>
            <w:r>
              <w:rPr>
                <w:rFonts w:ascii="Cambria" w:hAnsi="Cambria"/>
                <w:bCs/>
                <w:sz w:val="20"/>
                <w:szCs w:val="20"/>
                <w:lang w:val="es-VE"/>
              </w:rPr>
              <w:t>Sí</w:t>
            </w:r>
          </w:p>
        </w:tc>
      </w:tr>
      <w:tr w:rsidR="003239B8" w:rsidRPr="0009431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Competencia</w:t>
            </w:r>
            <w:r w:rsidRPr="001A2788">
              <w:rPr>
                <w:rFonts w:ascii="Cambria" w:hAnsi="Cambria"/>
                <w:b/>
                <w:bCs/>
                <w:i/>
                <w:color w:val="FFFFFF" w:themeColor="background1"/>
                <w:sz w:val="20"/>
                <w:szCs w:val="20"/>
                <w:lang w:val="es-VE"/>
              </w:rPr>
              <w:t xml:space="preserve"> Ratione materia</w:t>
            </w:r>
            <w:r w:rsidR="00EE00E9" w:rsidRPr="001A2788">
              <w:rPr>
                <w:rFonts w:ascii="Cambria" w:hAnsi="Cambria"/>
                <w:b/>
                <w:bCs/>
                <w:i/>
                <w:color w:val="FFFFFF" w:themeColor="background1"/>
                <w:sz w:val="20"/>
                <w:szCs w:val="20"/>
                <w:lang w:val="es-VE"/>
              </w:rPr>
              <w:t>e</w:t>
            </w:r>
            <w:r w:rsidRPr="001A2788">
              <w:rPr>
                <w:rFonts w:ascii="Cambria" w:hAnsi="Cambria"/>
                <w:b/>
                <w:bCs/>
                <w:color w:val="FFFFFF" w:themeColor="background1"/>
                <w:sz w:val="20"/>
                <w:szCs w:val="20"/>
                <w:lang w:val="es-VE"/>
              </w:rPr>
              <w:t>:</w:t>
            </w:r>
          </w:p>
        </w:tc>
        <w:tc>
          <w:tcPr>
            <w:tcW w:w="5760" w:type="dxa"/>
            <w:vAlign w:val="center"/>
          </w:tcPr>
          <w:p w14:paraId="257C8337" w14:textId="6C7191B2" w:rsidR="003239B8" w:rsidRPr="001A2788" w:rsidRDefault="00DC2237" w:rsidP="00A77E85">
            <w:pPr>
              <w:jc w:val="both"/>
              <w:rPr>
                <w:rFonts w:ascii="Cambria" w:hAnsi="Cambria"/>
                <w:bCs/>
                <w:sz w:val="20"/>
                <w:szCs w:val="20"/>
                <w:lang w:val="es-VE"/>
              </w:rPr>
            </w:pPr>
            <w:r w:rsidRPr="001A2788">
              <w:rPr>
                <w:rFonts w:ascii="Cambria" w:hAnsi="Cambria"/>
                <w:bCs/>
                <w:sz w:val="20"/>
                <w:szCs w:val="20"/>
                <w:lang w:val="es-VE"/>
              </w:rPr>
              <w:t>Sí, Convención Americana (depósito de instrumento de ratificación realizado el 31 de julio de 1973)</w:t>
            </w:r>
          </w:p>
        </w:tc>
      </w:tr>
    </w:tbl>
    <w:p w14:paraId="299A3868" w14:textId="248D9811" w:rsidR="003239B8" w:rsidRPr="001A2788" w:rsidRDefault="00EE00E9" w:rsidP="00C2554E">
      <w:pPr>
        <w:pStyle w:val="ListParagraph"/>
        <w:numPr>
          <w:ilvl w:val="0"/>
          <w:numId w:val="60"/>
        </w:numPr>
        <w:spacing w:before="240" w:after="240"/>
        <w:ind w:left="0" w:firstLine="720"/>
        <w:jc w:val="both"/>
        <w:rPr>
          <w:rFonts w:asciiTheme="majorHAnsi" w:hAnsiTheme="majorHAnsi"/>
          <w:b/>
          <w:bCs/>
          <w:sz w:val="20"/>
          <w:szCs w:val="20"/>
          <w:lang w:val="es-VE"/>
        </w:rPr>
      </w:pPr>
      <w:r w:rsidRPr="001A2788">
        <w:rPr>
          <w:rFonts w:asciiTheme="majorHAnsi" w:hAnsiTheme="majorHAnsi"/>
          <w:b/>
          <w:bCs/>
          <w:sz w:val="20"/>
          <w:szCs w:val="20"/>
          <w:lang w:val="es-VE"/>
        </w:rPr>
        <w:t>DUPLICACIÓN</w:t>
      </w:r>
      <w:r w:rsidRPr="001A2788">
        <w:rPr>
          <w:rFonts w:asciiTheme="majorHAnsi" w:hAnsiTheme="majorHAnsi"/>
          <w:b/>
          <w:bCs/>
          <w:color w:val="FFFFFF" w:themeColor="background1"/>
          <w:sz w:val="20"/>
          <w:szCs w:val="20"/>
          <w:lang w:val="es-VE"/>
        </w:rPr>
        <w:t xml:space="preserve"> </w:t>
      </w:r>
      <w:r w:rsidRPr="001A2788">
        <w:rPr>
          <w:rFonts w:asciiTheme="majorHAnsi" w:hAnsiTheme="majorHAnsi"/>
          <w:b/>
          <w:bCs/>
          <w:sz w:val="20"/>
          <w:szCs w:val="20"/>
          <w:lang w:val="es-VE"/>
        </w:rPr>
        <w:t>DE PROCEDIMIENTOS Y COSA JUZGADA</w:t>
      </w:r>
      <w:r w:rsidRPr="001A2788">
        <w:rPr>
          <w:rFonts w:asciiTheme="majorHAnsi" w:hAnsiTheme="majorHAnsi"/>
          <w:b/>
          <w:bCs/>
          <w:i/>
          <w:sz w:val="20"/>
          <w:szCs w:val="20"/>
          <w:lang w:val="es-VE"/>
        </w:rPr>
        <w:t xml:space="preserve"> </w:t>
      </w:r>
      <w:r w:rsidRPr="001A2788">
        <w:rPr>
          <w:rFonts w:asciiTheme="majorHAnsi" w:hAnsiTheme="majorHAnsi"/>
          <w:b/>
          <w:bCs/>
          <w:sz w:val="20"/>
          <w:szCs w:val="20"/>
          <w:lang w:val="es-VE"/>
        </w:rPr>
        <w:t xml:space="preserve">INTERNACIONAL, </w:t>
      </w:r>
      <w:r w:rsidR="003239B8" w:rsidRPr="001A2788">
        <w:rPr>
          <w:rFonts w:asciiTheme="majorHAnsi" w:hAnsiTheme="majorHAnsi"/>
          <w:b/>
          <w:bCs/>
          <w:sz w:val="20"/>
          <w:szCs w:val="20"/>
          <w:lang w:val="es-VE"/>
        </w:rPr>
        <w:t xml:space="preserve">CARACTERIZACIÓN, </w:t>
      </w:r>
      <w:r w:rsidR="003239B8" w:rsidRPr="001A2788">
        <w:rPr>
          <w:rFonts w:asciiTheme="majorHAnsi" w:hAnsiTheme="majorHAnsi"/>
          <w:b/>
          <w:sz w:val="20"/>
          <w:szCs w:val="20"/>
          <w:lang w:val="es-VE"/>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1A2788"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1A2788" w:rsidRDefault="00EE00E9"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Duplicación de procedimientos y cosa juzgada internacional:</w:t>
            </w:r>
          </w:p>
        </w:tc>
        <w:tc>
          <w:tcPr>
            <w:tcW w:w="5760" w:type="dxa"/>
            <w:vAlign w:val="center"/>
          </w:tcPr>
          <w:p w14:paraId="764D7F60" w14:textId="361BF5BE" w:rsidR="00EE00E9" w:rsidRPr="001A2788" w:rsidRDefault="00A02768" w:rsidP="00A77E85">
            <w:pPr>
              <w:jc w:val="both"/>
              <w:rPr>
                <w:rFonts w:ascii="Cambria" w:hAnsi="Cambria"/>
                <w:bCs/>
                <w:sz w:val="20"/>
                <w:szCs w:val="20"/>
                <w:lang w:val="es-VE"/>
              </w:rPr>
            </w:pPr>
            <w:r>
              <w:rPr>
                <w:rFonts w:ascii="Cambria" w:hAnsi="Cambria"/>
                <w:bCs/>
                <w:sz w:val="20"/>
                <w:szCs w:val="20"/>
                <w:lang w:val="es-VE"/>
              </w:rPr>
              <w:t>No</w:t>
            </w:r>
          </w:p>
        </w:tc>
      </w:tr>
      <w:tr w:rsidR="003239B8" w:rsidRPr="0009431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A2788" w:rsidRDefault="003239B8" w:rsidP="00A77E85">
            <w:pPr>
              <w:jc w:val="center"/>
              <w:rPr>
                <w:rFonts w:ascii="Cambria" w:hAnsi="Cambria"/>
                <w:b/>
                <w:bCs/>
                <w:i/>
                <w:color w:val="FFFFFF" w:themeColor="background1"/>
                <w:sz w:val="20"/>
                <w:szCs w:val="20"/>
                <w:lang w:val="es-VE"/>
              </w:rPr>
            </w:pPr>
            <w:r w:rsidRPr="001A2788">
              <w:rPr>
                <w:rFonts w:ascii="Cambria" w:hAnsi="Cambria"/>
                <w:b/>
                <w:bCs/>
                <w:color w:val="FFFFFF" w:themeColor="background1"/>
                <w:sz w:val="20"/>
                <w:szCs w:val="20"/>
                <w:lang w:val="es-VE"/>
              </w:rPr>
              <w:lastRenderedPageBreak/>
              <w:t>Derechos declarados admisibles</w:t>
            </w:r>
            <w:r w:rsidRPr="001A2788">
              <w:rPr>
                <w:rFonts w:ascii="Cambria" w:hAnsi="Cambria"/>
                <w:b/>
                <w:bCs/>
                <w:i/>
                <w:color w:val="FFFFFF" w:themeColor="background1"/>
                <w:sz w:val="20"/>
                <w:szCs w:val="20"/>
                <w:lang w:val="es-VE"/>
              </w:rPr>
              <w:t>:</w:t>
            </w:r>
          </w:p>
        </w:tc>
        <w:tc>
          <w:tcPr>
            <w:tcW w:w="5760" w:type="dxa"/>
            <w:vAlign w:val="center"/>
          </w:tcPr>
          <w:p w14:paraId="4DAE9D4D" w14:textId="1EC108F0" w:rsidR="003239B8" w:rsidRPr="00F81C45" w:rsidRDefault="00A02768" w:rsidP="00F81C45">
            <w:pPr>
              <w:pStyle w:val="paragraph"/>
              <w:spacing w:before="0" w:beforeAutospacing="0" w:after="0" w:afterAutospacing="0"/>
              <w:jc w:val="both"/>
              <w:textAlignment w:val="baseline"/>
              <w:rPr>
                <w:rFonts w:ascii="Cambria" w:hAnsi="Cambria"/>
                <w:sz w:val="20"/>
                <w:szCs w:val="20"/>
                <w:lang w:val="es-VE"/>
              </w:rPr>
            </w:pPr>
            <w:r w:rsidRPr="00F81C45">
              <w:rPr>
                <w:rFonts w:ascii="Cambria" w:hAnsi="Cambria"/>
                <w:bCs/>
                <w:sz w:val="20"/>
                <w:szCs w:val="20"/>
                <w:lang w:val="es-VE"/>
              </w:rPr>
              <w:t>Artículos 4 (vida), 5 (integridad personal), 8 (garantías judiciales), 17 (protección a la familia),</w:t>
            </w:r>
            <w:r w:rsidR="00F81C45">
              <w:rPr>
                <w:rFonts w:ascii="Cambria" w:hAnsi="Cambria"/>
                <w:bCs/>
                <w:sz w:val="20"/>
                <w:szCs w:val="20"/>
                <w:lang w:val="es-VE"/>
              </w:rPr>
              <w:t xml:space="preserve"> </w:t>
            </w:r>
            <w:r w:rsidR="00ED5C9A">
              <w:rPr>
                <w:rFonts w:ascii="Cambria" w:hAnsi="Cambria"/>
                <w:bCs/>
                <w:sz w:val="20"/>
                <w:szCs w:val="20"/>
                <w:lang w:val="es-VE"/>
              </w:rPr>
              <w:t>19 (derechos del niño),</w:t>
            </w:r>
            <w:r w:rsidR="00ED5C9A" w:rsidRPr="00F81C45">
              <w:rPr>
                <w:rFonts w:ascii="Cambria" w:hAnsi="Cambria"/>
                <w:bCs/>
                <w:sz w:val="20"/>
                <w:szCs w:val="20"/>
                <w:lang w:val="es-VE"/>
              </w:rPr>
              <w:t xml:space="preserve"> </w:t>
            </w:r>
            <w:r w:rsidRPr="00F81C45">
              <w:rPr>
                <w:rFonts w:ascii="Cambria" w:hAnsi="Cambria"/>
                <w:bCs/>
                <w:sz w:val="20"/>
                <w:szCs w:val="20"/>
                <w:lang w:val="es-VE"/>
              </w:rPr>
              <w:t>22 (circulación y residencia), 25 (protección judicial)</w:t>
            </w:r>
            <w:r w:rsidR="00F81C45" w:rsidRPr="00F81C45">
              <w:rPr>
                <w:rFonts w:ascii="Cambria" w:hAnsi="Cambria"/>
                <w:bCs/>
                <w:sz w:val="20"/>
                <w:szCs w:val="20"/>
                <w:lang w:val="es-VE"/>
              </w:rPr>
              <w:t xml:space="preserve"> y 26 (derechos económicos, sociales y culturales)</w:t>
            </w:r>
            <w:r w:rsidR="00F81C45" w:rsidRPr="00F81C45">
              <w:rPr>
                <w:rFonts w:ascii="Cambria" w:hAnsi="Cambria"/>
                <w:sz w:val="20"/>
                <w:szCs w:val="20"/>
                <w:lang w:val="es-ES_tradnl"/>
              </w:rPr>
              <w:t xml:space="preserve"> </w:t>
            </w:r>
            <w:r w:rsidR="00F81C45" w:rsidRPr="00F81C45">
              <w:rPr>
                <w:rFonts w:ascii="Cambria" w:hAnsi="Cambria"/>
                <w:bCs/>
                <w:sz w:val="20"/>
                <w:szCs w:val="20"/>
                <w:bdr w:val="none" w:sz="0" w:space="0" w:color="auto" w:frame="1"/>
                <w:lang w:val="es-ES_tradnl"/>
              </w:rPr>
              <w:t>de la Convención Americana</w:t>
            </w:r>
            <w:r w:rsidR="00C2554E">
              <w:rPr>
                <w:rFonts w:ascii="Cambria" w:hAnsi="Cambria"/>
                <w:bCs/>
                <w:sz w:val="20"/>
                <w:szCs w:val="20"/>
                <w:bdr w:val="none" w:sz="0" w:space="0" w:color="auto" w:frame="1"/>
                <w:lang w:val="es-ES_tradnl"/>
              </w:rPr>
              <w:t>,</w:t>
            </w:r>
            <w:r w:rsidR="00F81C45" w:rsidRPr="00F81C45">
              <w:rPr>
                <w:rFonts w:ascii="Cambria" w:hAnsi="Cambria"/>
                <w:bCs/>
                <w:sz w:val="20"/>
                <w:szCs w:val="20"/>
                <w:bdr w:val="none" w:sz="0" w:space="0" w:color="auto" w:frame="1"/>
                <w:lang w:val="es-ES_tradnl"/>
              </w:rPr>
              <w:t xml:space="preserve"> en relación con </w:t>
            </w:r>
            <w:r w:rsidR="00C2554E">
              <w:rPr>
                <w:rFonts w:ascii="Cambria" w:hAnsi="Cambria"/>
                <w:bCs/>
                <w:sz w:val="20"/>
                <w:szCs w:val="20"/>
                <w:bdr w:val="none" w:sz="0" w:space="0" w:color="auto" w:frame="1"/>
                <w:lang w:val="es-ES_tradnl"/>
              </w:rPr>
              <w:t>su</w:t>
            </w:r>
            <w:r w:rsidR="00F81C45" w:rsidRPr="00F81C45">
              <w:rPr>
                <w:rFonts w:ascii="Cambria" w:hAnsi="Cambria"/>
                <w:bCs/>
                <w:sz w:val="20"/>
                <w:szCs w:val="20"/>
                <w:bdr w:val="none" w:sz="0" w:space="0" w:color="auto" w:frame="1"/>
                <w:lang w:val="es-ES_tradnl"/>
              </w:rPr>
              <w:t xml:space="preserve"> artículo 1.1 (obligación de respetar los derechos)</w:t>
            </w:r>
          </w:p>
        </w:tc>
      </w:tr>
      <w:tr w:rsidR="003239B8" w:rsidRPr="0009431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Agotamiento de recursos internos</w:t>
            </w:r>
            <w:r w:rsidR="00EE00E9" w:rsidRPr="001A2788">
              <w:rPr>
                <w:rFonts w:ascii="Cambria" w:hAnsi="Cambria"/>
                <w:b/>
                <w:bCs/>
                <w:color w:val="FFFFFF" w:themeColor="background1"/>
                <w:sz w:val="20"/>
                <w:szCs w:val="20"/>
                <w:lang w:val="es-VE"/>
              </w:rPr>
              <w:t xml:space="preserve"> o procedencia de una excepción</w:t>
            </w:r>
            <w:r w:rsidRPr="001A2788">
              <w:rPr>
                <w:rFonts w:ascii="Cambria" w:hAnsi="Cambria"/>
                <w:b/>
                <w:bCs/>
                <w:color w:val="FFFFFF" w:themeColor="background1"/>
                <w:sz w:val="20"/>
                <w:szCs w:val="20"/>
                <w:lang w:val="es-VE"/>
              </w:rPr>
              <w:t>:</w:t>
            </w:r>
          </w:p>
        </w:tc>
        <w:tc>
          <w:tcPr>
            <w:tcW w:w="5760" w:type="dxa"/>
            <w:vAlign w:val="center"/>
          </w:tcPr>
          <w:p w14:paraId="7F7C1A19" w14:textId="741226CC" w:rsidR="003239B8" w:rsidRPr="00F81C45" w:rsidRDefault="00A02768" w:rsidP="00A77E85">
            <w:pPr>
              <w:rPr>
                <w:rFonts w:ascii="Cambria" w:hAnsi="Cambria"/>
                <w:bCs/>
                <w:sz w:val="20"/>
                <w:szCs w:val="20"/>
                <w:lang w:val="es-VE"/>
              </w:rPr>
            </w:pPr>
            <w:r w:rsidRPr="00F81C45">
              <w:rPr>
                <w:rFonts w:ascii="Cambria" w:hAnsi="Cambria"/>
                <w:bCs/>
                <w:sz w:val="20"/>
                <w:szCs w:val="20"/>
                <w:lang w:val="es-VE"/>
              </w:rPr>
              <w:t>Sí, en los términos de la Sección VI</w:t>
            </w:r>
          </w:p>
        </w:tc>
      </w:tr>
      <w:tr w:rsidR="003239B8" w:rsidRPr="0009431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1A2788" w:rsidRDefault="003239B8" w:rsidP="00A77E85">
            <w:pPr>
              <w:jc w:val="center"/>
              <w:rPr>
                <w:rFonts w:ascii="Cambria" w:hAnsi="Cambria"/>
                <w:b/>
                <w:bCs/>
                <w:color w:val="FFFFFF" w:themeColor="background1"/>
                <w:sz w:val="20"/>
                <w:szCs w:val="20"/>
                <w:lang w:val="es-VE"/>
              </w:rPr>
            </w:pPr>
            <w:r w:rsidRPr="001A2788">
              <w:rPr>
                <w:rFonts w:ascii="Cambria" w:hAnsi="Cambria"/>
                <w:b/>
                <w:bCs/>
                <w:color w:val="FFFFFF" w:themeColor="background1"/>
                <w:sz w:val="20"/>
                <w:szCs w:val="20"/>
                <w:lang w:val="es-VE"/>
              </w:rPr>
              <w:t>Presentación dentro de plazo:</w:t>
            </w:r>
          </w:p>
        </w:tc>
        <w:tc>
          <w:tcPr>
            <w:tcW w:w="5760" w:type="dxa"/>
            <w:vAlign w:val="center"/>
          </w:tcPr>
          <w:p w14:paraId="2AF0FC69" w14:textId="784F2522" w:rsidR="003239B8" w:rsidRPr="001A2788" w:rsidRDefault="00A02768" w:rsidP="00A77E85">
            <w:pPr>
              <w:rPr>
                <w:rFonts w:ascii="Cambria" w:hAnsi="Cambria"/>
                <w:bCs/>
                <w:sz w:val="20"/>
                <w:szCs w:val="20"/>
                <w:lang w:val="es-VE"/>
              </w:rPr>
            </w:pPr>
            <w:r>
              <w:rPr>
                <w:rFonts w:ascii="Cambria" w:hAnsi="Cambria"/>
                <w:bCs/>
                <w:sz w:val="20"/>
                <w:szCs w:val="20"/>
                <w:lang w:val="es-VE"/>
              </w:rPr>
              <w:t>Sí, en los términos de la Sección VI</w:t>
            </w:r>
          </w:p>
        </w:tc>
      </w:tr>
    </w:tbl>
    <w:p w14:paraId="0270FA96" w14:textId="4E1C6157" w:rsidR="001B478B" w:rsidRPr="00ED5C9A" w:rsidRDefault="004241A0" w:rsidP="00C2554E">
      <w:pPr>
        <w:pStyle w:val="ListParagraph"/>
        <w:numPr>
          <w:ilvl w:val="0"/>
          <w:numId w:val="60"/>
        </w:numPr>
        <w:spacing w:before="240" w:after="240"/>
        <w:ind w:left="0" w:firstLine="720"/>
        <w:jc w:val="both"/>
        <w:rPr>
          <w:rFonts w:asciiTheme="majorHAnsi" w:hAnsiTheme="majorHAnsi"/>
          <w:b/>
          <w:color w:val="auto"/>
          <w:sz w:val="20"/>
          <w:szCs w:val="20"/>
          <w:lang w:val="es-ES_tradnl"/>
        </w:rPr>
      </w:pPr>
      <w:r w:rsidRPr="00ED5C9A">
        <w:rPr>
          <w:rFonts w:asciiTheme="majorHAnsi" w:hAnsiTheme="majorHAnsi"/>
          <w:b/>
          <w:color w:val="auto"/>
          <w:sz w:val="20"/>
          <w:szCs w:val="20"/>
          <w:lang w:val="es-ES_tradnl"/>
        </w:rPr>
        <w:t>POSICIÓN DE LAS PARTES</w:t>
      </w:r>
      <w:r w:rsidR="003239B8" w:rsidRPr="00ED5C9A">
        <w:rPr>
          <w:rFonts w:asciiTheme="majorHAnsi" w:hAnsiTheme="majorHAnsi"/>
          <w:b/>
          <w:color w:val="auto"/>
          <w:sz w:val="20"/>
          <w:szCs w:val="20"/>
          <w:lang w:val="es-ES_tradnl"/>
        </w:rPr>
        <w:t xml:space="preserve"> </w:t>
      </w:r>
    </w:p>
    <w:p w14:paraId="31CF19A1" w14:textId="43DFBE86" w:rsidR="00E90D3C" w:rsidRPr="00ED5C9A" w:rsidRDefault="00E90D3C" w:rsidP="00E90D3C">
      <w:pPr>
        <w:pStyle w:val="ListParagraph"/>
        <w:spacing w:before="240" w:after="240"/>
        <w:jc w:val="both"/>
        <w:rPr>
          <w:rFonts w:asciiTheme="majorHAnsi" w:hAnsiTheme="majorHAnsi"/>
          <w:bCs/>
          <w:i/>
          <w:iCs/>
          <w:color w:val="auto"/>
          <w:sz w:val="20"/>
          <w:szCs w:val="20"/>
          <w:lang w:val="es-ES_tradnl"/>
        </w:rPr>
      </w:pPr>
      <w:r w:rsidRPr="00ED5C9A">
        <w:rPr>
          <w:rFonts w:asciiTheme="majorHAnsi" w:hAnsiTheme="majorHAnsi"/>
          <w:bCs/>
          <w:i/>
          <w:iCs/>
          <w:color w:val="auto"/>
          <w:sz w:val="20"/>
          <w:szCs w:val="20"/>
          <w:lang w:val="es-ES_tradnl"/>
        </w:rPr>
        <w:t>Alegatos de los peticionarios</w:t>
      </w:r>
    </w:p>
    <w:p w14:paraId="6279B755" w14:textId="41CFB4A2" w:rsidR="00090DBB" w:rsidRPr="00ED5C9A" w:rsidRDefault="00997A2E">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 xml:space="preserve">Se </w:t>
      </w:r>
      <w:r w:rsidR="00560A82" w:rsidRPr="00ED5C9A">
        <w:rPr>
          <w:rFonts w:asciiTheme="majorHAnsi" w:hAnsiTheme="majorHAnsi"/>
          <w:color w:val="auto"/>
          <w:sz w:val="20"/>
          <w:szCs w:val="20"/>
          <w:lang w:val="es-ES_tradnl"/>
        </w:rPr>
        <w:t xml:space="preserve">denuncia </w:t>
      </w:r>
      <w:r w:rsidR="00DC2237" w:rsidRPr="00ED5C9A">
        <w:rPr>
          <w:rFonts w:asciiTheme="majorHAnsi" w:hAnsiTheme="majorHAnsi"/>
          <w:color w:val="auto"/>
          <w:sz w:val="20"/>
          <w:szCs w:val="20"/>
          <w:lang w:val="es-ES_tradnl"/>
        </w:rPr>
        <w:t>el desplazamiento forzado de</w:t>
      </w:r>
      <w:r w:rsidR="00023791" w:rsidRPr="00ED5C9A">
        <w:rPr>
          <w:rFonts w:asciiTheme="majorHAnsi" w:hAnsiTheme="majorHAnsi"/>
          <w:color w:val="auto"/>
          <w:sz w:val="20"/>
          <w:szCs w:val="20"/>
          <w:lang w:val="es-ES_tradnl"/>
        </w:rPr>
        <w:t xml:space="preserve"> </w:t>
      </w:r>
      <w:r w:rsidR="0014507C" w:rsidRPr="00ED5C9A">
        <w:rPr>
          <w:rFonts w:asciiTheme="majorHAnsi" w:hAnsiTheme="majorHAnsi"/>
          <w:color w:val="auto"/>
          <w:sz w:val="20"/>
          <w:szCs w:val="20"/>
          <w:lang w:val="es-ES_tradnl"/>
        </w:rPr>
        <w:t xml:space="preserve">Martha Lucía González y </w:t>
      </w:r>
      <w:r w:rsidR="00DC2237" w:rsidRPr="00ED5C9A">
        <w:rPr>
          <w:rFonts w:asciiTheme="majorHAnsi" w:hAnsiTheme="majorHAnsi"/>
          <w:color w:val="auto"/>
          <w:sz w:val="20"/>
          <w:szCs w:val="20"/>
          <w:lang w:val="es-ES_tradnl"/>
        </w:rPr>
        <w:t>su familia</w:t>
      </w:r>
      <w:r w:rsidR="00023791" w:rsidRPr="00ED5C9A">
        <w:rPr>
          <w:rFonts w:asciiTheme="majorHAnsi" w:hAnsiTheme="majorHAnsi"/>
          <w:color w:val="auto"/>
          <w:sz w:val="20"/>
          <w:szCs w:val="20"/>
          <w:lang w:val="es-ES_tradnl"/>
        </w:rPr>
        <w:t xml:space="preserve">, </w:t>
      </w:r>
      <w:r w:rsidR="009C75EB" w:rsidRPr="00ED5C9A">
        <w:rPr>
          <w:rFonts w:asciiTheme="majorHAnsi" w:hAnsiTheme="majorHAnsi"/>
          <w:color w:val="auto"/>
          <w:sz w:val="20"/>
          <w:szCs w:val="20"/>
          <w:lang w:val="es-ES_tradnl"/>
        </w:rPr>
        <w:t>y</w:t>
      </w:r>
      <w:r w:rsidR="00797EED" w:rsidRPr="00ED5C9A">
        <w:rPr>
          <w:rFonts w:asciiTheme="majorHAnsi" w:hAnsiTheme="majorHAnsi"/>
          <w:color w:val="auto"/>
          <w:sz w:val="20"/>
          <w:szCs w:val="20"/>
          <w:lang w:val="es-ES_tradnl"/>
        </w:rPr>
        <w:t xml:space="preserve"> </w:t>
      </w:r>
      <w:r w:rsidR="003D6591" w:rsidRPr="00ED5C9A">
        <w:rPr>
          <w:rFonts w:asciiTheme="majorHAnsi" w:hAnsiTheme="majorHAnsi"/>
          <w:color w:val="auto"/>
          <w:sz w:val="20"/>
          <w:szCs w:val="20"/>
          <w:lang w:val="es-ES_tradnl"/>
        </w:rPr>
        <w:t>el homicidio de su padre, Álvaro González Santana</w:t>
      </w:r>
      <w:r w:rsidR="009C75EB" w:rsidRPr="00ED5C9A">
        <w:rPr>
          <w:rFonts w:asciiTheme="majorHAnsi" w:hAnsiTheme="majorHAnsi"/>
          <w:color w:val="auto"/>
          <w:sz w:val="20"/>
          <w:szCs w:val="20"/>
          <w:lang w:val="es-ES_tradnl"/>
        </w:rPr>
        <w:t>,</w:t>
      </w:r>
      <w:r w:rsidR="00D50217" w:rsidRPr="00ED5C9A">
        <w:rPr>
          <w:rFonts w:asciiTheme="majorHAnsi" w:hAnsiTheme="majorHAnsi"/>
          <w:color w:val="auto"/>
          <w:sz w:val="20"/>
          <w:szCs w:val="20"/>
          <w:lang w:val="es-ES_tradnl"/>
        </w:rPr>
        <w:t xml:space="preserve"> </w:t>
      </w:r>
      <w:r w:rsidR="00023791" w:rsidRPr="00ED5C9A">
        <w:rPr>
          <w:rFonts w:asciiTheme="majorHAnsi" w:hAnsiTheme="majorHAnsi"/>
          <w:color w:val="auto"/>
          <w:sz w:val="20"/>
          <w:szCs w:val="20"/>
          <w:lang w:val="es-ES_tradnl"/>
        </w:rPr>
        <w:t>a raíz de su labor como jueza</w:t>
      </w:r>
      <w:r w:rsidR="00DC2237" w:rsidRPr="00ED5C9A">
        <w:rPr>
          <w:rFonts w:asciiTheme="majorHAnsi" w:hAnsiTheme="majorHAnsi"/>
          <w:color w:val="auto"/>
          <w:sz w:val="20"/>
          <w:szCs w:val="20"/>
          <w:lang w:val="es-ES_tradnl"/>
        </w:rPr>
        <w:t>.</w:t>
      </w:r>
      <w:r w:rsidR="00023791" w:rsidRPr="00ED5C9A">
        <w:rPr>
          <w:rFonts w:asciiTheme="majorHAnsi" w:hAnsiTheme="majorHAnsi"/>
          <w:color w:val="auto"/>
          <w:sz w:val="20"/>
          <w:szCs w:val="20"/>
          <w:lang w:val="es-ES_tradnl"/>
        </w:rPr>
        <w:t xml:space="preserve"> L</w:t>
      </w:r>
      <w:r w:rsidR="00560A82" w:rsidRPr="00ED5C9A">
        <w:rPr>
          <w:rFonts w:asciiTheme="majorHAnsi" w:hAnsiTheme="majorHAnsi"/>
          <w:color w:val="auto"/>
          <w:sz w:val="20"/>
          <w:szCs w:val="20"/>
          <w:lang w:val="es-ES_tradnl"/>
        </w:rPr>
        <w:t xml:space="preserve">os peticionarios </w:t>
      </w:r>
      <w:r w:rsidR="00023791" w:rsidRPr="00ED5C9A">
        <w:rPr>
          <w:rFonts w:asciiTheme="majorHAnsi" w:hAnsiTheme="majorHAnsi"/>
          <w:color w:val="auto"/>
          <w:sz w:val="20"/>
          <w:szCs w:val="20"/>
          <w:lang w:val="es-ES_tradnl"/>
        </w:rPr>
        <w:t>argumenta</w:t>
      </w:r>
      <w:r w:rsidR="00560A82" w:rsidRPr="00ED5C9A">
        <w:rPr>
          <w:rFonts w:asciiTheme="majorHAnsi" w:hAnsiTheme="majorHAnsi"/>
          <w:color w:val="auto"/>
          <w:sz w:val="20"/>
          <w:szCs w:val="20"/>
          <w:lang w:val="es-ES_tradnl"/>
        </w:rPr>
        <w:t>n</w:t>
      </w:r>
      <w:r w:rsidR="00182EAB" w:rsidRPr="00ED5C9A">
        <w:rPr>
          <w:rFonts w:asciiTheme="majorHAnsi" w:hAnsiTheme="majorHAnsi"/>
          <w:color w:val="auto"/>
          <w:sz w:val="20"/>
          <w:szCs w:val="20"/>
          <w:lang w:val="es-ES_tradnl"/>
        </w:rPr>
        <w:t xml:space="preserve"> </w:t>
      </w:r>
      <w:r w:rsidR="00CC4FCE" w:rsidRPr="00ED5C9A">
        <w:rPr>
          <w:rFonts w:asciiTheme="majorHAnsi" w:hAnsiTheme="majorHAnsi"/>
          <w:color w:val="auto"/>
          <w:sz w:val="20"/>
          <w:szCs w:val="20"/>
          <w:lang w:val="es-ES_tradnl"/>
        </w:rPr>
        <w:t xml:space="preserve">que </w:t>
      </w:r>
      <w:r w:rsidR="007251A6" w:rsidRPr="00ED5C9A">
        <w:rPr>
          <w:rFonts w:asciiTheme="majorHAnsi" w:hAnsiTheme="majorHAnsi"/>
          <w:color w:val="auto"/>
          <w:sz w:val="20"/>
          <w:szCs w:val="20"/>
          <w:lang w:val="es-ES_tradnl"/>
        </w:rPr>
        <w:t xml:space="preserve">no ha existido </w:t>
      </w:r>
      <w:r w:rsidR="00182EAB" w:rsidRPr="00ED5C9A">
        <w:rPr>
          <w:rFonts w:asciiTheme="majorHAnsi" w:hAnsiTheme="majorHAnsi"/>
          <w:color w:val="auto"/>
          <w:sz w:val="20"/>
          <w:szCs w:val="20"/>
          <w:lang w:val="es-ES_tradnl"/>
        </w:rPr>
        <w:t>una debida diligencia en</w:t>
      </w:r>
      <w:r w:rsidR="00023791" w:rsidRPr="00ED5C9A">
        <w:rPr>
          <w:rFonts w:asciiTheme="majorHAnsi" w:hAnsiTheme="majorHAnsi"/>
          <w:color w:val="auto"/>
          <w:sz w:val="20"/>
          <w:szCs w:val="20"/>
          <w:lang w:val="es-ES_tradnl"/>
        </w:rPr>
        <w:t xml:space="preserve"> </w:t>
      </w:r>
      <w:r w:rsidR="00DC2237" w:rsidRPr="00ED5C9A">
        <w:rPr>
          <w:rFonts w:asciiTheme="majorHAnsi" w:hAnsiTheme="majorHAnsi"/>
          <w:color w:val="auto"/>
          <w:sz w:val="20"/>
          <w:szCs w:val="20"/>
          <w:lang w:val="es-ES_tradnl"/>
        </w:rPr>
        <w:t>la investigación y sanción de los responsables</w:t>
      </w:r>
      <w:r w:rsidR="009C75EB" w:rsidRPr="00ED5C9A">
        <w:rPr>
          <w:rFonts w:asciiTheme="majorHAnsi" w:hAnsiTheme="majorHAnsi"/>
          <w:color w:val="auto"/>
          <w:sz w:val="20"/>
          <w:szCs w:val="20"/>
          <w:lang w:val="es-ES_tradnl"/>
        </w:rPr>
        <w:t>,</w:t>
      </w:r>
      <w:r w:rsidR="00E37332" w:rsidRPr="00ED5C9A">
        <w:rPr>
          <w:rFonts w:asciiTheme="majorHAnsi" w:hAnsiTheme="majorHAnsi"/>
          <w:color w:val="auto"/>
          <w:sz w:val="20"/>
          <w:szCs w:val="20"/>
          <w:lang w:val="es-ES_tradnl"/>
        </w:rPr>
        <w:t xml:space="preserve"> lo cual </w:t>
      </w:r>
      <w:r w:rsidR="009C75EB" w:rsidRPr="00ED5C9A">
        <w:rPr>
          <w:rFonts w:asciiTheme="majorHAnsi" w:hAnsiTheme="majorHAnsi"/>
          <w:color w:val="auto"/>
          <w:sz w:val="20"/>
          <w:szCs w:val="20"/>
          <w:lang w:val="es-ES_tradnl"/>
        </w:rPr>
        <w:t xml:space="preserve">la </w:t>
      </w:r>
      <w:r w:rsidR="00542C16" w:rsidRPr="00ED5C9A">
        <w:rPr>
          <w:rFonts w:asciiTheme="majorHAnsi" w:hAnsiTheme="majorHAnsi"/>
          <w:bCs/>
          <w:color w:val="auto"/>
          <w:sz w:val="20"/>
          <w:szCs w:val="20"/>
          <w:lang w:val="es-ES_tradnl"/>
        </w:rPr>
        <w:t>mantiene</w:t>
      </w:r>
      <w:r w:rsidR="00CC4FCE" w:rsidRPr="00ED5C9A">
        <w:rPr>
          <w:rFonts w:asciiTheme="majorHAnsi" w:hAnsiTheme="majorHAnsi"/>
          <w:bCs/>
          <w:color w:val="auto"/>
          <w:sz w:val="20"/>
          <w:szCs w:val="20"/>
          <w:lang w:val="es-ES_tradnl"/>
        </w:rPr>
        <w:t xml:space="preserve"> </w:t>
      </w:r>
      <w:r w:rsidR="00542C16" w:rsidRPr="00ED5C9A">
        <w:rPr>
          <w:rFonts w:asciiTheme="majorHAnsi" w:hAnsiTheme="majorHAnsi"/>
          <w:bCs/>
          <w:color w:val="auto"/>
          <w:sz w:val="20"/>
          <w:szCs w:val="20"/>
          <w:lang w:val="es-ES_tradnl"/>
        </w:rPr>
        <w:t xml:space="preserve">a </w:t>
      </w:r>
      <w:r w:rsidR="00560A82" w:rsidRPr="00ED5C9A">
        <w:rPr>
          <w:rFonts w:asciiTheme="majorHAnsi" w:hAnsiTheme="majorHAnsi"/>
          <w:bCs/>
          <w:color w:val="auto"/>
          <w:sz w:val="20"/>
          <w:szCs w:val="20"/>
          <w:lang w:val="es-ES_tradnl"/>
        </w:rPr>
        <w:t xml:space="preserve">ella y </w:t>
      </w:r>
      <w:r w:rsidR="00CC4FCE" w:rsidRPr="00ED5C9A">
        <w:rPr>
          <w:rFonts w:asciiTheme="majorHAnsi" w:hAnsiTheme="majorHAnsi"/>
          <w:bCs/>
          <w:color w:val="auto"/>
          <w:sz w:val="20"/>
          <w:szCs w:val="20"/>
          <w:lang w:val="es-ES_tradnl"/>
        </w:rPr>
        <w:t xml:space="preserve">su </w:t>
      </w:r>
      <w:r w:rsidR="00542C16" w:rsidRPr="00ED5C9A">
        <w:rPr>
          <w:rFonts w:asciiTheme="majorHAnsi" w:hAnsiTheme="majorHAnsi"/>
          <w:bCs/>
          <w:color w:val="auto"/>
          <w:sz w:val="20"/>
          <w:szCs w:val="20"/>
          <w:lang w:val="es-ES_tradnl"/>
        </w:rPr>
        <w:t>familia</w:t>
      </w:r>
      <w:r w:rsidR="00CC4FCE" w:rsidRPr="00ED5C9A">
        <w:rPr>
          <w:rFonts w:asciiTheme="majorHAnsi" w:hAnsiTheme="majorHAnsi"/>
          <w:bCs/>
          <w:color w:val="auto"/>
          <w:sz w:val="20"/>
          <w:szCs w:val="20"/>
          <w:lang w:val="es-ES_tradnl"/>
        </w:rPr>
        <w:t xml:space="preserve"> </w:t>
      </w:r>
      <w:r w:rsidR="00542C16" w:rsidRPr="00ED5C9A">
        <w:rPr>
          <w:rFonts w:asciiTheme="majorHAnsi" w:hAnsiTheme="majorHAnsi"/>
          <w:bCs/>
          <w:color w:val="auto"/>
          <w:sz w:val="20"/>
          <w:szCs w:val="20"/>
          <w:lang w:val="es-ES_tradnl"/>
        </w:rPr>
        <w:t>en</w:t>
      </w:r>
      <w:r w:rsidR="00CC4FCE" w:rsidRPr="00ED5C9A">
        <w:rPr>
          <w:rFonts w:asciiTheme="majorHAnsi" w:hAnsiTheme="majorHAnsi"/>
          <w:bCs/>
          <w:color w:val="auto"/>
          <w:sz w:val="20"/>
          <w:szCs w:val="20"/>
          <w:lang w:val="es-ES_tradnl"/>
        </w:rPr>
        <w:t xml:space="preserve"> </w:t>
      </w:r>
      <w:r w:rsidR="00542C16" w:rsidRPr="00ED5C9A">
        <w:rPr>
          <w:rFonts w:asciiTheme="majorHAnsi" w:hAnsiTheme="majorHAnsi"/>
          <w:bCs/>
          <w:color w:val="auto"/>
          <w:sz w:val="20"/>
          <w:szCs w:val="20"/>
          <w:lang w:val="es-ES_tradnl"/>
        </w:rPr>
        <w:t>situación</w:t>
      </w:r>
      <w:r w:rsidR="00CC4FCE" w:rsidRPr="00ED5C9A">
        <w:rPr>
          <w:rFonts w:asciiTheme="majorHAnsi" w:hAnsiTheme="majorHAnsi"/>
          <w:bCs/>
          <w:color w:val="auto"/>
          <w:sz w:val="20"/>
          <w:szCs w:val="20"/>
          <w:lang w:val="es-ES_tradnl"/>
        </w:rPr>
        <w:t xml:space="preserve"> </w:t>
      </w:r>
      <w:r w:rsidR="00542C16" w:rsidRPr="00ED5C9A">
        <w:rPr>
          <w:rFonts w:asciiTheme="majorHAnsi" w:hAnsiTheme="majorHAnsi"/>
          <w:bCs/>
          <w:color w:val="auto"/>
          <w:sz w:val="20"/>
          <w:szCs w:val="20"/>
          <w:lang w:val="es-ES_tradnl"/>
        </w:rPr>
        <w:t>de</w:t>
      </w:r>
      <w:r w:rsidR="00CC4FCE" w:rsidRPr="00ED5C9A">
        <w:rPr>
          <w:rFonts w:asciiTheme="majorHAnsi" w:hAnsiTheme="majorHAnsi"/>
          <w:bCs/>
          <w:color w:val="auto"/>
          <w:sz w:val="20"/>
          <w:szCs w:val="20"/>
          <w:lang w:val="es-ES_tradnl"/>
        </w:rPr>
        <w:t xml:space="preserve"> </w:t>
      </w:r>
      <w:r w:rsidR="00542C16" w:rsidRPr="00ED5C9A">
        <w:rPr>
          <w:rFonts w:asciiTheme="majorHAnsi" w:hAnsiTheme="majorHAnsi"/>
          <w:bCs/>
          <w:color w:val="auto"/>
          <w:sz w:val="20"/>
          <w:szCs w:val="20"/>
          <w:lang w:val="es-ES_tradnl"/>
        </w:rPr>
        <w:t>exilio y</w:t>
      </w:r>
      <w:r w:rsidR="00CC4FCE" w:rsidRPr="00ED5C9A">
        <w:rPr>
          <w:rFonts w:asciiTheme="majorHAnsi" w:hAnsiTheme="majorHAnsi"/>
          <w:bCs/>
          <w:color w:val="auto"/>
          <w:sz w:val="20"/>
          <w:szCs w:val="20"/>
          <w:lang w:val="es-ES_tradnl"/>
        </w:rPr>
        <w:t xml:space="preserve"> </w:t>
      </w:r>
      <w:r w:rsidR="00542C16" w:rsidRPr="00ED5C9A">
        <w:rPr>
          <w:rFonts w:asciiTheme="majorHAnsi" w:hAnsiTheme="majorHAnsi"/>
          <w:bCs/>
          <w:color w:val="auto"/>
          <w:sz w:val="20"/>
          <w:szCs w:val="20"/>
          <w:lang w:val="es-ES_tradnl"/>
        </w:rPr>
        <w:t>desprotección</w:t>
      </w:r>
      <w:r w:rsidR="00E37332" w:rsidRPr="00ED5C9A">
        <w:rPr>
          <w:rFonts w:asciiTheme="majorHAnsi" w:hAnsiTheme="majorHAnsi"/>
          <w:color w:val="auto"/>
          <w:sz w:val="20"/>
          <w:szCs w:val="20"/>
          <w:lang w:val="es-ES_tradnl"/>
        </w:rPr>
        <w:t xml:space="preserve">. </w:t>
      </w:r>
      <w:r w:rsidR="009C75EB" w:rsidRPr="00ED5C9A">
        <w:rPr>
          <w:rFonts w:asciiTheme="majorHAnsi" w:hAnsiTheme="majorHAnsi"/>
          <w:color w:val="auto"/>
          <w:sz w:val="20"/>
          <w:szCs w:val="20"/>
          <w:lang w:val="es-ES_tradnl"/>
        </w:rPr>
        <w:t>L</w:t>
      </w:r>
      <w:r w:rsidR="00560A82" w:rsidRPr="00ED5C9A">
        <w:rPr>
          <w:rFonts w:asciiTheme="majorHAnsi" w:hAnsiTheme="majorHAnsi"/>
          <w:color w:val="auto"/>
          <w:sz w:val="20"/>
          <w:szCs w:val="20"/>
          <w:lang w:val="es-ES_tradnl"/>
        </w:rPr>
        <w:t xml:space="preserve">os peticionarios </w:t>
      </w:r>
      <w:r w:rsidR="00E37332" w:rsidRPr="00ED5C9A">
        <w:rPr>
          <w:rFonts w:asciiTheme="majorHAnsi" w:hAnsiTheme="majorHAnsi"/>
          <w:bCs/>
          <w:color w:val="auto"/>
          <w:sz w:val="20"/>
          <w:szCs w:val="20"/>
          <w:lang w:val="es-ES_tradnl"/>
        </w:rPr>
        <w:t>alega</w:t>
      </w:r>
      <w:r w:rsidR="00560A82" w:rsidRPr="00ED5C9A">
        <w:rPr>
          <w:rFonts w:asciiTheme="majorHAnsi" w:hAnsiTheme="majorHAnsi"/>
          <w:bCs/>
          <w:color w:val="auto"/>
          <w:sz w:val="20"/>
          <w:szCs w:val="20"/>
          <w:lang w:val="es-ES_tradnl"/>
        </w:rPr>
        <w:t>n</w:t>
      </w:r>
      <w:r w:rsidR="00E37332" w:rsidRPr="00ED5C9A">
        <w:rPr>
          <w:rFonts w:asciiTheme="majorHAnsi" w:hAnsiTheme="majorHAnsi"/>
          <w:bCs/>
          <w:color w:val="auto"/>
          <w:sz w:val="20"/>
          <w:szCs w:val="20"/>
          <w:lang w:val="es-ES_tradnl"/>
        </w:rPr>
        <w:t xml:space="preserve"> que </w:t>
      </w:r>
      <w:r w:rsidR="009C75EB" w:rsidRPr="00ED5C9A">
        <w:rPr>
          <w:rFonts w:asciiTheme="majorHAnsi" w:hAnsiTheme="majorHAnsi"/>
          <w:color w:val="auto"/>
          <w:sz w:val="20"/>
          <w:szCs w:val="20"/>
          <w:lang w:val="es-ES_tradnl"/>
        </w:rPr>
        <w:t>esto se produjo</w:t>
      </w:r>
      <w:r w:rsidR="00E37332" w:rsidRPr="00ED5C9A">
        <w:rPr>
          <w:rFonts w:asciiTheme="majorHAnsi" w:hAnsiTheme="majorHAnsi"/>
          <w:color w:val="auto"/>
          <w:sz w:val="20"/>
          <w:szCs w:val="20"/>
          <w:lang w:val="es-ES_tradnl"/>
        </w:rPr>
        <w:t xml:space="preserve"> </w:t>
      </w:r>
      <w:r w:rsidR="0014507C" w:rsidRPr="00ED5C9A">
        <w:rPr>
          <w:rFonts w:asciiTheme="majorHAnsi" w:hAnsiTheme="majorHAnsi"/>
          <w:color w:val="auto"/>
          <w:sz w:val="20"/>
          <w:szCs w:val="20"/>
          <w:lang w:val="es-ES_tradnl"/>
        </w:rPr>
        <w:t>en</w:t>
      </w:r>
      <w:r w:rsidR="00E37332" w:rsidRPr="00ED5C9A">
        <w:rPr>
          <w:rFonts w:asciiTheme="majorHAnsi" w:hAnsiTheme="majorHAnsi"/>
          <w:color w:val="auto"/>
          <w:sz w:val="20"/>
          <w:szCs w:val="20"/>
          <w:lang w:val="es-ES_tradnl"/>
        </w:rPr>
        <w:t xml:space="preserve"> un contexto generalizado y sistemático de violación a los derechos humanos de los funcionarios judiciales</w:t>
      </w:r>
      <w:r w:rsidR="00560A82" w:rsidRPr="00ED5C9A">
        <w:rPr>
          <w:rFonts w:asciiTheme="majorHAnsi" w:hAnsiTheme="majorHAnsi"/>
          <w:color w:val="auto"/>
          <w:sz w:val="20"/>
          <w:szCs w:val="20"/>
          <w:lang w:val="es-ES_tradnl"/>
        </w:rPr>
        <w:t xml:space="preserve"> en Colombia</w:t>
      </w:r>
      <w:r w:rsidR="00E37332" w:rsidRPr="00ED5C9A">
        <w:rPr>
          <w:rFonts w:asciiTheme="majorHAnsi" w:hAnsiTheme="majorHAnsi"/>
          <w:color w:val="auto"/>
          <w:sz w:val="20"/>
          <w:szCs w:val="20"/>
          <w:lang w:val="es-ES_tradnl"/>
        </w:rPr>
        <w:t>.</w:t>
      </w:r>
    </w:p>
    <w:p w14:paraId="7A3AA548" w14:textId="77777777" w:rsidR="00090DBB" w:rsidRPr="00ED5C9A" w:rsidRDefault="00090DBB" w:rsidP="00735B62">
      <w:pPr>
        <w:pStyle w:val="ListParagraph"/>
        <w:ind w:left="0" w:firstLine="720"/>
        <w:jc w:val="both"/>
        <w:rPr>
          <w:rFonts w:asciiTheme="majorHAnsi" w:hAnsiTheme="majorHAnsi"/>
          <w:bCs/>
          <w:color w:val="auto"/>
          <w:sz w:val="20"/>
          <w:szCs w:val="20"/>
          <w:lang w:val="es-ES_tradnl"/>
        </w:rPr>
      </w:pPr>
    </w:p>
    <w:p w14:paraId="6BF0514C" w14:textId="14018895" w:rsidR="00F61B9D" w:rsidRPr="00ED5C9A" w:rsidRDefault="009C75EB" w:rsidP="00A77E85">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Los peticionarios narran que e</w:t>
      </w:r>
      <w:r w:rsidR="00E37332" w:rsidRPr="00ED5C9A">
        <w:rPr>
          <w:rFonts w:asciiTheme="majorHAnsi" w:hAnsiTheme="majorHAnsi"/>
          <w:color w:val="auto"/>
          <w:sz w:val="20"/>
          <w:szCs w:val="20"/>
          <w:lang w:val="es-ES_tradnl"/>
        </w:rPr>
        <w:t xml:space="preserve">l </w:t>
      </w:r>
      <w:r w:rsidR="00735B62" w:rsidRPr="00ED5C9A">
        <w:rPr>
          <w:rFonts w:asciiTheme="majorHAnsi" w:hAnsiTheme="majorHAnsi"/>
          <w:bCs/>
          <w:color w:val="auto"/>
          <w:sz w:val="20"/>
          <w:szCs w:val="20"/>
          <w:lang w:val="es-ES_tradnl"/>
        </w:rPr>
        <w:t xml:space="preserve">1 de marzo de 1988 </w:t>
      </w:r>
      <w:r w:rsidR="003D6591" w:rsidRPr="00ED5C9A">
        <w:rPr>
          <w:rFonts w:asciiTheme="majorHAnsi" w:hAnsiTheme="majorHAnsi"/>
          <w:bCs/>
          <w:color w:val="auto"/>
          <w:sz w:val="20"/>
          <w:szCs w:val="20"/>
          <w:lang w:val="es-ES_tradnl"/>
        </w:rPr>
        <w:t>Martha González fue nombrada</w:t>
      </w:r>
      <w:r w:rsidR="00735B62" w:rsidRPr="00ED5C9A">
        <w:rPr>
          <w:rFonts w:asciiTheme="majorHAnsi" w:hAnsiTheme="majorHAnsi"/>
          <w:bCs/>
          <w:color w:val="auto"/>
          <w:sz w:val="20"/>
          <w:szCs w:val="20"/>
          <w:lang w:val="es-ES_tradnl"/>
        </w:rPr>
        <w:t xml:space="preserve"> Juez</w:t>
      </w:r>
      <w:r w:rsidR="00182EAB" w:rsidRPr="00ED5C9A">
        <w:rPr>
          <w:rFonts w:asciiTheme="majorHAnsi" w:hAnsiTheme="majorHAnsi"/>
          <w:bCs/>
          <w:color w:val="auto"/>
          <w:sz w:val="20"/>
          <w:szCs w:val="20"/>
          <w:lang w:val="es-ES_tradnl"/>
        </w:rPr>
        <w:t>a</w:t>
      </w:r>
      <w:r w:rsidR="00735B62" w:rsidRPr="00ED5C9A">
        <w:rPr>
          <w:rFonts w:asciiTheme="majorHAnsi" w:hAnsiTheme="majorHAnsi"/>
          <w:bCs/>
          <w:color w:val="auto"/>
          <w:sz w:val="20"/>
          <w:szCs w:val="20"/>
          <w:lang w:val="es-ES_tradnl"/>
        </w:rPr>
        <w:t xml:space="preserve"> Segund</w:t>
      </w:r>
      <w:r w:rsidR="00182EAB" w:rsidRPr="00ED5C9A">
        <w:rPr>
          <w:rFonts w:asciiTheme="majorHAnsi" w:hAnsiTheme="majorHAnsi"/>
          <w:bCs/>
          <w:color w:val="auto"/>
          <w:sz w:val="20"/>
          <w:szCs w:val="20"/>
          <w:lang w:val="es-ES_tradnl"/>
        </w:rPr>
        <w:t>a</w:t>
      </w:r>
      <w:r w:rsidR="00735B62" w:rsidRPr="00ED5C9A">
        <w:rPr>
          <w:rFonts w:asciiTheme="majorHAnsi" w:hAnsiTheme="majorHAnsi"/>
          <w:bCs/>
          <w:color w:val="auto"/>
          <w:sz w:val="20"/>
          <w:szCs w:val="20"/>
          <w:lang w:val="es-ES_tradnl"/>
        </w:rPr>
        <w:t xml:space="preserve"> de Orden Público de Bogotá</w:t>
      </w:r>
      <w:r w:rsidR="008C5926" w:rsidRPr="00ED5C9A">
        <w:rPr>
          <w:rFonts w:asciiTheme="majorHAnsi" w:hAnsiTheme="majorHAnsi"/>
          <w:bCs/>
          <w:color w:val="auto"/>
          <w:sz w:val="20"/>
          <w:szCs w:val="20"/>
          <w:lang w:val="es-ES_tradnl"/>
        </w:rPr>
        <w:t>,</w:t>
      </w:r>
      <w:r w:rsidR="00E37332" w:rsidRPr="00ED5C9A">
        <w:rPr>
          <w:rFonts w:asciiTheme="majorHAnsi" w:hAnsiTheme="majorHAnsi"/>
          <w:bCs/>
          <w:color w:val="auto"/>
          <w:sz w:val="20"/>
          <w:szCs w:val="20"/>
          <w:lang w:val="es-ES_tradnl"/>
        </w:rPr>
        <w:t xml:space="preserve"> y </w:t>
      </w:r>
      <w:r w:rsidR="00511CE1" w:rsidRPr="00ED5C9A">
        <w:rPr>
          <w:rFonts w:asciiTheme="majorHAnsi" w:hAnsiTheme="majorHAnsi"/>
          <w:bCs/>
          <w:color w:val="auto"/>
          <w:sz w:val="20"/>
          <w:szCs w:val="20"/>
          <w:lang w:val="es-ES_tradnl"/>
        </w:rPr>
        <w:t xml:space="preserve">que </w:t>
      </w:r>
      <w:r w:rsidR="00E37332" w:rsidRPr="00ED5C9A">
        <w:rPr>
          <w:rFonts w:asciiTheme="majorHAnsi" w:hAnsiTheme="majorHAnsi"/>
          <w:bCs/>
          <w:color w:val="auto"/>
          <w:sz w:val="20"/>
          <w:szCs w:val="20"/>
          <w:lang w:val="es-ES_tradnl"/>
        </w:rPr>
        <w:t>e</w:t>
      </w:r>
      <w:r w:rsidR="00182EAB" w:rsidRPr="00ED5C9A">
        <w:rPr>
          <w:rFonts w:asciiTheme="majorHAnsi" w:hAnsiTheme="majorHAnsi"/>
          <w:bCs/>
          <w:color w:val="auto"/>
          <w:sz w:val="20"/>
          <w:szCs w:val="20"/>
          <w:lang w:val="es-ES_tradnl"/>
        </w:rPr>
        <w:t xml:space="preserve">n el marco de su labor </w:t>
      </w:r>
      <w:r w:rsidR="00B01F18" w:rsidRPr="00ED5C9A">
        <w:rPr>
          <w:rFonts w:asciiTheme="majorHAnsi" w:hAnsiTheme="majorHAnsi"/>
          <w:bCs/>
          <w:color w:val="auto"/>
          <w:sz w:val="20"/>
          <w:szCs w:val="20"/>
          <w:lang w:val="es-ES_tradnl"/>
        </w:rPr>
        <w:t>tuvo bajo su cargo el</w:t>
      </w:r>
      <w:r w:rsidR="003D6591" w:rsidRPr="00ED5C9A">
        <w:rPr>
          <w:rFonts w:asciiTheme="majorHAnsi" w:hAnsiTheme="majorHAnsi"/>
          <w:bCs/>
          <w:color w:val="auto"/>
          <w:sz w:val="20"/>
          <w:szCs w:val="20"/>
          <w:lang w:val="es-ES_tradnl"/>
        </w:rPr>
        <w:t xml:space="preserve"> </w:t>
      </w:r>
      <w:r w:rsidR="00735B62" w:rsidRPr="00ED5C9A">
        <w:rPr>
          <w:rFonts w:asciiTheme="majorHAnsi" w:hAnsiTheme="majorHAnsi"/>
          <w:bCs/>
          <w:color w:val="auto"/>
          <w:sz w:val="20"/>
          <w:szCs w:val="20"/>
          <w:lang w:val="es-ES_tradnl"/>
        </w:rPr>
        <w:t xml:space="preserve">proceso </w:t>
      </w:r>
      <w:r w:rsidR="00182EAB" w:rsidRPr="00ED5C9A">
        <w:rPr>
          <w:rFonts w:asciiTheme="majorHAnsi" w:hAnsiTheme="majorHAnsi"/>
          <w:bCs/>
          <w:color w:val="auto"/>
          <w:sz w:val="20"/>
          <w:szCs w:val="20"/>
          <w:lang w:val="es-ES_tradnl"/>
        </w:rPr>
        <w:t xml:space="preserve">penal vinculado a </w:t>
      </w:r>
      <w:r w:rsidR="00735B62" w:rsidRPr="00ED5C9A">
        <w:rPr>
          <w:rFonts w:asciiTheme="majorHAnsi" w:hAnsiTheme="majorHAnsi"/>
          <w:bCs/>
          <w:color w:val="auto"/>
          <w:sz w:val="20"/>
          <w:szCs w:val="20"/>
          <w:lang w:val="es-ES_tradnl"/>
        </w:rPr>
        <w:t>la</w:t>
      </w:r>
      <w:r w:rsidR="003D6591" w:rsidRPr="00ED5C9A">
        <w:rPr>
          <w:rFonts w:asciiTheme="majorHAnsi" w:hAnsiTheme="majorHAnsi"/>
          <w:bCs/>
          <w:color w:val="auto"/>
          <w:sz w:val="20"/>
          <w:szCs w:val="20"/>
          <w:lang w:val="es-ES_tradnl"/>
        </w:rPr>
        <w:t>s</w:t>
      </w:r>
      <w:r w:rsidR="00735B62" w:rsidRPr="00ED5C9A">
        <w:rPr>
          <w:rFonts w:asciiTheme="majorHAnsi" w:hAnsiTheme="majorHAnsi"/>
          <w:bCs/>
          <w:color w:val="auto"/>
          <w:sz w:val="20"/>
          <w:szCs w:val="20"/>
          <w:lang w:val="es-ES_tradnl"/>
        </w:rPr>
        <w:t xml:space="preserve"> masacre</w:t>
      </w:r>
      <w:r w:rsidR="003D6591" w:rsidRPr="00ED5C9A">
        <w:rPr>
          <w:rFonts w:asciiTheme="majorHAnsi" w:hAnsiTheme="majorHAnsi"/>
          <w:bCs/>
          <w:color w:val="auto"/>
          <w:sz w:val="20"/>
          <w:szCs w:val="20"/>
          <w:lang w:val="es-ES_tradnl"/>
        </w:rPr>
        <w:t xml:space="preserve">s </w:t>
      </w:r>
      <w:r w:rsidR="00182EAB" w:rsidRPr="00ED5C9A">
        <w:rPr>
          <w:rFonts w:asciiTheme="majorHAnsi" w:hAnsiTheme="majorHAnsi"/>
          <w:bCs/>
          <w:color w:val="auto"/>
          <w:sz w:val="20"/>
          <w:szCs w:val="20"/>
          <w:lang w:val="es-ES_tradnl"/>
        </w:rPr>
        <w:t>de “</w:t>
      </w:r>
      <w:r w:rsidR="00735B62" w:rsidRPr="00ED5C9A">
        <w:rPr>
          <w:rFonts w:asciiTheme="majorHAnsi" w:hAnsiTheme="majorHAnsi"/>
          <w:bCs/>
          <w:color w:val="auto"/>
          <w:sz w:val="20"/>
          <w:szCs w:val="20"/>
          <w:lang w:val="es-ES_tradnl"/>
        </w:rPr>
        <w:t>Honduras</w:t>
      </w:r>
      <w:r w:rsidR="00182EAB" w:rsidRPr="00ED5C9A">
        <w:rPr>
          <w:rFonts w:asciiTheme="majorHAnsi" w:hAnsiTheme="majorHAnsi"/>
          <w:bCs/>
          <w:color w:val="auto"/>
          <w:sz w:val="20"/>
          <w:szCs w:val="20"/>
          <w:lang w:val="es-ES_tradnl"/>
        </w:rPr>
        <w:t xml:space="preserve">” </w:t>
      </w:r>
      <w:r w:rsidR="00735B62" w:rsidRPr="00ED5C9A">
        <w:rPr>
          <w:rFonts w:asciiTheme="majorHAnsi" w:hAnsiTheme="majorHAnsi"/>
          <w:bCs/>
          <w:color w:val="auto"/>
          <w:sz w:val="20"/>
          <w:szCs w:val="20"/>
          <w:lang w:val="es-ES_tradnl"/>
        </w:rPr>
        <w:t xml:space="preserve">y </w:t>
      </w:r>
      <w:r w:rsidR="00182EAB" w:rsidRPr="00ED5C9A">
        <w:rPr>
          <w:rFonts w:asciiTheme="majorHAnsi" w:hAnsiTheme="majorHAnsi"/>
          <w:bCs/>
          <w:color w:val="auto"/>
          <w:sz w:val="20"/>
          <w:szCs w:val="20"/>
          <w:lang w:val="es-ES_tradnl"/>
        </w:rPr>
        <w:t>“</w:t>
      </w:r>
      <w:r w:rsidR="00735B62" w:rsidRPr="00ED5C9A">
        <w:rPr>
          <w:rFonts w:asciiTheme="majorHAnsi" w:hAnsiTheme="majorHAnsi"/>
          <w:bCs/>
          <w:color w:val="auto"/>
          <w:sz w:val="20"/>
          <w:szCs w:val="20"/>
          <w:lang w:val="es-ES_tradnl"/>
        </w:rPr>
        <w:t>La Negra</w:t>
      </w:r>
      <w:r w:rsidR="00182EAB" w:rsidRPr="00ED5C9A">
        <w:rPr>
          <w:rFonts w:asciiTheme="majorHAnsi" w:hAnsiTheme="majorHAnsi"/>
          <w:bCs/>
          <w:color w:val="auto"/>
          <w:sz w:val="20"/>
          <w:szCs w:val="20"/>
          <w:lang w:val="es-ES_tradnl"/>
        </w:rPr>
        <w:t>”</w:t>
      </w:r>
      <w:r w:rsidR="00511CE1" w:rsidRPr="00ED5C9A">
        <w:rPr>
          <w:rFonts w:asciiTheme="majorHAnsi" w:hAnsiTheme="majorHAnsi"/>
          <w:bCs/>
          <w:color w:val="auto"/>
          <w:sz w:val="20"/>
          <w:szCs w:val="20"/>
          <w:lang w:val="es-ES_tradnl"/>
        </w:rPr>
        <w:t>,</w:t>
      </w:r>
      <w:r w:rsidR="00182EAB" w:rsidRPr="00ED5C9A">
        <w:rPr>
          <w:rFonts w:asciiTheme="majorHAnsi" w:hAnsiTheme="majorHAnsi"/>
          <w:bCs/>
          <w:color w:val="auto"/>
          <w:sz w:val="20"/>
          <w:szCs w:val="20"/>
          <w:lang w:val="es-ES_tradnl"/>
        </w:rPr>
        <w:t xml:space="preserve"> ocurridas </w:t>
      </w:r>
      <w:r w:rsidR="003D6591" w:rsidRPr="00ED5C9A">
        <w:rPr>
          <w:rFonts w:asciiTheme="majorHAnsi" w:hAnsiTheme="majorHAnsi"/>
          <w:bCs/>
          <w:color w:val="auto"/>
          <w:sz w:val="20"/>
          <w:szCs w:val="20"/>
          <w:lang w:val="es-ES_tradnl"/>
        </w:rPr>
        <w:t>el 4 de marzo de 1988</w:t>
      </w:r>
      <w:r w:rsidR="008D64D5" w:rsidRPr="00ED5C9A">
        <w:rPr>
          <w:rFonts w:asciiTheme="majorHAnsi" w:hAnsiTheme="majorHAnsi"/>
          <w:bCs/>
          <w:color w:val="auto"/>
          <w:sz w:val="20"/>
          <w:szCs w:val="20"/>
          <w:lang w:val="es-ES_tradnl"/>
        </w:rPr>
        <w:t>,</w:t>
      </w:r>
      <w:r w:rsidR="00ED711A" w:rsidRPr="00ED5C9A">
        <w:rPr>
          <w:rFonts w:asciiTheme="majorHAnsi" w:hAnsiTheme="majorHAnsi"/>
          <w:bCs/>
          <w:color w:val="auto"/>
          <w:sz w:val="20"/>
          <w:szCs w:val="20"/>
          <w:lang w:val="es-ES_tradnl"/>
        </w:rPr>
        <w:t xml:space="preserve"> el cual </w:t>
      </w:r>
      <w:r w:rsidR="00735B62" w:rsidRPr="00ED5C9A">
        <w:rPr>
          <w:rFonts w:asciiTheme="majorHAnsi" w:hAnsiTheme="majorHAnsi"/>
          <w:bCs/>
          <w:color w:val="auto"/>
          <w:sz w:val="20"/>
          <w:szCs w:val="20"/>
          <w:lang w:val="es-ES_tradnl"/>
        </w:rPr>
        <w:t xml:space="preserve">culminó con una sentencia condenatoria </w:t>
      </w:r>
      <w:r w:rsidR="00ED711A" w:rsidRPr="00ED5C9A">
        <w:rPr>
          <w:rFonts w:asciiTheme="majorHAnsi" w:hAnsiTheme="majorHAnsi"/>
          <w:bCs/>
          <w:color w:val="auto"/>
          <w:sz w:val="20"/>
          <w:szCs w:val="20"/>
          <w:lang w:val="es-ES_tradnl"/>
        </w:rPr>
        <w:t xml:space="preserve">y órdenes de detención </w:t>
      </w:r>
      <w:r w:rsidR="008D64D5" w:rsidRPr="00ED5C9A">
        <w:rPr>
          <w:rFonts w:asciiTheme="majorHAnsi" w:hAnsiTheme="majorHAnsi"/>
          <w:bCs/>
          <w:color w:val="auto"/>
          <w:sz w:val="20"/>
          <w:szCs w:val="20"/>
          <w:lang w:val="es-ES_tradnl"/>
        </w:rPr>
        <w:t xml:space="preserve">en </w:t>
      </w:r>
      <w:r w:rsidR="00735B62" w:rsidRPr="00ED5C9A">
        <w:rPr>
          <w:rFonts w:asciiTheme="majorHAnsi" w:hAnsiTheme="majorHAnsi"/>
          <w:bCs/>
          <w:color w:val="auto"/>
          <w:sz w:val="20"/>
          <w:szCs w:val="20"/>
          <w:lang w:val="es-ES_tradnl"/>
        </w:rPr>
        <w:t xml:space="preserve">contra </w:t>
      </w:r>
      <w:r w:rsidR="008D64D5" w:rsidRPr="00ED5C9A">
        <w:rPr>
          <w:rFonts w:asciiTheme="majorHAnsi" w:hAnsiTheme="majorHAnsi"/>
          <w:bCs/>
          <w:color w:val="auto"/>
          <w:sz w:val="20"/>
          <w:szCs w:val="20"/>
          <w:lang w:val="es-ES_tradnl"/>
        </w:rPr>
        <w:t xml:space="preserve">de </w:t>
      </w:r>
      <w:r w:rsidR="00735B62" w:rsidRPr="00ED5C9A">
        <w:rPr>
          <w:rFonts w:asciiTheme="majorHAnsi" w:hAnsiTheme="majorHAnsi"/>
          <w:bCs/>
          <w:color w:val="auto"/>
          <w:sz w:val="20"/>
          <w:szCs w:val="20"/>
          <w:lang w:val="es-ES_tradnl"/>
        </w:rPr>
        <w:t xml:space="preserve">varios </w:t>
      </w:r>
      <w:r w:rsidR="00F90A87" w:rsidRPr="00ED5C9A">
        <w:rPr>
          <w:rFonts w:asciiTheme="majorHAnsi" w:hAnsiTheme="majorHAnsi"/>
          <w:color w:val="auto"/>
          <w:sz w:val="20"/>
          <w:szCs w:val="20"/>
          <w:lang w:val="es-ES_tradnl"/>
        </w:rPr>
        <w:t xml:space="preserve">integrantes de grupos paramilitares, narcotraficantes, </w:t>
      </w:r>
      <w:r w:rsidR="00ED711A" w:rsidRPr="00ED5C9A">
        <w:rPr>
          <w:rFonts w:asciiTheme="majorHAnsi" w:hAnsiTheme="majorHAnsi"/>
          <w:color w:val="auto"/>
          <w:sz w:val="20"/>
          <w:szCs w:val="20"/>
          <w:lang w:val="es-ES_tradnl"/>
        </w:rPr>
        <w:t xml:space="preserve">e </w:t>
      </w:r>
      <w:r w:rsidR="00F90A87" w:rsidRPr="00ED5C9A">
        <w:rPr>
          <w:rFonts w:asciiTheme="majorHAnsi" w:hAnsiTheme="majorHAnsi"/>
          <w:color w:val="auto"/>
          <w:sz w:val="20"/>
          <w:szCs w:val="20"/>
          <w:lang w:val="es-ES_tradnl"/>
        </w:rPr>
        <w:t>integrantes de la Fuerza</w:t>
      </w:r>
      <w:r w:rsidR="000D22DC" w:rsidRPr="00ED5C9A">
        <w:rPr>
          <w:rFonts w:asciiTheme="majorHAnsi" w:hAnsiTheme="majorHAnsi"/>
          <w:color w:val="auto"/>
          <w:sz w:val="20"/>
          <w:szCs w:val="20"/>
          <w:lang w:val="es-ES_tradnl"/>
        </w:rPr>
        <w:t>s</w:t>
      </w:r>
      <w:r w:rsidR="00F90A87" w:rsidRPr="00ED5C9A">
        <w:rPr>
          <w:rFonts w:asciiTheme="majorHAnsi" w:hAnsiTheme="majorHAnsi"/>
          <w:color w:val="auto"/>
          <w:sz w:val="20"/>
          <w:szCs w:val="20"/>
          <w:lang w:val="es-ES_tradnl"/>
        </w:rPr>
        <w:t xml:space="preserve"> </w:t>
      </w:r>
      <w:r w:rsidR="000D22DC" w:rsidRPr="00ED5C9A">
        <w:rPr>
          <w:rFonts w:asciiTheme="majorHAnsi" w:hAnsiTheme="majorHAnsi"/>
          <w:color w:val="auto"/>
          <w:sz w:val="20"/>
          <w:szCs w:val="20"/>
          <w:lang w:val="es-ES_tradnl"/>
        </w:rPr>
        <w:t>Armadas</w:t>
      </w:r>
      <w:r w:rsidR="00ED711A" w:rsidRPr="00ED5C9A">
        <w:rPr>
          <w:rFonts w:asciiTheme="majorHAnsi" w:hAnsiTheme="majorHAnsi"/>
          <w:color w:val="auto"/>
          <w:sz w:val="20"/>
          <w:szCs w:val="20"/>
          <w:lang w:val="es-ES_tradnl"/>
        </w:rPr>
        <w:t xml:space="preserve">. </w:t>
      </w:r>
      <w:r w:rsidR="000D22DC" w:rsidRPr="00ED5C9A">
        <w:rPr>
          <w:rFonts w:asciiTheme="majorHAnsi" w:hAnsiTheme="majorHAnsi"/>
          <w:color w:val="auto"/>
          <w:sz w:val="20"/>
          <w:szCs w:val="20"/>
          <w:lang w:val="es-ES_tradnl"/>
        </w:rPr>
        <w:t xml:space="preserve">En consecuencia, comenzaron </w:t>
      </w:r>
      <w:r w:rsidR="00F61B9D" w:rsidRPr="00ED5C9A">
        <w:rPr>
          <w:rFonts w:asciiTheme="majorHAnsi" w:hAnsiTheme="majorHAnsi"/>
          <w:color w:val="auto"/>
          <w:sz w:val="20"/>
          <w:szCs w:val="20"/>
          <w:lang w:val="es-ES_tradnl"/>
        </w:rPr>
        <w:t xml:space="preserve">constantes y graves amenazas </w:t>
      </w:r>
      <w:r w:rsidR="00ED711A" w:rsidRPr="00ED5C9A">
        <w:rPr>
          <w:rFonts w:asciiTheme="majorHAnsi" w:hAnsiTheme="majorHAnsi"/>
          <w:color w:val="auto"/>
          <w:sz w:val="20"/>
          <w:szCs w:val="20"/>
          <w:lang w:val="es-ES_tradnl"/>
        </w:rPr>
        <w:t xml:space="preserve">y atentados en contra de </w:t>
      </w:r>
      <w:r w:rsidR="00511CE1" w:rsidRPr="00ED5C9A">
        <w:rPr>
          <w:rFonts w:asciiTheme="majorHAnsi" w:hAnsiTheme="majorHAnsi"/>
          <w:color w:val="auto"/>
          <w:sz w:val="20"/>
          <w:szCs w:val="20"/>
          <w:lang w:val="es-ES_tradnl"/>
        </w:rPr>
        <w:t>su</w:t>
      </w:r>
      <w:r w:rsidR="00ED711A" w:rsidRPr="00ED5C9A">
        <w:rPr>
          <w:rFonts w:asciiTheme="majorHAnsi" w:hAnsiTheme="majorHAnsi"/>
          <w:color w:val="auto"/>
          <w:sz w:val="20"/>
          <w:szCs w:val="20"/>
          <w:lang w:val="es-ES_tradnl"/>
        </w:rPr>
        <w:t xml:space="preserve"> vida</w:t>
      </w:r>
      <w:r w:rsidR="00ED711A" w:rsidRPr="00ED5C9A">
        <w:rPr>
          <w:rFonts w:asciiTheme="majorHAnsi" w:hAnsiTheme="majorHAnsi"/>
          <w:bCs/>
          <w:color w:val="auto"/>
          <w:sz w:val="20"/>
          <w:szCs w:val="20"/>
          <w:lang w:val="es-ES_tradnl"/>
        </w:rPr>
        <w:t xml:space="preserve">, por lo que tuvo que </w:t>
      </w:r>
      <w:r w:rsidR="006836D6" w:rsidRPr="00ED5C9A">
        <w:rPr>
          <w:rFonts w:asciiTheme="majorHAnsi" w:hAnsiTheme="majorHAnsi"/>
          <w:color w:val="auto"/>
          <w:sz w:val="20"/>
          <w:szCs w:val="20"/>
          <w:lang w:val="es-ES_tradnl"/>
        </w:rPr>
        <w:t>renunciar a su cargo como juez</w:t>
      </w:r>
      <w:r w:rsidR="00910CD6" w:rsidRPr="00ED5C9A">
        <w:rPr>
          <w:rFonts w:asciiTheme="majorHAnsi" w:hAnsiTheme="majorHAnsi"/>
          <w:color w:val="auto"/>
          <w:sz w:val="20"/>
          <w:szCs w:val="20"/>
          <w:lang w:val="es-ES_tradnl"/>
        </w:rPr>
        <w:t>a</w:t>
      </w:r>
      <w:r w:rsidR="006836D6" w:rsidRPr="00ED5C9A">
        <w:rPr>
          <w:rFonts w:asciiTheme="majorHAnsi" w:hAnsiTheme="majorHAnsi"/>
          <w:color w:val="auto"/>
          <w:sz w:val="20"/>
          <w:szCs w:val="20"/>
          <w:lang w:val="es-ES_tradnl"/>
        </w:rPr>
        <w:t xml:space="preserve"> y </w:t>
      </w:r>
      <w:r w:rsidR="00ED711A" w:rsidRPr="00ED5C9A">
        <w:rPr>
          <w:rFonts w:asciiTheme="majorHAnsi" w:hAnsiTheme="majorHAnsi"/>
          <w:bCs/>
          <w:color w:val="auto"/>
          <w:sz w:val="20"/>
          <w:szCs w:val="20"/>
          <w:lang w:val="es-ES_tradnl"/>
        </w:rPr>
        <w:t xml:space="preserve">aceptar </w:t>
      </w:r>
      <w:r w:rsidR="00910CD6" w:rsidRPr="00ED5C9A">
        <w:rPr>
          <w:rFonts w:asciiTheme="majorHAnsi" w:hAnsiTheme="majorHAnsi"/>
          <w:bCs/>
          <w:color w:val="auto"/>
          <w:sz w:val="20"/>
          <w:szCs w:val="20"/>
          <w:lang w:val="es-ES_tradnl"/>
        </w:rPr>
        <w:t>salir del país</w:t>
      </w:r>
      <w:r w:rsidR="005B0535" w:rsidRPr="00ED5C9A">
        <w:rPr>
          <w:rFonts w:asciiTheme="majorHAnsi" w:hAnsiTheme="majorHAnsi"/>
          <w:bCs/>
          <w:color w:val="auto"/>
          <w:sz w:val="20"/>
          <w:szCs w:val="20"/>
          <w:lang w:val="es-ES_tradnl"/>
        </w:rPr>
        <w:t xml:space="preserve"> como </w:t>
      </w:r>
      <w:r w:rsidR="00C27ADB" w:rsidRPr="00ED5C9A">
        <w:rPr>
          <w:rFonts w:asciiTheme="majorHAnsi" w:hAnsiTheme="majorHAnsi"/>
          <w:bCs/>
          <w:color w:val="auto"/>
          <w:sz w:val="20"/>
          <w:szCs w:val="20"/>
          <w:lang w:val="es-ES_tradnl"/>
        </w:rPr>
        <w:t xml:space="preserve">diplomática </w:t>
      </w:r>
      <w:r w:rsidR="00ED711A" w:rsidRPr="00ED5C9A">
        <w:rPr>
          <w:rFonts w:asciiTheme="majorHAnsi" w:hAnsiTheme="majorHAnsi"/>
          <w:color w:val="auto"/>
          <w:sz w:val="20"/>
          <w:szCs w:val="20"/>
          <w:lang w:val="es-ES_tradnl"/>
        </w:rPr>
        <w:t>e</w:t>
      </w:r>
      <w:r w:rsidR="00D84FF7" w:rsidRPr="00ED5C9A">
        <w:rPr>
          <w:rFonts w:asciiTheme="majorHAnsi" w:hAnsiTheme="majorHAnsi"/>
          <w:color w:val="auto"/>
          <w:sz w:val="20"/>
          <w:szCs w:val="20"/>
          <w:lang w:val="es-ES_tradnl"/>
        </w:rPr>
        <w:t>l 2 de</w:t>
      </w:r>
      <w:r w:rsidR="00ED711A" w:rsidRPr="00ED5C9A">
        <w:rPr>
          <w:rFonts w:asciiTheme="majorHAnsi" w:hAnsiTheme="majorHAnsi"/>
          <w:color w:val="auto"/>
          <w:sz w:val="20"/>
          <w:szCs w:val="20"/>
          <w:lang w:val="es-ES_tradnl"/>
        </w:rPr>
        <w:t xml:space="preserve"> septiembre de 1988 </w:t>
      </w:r>
      <w:r w:rsidR="00ED711A" w:rsidRPr="00ED5C9A">
        <w:rPr>
          <w:rFonts w:asciiTheme="majorHAnsi" w:hAnsiTheme="majorHAnsi"/>
          <w:bCs/>
          <w:color w:val="auto"/>
          <w:sz w:val="20"/>
          <w:szCs w:val="20"/>
          <w:lang w:val="es-ES_tradnl"/>
        </w:rPr>
        <w:t>junto con</w:t>
      </w:r>
      <w:r w:rsidR="00B962CB" w:rsidRPr="00ED5C9A">
        <w:rPr>
          <w:rFonts w:asciiTheme="majorHAnsi" w:hAnsiTheme="majorHAnsi"/>
          <w:bCs/>
          <w:color w:val="auto"/>
          <w:sz w:val="20"/>
          <w:szCs w:val="20"/>
          <w:lang w:val="es-ES_tradnl"/>
        </w:rPr>
        <w:t xml:space="preserve"> su esposo </w:t>
      </w:r>
      <w:r w:rsidR="00EB3E2F" w:rsidRPr="00ED5C9A">
        <w:rPr>
          <w:rFonts w:asciiTheme="majorHAnsi" w:hAnsiTheme="majorHAnsi"/>
          <w:bCs/>
          <w:color w:val="auto"/>
          <w:sz w:val="20"/>
          <w:szCs w:val="20"/>
          <w:lang w:val="es-ES_tradnl"/>
        </w:rPr>
        <w:t>e hijas</w:t>
      </w:r>
      <w:r w:rsidR="00910CD6" w:rsidRPr="00ED5C9A">
        <w:rPr>
          <w:rFonts w:asciiTheme="majorHAnsi" w:hAnsiTheme="majorHAnsi"/>
          <w:bCs/>
          <w:color w:val="auto"/>
          <w:sz w:val="20"/>
          <w:szCs w:val="20"/>
          <w:lang w:val="es-ES_tradnl"/>
        </w:rPr>
        <w:t xml:space="preserve">. </w:t>
      </w:r>
    </w:p>
    <w:p w14:paraId="1294C587" w14:textId="77777777" w:rsidR="006230B8" w:rsidRPr="00ED5C9A" w:rsidRDefault="006230B8" w:rsidP="006230B8">
      <w:pPr>
        <w:pStyle w:val="ListParagraph"/>
        <w:rPr>
          <w:rFonts w:asciiTheme="majorHAnsi" w:hAnsiTheme="majorHAnsi"/>
          <w:color w:val="auto"/>
          <w:sz w:val="20"/>
          <w:szCs w:val="20"/>
          <w:lang w:val="es-ES_tradnl"/>
        </w:rPr>
      </w:pPr>
    </w:p>
    <w:p w14:paraId="15034B75" w14:textId="0F6E0DE3" w:rsidR="00FC24E3" w:rsidRPr="00ED5C9A" w:rsidRDefault="00F44FBB">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 xml:space="preserve">Los peticionarios </w:t>
      </w:r>
      <w:r w:rsidR="0031035B" w:rsidRPr="00ED5C9A">
        <w:rPr>
          <w:rFonts w:asciiTheme="majorHAnsi" w:hAnsiTheme="majorHAnsi"/>
          <w:color w:val="auto"/>
          <w:sz w:val="20"/>
          <w:szCs w:val="20"/>
          <w:lang w:val="es-ES_tradnl"/>
        </w:rPr>
        <w:t>alegan</w:t>
      </w:r>
      <w:r w:rsidR="008D64D5" w:rsidRPr="00ED5C9A">
        <w:rPr>
          <w:rFonts w:asciiTheme="majorHAnsi" w:hAnsiTheme="majorHAnsi"/>
          <w:color w:val="auto"/>
          <w:sz w:val="20"/>
          <w:szCs w:val="20"/>
          <w:lang w:val="es-ES_tradnl"/>
        </w:rPr>
        <w:t xml:space="preserve"> </w:t>
      </w:r>
      <w:r w:rsidR="00E665EE" w:rsidRPr="00ED5C9A">
        <w:rPr>
          <w:rFonts w:asciiTheme="majorHAnsi" w:hAnsiTheme="majorHAnsi"/>
          <w:color w:val="auto"/>
          <w:sz w:val="20"/>
          <w:szCs w:val="20"/>
          <w:lang w:val="es-ES_tradnl"/>
        </w:rPr>
        <w:t xml:space="preserve">que </w:t>
      </w:r>
      <w:r w:rsidR="006836D6" w:rsidRPr="00ED5C9A">
        <w:rPr>
          <w:rFonts w:asciiTheme="majorHAnsi" w:hAnsiTheme="majorHAnsi"/>
          <w:color w:val="auto"/>
          <w:sz w:val="20"/>
          <w:szCs w:val="20"/>
          <w:lang w:val="es-ES_tradnl"/>
        </w:rPr>
        <w:t xml:space="preserve">a pesar </w:t>
      </w:r>
      <w:r w:rsidR="0031035B" w:rsidRPr="00ED5C9A">
        <w:rPr>
          <w:rFonts w:asciiTheme="majorHAnsi" w:hAnsiTheme="majorHAnsi"/>
          <w:color w:val="auto"/>
          <w:sz w:val="20"/>
          <w:szCs w:val="20"/>
          <w:lang w:val="es-ES_tradnl"/>
        </w:rPr>
        <w:t xml:space="preserve">de </w:t>
      </w:r>
      <w:r w:rsidR="006836D6" w:rsidRPr="00ED5C9A">
        <w:rPr>
          <w:rFonts w:asciiTheme="majorHAnsi" w:hAnsiTheme="majorHAnsi"/>
          <w:color w:val="auto"/>
          <w:sz w:val="20"/>
          <w:szCs w:val="20"/>
          <w:lang w:val="es-ES_tradnl"/>
        </w:rPr>
        <w:t xml:space="preserve">que </w:t>
      </w:r>
      <w:r w:rsidR="00E665EE" w:rsidRPr="00ED5C9A">
        <w:rPr>
          <w:rFonts w:asciiTheme="majorHAnsi" w:hAnsiTheme="majorHAnsi"/>
          <w:color w:val="auto"/>
          <w:sz w:val="20"/>
          <w:szCs w:val="20"/>
          <w:lang w:val="es-ES_tradnl"/>
        </w:rPr>
        <w:t>el Estado conocía la situación de riesgo que afrontaba Martha González</w:t>
      </w:r>
      <w:r w:rsidR="006836D6" w:rsidRPr="00ED5C9A">
        <w:rPr>
          <w:rFonts w:asciiTheme="majorHAnsi" w:hAnsiTheme="majorHAnsi"/>
          <w:color w:val="auto"/>
          <w:sz w:val="20"/>
          <w:szCs w:val="20"/>
          <w:lang w:val="es-ES_tradnl"/>
        </w:rPr>
        <w:t xml:space="preserve"> </w:t>
      </w:r>
      <w:r w:rsidR="0031035B" w:rsidRPr="00ED5C9A">
        <w:rPr>
          <w:rFonts w:asciiTheme="majorHAnsi" w:hAnsiTheme="majorHAnsi"/>
          <w:color w:val="auto"/>
          <w:sz w:val="20"/>
          <w:szCs w:val="20"/>
          <w:lang w:val="es-ES_tradnl"/>
        </w:rPr>
        <w:t xml:space="preserve">y su familia, </w:t>
      </w:r>
      <w:r w:rsidR="006836D6" w:rsidRPr="00ED5C9A">
        <w:rPr>
          <w:rFonts w:asciiTheme="majorHAnsi" w:hAnsiTheme="majorHAnsi"/>
          <w:color w:val="auto"/>
          <w:sz w:val="20"/>
          <w:szCs w:val="20"/>
          <w:lang w:val="es-ES_tradnl"/>
        </w:rPr>
        <w:t xml:space="preserve">y que ella pidió </w:t>
      </w:r>
      <w:r w:rsidR="00E665EE" w:rsidRPr="00ED5C9A">
        <w:rPr>
          <w:rFonts w:asciiTheme="majorHAnsi" w:hAnsiTheme="majorHAnsi"/>
          <w:color w:val="auto"/>
          <w:sz w:val="20"/>
          <w:szCs w:val="20"/>
          <w:lang w:val="es-ES_tradnl"/>
        </w:rPr>
        <w:t xml:space="preserve">personalmente </w:t>
      </w:r>
      <w:r w:rsidR="00362EA1" w:rsidRPr="00ED5C9A">
        <w:rPr>
          <w:rFonts w:asciiTheme="majorHAnsi" w:hAnsiTheme="majorHAnsi"/>
          <w:color w:val="auto"/>
          <w:sz w:val="20"/>
          <w:szCs w:val="20"/>
          <w:lang w:val="es-ES_tradnl"/>
        </w:rPr>
        <w:t>a las autoridades</w:t>
      </w:r>
      <w:r w:rsidR="00E665EE" w:rsidRPr="00ED5C9A">
        <w:rPr>
          <w:rFonts w:asciiTheme="majorHAnsi" w:hAnsiTheme="majorHAnsi"/>
          <w:color w:val="auto"/>
          <w:sz w:val="20"/>
          <w:szCs w:val="20"/>
          <w:lang w:val="es-ES_tradnl"/>
        </w:rPr>
        <w:t xml:space="preserve"> protección para </w:t>
      </w:r>
      <w:r w:rsidR="00245F9C" w:rsidRPr="00ED5C9A">
        <w:rPr>
          <w:rFonts w:asciiTheme="majorHAnsi" w:hAnsiTheme="majorHAnsi"/>
          <w:color w:val="auto"/>
          <w:sz w:val="20"/>
          <w:szCs w:val="20"/>
          <w:lang w:val="es-ES_tradnl"/>
        </w:rPr>
        <w:t>su</w:t>
      </w:r>
      <w:r w:rsidR="00E665EE" w:rsidRPr="00ED5C9A">
        <w:rPr>
          <w:rFonts w:asciiTheme="majorHAnsi" w:hAnsiTheme="majorHAnsi"/>
          <w:color w:val="auto"/>
          <w:sz w:val="20"/>
          <w:szCs w:val="20"/>
          <w:lang w:val="es-ES_tradnl"/>
        </w:rPr>
        <w:t>s padres y hermanos</w:t>
      </w:r>
      <w:r w:rsidR="007251A6" w:rsidRPr="00ED5C9A">
        <w:rPr>
          <w:rFonts w:asciiTheme="majorHAnsi" w:hAnsiTheme="majorHAnsi"/>
          <w:color w:val="auto"/>
          <w:sz w:val="20"/>
          <w:szCs w:val="20"/>
          <w:lang w:val="es-ES_tradnl"/>
        </w:rPr>
        <w:t xml:space="preserve">, </w:t>
      </w:r>
      <w:r w:rsidR="00EB500D" w:rsidRPr="00ED5C9A">
        <w:rPr>
          <w:rFonts w:asciiTheme="majorHAnsi" w:hAnsiTheme="majorHAnsi"/>
          <w:bCs/>
          <w:color w:val="auto"/>
          <w:sz w:val="20"/>
          <w:szCs w:val="20"/>
          <w:lang w:val="es-ES_tradnl"/>
        </w:rPr>
        <w:t>e</w:t>
      </w:r>
      <w:r w:rsidR="00735B62" w:rsidRPr="00ED5C9A">
        <w:rPr>
          <w:rFonts w:asciiTheme="majorHAnsi" w:hAnsiTheme="majorHAnsi"/>
          <w:bCs/>
          <w:color w:val="auto"/>
          <w:sz w:val="20"/>
          <w:szCs w:val="20"/>
          <w:lang w:val="es-ES_tradnl"/>
        </w:rPr>
        <w:t xml:space="preserve">l 4 de mayo de 1989 </w:t>
      </w:r>
      <w:r w:rsidR="00FC1EA0" w:rsidRPr="00ED5C9A">
        <w:rPr>
          <w:rFonts w:asciiTheme="majorHAnsi" w:hAnsiTheme="majorHAnsi"/>
          <w:bCs/>
          <w:color w:val="auto"/>
          <w:sz w:val="20"/>
          <w:szCs w:val="20"/>
          <w:lang w:val="es-ES_tradnl"/>
        </w:rPr>
        <w:t xml:space="preserve">dos </w:t>
      </w:r>
      <w:r w:rsidR="00EB500D" w:rsidRPr="00ED5C9A">
        <w:rPr>
          <w:rFonts w:asciiTheme="majorHAnsi" w:hAnsiTheme="majorHAnsi"/>
          <w:bCs/>
          <w:color w:val="auto"/>
          <w:sz w:val="20"/>
          <w:szCs w:val="20"/>
          <w:lang w:val="es-ES_tradnl"/>
        </w:rPr>
        <w:t xml:space="preserve">sicarios en una motocicleta </w:t>
      </w:r>
      <w:r w:rsidR="00735B62" w:rsidRPr="00ED5C9A">
        <w:rPr>
          <w:rFonts w:asciiTheme="majorHAnsi" w:hAnsiTheme="majorHAnsi"/>
          <w:bCs/>
          <w:color w:val="auto"/>
          <w:sz w:val="20"/>
          <w:szCs w:val="20"/>
          <w:lang w:val="es-ES_tradnl"/>
        </w:rPr>
        <w:t>asesinaron a</w:t>
      </w:r>
      <w:r w:rsidR="007251A6" w:rsidRPr="00ED5C9A">
        <w:rPr>
          <w:rFonts w:asciiTheme="majorHAnsi" w:hAnsiTheme="majorHAnsi"/>
          <w:bCs/>
          <w:color w:val="auto"/>
          <w:sz w:val="20"/>
          <w:szCs w:val="20"/>
          <w:lang w:val="es-ES_tradnl"/>
        </w:rPr>
        <w:t xml:space="preserve"> su padre</w:t>
      </w:r>
      <w:r w:rsidR="00735B62" w:rsidRPr="00ED5C9A">
        <w:rPr>
          <w:rFonts w:asciiTheme="majorHAnsi" w:hAnsiTheme="majorHAnsi"/>
          <w:bCs/>
          <w:color w:val="auto"/>
          <w:sz w:val="20"/>
          <w:szCs w:val="20"/>
          <w:lang w:val="es-ES_tradnl"/>
        </w:rPr>
        <w:t xml:space="preserve"> Álvaro González Santana</w:t>
      </w:r>
      <w:r w:rsidR="0031035B" w:rsidRPr="00ED5C9A">
        <w:rPr>
          <w:rFonts w:asciiTheme="majorHAnsi" w:hAnsiTheme="majorHAnsi"/>
          <w:bCs/>
          <w:color w:val="auto"/>
          <w:sz w:val="20"/>
          <w:szCs w:val="20"/>
          <w:lang w:val="es-ES_tradnl"/>
        </w:rPr>
        <w:t>. S</w:t>
      </w:r>
      <w:r w:rsidR="0084156A" w:rsidRPr="00ED5C9A">
        <w:rPr>
          <w:rFonts w:asciiTheme="majorHAnsi" w:hAnsiTheme="majorHAnsi"/>
          <w:color w:val="auto"/>
          <w:sz w:val="20"/>
          <w:szCs w:val="20"/>
          <w:lang w:val="es-ES_tradnl"/>
        </w:rPr>
        <w:t>ostiene</w:t>
      </w:r>
      <w:r w:rsidRPr="00ED5C9A">
        <w:rPr>
          <w:rFonts w:asciiTheme="majorHAnsi" w:hAnsiTheme="majorHAnsi"/>
          <w:color w:val="auto"/>
          <w:sz w:val="20"/>
          <w:szCs w:val="20"/>
          <w:lang w:val="es-ES_tradnl"/>
        </w:rPr>
        <w:t>n</w:t>
      </w:r>
      <w:r w:rsidR="00EB500D" w:rsidRPr="00ED5C9A">
        <w:rPr>
          <w:rFonts w:asciiTheme="majorHAnsi" w:hAnsiTheme="majorHAnsi"/>
          <w:color w:val="auto"/>
          <w:sz w:val="20"/>
          <w:szCs w:val="20"/>
          <w:lang w:val="es-ES_tradnl"/>
        </w:rPr>
        <w:t xml:space="preserve"> que se inició de oficio una investigación </w:t>
      </w:r>
      <w:r w:rsidR="00FC24E3" w:rsidRPr="00ED5C9A">
        <w:rPr>
          <w:rFonts w:asciiTheme="majorHAnsi" w:hAnsiTheme="majorHAnsi"/>
          <w:color w:val="auto"/>
          <w:sz w:val="20"/>
          <w:szCs w:val="20"/>
          <w:lang w:val="es-ES_tradnl"/>
        </w:rPr>
        <w:t>penal</w:t>
      </w:r>
      <w:r w:rsidR="007251A6" w:rsidRPr="00ED5C9A">
        <w:rPr>
          <w:rFonts w:asciiTheme="majorHAnsi" w:hAnsiTheme="majorHAnsi"/>
          <w:color w:val="auto"/>
          <w:sz w:val="20"/>
          <w:szCs w:val="20"/>
          <w:lang w:val="es-ES_tradnl"/>
        </w:rPr>
        <w:t xml:space="preserve"> bajo </w:t>
      </w:r>
      <w:r w:rsidR="00E665EE" w:rsidRPr="00ED5C9A">
        <w:rPr>
          <w:rFonts w:asciiTheme="majorHAnsi" w:hAnsiTheme="majorHAnsi"/>
          <w:color w:val="auto"/>
          <w:sz w:val="20"/>
          <w:szCs w:val="20"/>
          <w:lang w:val="es-ES_tradnl"/>
        </w:rPr>
        <w:t xml:space="preserve">el radicado </w:t>
      </w:r>
      <w:r w:rsidR="007251A6" w:rsidRPr="00ED5C9A">
        <w:rPr>
          <w:rFonts w:asciiTheme="majorHAnsi" w:hAnsiTheme="majorHAnsi"/>
          <w:color w:val="auto"/>
          <w:sz w:val="20"/>
          <w:szCs w:val="20"/>
          <w:lang w:val="es-ES_tradnl"/>
        </w:rPr>
        <w:t xml:space="preserve">No. </w:t>
      </w:r>
      <w:r w:rsidR="00E665EE" w:rsidRPr="00ED5C9A">
        <w:rPr>
          <w:rFonts w:asciiTheme="majorHAnsi" w:hAnsiTheme="majorHAnsi"/>
          <w:color w:val="auto"/>
          <w:sz w:val="20"/>
          <w:szCs w:val="20"/>
          <w:lang w:val="es-ES_tradnl"/>
        </w:rPr>
        <w:t>29</w:t>
      </w:r>
      <w:r w:rsidR="007251A6" w:rsidRPr="00ED5C9A">
        <w:rPr>
          <w:rFonts w:asciiTheme="majorHAnsi" w:hAnsiTheme="majorHAnsi"/>
          <w:color w:val="auto"/>
          <w:sz w:val="20"/>
          <w:szCs w:val="20"/>
          <w:lang w:val="es-ES_tradnl"/>
        </w:rPr>
        <w:t>.</w:t>
      </w:r>
      <w:r w:rsidR="00E665EE" w:rsidRPr="00ED5C9A">
        <w:rPr>
          <w:rFonts w:asciiTheme="majorHAnsi" w:hAnsiTheme="majorHAnsi"/>
          <w:color w:val="auto"/>
          <w:sz w:val="20"/>
          <w:szCs w:val="20"/>
          <w:lang w:val="es-ES_tradnl"/>
        </w:rPr>
        <w:t>982</w:t>
      </w:r>
      <w:r w:rsidR="00245F9C" w:rsidRPr="00ED5C9A">
        <w:rPr>
          <w:rFonts w:asciiTheme="majorHAnsi" w:hAnsiTheme="majorHAnsi"/>
          <w:color w:val="auto"/>
          <w:sz w:val="20"/>
          <w:szCs w:val="20"/>
          <w:lang w:val="es-ES_tradnl"/>
        </w:rPr>
        <w:t xml:space="preserve">, sin embargo, </w:t>
      </w:r>
      <w:r w:rsidR="0084156A" w:rsidRPr="00ED5C9A">
        <w:rPr>
          <w:rFonts w:asciiTheme="majorHAnsi" w:hAnsiTheme="majorHAnsi"/>
          <w:color w:val="auto"/>
          <w:sz w:val="20"/>
          <w:szCs w:val="20"/>
          <w:lang w:val="es-ES_tradnl"/>
        </w:rPr>
        <w:t>l</w:t>
      </w:r>
      <w:r w:rsidR="006706B9" w:rsidRPr="00ED5C9A">
        <w:rPr>
          <w:rFonts w:asciiTheme="majorHAnsi" w:hAnsiTheme="majorHAnsi"/>
          <w:color w:val="auto"/>
          <w:sz w:val="20"/>
          <w:szCs w:val="20"/>
          <w:lang w:val="es-ES_tradnl"/>
        </w:rPr>
        <w:t xml:space="preserve">a autoridad fiscal </w:t>
      </w:r>
      <w:r w:rsidR="008A11C3" w:rsidRPr="00ED5C9A">
        <w:rPr>
          <w:rFonts w:asciiTheme="majorHAnsi" w:hAnsiTheme="majorHAnsi"/>
          <w:color w:val="auto"/>
          <w:sz w:val="20"/>
          <w:szCs w:val="20"/>
          <w:lang w:val="es-ES_tradnl"/>
        </w:rPr>
        <w:t xml:space="preserve">se centró en comprobar </w:t>
      </w:r>
      <w:r w:rsidRPr="00ED5C9A">
        <w:rPr>
          <w:rFonts w:asciiTheme="majorHAnsi" w:hAnsiTheme="majorHAnsi"/>
          <w:color w:val="auto"/>
          <w:sz w:val="20"/>
          <w:szCs w:val="20"/>
          <w:lang w:val="es-ES_tradnl"/>
        </w:rPr>
        <w:t>la identidad d</w:t>
      </w:r>
      <w:r w:rsidR="008A11C3" w:rsidRPr="00ED5C9A">
        <w:rPr>
          <w:rFonts w:asciiTheme="majorHAnsi" w:hAnsiTheme="majorHAnsi"/>
          <w:color w:val="auto"/>
          <w:sz w:val="20"/>
          <w:szCs w:val="20"/>
          <w:lang w:val="es-ES_tradnl"/>
        </w:rPr>
        <w:t>el propietario de la moto en la que iban los sicarios</w:t>
      </w:r>
      <w:r w:rsidR="008D64D5" w:rsidRPr="00ED5C9A">
        <w:rPr>
          <w:rFonts w:asciiTheme="majorHAnsi" w:hAnsiTheme="majorHAnsi"/>
          <w:color w:val="auto"/>
          <w:sz w:val="20"/>
          <w:szCs w:val="20"/>
          <w:lang w:val="es-ES_tradnl"/>
        </w:rPr>
        <w:t xml:space="preserve"> y su posible responsabilidad, en vez de seguir </w:t>
      </w:r>
      <w:r w:rsidR="00DF3E87" w:rsidRPr="00ED5C9A">
        <w:rPr>
          <w:rFonts w:asciiTheme="majorHAnsi" w:hAnsiTheme="majorHAnsi"/>
          <w:color w:val="auto"/>
          <w:sz w:val="20"/>
          <w:szCs w:val="20"/>
          <w:lang w:val="es-ES_tradnl"/>
        </w:rPr>
        <w:t xml:space="preserve">la </w:t>
      </w:r>
      <w:r w:rsidR="008D64D5" w:rsidRPr="00ED5C9A">
        <w:rPr>
          <w:rFonts w:asciiTheme="majorHAnsi" w:hAnsiTheme="majorHAnsi"/>
          <w:color w:val="auto"/>
          <w:sz w:val="20"/>
          <w:szCs w:val="20"/>
          <w:lang w:val="es-ES_tradnl"/>
        </w:rPr>
        <w:t xml:space="preserve">línea de investigación </w:t>
      </w:r>
      <w:r w:rsidR="002022AA" w:rsidRPr="00ED5C9A">
        <w:rPr>
          <w:rFonts w:asciiTheme="majorHAnsi" w:hAnsiTheme="majorHAnsi"/>
          <w:color w:val="auto"/>
          <w:sz w:val="20"/>
          <w:szCs w:val="20"/>
          <w:lang w:val="es-ES_tradnl"/>
        </w:rPr>
        <w:t>evidente</w:t>
      </w:r>
      <w:r w:rsidR="008D64D5" w:rsidRPr="00ED5C9A">
        <w:rPr>
          <w:rFonts w:asciiTheme="majorHAnsi" w:hAnsiTheme="majorHAnsi"/>
          <w:color w:val="auto"/>
          <w:sz w:val="20"/>
          <w:szCs w:val="20"/>
          <w:lang w:val="es-ES_tradnl"/>
        </w:rPr>
        <w:t xml:space="preserve"> para la fecha de los hechos,</w:t>
      </w:r>
      <w:r w:rsidR="00DF3E87" w:rsidRPr="00ED5C9A">
        <w:rPr>
          <w:rFonts w:asciiTheme="majorHAnsi" w:hAnsiTheme="majorHAnsi"/>
          <w:color w:val="auto"/>
          <w:sz w:val="20"/>
          <w:szCs w:val="20"/>
          <w:lang w:val="es-ES_tradnl"/>
        </w:rPr>
        <w:t xml:space="preserve"> </w:t>
      </w:r>
      <w:r w:rsidR="00362EA1" w:rsidRPr="00ED5C9A">
        <w:rPr>
          <w:rFonts w:asciiTheme="majorHAnsi" w:hAnsiTheme="majorHAnsi"/>
          <w:color w:val="auto"/>
          <w:sz w:val="20"/>
          <w:szCs w:val="20"/>
          <w:lang w:val="es-ES_tradnl"/>
        </w:rPr>
        <w:t>atinente a</w:t>
      </w:r>
      <w:r w:rsidR="00DF3E87" w:rsidRPr="00ED5C9A">
        <w:rPr>
          <w:rFonts w:asciiTheme="majorHAnsi" w:hAnsiTheme="majorHAnsi"/>
          <w:color w:val="auto"/>
          <w:sz w:val="20"/>
          <w:szCs w:val="20"/>
          <w:lang w:val="es-ES_tradnl"/>
        </w:rPr>
        <w:t xml:space="preserve"> los responsables </w:t>
      </w:r>
      <w:r w:rsidRPr="00ED5C9A">
        <w:rPr>
          <w:rFonts w:asciiTheme="majorHAnsi" w:hAnsiTheme="majorHAnsi"/>
          <w:color w:val="auto"/>
          <w:sz w:val="20"/>
          <w:szCs w:val="20"/>
          <w:lang w:val="es-ES_tradnl"/>
        </w:rPr>
        <w:t xml:space="preserve">de </w:t>
      </w:r>
      <w:r w:rsidR="00DF3E87" w:rsidRPr="00ED5C9A">
        <w:rPr>
          <w:rFonts w:asciiTheme="majorHAnsi" w:hAnsiTheme="majorHAnsi"/>
          <w:color w:val="auto"/>
          <w:sz w:val="20"/>
          <w:szCs w:val="20"/>
          <w:lang w:val="es-ES_tradnl"/>
        </w:rPr>
        <w:t xml:space="preserve">las amenazas y hostigamientos </w:t>
      </w:r>
      <w:r w:rsidRPr="00ED5C9A">
        <w:rPr>
          <w:rFonts w:asciiTheme="majorHAnsi" w:hAnsiTheme="majorHAnsi"/>
          <w:color w:val="auto"/>
          <w:sz w:val="20"/>
          <w:szCs w:val="20"/>
          <w:lang w:val="es-ES_tradnl"/>
        </w:rPr>
        <w:t xml:space="preserve">a </w:t>
      </w:r>
      <w:r w:rsidR="00DF3E87" w:rsidRPr="00ED5C9A">
        <w:rPr>
          <w:rFonts w:asciiTheme="majorHAnsi" w:hAnsiTheme="majorHAnsi"/>
          <w:color w:val="auto"/>
          <w:sz w:val="20"/>
          <w:szCs w:val="20"/>
          <w:lang w:val="es-ES_tradnl"/>
        </w:rPr>
        <w:t>Martha González</w:t>
      </w:r>
      <w:r w:rsidR="008D64D5" w:rsidRPr="00ED5C9A">
        <w:rPr>
          <w:rFonts w:asciiTheme="majorHAnsi" w:hAnsiTheme="majorHAnsi"/>
          <w:color w:val="auto"/>
          <w:sz w:val="20"/>
          <w:szCs w:val="20"/>
          <w:lang w:val="es-ES_tradnl"/>
        </w:rPr>
        <w:t>.</w:t>
      </w:r>
      <w:r w:rsidR="003338BD" w:rsidRPr="00ED5C9A">
        <w:rPr>
          <w:rFonts w:asciiTheme="majorHAnsi" w:hAnsiTheme="majorHAnsi"/>
          <w:color w:val="auto"/>
          <w:sz w:val="20"/>
          <w:szCs w:val="20"/>
          <w:lang w:val="es-ES_tradnl"/>
        </w:rPr>
        <w:t xml:space="preserve"> </w:t>
      </w:r>
      <w:r w:rsidR="006706B9" w:rsidRPr="00ED5C9A">
        <w:rPr>
          <w:rFonts w:asciiTheme="majorHAnsi" w:hAnsiTheme="majorHAnsi"/>
          <w:color w:val="auto"/>
          <w:sz w:val="20"/>
          <w:szCs w:val="20"/>
          <w:lang w:val="es-ES_tradnl"/>
        </w:rPr>
        <w:t>Explica</w:t>
      </w:r>
      <w:r w:rsidRPr="00ED5C9A">
        <w:rPr>
          <w:rFonts w:asciiTheme="majorHAnsi" w:hAnsiTheme="majorHAnsi"/>
          <w:color w:val="auto"/>
          <w:sz w:val="20"/>
          <w:szCs w:val="20"/>
          <w:lang w:val="es-ES_tradnl"/>
        </w:rPr>
        <w:t>n</w:t>
      </w:r>
      <w:r w:rsidR="006706B9" w:rsidRPr="00ED5C9A">
        <w:rPr>
          <w:rFonts w:asciiTheme="majorHAnsi" w:hAnsiTheme="majorHAnsi"/>
          <w:color w:val="auto"/>
          <w:sz w:val="20"/>
          <w:szCs w:val="20"/>
          <w:lang w:val="es-ES_tradnl"/>
        </w:rPr>
        <w:t xml:space="preserve"> que</w:t>
      </w:r>
      <w:r w:rsidR="00DF3E87" w:rsidRPr="00ED5C9A">
        <w:rPr>
          <w:rFonts w:asciiTheme="majorHAnsi" w:hAnsiTheme="majorHAnsi"/>
          <w:color w:val="auto"/>
          <w:sz w:val="20"/>
          <w:szCs w:val="20"/>
          <w:lang w:val="es-ES_tradnl"/>
        </w:rPr>
        <w:t xml:space="preserve"> </w:t>
      </w:r>
      <w:r w:rsidR="007622A9" w:rsidRPr="00ED5C9A">
        <w:rPr>
          <w:rFonts w:asciiTheme="majorHAnsi" w:hAnsiTheme="majorHAnsi"/>
          <w:color w:val="auto"/>
          <w:sz w:val="20"/>
          <w:szCs w:val="20"/>
          <w:lang w:val="es-ES_tradnl"/>
        </w:rPr>
        <w:t xml:space="preserve">dos </w:t>
      </w:r>
      <w:r w:rsidR="00DF3E87" w:rsidRPr="00ED5C9A">
        <w:rPr>
          <w:rFonts w:asciiTheme="majorHAnsi" w:hAnsiTheme="majorHAnsi"/>
          <w:color w:val="auto"/>
          <w:sz w:val="20"/>
          <w:szCs w:val="20"/>
          <w:lang w:val="es-ES_tradnl"/>
        </w:rPr>
        <w:t>personas</w:t>
      </w:r>
      <w:r w:rsidR="006706B9" w:rsidRPr="00ED5C9A">
        <w:rPr>
          <w:rFonts w:asciiTheme="majorHAnsi" w:hAnsiTheme="majorHAnsi"/>
          <w:color w:val="auto"/>
          <w:sz w:val="20"/>
          <w:szCs w:val="20"/>
          <w:lang w:val="es-ES_tradnl"/>
        </w:rPr>
        <w:t xml:space="preserve"> </w:t>
      </w:r>
      <w:r w:rsidR="008A11C3" w:rsidRPr="00ED5C9A">
        <w:rPr>
          <w:rFonts w:asciiTheme="majorHAnsi" w:hAnsiTheme="majorHAnsi"/>
          <w:color w:val="auto"/>
          <w:sz w:val="20"/>
          <w:szCs w:val="20"/>
          <w:lang w:val="es-ES_tradnl"/>
        </w:rPr>
        <w:t>fueron vinculad</w:t>
      </w:r>
      <w:r w:rsidR="00DF3E87" w:rsidRPr="00ED5C9A">
        <w:rPr>
          <w:rFonts w:asciiTheme="majorHAnsi" w:hAnsiTheme="majorHAnsi"/>
          <w:color w:val="auto"/>
          <w:sz w:val="20"/>
          <w:szCs w:val="20"/>
          <w:lang w:val="es-ES_tradnl"/>
        </w:rPr>
        <w:t>a</w:t>
      </w:r>
      <w:r w:rsidR="008A11C3" w:rsidRPr="00ED5C9A">
        <w:rPr>
          <w:rFonts w:asciiTheme="majorHAnsi" w:hAnsiTheme="majorHAnsi"/>
          <w:color w:val="auto"/>
          <w:sz w:val="20"/>
          <w:szCs w:val="20"/>
          <w:lang w:val="es-ES_tradnl"/>
        </w:rPr>
        <w:t xml:space="preserve">s a la investigación mediante </w:t>
      </w:r>
      <w:r w:rsidR="00CD519E" w:rsidRPr="00ED5C9A">
        <w:rPr>
          <w:rFonts w:asciiTheme="majorHAnsi" w:hAnsiTheme="majorHAnsi"/>
          <w:color w:val="auto"/>
          <w:sz w:val="20"/>
          <w:szCs w:val="20"/>
          <w:lang w:val="es-ES_tradnl"/>
        </w:rPr>
        <w:t>indagatoria</w:t>
      </w:r>
      <w:r w:rsidR="00362EA1" w:rsidRPr="00ED5C9A">
        <w:rPr>
          <w:rFonts w:asciiTheme="majorHAnsi" w:hAnsiTheme="majorHAnsi"/>
          <w:color w:val="auto"/>
          <w:sz w:val="20"/>
          <w:szCs w:val="20"/>
          <w:lang w:val="es-ES_tradnl"/>
        </w:rPr>
        <w:t>;</w:t>
      </w:r>
      <w:r w:rsidR="008A11C3" w:rsidRPr="00ED5C9A">
        <w:rPr>
          <w:rFonts w:asciiTheme="majorHAnsi" w:hAnsiTheme="majorHAnsi"/>
          <w:color w:val="auto"/>
          <w:sz w:val="20"/>
          <w:szCs w:val="20"/>
          <w:lang w:val="es-ES_tradnl"/>
        </w:rPr>
        <w:t xml:space="preserve"> </w:t>
      </w:r>
      <w:r w:rsidR="007622A9" w:rsidRPr="00ED5C9A">
        <w:rPr>
          <w:rFonts w:asciiTheme="majorHAnsi" w:hAnsiTheme="majorHAnsi"/>
          <w:color w:val="auto"/>
          <w:sz w:val="20"/>
          <w:szCs w:val="20"/>
          <w:lang w:val="es-ES_tradnl"/>
        </w:rPr>
        <w:t>sin embargo, ante la ausencia de elementos de prueba, la Fiscalía Regional de Santa Fe de Bogotá concluyó la preclusión de</w:t>
      </w:r>
      <w:r w:rsidR="00CD519E" w:rsidRPr="00ED5C9A">
        <w:rPr>
          <w:rFonts w:asciiTheme="majorHAnsi" w:hAnsiTheme="majorHAnsi"/>
          <w:color w:val="auto"/>
          <w:sz w:val="20"/>
          <w:szCs w:val="20"/>
          <w:lang w:val="es-ES_tradnl"/>
        </w:rPr>
        <w:t xml:space="preserve"> </w:t>
      </w:r>
      <w:r w:rsidR="00BD690C" w:rsidRPr="00ED5C9A">
        <w:rPr>
          <w:rFonts w:asciiTheme="majorHAnsi" w:hAnsiTheme="majorHAnsi"/>
          <w:color w:val="auto"/>
          <w:sz w:val="20"/>
          <w:szCs w:val="20"/>
          <w:lang w:val="es-ES_tradnl"/>
        </w:rPr>
        <w:t>la investigación por ausencia de elementos de prueba</w:t>
      </w:r>
      <w:r w:rsidR="007622A9" w:rsidRPr="00ED5C9A">
        <w:rPr>
          <w:rFonts w:asciiTheme="majorHAnsi" w:hAnsiTheme="majorHAnsi"/>
          <w:color w:val="auto"/>
          <w:sz w:val="20"/>
          <w:szCs w:val="20"/>
          <w:lang w:val="es-ES_tradnl"/>
        </w:rPr>
        <w:t xml:space="preserve"> el 15 de mayo de 1996</w:t>
      </w:r>
      <w:r w:rsidR="00BD690C" w:rsidRPr="00ED5C9A">
        <w:rPr>
          <w:rFonts w:asciiTheme="majorHAnsi" w:hAnsiTheme="majorHAnsi"/>
          <w:color w:val="auto"/>
          <w:sz w:val="20"/>
          <w:szCs w:val="20"/>
          <w:lang w:val="es-ES_tradnl"/>
        </w:rPr>
        <w:t>.</w:t>
      </w:r>
      <w:r w:rsidR="003338BD" w:rsidRPr="00ED5C9A">
        <w:rPr>
          <w:rFonts w:asciiTheme="majorHAnsi" w:hAnsiTheme="majorHAnsi"/>
          <w:color w:val="auto"/>
          <w:sz w:val="20"/>
          <w:szCs w:val="20"/>
          <w:lang w:val="es-ES_tradnl"/>
        </w:rPr>
        <w:t xml:space="preserve"> </w:t>
      </w:r>
    </w:p>
    <w:p w14:paraId="71AC29D7" w14:textId="74CE247F" w:rsidR="00E665EE" w:rsidRPr="00ED5C9A" w:rsidRDefault="00E665EE" w:rsidP="00C87AB1">
      <w:pPr>
        <w:pStyle w:val="ListParagraph"/>
        <w:jc w:val="both"/>
        <w:rPr>
          <w:rFonts w:asciiTheme="majorHAnsi" w:hAnsiTheme="majorHAnsi"/>
          <w:color w:val="auto"/>
          <w:sz w:val="20"/>
          <w:szCs w:val="20"/>
          <w:lang w:val="es-ES_tradnl"/>
        </w:rPr>
      </w:pPr>
    </w:p>
    <w:p w14:paraId="038DB6B8" w14:textId="248A1A4D" w:rsidR="006230B8" w:rsidRPr="00ED5C9A" w:rsidRDefault="00AD20C7" w:rsidP="00A77E85">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Los peticionarios relatan</w:t>
      </w:r>
      <w:r w:rsidR="002022AA" w:rsidRPr="00ED5C9A">
        <w:rPr>
          <w:rFonts w:asciiTheme="majorHAnsi" w:hAnsiTheme="majorHAnsi"/>
          <w:color w:val="auto"/>
          <w:sz w:val="20"/>
          <w:szCs w:val="20"/>
          <w:lang w:val="es-ES_tradnl"/>
        </w:rPr>
        <w:t xml:space="preserve"> </w:t>
      </w:r>
      <w:r w:rsidRPr="00ED5C9A">
        <w:rPr>
          <w:rFonts w:asciiTheme="majorHAnsi" w:hAnsiTheme="majorHAnsi"/>
          <w:color w:val="auto"/>
          <w:sz w:val="20"/>
          <w:szCs w:val="20"/>
          <w:lang w:val="es-ES_tradnl"/>
        </w:rPr>
        <w:t>–</w:t>
      </w:r>
      <w:r w:rsidR="002022AA" w:rsidRPr="00ED5C9A">
        <w:rPr>
          <w:rFonts w:asciiTheme="majorHAnsi" w:hAnsiTheme="majorHAnsi"/>
          <w:color w:val="auto"/>
          <w:sz w:val="20"/>
          <w:szCs w:val="20"/>
          <w:lang w:val="es-ES_tradnl"/>
        </w:rPr>
        <w:t xml:space="preserve">sin </w:t>
      </w:r>
      <w:r w:rsidRPr="00ED5C9A">
        <w:rPr>
          <w:rFonts w:asciiTheme="majorHAnsi" w:hAnsiTheme="majorHAnsi"/>
          <w:color w:val="auto"/>
          <w:sz w:val="20"/>
          <w:szCs w:val="20"/>
          <w:lang w:val="es-ES_tradnl"/>
        </w:rPr>
        <w:t xml:space="preserve">aportar </w:t>
      </w:r>
      <w:r w:rsidR="002022AA" w:rsidRPr="00ED5C9A">
        <w:rPr>
          <w:rFonts w:asciiTheme="majorHAnsi" w:hAnsiTheme="majorHAnsi"/>
          <w:color w:val="auto"/>
          <w:sz w:val="20"/>
          <w:szCs w:val="20"/>
          <w:lang w:val="es-ES_tradnl"/>
        </w:rPr>
        <w:t>mayor</w:t>
      </w:r>
      <w:r w:rsidRPr="00ED5C9A">
        <w:rPr>
          <w:rFonts w:asciiTheme="majorHAnsi" w:hAnsiTheme="majorHAnsi"/>
          <w:color w:val="auto"/>
          <w:sz w:val="20"/>
          <w:szCs w:val="20"/>
          <w:lang w:val="es-ES_tradnl"/>
        </w:rPr>
        <w:t>es</w:t>
      </w:r>
      <w:r w:rsidR="002022AA" w:rsidRPr="00ED5C9A">
        <w:rPr>
          <w:rFonts w:asciiTheme="majorHAnsi" w:hAnsiTheme="majorHAnsi"/>
          <w:color w:val="auto"/>
          <w:sz w:val="20"/>
          <w:szCs w:val="20"/>
          <w:lang w:val="es-ES_tradnl"/>
        </w:rPr>
        <w:t xml:space="preserve"> detalle</w:t>
      </w:r>
      <w:r w:rsidRPr="00ED5C9A">
        <w:rPr>
          <w:rFonts w:asciiTheme="majorHAnsi" w:hAnsiTheme="majorHAnsi"/>
          <w:color w:val="auto"/>
          <w:sz w:val="20"/>
          <w:szCs w:val="20"/>
          <w:lang w:val="es-ES_tradnl"/>
        </w:rPr>
        <w:t>s–</w:t>
      </w:r>
      <w:r w:rsidR="002022AA" w:rsidRPr="00ED5C9A">
        <w:rPr>
          <w:rFonts w:asciiTheme="majorHAnsi" w:hAnsiTheme="majorHAnsi"/>
          <w:color w:val="auto"/>
          <w:sz w:val="20"/>
          <w:szCs w:val="20"/>
          <w:lang w:val="es-ES_tradnl"/>
        </w:rPr>
        <w:t xml:space="preserve"> que </w:t>
      </w:r>
      <w:r w:rsidR="00980C26" w:rsidRPr="00ED5C9A">
        <w:rPr>
          <w:rFonts w:asciiTheme="majorHAnsi" w:hAnsiTheme="majorHAnsi"/>
          <w:color w:val="auto"/>
          <w:sz w:val="20"/>
          <w:szCs w:val="20"/>
          <w:lang w:val="es-ES_tradnl"/>
        </w:rPr>
        <w:t>por or</w:t>
      </w:r>
      <w:r w:rsidR="002022AA" w:rsidRPr="00ED5C9A">
        <w:rPr>
          <w:rFonts w:asciiTheme="majorHAnsi" w:hAnsiTheme="majorHAnsi"/>
          <w:color w:val="auto"/>
          <w:sz w:val="20"/>
          <w:szCs w:val="20"/>
          <w:lang w:val="es-ES_tradnl"/>
        </w:rPr>
        <w:t>d</w:t>
      </w:r>
      <w:r w:rsidR="00980C26" w:rsidRPr="00ED5C9A">
        <w:rPr>
          <w:rFonts w:asciiTheme="majorHAnsi" w:hAnsiTheme="majorHAnsi"/>
          <w:color w:val="auto"/>
          <w:sz w:val="20"/>
          <w:szCs w:val="20"/>
          <w:lang w:val="es-ES_tradnl"/>
        </w:rPr>
        <w:t>en del Fisc</w:t>
      </w:r>
      <w:r w:rsidR="002022AA" w:rsidRPr="00ED5C9A">
        <w:rPr>
          <w:rFonts w:asciiTheme="majorHAnsi" w:hAnsiTheme="majorHAnsi"/>
          <w:color w:val="auto"/>
          <w:sz w:val="20"/>
          <w:szCs w:val="20"/>
          <w:lang w:val="es-ES_tradnl"/>
        </w:rPr>
        <w:t>a</w:t>
      </w:r>
      <w:r w:rsidR="00980C26" w:rsidRPr="00ED5C9A">
        <w:rPr>
          <w:rFonts w:asciiTheme="majorHAnsi" w:hAnsiTheme="majorHAnsi"/>
          <w:color w:val="auto"/>
          <w:sz w:val="20"/>
          <w:szCs w:val="20"/>
          <w:lang w:val="es-ES_tradnl"/>
        </w:rPr>
        <w:t xml:space="preserve">l General de la Nación y la Dirección Nacional de Fiscalía </w:t>
      </w:r>
      <w:r w:rsidR="00F57A73" w:rsidRPr="00ED5C9A">
        <w:rPr>
          <w:rFonts w:asciiTheme="majorHAnsi" w:hAnsiTheme="majorHAnsi"/>
          <w:color w:val="auto"/>
          <w:sz w:val="20"/>
          <w:szCs w:val="20"/>
          <w:lang w:val="es-ES_tradnl"/>
        </w:rPr>
        <w:t xml:space="preserve">la </w:t>
      </w:r>
      <w:r w:rsidR="00980C26" w:rsidRPr="00ED5C9A">
        <w:rPr>
          <w:rFonts w:asciiTheme="majorHAnsi" w:hAnsiTheme="majorHAnsi"/>
          <w:color w:val="auto"/>
          <w:sz w:val="20"/>
          <w:szCs w:val="20"/>
          <w:lang w:val="es-ES_tradnl"/>
        </w:rPr>
        <w:t xml:space="preserve">investigación </w:t>
      </w:r>
      <w:r w:rsidR="00F57A73" w:rsidRPr="00ED5C9A">
        <w:rPr>
          <w:rFonts w:asciiTheme="majorHAnsi" w:hAnsiTheme="majorHAnsi"/>
          <w:color w:val="auto"/>
          <w:sz w:val="20"/>
          <w:szCs w:val="20"/>
          <w:lang w:val="es-ES_tradnl"/>
        </w:rPr>
        <w:t xml:space="preserve">por la muerte de Álvaro González </w:t>
      </w:r>
      <w:r w:rsidR="00980C26" w:rsidRPr="00ED5C9A">
        <w:rPr>
          <w:rFonts w:asciiTheme="majorHAnsi" w:hAnsiTheme="majorHAnsi"/>
          <w:color w:val="auto"/>
          <w:sz w:val="20"/>
          <w:szCs w:val="20"/>
          <w:lang w:val="es-ES_tradnl"/>
        </w:rPr>
        <w:t xml:space="preserve">fue reasumida por el Despacho </w:t>
      </w:r>
      <w:r w:rsidR="00EC7D1F" w:rsidRPr="00ED5C9A">
        <w:rPr>
          <w:rFonts w:asciiTheme="majorHAnsi" w:hAnsiTheme="majorHAnsi"/>
          <w:color w:val="auto"/>
          <w:sz w:val="20"/>
          <w:szCs w:val="20"/>
          <w:lang w:val="es-ES_tradnl"/>
        </w:rPr>
        <w:t xml:space="preserve">Octavo </w:t>
      </w:r>
      <w:r w:rsidR="00980C26" w:rsidRPr="00ED5C9A">
        <w:rPr>
          <w:rFonts w:asciiTheme="majorHAnsi" w:hAnsiTheme="majorHAnsi"/>
          <w:color w:val="auto"/>
          <w:sz w:val="20"/>
          <w:szCs w:val="20"/>
          <w:lang w:val="es-ES_tradnl"/>
        </w:rPr>
        <w:t>de la Unidad Nacional de Derechos Humanos</w:t>
      </w:r>
      <w:r w:rsidRPr="00ED5C9A">
        <w:rPr>
          <w:rFonts w:asciiTheme="majorHAnsi" w:hAnsiTheme="majorHAnsi"/>
          <w:color w:val="auto"/>
          <w:sz w:val="20"/>
          <w:szCs w:val="20"/>
          <w:lang w:val="es-ES_tradnl"/>
        </w:rPr>
        <w:t>,</w:t>
      </w:r>
      <w:r w:rsidR="00980C26" w:rsidRPr="00ED5C9A">
        <w:rPr>
          <w:rFonts w:asciiTheme="majorHAnsi" w:hAnsiTheme="majorHAnsi"/>
          <w:color w:val="auto"/>
          <w:sz w:val="20"/>
          <w:szCs w:val="20"/>
          <w:lang w:val="es-ES_tradnl"/>
        </w:rPr>
        <w:t xml:space="preserve"> donde se </w:t>
      </w:r>
      <w:r w:rsidRPr="00ED5C9A">
        <w:rPr>
          <w:rFonts w:asciiTheme="majorHAnsi" w:hAnsiTheme="majorHAnsi"/>
          <w:color w:val="auto"/>
          <w:sz w:val="20"/>
          <w:szCs w:val="20"/>
          <w:lang w:val="es-ES_tradnl"/>
        </w:rPr>
        <w:t>tramitaba</w:t>
      </w:r>
      <w:r w:rsidR="00980C26" w:rsidRPr="00ED5C9A">
        <w:rPr>
          <w:rFonts w:asciiTheme="majorHAnsi" w:hAnsiTheme="majorHAnsi"/>
          <w:color w:val="auto"/>
          <w:sz w:val="20"/>
          <w:szCs w:val="20"/>
          <w:lang w:val="es-ES_tradnl"/>
        </w:rPr>
        <w:t xml:space="preserve"> bajo el radicado No. 7947 </w:t>
      </w:r>
      <w:r w:rsidR="00546C97" w:rsidRPr="00ED5C9A">
        <w:rPr>
          <w:rFonts w:asciiTheme="majorHAnsi" w:hAnsiTheme="majorHAnsi"/>
          <w:color w:val="auto"/>
          <w:sz w:val="20"/>
          <w:szCs w:val="20"/>
          <w:lang w:val="es-ES_tradnl"/>
        </w:rPr>
        <w:t xml:space="preserve">en el expediente de </w:t>
      </w:r>
      <w:r w:rsidR="00980C26" w:rsidRPr="00ED5C9A">
        <w:rPr>
          <w:rFonts w:asciiTheme="majorHAnsi" w:hAnsiTheme="majorHAnsi"/>
          <w:color w:val="auto"/>
          <w:sz w:val="20"/>
          <w:szCs w:val="20"/>
          <w:lang w:val="es-ES_tradnl"/>
        </w:rPr>
        <w:t xml:space="preserve">delitos cometidos por el </w:t>
      </w:r>
      <w:r w:rsidR="006230B8" w:rsidRPr="00ED5C9A">
        <w:rPr>
          <w:rFonts w:asciiTheme="majorHAnsi" w:hAnsiTheme="majorHAnsi"/>
          <w:color w:val="auto"/>
          <w:sz w:val="20"/>
          <w:szCs w:val="20"/>
          <w:lang w:val="es-ES_tradnl"/>
        </w:rPr>
        <w:t>“B</w:t>
      </w:r>
      <w:r w:rsidR="00980C26" w:rsidRPr="00ED5C9A">
        <w:rPr>
          <w:rFonts w:asciiTheme="majorHAnsi" w:hAnsiTheme="majorHAnsi"/>
          <w:color w:val="auto"/>
          <w:sz w:val="20"/>
          <w:szCs w:val="20"/>
          <w:lang w:val="es-ES_tradnl"/>
        </w:rPr>
        <w:t xml:space="preserve">razo </w:t>
      </w:r>
      <w:r w:rsidR="006230B8" w:rsidRPr="00ED5C9A">
        <w:rPr>
          <w:rFonts w:asciiTheme="majorHAnsi" w:hAnsiTheme="majorHAnsi"/>
          <w:color w:val="auto"/>
          <w:sz w:val="20"/>
          <w:szCs w:val="20"/>
          <w:lang w:val="es-ES_tradnl"/>
        </w:rPr>
        <w:t>A</w:t>
      </w:r>
      <w:r w:rsidR="00980C26" w:rsidRPr="00ED5C9A">
        <w:rPr>
          <w:rFonts w:asciiTheme="majorHAnsi" w:hAnsiTheme="majorHAnsi"/>
          <w:color w:val="auto"/>
          <w:sz w:val="20"/>
          <w:szCs w:val="20"/>
          <w:lang w:val="es-ES_tradnl"/>
        </w:rPr>
        <w:t xml:space="preserve">rmado del </w:t>
      </w:r>
      <w:r w:rsidR="006230B8" w:rsidRPr="00ED5C9A">
        <w:rPr>
          <w:rFonts w:asciiTheme="majorHAnsi" w:hAnsiTheme="majorHAnsi"/>
          <w:color w:val="auto"/>
          <w:sz w:val="20"/>
          <w:szCs w:val="20"/>
          <w:lang w:val="es-ES_tradnl"/>
        </w:rPr>
        <w:t>C</w:t>
      </w:r>
      <w:r w:rsidR="00980C26" w:rsidRPr="00ED5C9A">
        <w:rPr>
          <w:rFonts w:asciiTheme="majorHAnsi" w:hAnsiTheme="majorHAnsi"/>
          <w:color w:val="auto"/>
          <w:sz w:val="20"/>
          <w:szCs w:val="20"/>
          <w:lang w:val="es-ES_tradnl"/>
        </w:rPr>
        <w:t>artel de Medellín</w:t>
      </w:r>
      <w:r w:rsidR="006230B8" w:rsidRPr="00ED5C9A">
        <w:rPr>
          <w:rFonts w:asciiTheme="majorHAnsi" w:hAnsiTheme="majorHAnsi"/>
          <w:color w:val="auto"/>
          <w:sz w:val="20"/>
          <w:szCs w:val="20"/>
          <w:lang w:val="es-ES_tradnl"/>
        </w:rPr>
        <w:t>”</w:t>
      </w:r>
      <w:r w:rsidR="00980C26" w:rsidRPr="00ED5C9A">
        <w:rPr>
          <w:rFonts w:asciiTheme="majorHAnsi" w:hAnsiTheme="majorHAnsi"/>
          <w:color w:val="auto"/>
          <w:sz w:val="20"/>
          <w:szCs w:val="20"/>
          <w:lang w:val="es-ES_tradnl"/>
        </w:rPr>
        <w:t>,</w:t>
      </w:r>
      <w:r w:rsidR="00546C97" w:rsidRPr="00ED5C9A">
        <w:rPr>
          <w:rFonts w:asciiTheme="majorHAnsi" w:hAnsiTheme="majorHAnsi"/>
          <w:color w:val="auto"/>
          <w:sz w:val="20"/>
          <w:szCs w:val="20"/>
          <w:lang w:val="es-ES_tradnl"/>
        </w:rPr>
        <w:t xml:space="preserve"> </w:t>
      </w:r>
      <w:r w:rsidR="00F44FBB" w:rsidRPr="00ED5C9A">
        <w:rPr>
          <w:rFonts w:asciiTheme="majorHAnsi" w:hAnsiTheme="majorHAnsi"/>
          <w:color w:val="auto"/>
          <w:sz w:val="20"/>
          <w:szCs w:val="20"/>
          <w:lang w:val="es-ES_tradnl"/>
        </w:rPr>
        <w:t xml:space="preserve">los cuales fueron </w:t>
      </w:r>
      <w:r w:rsidR="00546C97" w:rsidRPr="00ED5C9A">
        <w:rPr>
          <w:rFonts w:asciiTheme="majorHAnsi" w:hAnsiTheme="majorHAnsi"/>
          <w:color w:val="auto"/>
          <w:sz w:val="20"/>
          <w:szCs w:val="20"/>
          <w:lang w:val="es-ES_tradnl"/>
        </w:rPr>
        <w:t>declarados</w:t>
      </w:r>
      <w:r w:rsidR="00980C26" w:rsidRPr="00ED5C9A">
        <w:rPr>
          <w:rFonts w:asciiTheme="majorHAnsi" w:hAnsiTheme="majorHAnsi"/>
          <w:color w:val="auto"/>
          <w:sz w:val="20"/>
          <w:szCs w:val="20"/>
          <w:lang w:val="es-ES_tradnl"/>
        </w:rPr>
        <w:t xml:space="preserve"> delitos de lesa humanidad. </w:t>
      </w:r>
      <w:r w:rsidR="00F44FBB" w:rsidRPr="00ED5C9A">
        <w:rPr>
          <w:rFonts w:asciiTheme="majorHAnsi" w:hAnsiTheme="majorHAnsi"/>
          <w:color w:val="auto"/>
          <w:sz w:val="20"/>
          <w:szCs w:val="20"/>
          <w:lang w:val="es-ES_tradnl"/>
        </w:rPr>
        <w:t xml:space="preserve">En dicho marco, describen </w:t>
      </w:r>
      <w:r w:rsidR="00094311" w:rsidRPr="00ED5C9A">
        <w:rPr>
          <w:rFonts w:asciiTheme="majorHAnsi" w:hAnsiTheme="majorHAnsi"/>
          <w:color w:val="auto"/>
          <w:sz w:val="20"/>
          <w:szCs w:val="20"/>
          <w:lang w:val="es-ES_tradnl"/>
        </w:rPr>
        <w:t>que,</w:t>
      </w:r>
      <w:r w:rsidR="006230B8" w:rsidRPr="00ED5C9A">
        <w:rPr>
          <w:rFonts w:asciiTheme="majorHAnsi" w:hAnsiTheme="majorHAnsi"/>
          <w:color w:val="auto"/>
          <w:sz w:val="20"/>
          <w:szCs w:val="20"/>
          <w:lang w:val="es-ES_tradnl"/>
        </w:rPr>
        <w:t xml:space="preserve"> con </w:t>
      </w:r>
      <w:r w:rsidR="00980C26" w:rsidRPr="00ED5C9A">
        <w:rPr>
          <w:rFonts w:asciiTheme="majorHAnsi" w:hAnsiTheme="majorHAnsi"/>
          <w:color w:val="auto"/>
          <w:sz w:val="20"/>
          <w:szCs w:val="20"/>
          <w:lang w:val="es-ES_tradnl"/>
        </w:rPr>
        <w:t xml:space="preserve">múltiples dificultades, </w:t>
      </w:r>
      <w:r w:rsidR="006230B8" w:rsidRPr="00ED5C9A">
        <w:rPr>
          <w:rFonts w:asciiTheme="majorHAnsi" w:hAnsiTheme="majorHAnsi"/>
          <w:color w:val="auto"/>
          <w:sz w:val="20"/>
          <w:szCs w:val="20"/>
          <w:lang w:val="es-ES_tradnl"/>
        </w:rPr>
        <w:t xml:space="preserve">Martha González presentó </w:t>
      </w:r>
      <w:r w:rsidR="00980C26" w:rsidRPr="00ED5C9A">
        <w:rPr>
          <w:rFonts w:asciiTheme="majorHAnsi" w:hAnsiTheme="majorHAnsi"/>
          <w:color w:val="auto"/>
          <w:sz w:val="20"/>
          <w:szCs w:val="20"/>
          <w:lang w:val="es-ES_tradnl"/>
        </w:rPr>
        <w:t>derecho</w:t>
      </w:r>
      <w:r w:rsidRPr="00ED5C9A">
        <w:rPr>
          <w:rFonts w:asciiTheme="majorHAnsi" w:hAnsiTheme="majorHAnsi"/>
          <w:color w:val="auto"/>
          <w:sz w:val="20"/>
          <w:szCs w:val="20"/>
          <w:lang w:val="es-ES_tradnl"/>
        </w:rPr>
        <w:t>s</w:t>
      </w:r>
      <w:r w:rsidR="00980C26" w:rsidRPr="00ED5C9A">
        <w:rPr>
          <w:rFonts w:asciiTheme="majorHAnsi" w:hAnsiTheme="majorHAnsi"/>
          <w:color w:val="auto"/>
          <w:sz w:val="20"/>
          <w:szCs w:val="20"/>
          <w:lang w:val="es-ES_tradnl"/>
        </w:rPr>
        <w:t xml:space="preserve"> de petición el 7 de junio de 2011, el 24 de julio de</w:t>
      </w:r>
      <w:r w:rsidR="006230B8" w:rsidRPr="00ED5C9A">
        <w:rPr>
          <w:rFonts w:asciiTheme="majorHAnsi" w:hAnsiTheme="majorHAnsi"/>
          <w:color w:val="auto"/>
          <w:sz w:val="20"/>
          <w:szCs w:val="20"/>
          <w:lang w:val="es-ES_tradnl"/>
        </w:rPr>
        <w:t xml:space="preserve"> </w:t>
      </w:r>
      <w:r w:rsidR="00980C26" w:rsidRPr="00ED5C9A">
        <w:rPr>
          <w:rFonts w:asciiTheme="majorHAnsi" w:hAnsiTheme="majorHAnsi"/>
          <w:color w:val="auto"/>
          <w:sz w:val="20"/>
          <w:szCs w:val="20"/>
          <w:lang w:val="es-ES_tradnl"/>
        </w:rPr>
        <w:t xml:space="preserve">2012 y el 7 de mayo de 2013 </w:t>
      </w:r>
      <w:r w:rsidR="006230B8" w:rsidRPr="00ED5C9A">
        <w:rPr>
          <w:rFonts w:asciiTheme="majorHAnsi" w:hAnsiTheme="majorHAnsi"/>
          <w:color w:val="auto"/>
          <w:sz w:val="20"/>
          <w:szCs w:val="20"/>
          <w:lang w:val="es-ES_tradnl"/>
        </w:rPr>
        <w:t xml:space="preserve">solicitando </w:t>
      </w:r>
      <w:r w:rsidR="00980C26" w:rsidRPr="00ED5C9A">
        <w:rPr>
          <w:rFonts w:asciiTheme="majorHAnsi" w:hAnsiTheme="majorHAnsi"/>
          <w:color w:val="auto"/>
          <w:sz w:val="20"/>
          <w:szCs w:val="20"/>
          <w:lang w:val="es-ES_tradnl"/>
        </w:rPr>
        <w:t xml:space="preserve">información acerca de la </w:t>
      </w:r>
      <w:r w:rsidR="006230B8" w:rsidRPr="00ED5C9A">
        <w:rPr>
          <w:rFonts w:asciiTheme="majorHAnsi" w:hAnsiTheme="majorHAnsi"/>
          <w:color w:val="auto"/>
          <w:sz w:val="20"/>
          <w:szCs w:val="20"/>
          <w:lang w:val="es-ES_tradnl"/>
        </w:rPr>
        <w:t xml:space="preserve">mencionada </w:t>
      </w:r>
      <w:r w:rsidR="00980C26" w:rsidRPr="00ED5C9A">
        <w:rPr>
          <w:rFonts w:asciiTheme="majorHAnsi" w:hAnsiTheme="majorHAnsi"/>
          <w:color w:val="auto"/>
          <w:sz w:val="20"/>
          <w:szCs w:val="20"/>
          <w:lang w:val="es-ES_tradnl"/>
        </w:rPr>
        <w:t>investigación penal</w:t>
      </w:r>
      <w:r w:rsidR="006230B8" w:rsidRPr="00ED5C9A">
        <w:rPr>
          <w:rFonts w:asciiTheme="majorHAnsi" w:hAnsiTheme="majorHAnsi"/>
          <w:color w:val="auto"/>
          <w:sz w:val="20"/>
          <w:szCs w:val="20"/>
          <w:lang w:val="es-ES_tradnl"/>
        </w:rPr>
        <w:t>; y e</w:t>
      </w:r>
      <w:r w:rsidR="00980C26" w:rsidRPr="00ED5C9A">
        <w:rPr>
          <w:rFonts w:asciiTheme="majorHAnsi" w:hAnsiTheme="majorHAnsi"/>
          <w:color w:val="auto"/>
          <w:sz w:val="20"/>
          <w:szCs w:val="20"/>
          <w:lang w:val="es-ES_tradnl"/>
        </w:rPr>
        <w:t>l 18 de noviembre de 2011 interpuso</w:t>
      </w:r>
      <w:r w:rsidRPr="00ED5C9A">
        <w:rPr>
          <w:rFonts w:asciiTheme="majorHAnsi" w:hAnsiTheme="majorHAnsi"/>
          <w:color w:val="auto"/>
          <w:sz w:val="20"/>
          <w:szCs w:val="20"/>
          <w:lang w:val="es-ES_tradnl"/>
        </w:rPr>
        <w:t xml:space="preserve"> una</w:t>
      </w:r>
      <w:r w:rsidR="00980C26" w:rsidRPr="00ED5C9A">
        <w:rPr>
          <w:rFonts w:asciiTheme="majorHAnsi" w:hAnsiTheme="majorHAnsi"/>
          <w:color w:val="auto"/>
          <w:sz w:val="20"/>
          <w:szCs w:val="20"/>
          <w:lang w:val="es-ES_tradnl"/>
        </w:rPr>
        <w:t xml:space="preserve"> demanda de </w:t>
      </w:r>
      <w:r w:rsidR="006230B8" w:rsidRPr="00ED5C9A">
        <w:rPr>
          <w:rFonts w:asciiTheme="majorHAnsi" w:hAnsiTheme="majorHAnsi"/>
          <w:color w:val="auto"/>
          <w:sz w:val="20"/>
          <w:szCs w:val="20"/>
          <w:lang w:val="es-ES_tradnl"/>
        </w:rPr>
        <w:t xml:space="preserve">constitución de </w:t>
      </w:r>
      <w:r w:rsidR="00980C26" w:rsidRPr="00ED5C9A">
        <w:rPr>
          <w:rFonts w:asciiTheme="majorHAnsi" w:hAnsiTheme="majorHAnsi"/>
          <w:color w:val="auto"/>
          <w:sz w:val="20"/>
          <w:szCs w:val="20"/>
          <w:lang w:val="es-ES_tradnl"/>
        </w:rPr>
        <w:t xml:space="preserve">parte civil ante la </w:t>
      </w:r>
      <w:r w:rsidR="006230B8" w:rsidRPr="00ED5C9A">
        <w:rPr>
          <w:rFonts w:asciiTheme="majorHAnsi" w:hAnsiTheme="majorHAnsi"/>
          <w:color w:val="auto"/>
          <w:sz w:val="20"/>
          <w:szCs w:val="20"/>
          <w:lang w:val="es-ES_tradnl"/>
        </w:rPr>
        <w:t>Fiscalía Octava especializada de la Unidad Nacional de Derechos Humanos</w:t>
      </w:r>
      <w:r w:rsidRPr="00ED5C9A">
        <w:rPr>
          <w:rFonts w:asciiTheme="majorHAnsi" w:hAnsiTheme="majorHAnsi"/>
          <w:color w:val="auto"/>
          <w:sz w:val="20"/>
          <w:szCs w:val="20"/>
          <w:lang w:val="es-ES_tradnl"/>
        </w:rPr>
        <w:t>,</w:t>
      </w:r>
      <w:r w:rsidR="006230B8" w:rsidRPr="00ED5C9A">
        <w:rPr>
          <w:rFonts w:asciiTheme="majorHAnsi" w:hAnsiTheme="majorHAnsi"/>
          <w:color w:val="auto"/>
          <w:sz w:val="20"/>
          <w:szCs w:val="20"/>
          <w:lang w:val="es-ES_tradnl"/>
        </w:rPr>
        <w:t xml:space="preserve"> en virtud de la cual fue reconocida como parte civil </w:t>
      </w:r>
      <w:r w:rsidR="00980C26" w:rsidRPr="00ED5C9A">
        <w:rPr>
          <w:rFonts w:asciiTheme="majorHAnsi" w:hAnsiTheme="majorHAnsi"/>
          <w:color w:val="auto"/>
          <w:sz w:val="20"/>
          <w:szCs w:val="20"/>
          <w:lang w:val="es-ES_tradnl"/>
        </w:rPr>
        <w:t xml:space="preserve">el 21 de noviembre del mismo año. </w:t>
      </w:r>
      <w:r w:rsidR="002B637C" w:rsidRPr="00ED5C9A">
        <w:rPr>
          <w:rFonts w:asciiTheme="majorHAnsi" w:hAnsiTheme="majorHAnsi"/>
          <w:color w:val="auto"/>
          <w:sz w:val="20"/>
          <w:szCs w:val="20"/>
          <w:lang w:val="es-ES_tradnl"/>
        </w:rPr>
        <w:t>S</w:t>
      </w:r>
      <w:r w:rsidR="006230B8" w:rsidRPr="00ED5C9A">
        <w:rPr>
          <w:rFonts w:asciiTheme="majorHAnsi" w:hAnsiTheme="majorHAnsi"/>
          <w:color w:val="auto"/>
          <w:sz w:val="20"/>
          <w:szCs w:val="20"/>
          <w:lang w:val="es-ES_tradnl"/>
        </w:rPr>
        <w:t xml:space="preserve">in embargo, </w:t>
      </w:r>
      <w:r w:rsidR="002B637C" w:rsidRPr="00ED5C9A">
        <w:rPr>
          <w:rFonts w:asciiTheme="majorHAnsi" w:hAnsiTheme="majorHAnsi"/>
          <w:color w:val="auto"/>
          <w:sz w:val="20"/>
          <w:szCs w:val="20"/>
          <w:lang w:val="es-ES_tradnl"/>
        </w:rPr>
        <w:t>este</w:t>
      </w:r>
      <w:r w:rsidR="006230B8" w:rsidRPr="00ED5C9A">
        <w:rPr>
          <w:rFonts w:asciiTheme="majorHAnsi" w:hAnsiTheme="majorHAnsi"/>
          <w:color w:val="auto"/>
          <w:sz w:val="20"/>
          <w:szCs w:val="20"/>
          <w:lang w:val="es-ES_tradnl"/>
        </w:rPr>
        <w:t xml:space="preserve"> proceso se encuentra en etapa preliminar</w:t>
      </w:r>
      <w:r w:rsidRPr="00ED5C9A">
        <w:rPr>
          <w:rFonts w:asciiTheme="majorHAnsi" w:hAnsiTheme="majorHAnsi"/>
          <w:color w:val="auto"/>
          <w:sz w:val="20"/>
          <w:szCs w:val="20"/>
          <w:lang w:val="es-ES_tradnl"/>
        </w:rPr>
        <w:t>,</w:t>
      </w:r>
      <w:r w:rsidR="006230B8" w:rsidRPr="00ED5C9A">
        <w:rPr>
          <w:rFonts w:asciiTheme="majorHAnsi" w:hAnsiTheme="majorHAnsi"/>
          <w:color w:val="auto"/>
          <w:sz w:val="20"/>
          <w:szCs w:val="20"/>
          <w:lang w:val="es-ES_tradnl"/>
        </w:rPr>
        <w:t xml:space="preserve"> y n</w:t>
      </w:r>
      <w:r w:rsidR="00980C26" w:rsidRPr="00ED5C9A">
        <w:rPr>
          <w:rFonts w:asciiTheme="majorHAnsi" w:hAnsiTheme="majorHAnsi"/>
          <w:color w:val="auto"/>
          <w:sz w:val="20"/>
          <w:szCs w:val="20"/>
          <w:lang w:val="es-ES_tradnl"/>
        </w:rPr>
        <w:t>ingun</w:t>
      </w:r>
      <w:r w:rsidR="00F44FBB" w:rsidRPr="00ED5C9A">
        <w:rPr>
          <w:rFonts w:asciiTheme="majorHAnsi" w:hAnsiTheme="majorHAnsi"/>
          <w:color w:val="auto"/>
          <w:sz w:val="20"/>
          <w:szCs w:val="20"/>
          <w:lang w:val="es-ES_tradnl"/>
        </w:rPr>
        <w:t>a</w:t>
      </w:r>
      <w:r w:rsidR="00980C26" w:rsidRPr="00ED5C9A">
        <w:rPr>
          <w:rFonts w:asciiTheme="majorHAnsi" w:hAnsiTheme="majorHAnsi"/>
          <w:color w:val="auto"/>
          <w:sz w:val="20"/>
          <w:szCs w:val="20"/>
          <w:lang w:val="es-ES_tradnl"/>
        </w:rPr>
        <w:t xml:space="preserve"> de las personas vinculadas </w:t>
      </w:r>
      <w:r w:rsidR="006230B8" w:rsidRPr="00ED5C9A">
        <w:rPr>
          <w:rFonts w:asciiTheme="majorHAnsi" w:hAnsiTheme="majorHAnsi"/>
          <w:color w:val="auto"/>
          <w:sz w:val="20"/>
          <w:szCs w:val="20"/>
          <w:lang w:val="es-ES_tradnl"/>
        </w:rPr>
        <w:t>a la</w:t>
      </w:r>
      <w:r w:rsidR="00F44FBB" w:rsidRPr="00ED5C9A">
        <w:rPr>
          <w:rFonts w:asciiTheme="majorHAnsi" w:hAnsiTheme="majorHAnsi"/>
          <w:color w:val="auto"/>
          <w:sz w:val="20"/>
          <w:szCs w:val="20"/>
          <w:lang w:val="es-ES_tradnl"/>
        </w:rPr>
        <w:t>s</w:t>
      </w:r>
      <w:r w:rsidR="006230B8" w:rsidRPr="00ED5C9A">
        <w:rPr>
          <w:rFonts w:asciiTheme="majorHAnsi" w:hAnsiTheme="majorHAnsi"/>
          <w:color w:val="auto"/>
          <w:sz w:val="20"/>
          <w:szCs w:val="20"/>
          <w:lang w:val="es-ES_tradnl"/>
        </w:rPr>
        <w:t xml:space="preserve"> </w:t>
      </w:r>
      <w:r w:rsidR="00980C26" w:rsidRPr="00ED5C9A">
        <w:rPr>
          <w:rFonts w:asciiTheme="majorHAnsi" w:hAnsiTheme="majorHAnsi"/>
          <w:color w:val="auto"/>
          <w:sz w:val="20"/>
          <w:szCs w:val="20"/>
          <w:lang w:val="es-ES_tradnl"/>
        </w:rPr>
        <w:t>masacre</w:t>
      </w:r>
      <w:r w:rsidR="00F44FBB" w:rsidRPr="00ED5C9A">
        <w:rPr>
          <w:rFonts w:asciiTheme="majorHAnsi" w:hAnsiTheme="majorHAnsi"/>
          <w:color w:val="auto"/>
          <w:sz w:val="20"/>
          <w:szCs w:val="20"/>
          <w:lang w:val="es-ES_tradnl"/>
        </w:rPr>
        <w:t>s</w:t>
      </w:r>
      <w:r w:rsidR="00F57A73" w:rsidRPr="00ED5C9A">
        <w:rPr>
          <w:rFonts w:asciiTheme="majorHAnsi" w:hAnsiTheme="majorHAnsi"/>
          <w:bCs/>
          <w:color w:val="auto"/>
          <w:sz w:val="20"/>
          <w:szCs w:val="20"/>
          <w:lang w:val="es-ES_tradnl"/>
        </w:rPr>
        <w:t xml:space="preserve"> de “Honduras” y “La Negra” ocurridas el 4 de marzo de 1988</w:t>
      </w:r>
      <w:r w:rsidR="00980C26" w:rsidRPr="00ED5C9A">
        <w:rPr>
          <w:rFonts w:asciiTheme="majorHAnsi" w:hAnsiTheme="majorHAnsi"/>
          <w:color w:val="auto"/>
          <w:sz w:val="20"/>
          <w:szCs w:val="20"/>
          <w:lang w:val="es-ES_tradnl"/>
        </w:rPr>
        <w:t xml:space="preserve"> ha sido llamada a declarar</w:t>
      </w:r>
      <w:r w:rsidR="006230B8" w:rsidRPr="00ED5C9A">
        <w:rPr>
          <w:rFonts w:asciiTheme="majorHAnsi" w:hAnsiTheme="majorHAnsi"/>
          <w:color w:val="auto"/>
          <w:sz w:val="20"/>
          <w:szCs w:val="20"/>
          <w:lang w:val="es-ES_tradnl"/>
        </w:rPr>
        <w:t xml:space="preserve"> o ha sido</w:t>
      </w:r>
      <w:r w:rsidR="00E665EE" w:rsidRPr="00ED5C9A">
        <w:rPr>
          <w:rFonts w:asciiTheme="majorHAnsi" w:hAnsiTheme="majorHAnsi"/>
          <w:color w:val="auto"/>
          <w:sz w:val="20"/>
          <w:szCs w:val="20"/>
          <w:lang w:val="es-ES_tradnl"/>
        </w:rPr>
        <w:t xml:space="preserve"> investigad</w:t>
      </w:r>
      <w:r w:rsidR="00F44FBB" w:rsidRPr="00ED5C9A">
        <w:rPr>
          <w:rFonts w:asciiTheme="majorHAnsi" w:hAnsiTheme="majorHAnsi"/>
          <w:color w:val="auto"/>
          <w:sz w:val="20"/>
          <w:szCs w:val="20"/>
          <w:lang w:val="es-ES_tradnl"/>
        </w:rPr>
        <w:t>a</w:t>
      </w:r>
      <w:r w:rsidR="00E665EE" w:rsidRPr="00ED5C9A">
        <w:rPr>
          <w:rFonts w:asciiTheme="majorHAnsi" w:hAnsiTheme="majorHAnsi"/>
          <w:color w:val="auto"/>
          <w:sz w:val="20"/>
          <w:szCs w:val="20"/>
          <w:lang w:val="es-ES_tradnl"/>
        </w:rPr>
        <w:t xml:space="preserve"> por estos hechos. </w:t>
      </w:r>
    </w:p>
    <w:p w14:paraId="6F6808F8" w14:textId="77777777" w:rsidR="00986BEE" w:rsidRPr="00ED5C9A" w:rsidRDefault="00986BEE" w:rsidP="00986BEE">
      <w:pPr>
        <w:pStyle w:val="ListParagraph"/>
        <w:jc w:val="both"/>
        <w:rPr>
          <w:rFonts w:asciiTheme="majorHAnsi" w:hAnsiTheme="majorHAnsi"/>
          <w:color w:val="auto"/>
          <w:sz w:val="20"/>
          <w:szCs w:val="20"/>
          <w:lang w:val="es-ES_tradnl"/>
        </w:rPr>
      </w:pPr>
    </w:p>
    <w:p w14:paraId="2A4B2AFD" w14:textId="55516314" w:rsidR="00F60813" w:rsidRPr="00ED5C9A" w:rsidRDefault="00B962CB" w:rsidP="00F60813">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 xml:space="preserve">Por otro lado, </w:t>
      </w:r>
      <w:r w:rsidR="00AD20C7" w:rsidRPr="00ED5C9A">
        <w:rPr>
          <w:rFonts w:asciiTheme="majorHAnsi" w:hAnsiTheme="majorHAnsi"/>
          <w:color w:val="auto"/>
          <w:sz w:val="20"/>
          <w:szCs w:val="20"/>
          <w:lang w:val="es-ES_tradnl"/>
        </w:rPr>
        <w:t>narran</w:t>
      </w:r>
      <w:r w:rsidRPr="00ED5C9A">
        <w:rPr>
          <w:rFonts w:asciiTheme="majorHAnsi" w:hAnsiTheme="majorHAnsi"/>
          <w:color w:val="auto"/>
          <w:sz w:val="20"/>
          <w:szCs w:val="20"/>
          <w:lang w:val="es-ES_tradnl"/>
        </w:rPr>
        <w:t xml:space="preserve"> que</w:t>
      </w:r>
      <w:r w:rsidR="00FA625C" w:rsidRPr="00ED5C9A">
        <w:rPr>
          <w:rFonts w:asciiTheme="majorHAnsi" w:hAnsiTheme="majorHAnsi"/>
          <w:color w:val="auto"/>
          <w:sz w:val="20"/>
          <w:szCs w:val="20"/>
          <w:lang w:val="es-ES_tradnl"/>
        </w:rPr>
        <w:t xml:space="preserve"> </w:t>
      </w:r>
      <w:r w:rsidR="00AA7D77" w:rsidRPr="00ED5C9A">
        <w:rPr>
          <w:rFonts w:asciiTheme="majorHAnsi" w:hAnsiTheme="majorHAnsi"/>
          <w:color w:val="auto"/>
          <w:sz w:val="20"/>
          <w:szCs w:val="20"/>
          <w:lang w:val="es-ES_tradnl"/>
        </w:rPr>
        <w:t xml:space="preserve">luego de su exilio forzado, </w:t>
      </w:r>
      <w:r w:rsidR="00FA625C" w:rsidRPr="00ED5C9A">
        <w:rPr>
          <w:rFonts w:asciiTheme="majorHAnsi" w:hAnsiTheme="majorHAnsi"/>
          <w:color w:val="auto"/>
          <w:sz w:val="20"/>
          <w:szCs w:val="20"/>
          <w:lang w:val="es-ES_tradnl"/>
        </w:rPr>
        <w:t xml:space="preserve">Martha González trabajó </w:t>
      </w:r>
      <w:r w:rsidRPr="00ED5C9A">
        <w:rPr>
          <w:rFonts w:asciiTheme="majorHAnsi" w:hAnsiTheme="majorHAnsi"/>
          <w:color w:val="auto"/>
          <w:sz w:val="20"/>
          <w:szCs w:val="20"/>
          <w:lang w:val="es-ES_tradnl"/>
        </w:rPr>
        <w:t xml:space="preserve">como </w:t>
      </w:r>
      <w:r w:rsidR="00FA625C" w:rsidRPr="00ED5C9A">
        <w:rPr>
          <w:rFonts w:asciiTheme="majorHAnsi" w:hAnsiTheme="majorHAnsi"/>
          <w:color w:val="auto"/>
          <w:sz w:val="20"/>
          <w:szCs w:val="20"/>
          <w:lang w:val="es-ES_tradnl"/>
        </w:rPr>
        <w:t>jef</w:t>
      </w:r>
      <w:r w:rsidR="006F68D1" w:rsidRPr="00ED5C9A">
        <w:rPr>
          <w:rFonts w:asciiTheme="majorHAnsi" w:hAnsiTheme="majorHAnsi"/>
          <w:color w:val="auto"/>
          <w:sz w:val="20"/>
          <w:szCs w:val="20"/>
          <w:lang w:val="es-ES_tradnl"/>
        </w:rPr>
        <w:t>a</w:t>
      </w:r>
      <w:r w:rsidRPr="00ED5C9A">
        <w:rPr>
          <w:rFonts w:asciiTheme="majorHAnsi" w:hAnsiTheme="majorHAnsi"/>
          <w:color w:val="auto"/>
          <w:sz w:val="20"/>
          <w:szCs w:val="20"/>
          <w:lang w:val="es-ES_tradnl"/>
        </w:rPr>
        <w:t xml:space="preserve"> de la Misión Diplomática de Colombia en </w:t>
      </w:r>
      <w:r w:rsidR="00FA625C" w:rsidRPr="00ED5C9A">
        <w:rPr>
          <w:rFonts w:asciiTheme="majorHAnsi" w:hAnsiTheme="majorHAnsi"/>
          <w:color w:val="auto"/>
          <w:sz w:val="20"/>
          <w:szCs w:val="20"/>
          <w:lang w:val="es-ES_tradnl"/>
        </w:rPr>
        <w:t xml:space="preserve">Indonesia </w:t>
      </w:r>
      <w:r w:rsidRPr="00ED5C9A">
        <w:rPr>
          <w:rFonts w:asciiTheme="majorHAnsi" w:hAnsiTheme="majorHAnsi"/>
          <w:color w:val="auto"/>
          <w:sz w:val="20"/>
          <w:szCs w:val="20"/>
          <w:lang w:val="es-ES_tradnl"/>
        </w:rPr>
        <w:t xml:space="preserve">y como Cónsul de Colombia en España, en las ciudades de Madrid </w:t>
      </w:r>
      <w:r w:rsidRPr="00ED5C9A">
        <w:rPr>
          <w:rFonts w:asciiTheme="majorHAnsi" w:hAnsiTheme="majorHAnsi"/>
          <w:color w:val="auto"/>
          <w:sz w:val="20"/>
          <w:szCs w:val="20"/>
          <w:lang w:val="es-ES_tradnl"/>
        </w:rPr>
        <w:lastRenderedPageBreak/>
        <w:t>y Bilbao</w:t>
      </w:r>
      <w:r w:rsidR="00587D46" w:rsidRPr="00ED5C9A">
        <w:rPr>
          <w:rFonts w:asciiTheme="majorHAnsi" w:hAnsiTheme="majorHAnsi"/>
          <w:color w:val="auto"/>
          <w:sz w:val="20"/>
          <w:szCs w:val="20"/>
          <w:lang w:val="es-ES_tradnl"/>
        </w:rPr>
        <w:t xml:space="preserve">. </w:t>
      </w:r>
      <w:r w:rsidR="00C27ADB" w:rsidRPr="00ED5C9A">
        <w:rPr>
          <w:rFonts w:asciiTheme="majorHAnsi" w:hAnsiTheme="majorHAnsi"/>
          <w:color w:val="auto"/>
          <w:sz w:val="20"/>
          <w:szCs w:val="20"/>
          <w:lang w:val="es-ES_tradnl"/>
        </w:rPr>
        <w:t>En tal sentido, detalla</w:t>
      </w:r>
      <w:r w:rsidR="009E56CC" w:rsidRPr="00ED5C9A">
        <w:rPr>
          <w:rFonts w:asciiTheme="majorHAnsi" w:hAnsiTheme="majorHAnsi"/>
          <w:color w:val="auto"/>
          <w:sz w:val="20"/>
          <w:szCs w:val="20"/>
          <w:lang w:val="es-ES_tradnl"/>
        </w:rPr>
        <w:t>n</w:t>
      </w:r>
      <w:r w:rsidR="00C27ADB" w:rsidRPr="00ED5C9A">
        <w:rPr>
          <w:rFonts w:asciiTheme="majorHAnsi" w:hAnsiTheme="majorHAnsi"/>
          <w:color w:val="auto"/>
          <w:sz w:val="20"/>
          <w:szCs w:val="20"/>
          <w:lang w:val="es-ES_tradnl"/>
        </w:rPr>
        <w:t xml:space="preserve"> que </w:t>
      </w:r>
      <w:r w:rsidR="0061102F" w:rsidRPr="00ED5C9A">
        <w:rPr>
          <w:rFonts w:asciiTheme="majorHAnsi" w:hAnsiTheme="majorHAnsi"/>
          <w:color w:val="auto"/>
          <w:sz w:val="20"/>
          <w:szCs w:val="20"/>
          <w:lang w:val="es-ES_tradnl"/>
        </w:rPr>
        <w:t xml:space="preserve">la situación de riesgo de Martha González persistió, como fue confirmado por el Departamento Administrativo de Seguridad (en adelante “DAS”) mediante conceptos emitidos el 14 de febrero de 1997 y 4 de agosto de 1998, y </w:t>
      </w:r>
      <w:r w:rsidR="00BD72EF" w:rsidRPr="00ED5C9A">
        <w:rPr>
          <w:rFonts w:asciiTheme="majorHAnsi" w:hAnsiTheme="majorHAnsi"/>
          <w:color w:val="auto"/>
          <w:sz w:val="20"/>
          <w:szCs w:val="20"/>
          <w:lang w:val="es-ES_tradnl"/>
        </w:rPr>
        <w:t>continuaría, según alegan los peticionarios,</w:t>
      </w:r>
      <w:r w:rsidR="0061102F" w:rsidRPr="00ED5C9A">
        <w:rPr>
          <w:rFonts w:asciiTheme="majorHAnsi" w:hAnsiTheme="majorHAnsi"/>
          <w:color w:val="auto"/>
          <w:sz w:val="20"/>
          <w:szCs w:val="20"/>
          <w:lang w:val="es-ES_tradnl"/>
        </w:rPr>
        <w:t xml:space="preserve"> hasta la fecha de </w:t>
      </w:r>
      <w:r w:rsidR="00BD72EF" w:rsidRPr="00ED5C9A">
        <w:rPr>
          <w:rFonts w:asciiTheme="majorHAnsi" w:hAnsiTheme="majorHAnsi"/>
          <w:color w:val="auto"/>
          <w:sz w:val="20"/>
          <w:szCs w:val="20"/>
          <w:lang w:val="es-ES_tradnl"/>
        </w:rPr>
        <w:t xml:space="preserve">presentación de </w:t>
      </w:r>
      <w:r w:rsidR="0061102F" w:rsidRPr="00ED5C9A">
        <w:rPr>
          <w:rFonts w:asciiTheme="majorHAnsi" w:hAnsiTheme="majorHAnsi"/>
          <w:color w:val="auto"/>
          <w:sz w:val="20"/>
          <w:szCs w:val="20"/>
          <w:lang w:val="es-ES_tradnl"/>
        </w:rPr>
        <w:t>la</w:t>
      </w:r>
      <w:r w:rsidR="00BD72EF" w:rsidRPr="00ED5C9A">
        <w:rPr>
          <w:rFonts w:asciiTheme="majorHAnsi" w:hAnsiTheme="majorHAnsi"/>
          <w:color w:val="auto"/>
          <w:sz w:val="20"/>
          <w:szCs w:val="20"/>
          <w:lang w:val="es-ES_tradnl"/>
        </w:rPr>
        <w:t xml:space="preserve"> presente</w:t>
      </w:r>
      <w:r w:rsidR="0061102F" w:rsidRPr="00ED5C9A">
        <w:rPr>
          <w:rFonts w:asciiTheme="majorHAnsi" w:hAnsiTheme="majorHAnsi"/>
          <w:color w:val="auto"/>
          <w:sz w:val="20"/>
          <w:szCs w:val="20"/>
          <w:lang w:val="es-ES_tradnl"/>
        </w:rPr>
        <w:t xml:space="preserve"> petición el </w:t>
      </w:r>
      <w:r w:rsidR="0061102F" w:rsidRPr="00ED5C9A">
        <w:rPr>
          <w:rFonts w:asciiTheme="majorHAnsi" w:hAnsiTheme="majorHAnsi"/>
          <w:bCs/>
          <w:color w:val="auto"/>
          <w:sz w:val="20"/>
          <w:szCs w:val="20"/>
          <w:lang w:val="es-ES_tradnl"/>
        </w:rPr>
        <w:t xml:space="preserve">27 de mayo de 2014. Asimismo, informan que </w:t>
      </w:r>
      <w:r w:rsidR="00930836" w:rsidRPr="00ED5C9A">
        <w:rPr>
          <w:rFonts w:asciiTheme="majorHAnsi" w:hAnsiTheme="majorHAnsi"/>
          <w:color w:val="auto"/>
          <w:sz w:val="20"/>
          <w:szCs w:val="20"/>
          <w:lang w:val="es-ES_tradnl"/>
        </w:rPr>
        <w:t xml:space="preserve">desde 1988 </w:t>
      </w:r>
      <w:r w:rsidR="00C27ADB" w:rsidRPr="00ED5C9A">
        <w:rPr>
          <w:rFonts w:asciiTheme="majorHAnsi" w:hAnsiTheme="majorHAnsi"/>
          <w:color w:val="auto"/>
          <w:sz w:val="20"/>
          <w:szCs w:val="20"/>
          <w:lang w:val="es-ES_tradnl"/>
        </w:rPr>
        <w:t xml:space="preserve">ha viajado a </w:t>
      </w:r>
      <w:r w:rsidR="00587D46" w:rsidRPr="00ED5C9A">
        <w:rPr>
          <w:rFonts w:asciiTheme="majorHAnsi" w:hAnsiTheme="majorHAnsi"/>
          <w:color w:val="auto"/>
          <w:sz w:val="20"/>
          <w:szCs w:val="20"/>
          <w:lang w:val="es-ES_tradnl"/>
        </w:rPr>
        <w:t xml:space="preserve">Colombia </w:t>
      </w:r>
      <w:r w:rsidR="009E56CC" w:rsidRPr="00ED5C9A">
        <w:rPr>
          <w:rFonts w:asciiTheme="majorHAnsi" w:hAnsiTheme="majorHAnsi"/>
          <w:color w:val="auto"/>
          <w:sz w:val="20"/>
          <w:szCs w:val="20"/>
          <w:lang w:val="es-ES_tradnl"/>
        </w:rPr>
        <w:t xml:space="preserve">solo </w:t>
      </w:r>
      <w:r w:rsidR="00587D46" w:rsidRPr="00ED5C9A">
        <w:rPr>
          <w:rFonts w:asciiTheme="majorHAnsi" w:hAnsiTheme="majorHAnsi"/>
          <w:color w:val="auto"/>
          <w:sz w:val="20"/>
          <w:szCs w:val="20"/>
          <w:lang w:val="es-ES_tradnl"/>
        </w:rPr>
        <w:t>en dos oportunidades</w:t>
      </w:r>
      <w:r w:rsidR="00823D54" w:rsidRPr="00ED5C9A">
        <w:rPr>
          <w:rFonts w:asciiTheme="majorHAnsi" w:hAnsiTheme="majorHAnsi"/>
          <w:color w:val="auto"/>
          <w:sz w:val="20"/>
          <w:szCs w:val="20"/>
          <w:lang w:val="es-ES_tradnl"/>
        </w:rPr>
        <w:t xml:space="preserve"> por períodos </w:t>
      </w:r>
      <w:r w:rsidR="00BD72EF" w:rsidRPr="00ED5C9A">
        <w:rPr>
          <w:rFonts w:asciiTheme="majorHAnsi" w:hAnsiTheme="majorHAnsi"/>
          <w:color w:val="auto"/>
          <w:sz w:val="20"/>
          <w:szCs w:val="20"/>
          <w:lang w:val="es-ES_tradnl"/>
        </w:rPr>
        <w:t>cortos</w:t>
      </w:r>
      <w:r w:rsidR="00C27ADB" w:rsidRPr="00ED5C9A">
        <w:rPr>
          <w:rFonts w:asciiTheme="majorHAnsi" w:hAnsiTheme="majorHAnsi"/>
          <w:color w:val="auto"/>
          <w:sz w:val="20"/>
          <w:szCs w:val="20"/>
          <w:lang w:val="es-ES_tradnl"/>
        </w:rPr>
        <w:t xml:space="preserve">, </w:t>
      </w:r>
      <w:r w:rsidR="00587D46" w:rsidRPr="00ED5C9A">
        <w:rPr>
          <w:rFonts w:asciiTheme="majorHAnsi" w:hAnsiTheme="majorHAnsi"/>
          <w:color w:val="auto"/>
          <w:sz w:val="20"/>
          <w:szCs w:val="20"/>
          <w:lang w:val="es-ES_tradnl"/>
        </w:rPr>
        <w:t xml:space="preserve">en </w:t>
      </w:r>
      <w:r w:rsidR="004E75DB" w:rsidRPr="00ED5C9A">
        <w:rPr>
          <w:rFonts w:asciiTheme="majorHAnsi" w:hAnsiTheme="majorHAnsi"/>
          <w:color w:val="auto"/>
          <w:sz w:val="20"/>
          <w:szCs w:val="20"/>
          <w:lang w:val="es-ES_tradnl"/>
        </w:rPr>
        <w:t xml:space="preserve">mayo de </w:t>
      </w:r>
      <w:r w:rsidR="00587D46" w:rsidRPr="00ED5C9A">
        <w:rPr>
          <w:rFonts w:asciiTheme="majorHAnsi" w:hAnsiTheme="majorHAnsi"/>
          <w:color w:val="auto"/>
          <w:sz w:val="20"/>
          <w:szCs w:val="20"/>
          <w:lang w:val="es-ES_tradnl"/>
        </w:rPr>
        <w:t>1991 y en</w:t>
      </w:r>
      <w:r w:rsidR="00930389" w:rsidRPr="00ED5C9A">
        <w:rPr>
          <w:rFonts w:asciiTheme="majorHAnsi" w:hAnsiTheme="majorHAnsi"/>
          <w:color w:val="auto"/>
          <w:sz w:val="20"/>
          <w:szCs w:val="20"/>
          <w:lang w:val="es-ES_tradnl"/>
        </w:rPr>
        <w:t xml:space="preserve"> noviembre</w:t>
      </w:r>
      <w:r w:rsidR="00587D46" w:rsidRPr="00ED5C9A">
        <w:rPr>
          <w:rFonts w:asciiTheme="majorHAnsi" w:hAnsiTheme="majorHAnsi"/>
          <w:color w:val="auto"/>
          <w:sz w:val="20"/>
          <w:szCs w:val="20"/>
          <w:lang w:val="es-ES_tradnl"/>
        </w:rPr>
        <w:t xml:space="preserve"> </w:t>
      </w:r>
      <w:r w:rsidR="00930389" w:rsidRPr="00ED5C9A">
        <w:rPr>
          <w:rFonts w:asciiTheme="majorHAnsi" w:hAnsiTheme="majorHAnsi"/>
          <w:color w:val="auto"/>
          <w:sz w:val="20"/>
          <w:szCs w:val="20"/>
          <w:lang w:val="es-ES_tradnl"/>
        </w:rPr>
        <w:t>d</w:t>
      </w:r>
      <w:r w:rsidR="00587D46" w:rsidRPr="00ED5C9A">
        <w:rPr>
          <w:rFonts w:asciiTheme="majorHAnsi" w:hAnsiTheme="majorHAnsi"/>
          <w:color w:val="auto"/>
          <w:sz w:val="20"/>
          <w:szCs w:val="20"/>
          <w:lang w:val="es-ES_tradnl"/>
        </w:rPr>
        <w:t>el 2000</w:t>
      </w:r>
      <w:r w:rsidR="00930389" w:rsidRPr="00ED5C9A">
        <w:rPr>
          <w:rFonts w:asciiTheme="majorHAnsi" w:hAnsiTheme="majorHAnsi"/>
          <w:color w:val="auto"/>
          <w:sz w:val="20"/>
          <w:szCs w:val="20"/>
          <w:lang w:val="es-ES_tradnl"/>
        </w:rPr>
        <w:t xml:space="preserve">, </w:t>
      </w:r>
      <w:r w:rsidR="00FC1EA0" w:rsidRPr="00ED5C9A">
        <w:rPr>
          <w:rFonts w:asciiTheme="majorHAnsi" w:hAnsiTheme="majorHAnsi"/>
          <w:color w:val="auto"/>
          <w:sz w:val="20"/>
          <w:szCs w:val="20"/>
          <w:lang w:val="es-ES_tradnl"/>
        </w:rPr>
        <w:t xml:space="preserve">teniendo que </w:t>
      </w:r>
      <w:r w:rsidR="00587D46" w:rsidRPr="00ED5C9A">
        <w:rPr>
          <w:rFonts w:asciiTheme="majorHAnsi" w:hAnsiTheme="majorHAnsi"/>
          <w:color w:val="auto"/>
          <w:sz w:val="20"/>
          <w:szCs w:val="20"/>
          <w:lang w:val="es-ES_tradnl"/>
        </w:rPr>
        <w:t xml:space="preserve">salir </w:t>
      </w:r>
      <w:r w:rsidR="00BD72EF" w:rsidRPr="00ED5C9A">
        <w:rPr>
          <w:rFonts w:asciiTheme="majorHAnsi" w:hAnsiTheme="majorHAnsi"/>
          <w:color w:val="auto"/>
          <w:sz w:val="20"/>
          <w:szCs w:val="20"/>
          <w:lang w:val="es-ES_tradnl"/>
        </w:rPr>
        <w:t xml:space="preserve">rápidamente </w:t>
      </w:r>
      <w:r w:rsidR="007650BE" w:rsidRPr="00ED5C9A">
        <w:rPr>
          <w:rFonts w:asciiTheme="majorHAnsi" w:hAnsiTheme="majorHAnsi"/>
          <w:color w:val="auto"/>
          <w:sz w:val="20"/>
          <w:szCs w:val="20"/>
          <w:lang w:val="es-ES_tradnl"/>
        </w:rPr>
        <w:t xml:space="preserve">en ambas oportunidades por </w:t>
      </w:r>
      <w:r w:rsidR="00C27ADB" w:rsidRPr="00ED5C9A">
        <w:rPr>
          <w:rFonts w:asciiTheme="majorHAnsi" w:hAnsiTheme="majorHAnsi"/>
          <w:color w:val="auto"/>
          <w:sz w:val="20"/>
          <w:szCs w:val="20"/>
          <w:lang w:val="es-ES_tradnl"/>
        </w:rPr>
        <w:t>amenaza</w:t>
      </w:r>
      <w:r w:rsidR="007650BE" w:rsidRPr="00ED5C9A">
        <w:rPr>
          <w:rFonts w:asciiTheme="majorHAnsi" w:hAnsiTheme="majorHAnsi"/>
          <w:color w:val="auto"/>
          <w:sz w:val="20"/>
          <w:szCs w:val="20"/>
          <w:lang w:val="es-ES_tradnl"/>
        </w:rPr>
        <w:t xml:space="preserve">s que recibió, incluso </w:t>
      </w:r>
      <w:r w:rsidR="00C27ADB" w:rsidRPr="00ED5C9A">
        <w:rPr>
          <w:rFonts w:asciiTheme="majorHAnsi" w:hAnsiTheme="majorHAnsi"/>
          <w:color w:val="auto"/>
          <w:sz w:val="20"/>
          <w:szCs w:val="20"/>
          <w:lang w:val="es-ES_tradnl"/>
        </w:rPr>
        <w:t xml:space="preserve">telefónicamente en la </w:t>
      </w:r>
      <w:r w:rsidR="00587D46" w:rsidRPr="00ED5C9A">
        <w:rPr>
          <w:rFonts w:asciiTheme="majorHAnsi" w:hAnsiTheme="majorHAnsi"/>
          <w:color w:val="auto"/>
          <w:sz w:val="20"/>
          <w:szCs w:val="20"/>
          <w:lang w:val="es-ES_tradnl"/>
        </w:rPr>
        <w:t>casa de</w:t>
      </w:r>
      <w:r w:rsidR="00C27ADB" w:rsidRPr="00ED5C9A">
        <w:rPr>
          <w:rFonts w:asciiTheme="majorHAnsi" w:hAnsiTheme="majorHAnsi"/>
          <w:color w:val="auto"/>
          <w:sz w:val="20"/>
          <w:szCs w:val="20"/>
          <w:lang w:val="es-ES_tradnl"/>
        </w:rPr>
        <w:t xml:space="preserve">l familiar </w:t>
      </w:r>
      <w:r w:rsidR="00587D46" w:rsidRPr="00ED5C9A">
        <w:rPr>
          <w:rFonts w:asciiTheme="majorHAnsi" w:hAnsiTheme="majorHAnsi"/>
          <w:color w:val="auto"/>
          <w:sz w:val="20"/>
          <w:szCs w:val="20"/>
          <w:lang w:val="es-ES_tradnl"/>
        </w:rPr>
        <w:t>donde se hospedaba</w:t>
      </w:r>
      <w:r w:rsidR="007650BE" w:rsidRPr="00ED5C9A">
        <w:rPr>
          <w:rFonts w:asciiTheme="majorHAnsi" w:hAnsiTheme="majorHAnsi"/>
          <w:color w:val="auto"/>
          <w:sz w:val="20"/>
          <w:szCs w:val="20"/>
          <w:lang w:val="es-ES_tradnl"/>
        </w:rPr>
        <w:t xml:space="preserve"> en noviembre de 2000</w:t>
      </w:r>
      <w:r w:rsidR="00C27ADB" w:rsidRPr="00ED5C9A">
        <w:rPr>
          <w:rFonts w:asciiTheme="majorHAnsi" w:hAnsiTheme="majorHAnsi"/>
          <w:color w:val="auto"/>
          <w:sz w:val="20"/>
          <w:szCs w:val="20"/>
          <w:lang w:val="es-ES_tradnl"/>
        </w:rPr>
        <w:t xml:space="preserve">. </w:t>
      </w:r>
      <w:r w:rsidR="006F68D1" w:rsidRPr="00ED5C9A">
        <w:rPr>
          <w:rFonts w:asciiTheme="majorHAnsi" w:hAnsiTheme="majorHAnsi"/>
          <w:color w:val="auto"/>
          <w:sz w:val="20"/>
          <w:szCs w:val="20"/>
          <w:lang w:val="es-ES_tradnl"/>
        </w:rPr>
        <w:t>Indican</w:t>
      </w:r>
      <w:r w:rsidR="00C87AB1" w:rsidRPr="00ED5C9A">
        <w:rPr>
          <w:rFonts w:asciiTheme="majorHAnsi" w:hAnsiTheme="majorHAnsi"/>
          <w:color w:val="auto"/>
          <w:sz w:val="20"/>
          <w:szCs w:val="20"/>
          <w:lang w:val="es-ES_tradnl"/>
        </w:rPr>
        <w:t xml:space="preserve"> </w:t>
      </w:r>
      <w:r w:rsidR="00F60813" w:rsidRPr="00ED5C9A">
        <w:rPr>
          <w:rFonts w:asciiTheme="majorHAnsi" w:hAnsiTheme="majorHAnsi"/>
          <w:color w:val="auto"/>
          <w:sz w:val="20"/>
          <w:szCs w:val="20"/>
          <w:lang w:val="es-ES_tradnl"/>
        </w:rPr>
        <w:t>que las amenazas no recaían exclusivamente en Martha González</w:t>
      </w:r>
      <w:r w:rsidR="006F68D1" w:rsidRPr="00ED5C9A">
        <w:rPr>
          <w:rFonts w:asciiTheme="majorHAnsi" w:hAnsiTheme="majorHAnsi"/>
          <w:color w:val="auto"/>
          <w:sz w:val="20"/>
          <w:szCs w:val="20"/>
          <w:lang w:val="es-ES_tradnl"/>
        </w:rPr>
        <w:t>, ya que</w:t>
      </w:r>
      <w:r w:rsidR="00FC1EA0" w:rsidRPr="00ED5C9A">
        <w:rPr>
          <w:rFonts w:asciiTheme="majorHAnsi" w:hAnsiTheme="majorHAnsi"/>
          <w:color w:val="auto"/>
          <w:sz w:val="20"/>
          <w:szCs w:val="20"/>
          <w:lang w:val="es-ES_tradnl"/>
        </w:rPr>
        <w:t xml:space="preserve"> e</w:t>
      </w:r>
      <w:r w:rsidR="00F60813" w:rsidRPr="00ED5C9A">
        <w:rPr>
          <w:rFonts w:asciiTheme="majorHAnsi" w:hAnsiTheme="majorHAnsi"/>
          <w:color w:val="auto"/>
          <w:sz w:val="20"/>
          <w:szCs w:val="20"/>
          <w:lang w:val="es-ES_tradnl"/>
        </w:rPr>
        <w:t xml:space="preserve">n el 2000 </w:t>
      </w:r>
      <w:r w:rsidR="00C87AB1" w:rsidRPr="00ED5C9A">
        <w:rPr>
          <w:rFonts w:asciiTheme="majorHAnsi" w:hAnsiTheme="majorHAnsi"/>
          <w:color w:val="auto"/>
          <w:sz w:val="20"/>
          <w:szCs w:val="20"/>
          <w:lang w:val="es-ES_tradnl"/>
        </w:rPr>
        <w:t>su hermano</w:t>
      </w:r>
      <w:r w:rsidR="00BD72EF" w:rsidRPr="00ED5C9A">
        <w:rPr>
          <w:rFonts w:asciiTheme="majorHAnsi" w:hAnsiTheme="majorHAnsi"/>
          <w:color w:val="auto"/>
          <w:sz w:val="20"/>
          <w:szCs w:val="20"/>
          <w:lang w:val="es-ES_tradnl"/>
        </w:rPr>
        <w:t>,</w:t>
      </w:r>
      <w:r w:rsidR="00C87AB1" w:rsidRPr="00ED5C9A">
        <w:rPr>
          <w:rFonts w:asciiTheme="majorHAnsi" w:hAnsiTheme="majorHAnsi"/>
          <w:color w:val="auto"/>
          <w:sz w:val="20"/>
          <w:szCs w:val="20"/>
          <w:lang w:val="es-ES_tradnl"/>
        </w:rPr>
        <w:t xml:space="preserve"> </w:t>
      </w:r>
      <w:r w:rsidR="00F60813" w:rsidRPr="00ED5C9A">
        <w:rPr>
          <w:rFonts w:asciiTheme="majorHAnsi" w:hAnsiTheme="majorHAnsi"/>
          <w:color w:val="auto"/>
          <w:sz w:val="20"/>
          <w:szCs w:val="20"/>
          <w:lang w:val="es-ES_tradnl"/>
        </w:rPr>
        <w:t>Álvaro Augusto González Rodríguez, fue amenazado y sufrió un atentado</w:t>
      </w:r>
      <w:r w:rsidR="00C87AB1" w:rsidRPr="00ED5C9A">
        <w:rPr>
          <w:rFonts w:asciiTheme="majorHAnsi" w:hAnsiTheme="majorHAnsi"/>
          <w:color w:val="auto"/>
          <w:sz w:val="20"/>
          <w:szCs w:val="20"/>
          <w:lang w:val="es-ES_tradnl"/>
        </w:rPr>
        <w:t xml:space="preserve"> lo cual </w:t>
      </w:r>
      <w:r w:rsidR="00F60813" w:rsidRPr="00ED5C9A">
        <w:rPr>
          <w:rFonts w:asciiTheme="majorHAnsi" w:hAnsiTheme="majorHAnsi"/>
          <w:color w:val="auto"/>
          <w:sz w:val="20"/>
          <w:szCs w:val="20"/>
          <w:lang w:val="es-ES_tradnl"/>
        </w:rPr>
        <w:t xml:space="preserve">obligó a </w:t>
      </w:r>
      <w:r w:rsidR="006F68D1" w:rsidRPr="00ED5C9A">
        <w:rPr>
          <w:rFonts w:asciiTheme="majorHAnsi" w:hAnsiTheme="majorHAnsi"/>
          <w:color w:val="auto"/>
          <w:sz w:val="20"/>
          <w:szCs w:val="20"/>
          <w:lang w:val="es-ES_tradnl"/>
        </w:rPr>
        <w:t>él</w:t>
      </w:r>
      <w:r w:rsidR="00F60813" w:rsidRPr="00ED5C9A">
        <w:rPr>
          <w:rFonts w:asciiTheme="majorHAnsi" w:hAnsiTheme="majorHAnsi"/>
          <w:color w:val="auto"/>
          <w:sz w:val="20"/>
          <w:szCs w:val="20"/>
          <w:lang w:val="es-ES_tradnl"/>
        </w:rPr>
        <w:t xml:space="preserve"> y al resto de la familia a salir de país. </w:t>
      </w:r>
    </w:p>
    <w:p w14:paraId="36C13961" w14:textId="77777777" w:rsidR="00823D54" w:rsidRPr="00ED5C9A" w:rsidRDefault="00823D54" w:rsidP="00823D54">
      <w:pPr>
        <w:pStyle w:val="ListParagraph"/>
        <w:rPr>
          <w:rFonts w:asciiTheme="majorHAnsi" w:hAnsiTheme="majorHAnsi"/>
          <w:color w:val="auto"/>
          <w:sz w:val="20"/>
          <w:szCs w:val="20"/>
          <w:lang w:val="es-ES_tradnl"/>
        </w:rPr>
      </w:pPr>
    </w:p>
    <w:p w14:paraId="590662E3" w14:textId="2C7D3EA7" w:rsidR="009445C6" w:rsidRPr="00ED5C9A" w:rsidRDefault="0061102F" w:rsidP="009445C6">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No obstante lo anterior</w:t>
      </w:r>
      <w:r w:rsidR="00FE601F" w:rsidRPr="00ED5C9A">
        <w:rPr>
          <w:rFonts w:asciiTheme="majorHAnsi" w:hAnsiTheme="majorHAnsi"/>
          <w:bCs/>
          <w:color w:val="auto"/>
          <w:sz w:val="20"/>
          <w:szCs w:val="20"/>
          <w:lang w:val="es-ES_tradnl"/>
        </w:rPr>
        <w:t>,</w:t>
      </w:r>
      <w:r w:rsidR="00453FB1" w:rsidRPr="00ED5C9A">
        <w:rPr>
          <w:rFonts w:asciiTheme="majorHAnsi" w:hAnsiTheme="majorHAnsi"/>
          <w:bCs/>
          <w:color w:val="auto"/>
          <w:sz w:val="20"/>
          <w:szCs w:val="20"/>
          <w:lang w:val="es-ES_tradnl"/>
        </w:rPr>
        <w:t xml:space="preserve"> </w:t>
      </w:r>
      <w:r w:rsidR="00BD72EF" w:rsidRPr="00ED5C9A">
        <w:rPr>
          <w:rFonts w:asciiTheme="majorHAnsi" w:hAnsiTheme="majorHAnsi"/>
          <w:bCs/>
          <w:color w:val="auto"/>
          <w:sz w:val="20"/>
          <w:szCs w:val="20"/>
          <w:lang w:val="es-ES_tradnl"/>
        </w:rPr>
        <w:t>los peticionarios indican</w:t>
      </w:r>
      <w:r w:rsidRPr="00ED5C9A">
        <w:rPr>
          <w:rFonts w:asciiTheme="majorHAnsi" w:hAnsiTheme="majorHAnsi"/>
          <w:bCs/>
          <w:color w:val="auto"/>
          <w:sz w:val="20"/>
          <w:szCs w:val="20"/>
          <w:lang w:val="es-ES_tradnl"/>
        </w:rPr>
        <w:t xml:space="preserve"> que </w:t>
      </w:r>
      <w:r w:rsidR="00930836" w:rsidRPr="00ED5C9A">
        <w:rPr>
          <w:rFonts w:asciiTheme="majorHAnsi" w:hAnsiTheme="majorHAnsi"/>
          <w:color w:val="auto"/>
          <w:sz w:val="20"/>
          <w:szCs w:val="20"/>
          <w:lang w:val="es-ES_tradnl"/>
        </w:rPr>
        <w:t>el 23 de diciembre de 1999 el Ministerio de Relaciones Exteriores emit</w:t>
      </w:r>
      <w:r w:rsidR="00E7653D" w:rsidRPr="00ED5C9A">
        <w:rPr>
          <w:rFonts w:asciiTheme="majorHAnsi" w:hAnsiTheme="majorHAnsi"/>
          <w:color w:val="auto"/>
          <w:sz w:val="20"/>
          <w:szCs w:val="20"/>
          <w:lang w:val="es-ES_tradnl"/>
        </w:rPr>
        <w:t xml:space="preserve">ió </w:t>
      </w:r>
      <w:r w:rsidR="00930836" w:rsidRPr="00ED5C9A">
        <w:rPr>
          <w:rFonts w:asciiTheme="majorHAnsi" w:hAnsiTheme="majorHAnsi"/>
          <w:color w:val="auto"/>
          <w:sz w:val="20"/>
          <w:szCs w:val="20"/>
          <w:lang w:val="es-ES_tradnl"/>
        </w:rPr>
        <w:t xml:space="preserve">la resolución No. 2619 </w:t>
      </w:r>
      <w:r w:rsidR="00E7653D" w:rsidRPr="00ED5C9A">
        <w:rPr>
          <w:rFonts w:asciiTheme="majorHAnsi" w:hAnsiTheme="majorHAnsi"/>
          <w:color w:val="auto"/>
          <w:sz w:val="20"/>
          <w:szCs w:val="20"/>
          <w:lang w:val="es-ES_tradnl"/>
        </w:rPr>
        <w:t>mediante la cual reemplazó a Martha González como c</w:t>
      </w:r>
      <w:r w:rsidR="00930836" w:rsidRPr="00ED5C9A">
        <w:rPr>
          <w:rFonts w:asciiTheme="majorHAnsi" w:hAnsiTheme="majorHAnsi"/>
          <w:color w:val="auto"/>
          <w:sz w:val="20"/>
          <w:szCs w:val="20"/>
          <w:lang w:val="es-ES_tradnl"/>
        </w:rPr>
        <w:t>ónsul</w:t>
      </w:r>
      <w:r w:rsidR="00377EA7" w:rsidRPr="00ED5C9A">
        <w:rPr>
          <w:rFonts w:asciiTheme="majorHAnsi" w:hAnsiTheme="majorHAnsi"/>
          <w:color w:val="auto"/>
          <w:sz w:val="20"/>
          <w:szCs w:val="20"/>
          <w:lang w:val="es-ES_tradnl"/>
        </w:rPr>
        <w:t xml:space="preserve"> de Colombia en Bilbao</w:t>
      </w:r>
      <w:r w:rsidR="00930836" w:rsidRPr="00ED5C9A">
        <w:rPr>
          <w:rFonts w:asciiTheme="majorHAnsi" w:hAnsiTheme="majorHAnsi"/>
          <w:color w:val="auto"/>
          <w:sz w:val="20"/>
          <w:szCs w:val="20"/>
          <w:lang w:val="es-ES_tradnl"/>
        </w:rPr>
        <w:t>.</w:t>
      </w:r>
      <w:r w:rsidR="00F60813" w:rsidRPr="00ED5C9A">
        <w:rPr>
          <w:rFonts w:asciiTheme="majorHAnsi" w:hAnsiTheme="majorHAnsi"/>
          <w:color w:val="auto"/>
          <w:sz w:val="20"/>
          <w:szCs w:val="20"/>
          <w:lang w:val="es-ES_tradnl"/>
        </w:rPr>
        <w:t xml:space="preserve"> </w:t>
      </w:r>
      <w:r w:rsidR="00FE601F" w:rsidRPr="00ED5C9A">
        <w:rPr>
          <w:rFonts w:asciiTheme="majorHAnsi" w:hAnsiTheme="majorHAnsi"/>
          <w:color w:val="auto"/>
          <w:sz w:val="20"/>
          <w:szCs w:val="20"/>
          <w:lang w:val="es-ES_tradnl"/>
        </w:rPr>
        <w:t xml:space="preserve">Frente a la mencionada resolución, </w:t>
      </w:r>
      <w:r w:rsidR="00D35736" w:rsidRPr="00ED5C9A">
        <w:rPr>
          <w:rFonts w:asciiTheme="majorHAnsi" w:hAnsiTheme="majorHAnsi"/>
          <w:color w:val="auto"/>
          <w:sz w:val="20"/>
          <w:szCs w:val="20"/>
          <w:lang w:val="es-ES_tradnl"/>
        </w:rPr>
        <w:t xml:space="preserve">los peticionarios alegan que </w:t>
      </w:r>
      <w:r w:rsidR="00FE601F" w:rsidRPr="00ED5C9A">
        <w:rPr>
          <w:rFonts w:asciiTheme="majorHAnsi" w:hAnsiTheme="majorHAnsi"/>
          <w:color w:val="auto"/>
          <w:sz w:val="20"/>
          <w:szCs w:val="20"/>
          <w:lang w:val="es-ES_tradnl"/>
        </w:rPr>
        <w:t xml:space="preserve">Martha González </w:t>
      </w:r>
      <w:r w:rsidR="00D35736" w:rsidRPr="00ED5C9A">
        <w:rPr>
          <w:rFonts w:asciiTheme="majorHAnsi" w:hAnsiTheme="majorHAnsi"/>
          <w:color w:val="auto"/>
          <w:sz w:val="20"/>
          <w:szCs w:val="20"/>
          <w:lang w:val="es-ES_tradnl"/>
        </w:rPr>
        <w:t>quedó sin trabajo, sin medios para subsistir y sin posibilidades de reintegrarse al país</w:t>
      </w:r>
      <w:r w:rsidR="008D5D09" w:rsidRPr="00ED5C9A">
        <w:rPr>
          <w:rFonts w:asciiTheme="majorHAnsi" w:hAnsiTheme="majorHAnsi"/>
          <w:color w:val="auto"/>
          <w:sz w:val="20"/>
          <w:szCs w:val="20"/>
          <w:lang w:val="es-ES_tradnl"/>
        </w:rPr>
        <w:t>,</w:t>
      </w:r>
      <w:r w:rsidR="00D35736" w:rsidRPr="00ED5C9A">
        <w:rPr>
          <w:rFonts w:asciiTheme="majorHAnsi" w:hAnsiTheme="majorHAnsi"/>
          <w:color w:val="auto"/>
          <w:sz w:val="20"/>
          <w:szCs w:val="20"/>
          <w:lang w:val="es-ES_tradnl"/>
        </w:rPr>
        <w:t xml:space="preserve"> pues subsistían los riesgos a su vida e integridad personal</w:t>
      </w:r>
      <w:r w:rsidR="000E7A3D" w:rsidRPr="00ED5C9A">
        <w:rPr>
          <w:rFonts w:asciiTheme="majorHAnsi" w:hAnsiTheme="majorHAnsi"/>
          <w:color w:val="auto"/>
          <w:sz w:val="20"/>
          <w:szCs w:val="20"/>
          <w:lang w:val="es-ES_tradnl"/>
        </w:rPr>
        <w:t xml:space="preserve">. En tal sentido, Martha González </w:t>
      </w:r>
      <w:r w:rsidR="00FE601F" w:rsidRPr="00ED5C9A">
        <w:rPr>
          <w:rFonts w:asciiTheme="majorHAnsi" w:hAnsiTheme="majorHAnsi"/>
          <w:color w:val="auto"/>
          <w:sz w:val="20"/>
          <w:szCs w:val="20"/>
          <w:lang w:val="es-ES_tradnl"/>
        </w:rPr>
        <w:t>p</w:t>
      </w:r>
      <w:r w:rsidR="00F60813" w:rsidRPr="00ED5C9A">
        <w:rPr>
          <w:rFonts w:asciiTheme="majorHAnsi" w:hAnsiTheme="majorHAnsi"/>
          <w:color w:val="auto"/>
          <w:sz w:val="20"/>
          <w:szCs w:val="20"/>
          <w:lang w:val="es-ES_tradnl"/>
        </w:rPr>
        <w:t>resentó una acción de tutela</w:t>
      </w:r>
      <w:r w:rsidR="00D35736" w:rsidRPr="00ED5C9A">
        <w:rPr>
          <w:rFonts w:asciiTheme="majorHAnsi" w:hAnsiTheme="majorHAnsi"/>
          <w:color w:val="auto"/>
          <w:sz w:val="20"/>
          <w:szCs w:val="20"/>
          <w:lang w:val="es-ES_tradnl"/>
        </w:rPr>
        <w:t xml:space="preserve"> </w:t>
      </w:r>
      <w:r w:rsidR="009445C6" w:rsidRPr="00ED5C9A">
        <w:rPr>
          <w:rFonts w:asciiTheme="majorHAnsi" w:hAnsiTheme="majorHAnsi"/>
          <w:color w:val="auto"/>
          <w:sz w:val="20"/>
          <w:szCs w:val="20"/>
          <w:lang w:val="es-ES_tradnl"/>
        </w:rPr>
        <w:t xml:space="preserve">solicitando protección </w:t>
      </w:r>
      <w:r w:rsidR="00D35736" w:rsidRPr="00ED5C9A">
        <w:rPr>
          <w:rFonts w:asciiTheme="majorHAnsi" w:hAnsiTheme="majorHAnsi"/>
          <w:color w:val="auto"/>
          <w:sz w:val="20"/>
          <w:szCs w:val="20"/>
          <w:lang w:val="es-ES_tradnl"/>
        </w:rPr>
        <w:t>para el resguardo del derecho a la vida e integridad,</w:t>
      </w:r>
      <w:r w:rsidR="00801C0F" w:rsidRPr="00ED5C9A">
        <w:rPr>
          <w:rFonts w:asciiTheme="majorHAnsi" w:hAnsiTheme="majorHAnsi"/>
          <w:color w:val="auto"/>
          <w:sz w:val="20"/>
          <w:szCs w:val="20"/>
          <w:lang w:val="es-ES_tradnl"/>
        </w:rPr>
        <w:t xml:space="preserve"> en virtud de la cual el 3 de marzo de 2000, </w:t>
      </w:r>
      <w:r w:rsidR="00F60813" w:rsidRPr="00ED5C9A">
        <w:rPr>
          <w:rFonts w:asciiTheme="majorHAnsi" w:hAnsiTheme="majorHAnsi"/>
          <w:color w:val="auto"/>
          <w:sz w:val="20"/>
          <w:szCs w:val="20"/>
          <w:lang w:val="es-ES_tradnl"/>
        </w:rPr>
        <w:t>el Juzgado Penal 23 de Circuito de Bogotá decidió tutelar sus derechos</w:t>
      </w:r>
      <w:r w:rsidR="00D35736" w:rsidRPr="00ED5C9A">
        <w:rPr>
          <w:rFonts w:asciiTheme="majorHAnsi" w:hAnsiTheme="majorHAnsi"/>
          <w:color w:val="auto"/>
          <w:sz w:val="20"/>
          <w:szCs w:val="20"/>
          <w:lang w:val="es-ES_tradnl"/>
        </w:rPr>
        <w:t xml:space="preserve"> y solicitó al Estado no </w:t>
      </w:r>
      <w:r w:rsidR="008D5D09" w:rsidRPr="00ED5C9A">
        <w:rPr>
          <w:rFonts w:asciiTheme="majorHAnsi" w:hAnsiTheme="majorHAnsi"/>
          <w:color w:val="auto"/>
          <w:sz w:val="20"/>
          <w:szCs w:val="20"/>
          <w:lang w:val="es-ES_tradnl"/>
        </w:rPr>
        <w:t>aplicar</w:t>
      </w:r>
      <w:r w:rsidR="00D35736" w:rsidRPr="00ED5C9A">
        <w:rPr>
          <w:rFonts w:asciiTheme="majorHAnsi" w:hAnsiTheme="majorHAnsi"/>
          <w:color w:val="auto"/>
          <w:sz w:val="20"/>
          <w:szCs w:val="20"/>
          <w:lang w:val="es-ES_tradnl"/>
        </w:rPr>
        <w:t xml:space="preserve"> la resolución No. 2619</w:t>
      </w:r>
      <w:r w:rsidR="00DA25C7" w:rsidRPr="00ED5C9A">
        <w:rPr>
          <w:rFonts w:asciiTheme="majorHAnsi" w:hAnsiTheme="majorHAnsi"/>
          <w:color w:val="auto"/>
          <w:sz w:val="20"/>
          <w:szCs w:val="20"/>
          <w:lang w:val="es-ES_tradnl"/>
        </w:rPr>
        <w:t xml:space="preserve">. Esta decisión fue </w:t>
      </w:r>
      <w:r w:rsidR="00F60813" w:rsidRPr="00ED5C9A">
        <w:rPr>
          <w:rFonts w:asciiTheme="majorHAnsi" w:hAnsiTheme="majorHAnsi"/>
          <w:color w:val="auto"/>
          <w:sz w:val="20"/>
          <w:szCs w:val="20"/>
          <w:lang w:val="es-ES_tradnl"/>
        </w:rPr>
        <w:t>apelada por la Presidencia de la República y el Ministerio de Relaciones Exteriores</w:t>
      </w:r>
      <w:r w:rsidR="00DA25C7" w:rsidRPr="00ED5C9A">
        <w:rPr>
          <w:rFonts w:asciiTheme="majorHAnsi" w:hAnsiTheme="majorHAnsi"/>
          <w:color w:val="auto"/>
          <w:sz w:val="20"/>
          <w:szCs w:val="20"/>
          <w:lang w:val="es-ES_tradnl"/>
        </w:rPr>
        <w:t xml:space="preserve">; recurso que </w:t>
      </w:r>
      <w:r w:rsidR="005973E4" w:rsidRPr="00ED5C9A">
        <w:rPr>
          <w:rFonts w:asciiTheme="majorHAnsi" w:hAnsiTheme="majorHAnsi"/>
          <w:color w:val="auto"/>
          <w:sz w:val="20"/>
          <w:szCs w:val="20"/>
          <w:lang w:val="es-ES_tradnl"/>
        </w:rPr>
        <w:t xml:space="preserve">fue </w:t>
      </w:r>
      <w:r w:rsidR="00DA25C7" w:rsidRPr="00ED5C9A">
        <w:rPr>
          <w:rFonts w:asciiTheme="majorHAnsi" w:hAnsiTheme="majorHAnsi"/>
          <w:color w:val="auto"/>
          <w:sz w:val="20"/>
          <w:szCs w:val="20"/>
          <w:lang w:val="es-ES_tradnl"/>
        </w:rPr>
        <w:t xml:space="preserve">resuelto </w:t>
      </w:r>
      <w:r w:rsidR="00F60813" w:rsidRPr="00ED5C9A">
        <w:rPr>
          <w:rFonts w:asciiTheme="majorHAnsi" w:hAnsiTheme="majorHAnsi"/>
          <w:color w:val="auto"/>
          <w:sz w:val="20"/>
          <w:szCs w:val="20"/>
          <w:lang w:val="es-ES_tradnl"/>
        </w:rPr>
        <w:t>por el Tribunal Superior de Bogotá mediante sentencia de 14 de abril de 2000 revoc</w:t>
      </w:r>
      <w:r w:rsidR="00DA25C7" w:rsidRPr="00ED5C9A">
        <w:rPr>
          <w:rFonts w:asciiTheme="majorHAnsi" w:hAnsiTheme="majorHAnsi"/>
          <w:color w:val="auto"/>
          <w:sz w:val="20"/>
          <w:szCs w:val="20"/>
          <w:lang w:val="es-ES_tradnl"/>
        </w:rPr>
        <w:t xml:space="preserve">ando </w:t>
      </w:r>
      <w:r w:rsidR="00F60813" w:rsidRPr="00ED5C9A">
        <w:rPr>
          <w:rFonts w:asciiTheme="majorHAnsi" w:hAnsiTheme="majorHAnsi"/>
          <w:color w:val="auto"/>
          <w:sz w:val="20"/>
          <w:szCs w:val="20"/>
          <w:lang w:val="es-ES_tradnl"/>
        </w:rPr>
        <w:t xml:space="preserve">la tutela </w:t>
      </w:r>
      <w:r w:rsidR="00DA25C7" w:rsidRPr="00ED5C9A">
        <w:rPr>
          <w:rFonts w:asciiTheme="majorHAnsi" w:hAnsiTheme="majorHAnsi"/>
          <w:color w:val="auto"/>
          <w:sz w:val="20"/>
          <w:szCs w:val="20"/>
          <w:lang w:val="es-ES_tradnl"/>
        </w:rPr>
        <w:t xml:space="preserve">al considerar </w:t>
      </w:r>
      <w:r w:rsidR="00AA7D77" w:rsidRPr="00ED5C9A">
        <w:rPr>
          <w:rFonts w:asciiTheme="majorHAnsi" w:hAnsiTheme="majorHAnsi"/>
          <w:color w:val="auto"/>
          <w:sz w:val="20"/>
          <w:szCs w:val="20"/>
          <w:lang w:val="es-ES_tradnl"/>
        </w:rPr>
        <w:t>improcedente la acción</w:t>
      </w:r>
      <w:r w:rsidR="005973E4" w:rsidRPr="00ED5C9A">
        <w:rPr>
          <w:rFonts w:asciiTheme="majorHAnsi" w:hAnsiTheme="majorHAnsi"/>
          <w:color w:val="auto"/>
          <w:sz w:val="20"/>
          <w:szCs w:val="20"/>
          <w:lang w:val="es-ES_tradnl"/>
        </w:rPr>
        <w:t>,</w:t>
      </w:r>
      <w:r w:rsidR="00AA7D77" w:rsidRPr="00ED5C9A">
        <w:rPr>
          <w:rFonts w:asciiTheme="majorHAnsi" w:hAnsiTheme="majorHAnsi"/>
          <w:color w:val="auto"/>
          <w:sz w:val="20"/>
          <w:szCs w:val="20"/>
          <w:lang w:val="es-ES_tradnl"/>
        </w:rPr>
        <w:t xml:space="preserve"> </w:t>
      </w:r>
      <w:r w:rsidR="005973E4" w:rsidRPr="00ED5C9A">
        <w:rPr>
          <w:rFonts w:asciiTheme="majorHAnsi" w:hAnsiTheme="majorHAnsi"/>
          <w:color w:val="auto"/>
          <w:sz w:val="20"/>
          <w:szCs w:val="20"/>
          <w:lang w:val="es-ES_tradnl"/>
        </w:rPr>
        <w:t>entre otras razones porque</w:t>
      </w:r>
      <w:r w:rsidR="00AA7D77" w:rsidRPr="00ED5C9A">
        <w:rPr>
          <w:rFonts w:asciiTheme="majorHAnsi" w:hAnsiTheme="majorHAnsi"/>
          <w:color w:val="auto"/>
          <w:sz w:val="20"/>
          <w:szCs w:val="20"/>
          <w:lang w:val="es-ES_tradnl"/>
        </w:rPr>
        <w:t xml:space="preserve"> </w:t>
      </w:r>
      <w:r w:rsidR="00DA25C7" w:rsidRPr="00ED5C9A">
        <w:rPr>
          <w:rFonts w:asciiTheme="majorHAnsi" w:hAnsiTheme="majorHAnsi"/>
          <w:color w:val="auto"/>
          <w:sz w:val="20"/>
          <w:szCs w:val="20"/>
          <w:lang w:val="es-ES_tradnl"/>
        </w:rPr>
        <w:t xml:space="preserve">la </w:t>
      </w:r>
      <w:r w:rsidR="005973E4" w:rsidRPr="00ED5C9A">
        <w:rPr>
          <w:rFonts w:asciiTheme="majorHAnsi" w:hAnsiTheme="majorHAnsi"/>
          <w:color w:val="auto"/>
          <w:sz w:val="20"/>
          <w:szCs w:val="20"/>
          <w:lang w:val="es-ES_tradnl"/>
        </w:rPr>
        <w:t>P</w:t>
      </w:r>
      <w:r w:rsidR="00DA25C7" w:rsidRPr="00ED5C9A">
        <w:rPr>
          <w:rFonts w:asciiTheme="majorHAnsi" w:hAnsiTheme="majorHAnsi"/>
          <w:color w:val="auto"/>
          <w:sz w:val="20"/>
          <w:szCs w:val="20"/>
          <w:lang w:val="es-ES_tradnl"/>
        </w:rPr>
        <w:t xml:space="preserve">residencia </w:t>
      </w:r>
      <w:r w:rsidR="00F60813" w:rsidRPr="00ED5C9A">
        <w:rPr>
          <w:rFonts w:asciiTheme="majorHAnsi" w:hAnsiTheme="majorHAnsi"/>
          <w:color w:val="auto"/>
          <w:sz w:val="20"/>
          <w:szCs w:val="20"/>
          <w:lang w:val="es-ES_tradnl"/>
        </w:rPr>
        <w:t>no e</w:t>
      </w:r>
      <w:r w:rsidR="00377EA7" w:rsidRPr="00ED5C9A">
        <w:rPr>
          <w:rFonts w:asciiTheme="majorHAnsi" w:hAnsiTheme="majorHAnsi"/>
          <w:color w:val="auto"/>
          <w:sz w:val="20"/>
          <w:szCs w:val="20"/>
          <w:lang w:val="es-ES_tradnl"/>
        </w:rPr>
        <w:t xml:space="preserve">ra la autoridad </w:t>
      </w:r>
      <w:r w:rsidR="00F60813" w:rsidRPr="00ED5C9A">
        <w:rPr>
          <w:rFonts w:asciiTheme="majorHAnsi" w:hAnsiTheme="majorHAnsi"/>
          <w:color w:val="auto"/>
          <w:sz w:val="20"/>
          <w:szCs w:val="20"/>
          <w:lang w:val="es-ES_tradnl"/>
        </w:rPr>
        <w:t>encargad</w:t>
      </w:r>
      <w:r w:rsidR="00377EA7" w:rsidRPr="00ED5C9A">
        <w:rPr>
          <w:rFonts w:asciiTheme="majorHAnsi" w:hAnsiTheme="majorHAnsi"/>
          <w:color w:val="auto"/>
          <w:sz w:val="20"/>
          <w:szCs w:val="20"/>
          <w:lang w:val="es-ES_tradnl"/>
        </w:rPr>
        <w:t xml:space="preserve">a </w:t>
      </w:r>
      <w:r w:rsidR="00F60813" w:rsidRPr="00ED5C9A">
        <w:rPr>
          <w:rFonts w:asciiTheme="majorHAnsi" w:hAnsiTheme="majorHAnsi"/>
          <w:color w:val="auto"/>
          <w:sz w:val="20"/>
          <w:szCs w:val="20"/>
          <w:lang w:val="es-ES_tradnl"/>
        </w:rPr>
        <w:t>de proteger la vida e integridad personal de los colombianos</w:t>
      </w:r>
      <w:r w:rsidR="00AA7D77" w:rsidRPr="00ED5C9A">
        <w:rPr>
          <w:rFonts w:asciiTheme="majorHAnsi" w:hAnsiTheme="majorHAnsi"/>
          <w:color w:val="auto"/>
          <w:sz w:val="20"/>
          <w:szCs w:val="20"/>
          <w:lang w:val="es-ES_tradnl"/>
        </w:rPr>
        <w:t>, y Martha González deb</w:t>
      </w:r>
      <w:r w:rsidR="009445C6" w:rsidRPr="00ED5C9A">
        <w:rPr>
          <w:rFonts w:asciiTheme="majorHAnsi" w:hAnsiTheme="majorHAnsi"/>
          <w:color w:val="auto"/>
          <w:sz w:val="20"/>
          <w:szCs w:val="20"/>
          <w:lang w:val="es-ES_tradnl"/>
        </w:rPr>
        <w:t>ía</w:t>
      </w:r>
      <w:r w:rsidR="00AA7D77" w:rsidRPr="00ED5C9A">
        <w:rPr>
          <w:rFonts w:asciiTheme="majorHAnsi" w:hAnsiTheme="majorHAnsi"/>
          <w:color w:val="auto"/>
          <w:sz w:val="20"/>
          <w:szCs w:val="20"/>
          <w:lang w:val="es-ES_tradnl"/>
        </w:rPr>
        <w:t xml:space="preserve"> acudir </w:t>
      </w:r>
      <w:r w:rsidR="005973E4" w:rsidRPr="00ED5C9A">
        <w:rPr>
          <w:rFonts w:asciiTheme="majorHAnsi" w:hAnsiTheme="majorHAnsi"/>
          <w:color w:val="auto"/>
          <w:sz w:val="20"/>
          <w:szCs w:val="20"/>
          <w:lang w:val="es-ES_tradnl"/>
        </w:rPr>
        <w:t>a las autoridades competentes</w:t>
      </w:r>
      <w:r w:rsidR="00AA7D77" w:rsidRPr="00ED5C9A">
        <w:rPr>
          <w:rFonts w:asciiTheme="majorHAnsi" w:hAnsiTheme="majorHAnsi"/>
          <w:color w:val="auto"/>
          <w:sz w:val="20"/>
          <w:szCs w:val="20"/>
          <w:lang w:val="es-ES_tradnl"/>
        </w:rPr>
        <w:t xml:space="preserve"> y solicitar la protección preferencial que establece la ley</w:t>
      </w:r>
      <w:r w:rsidR="007743CE" w:rsidRPr="00ED5C9A">
        <w:rPr>
          <w:rFonts w:asciiTheme="majorHAnsi" w:hAnsiTheme="majorHAnsi"/>
          <w:color w:val="auto"/>
          <w:sz w:val="20"/>
          <w:szCs w:val="20"/>
          <w:lang w:val="es-ES_tradnl"/>
        </w:rPr>
        <w:t>.</w:t>
      </w:r>
    </w:p>
    <w:p w14:paraId="4BA4F907" w14:textId="23A55CE3" w:rsidR="00FB383A" w:rsidRPr="00ED5C9A" w:rsidRDefault="00FB383A" w:rsidP="00FB383A">
      <w:pPr>
        <w:jc w:val="both"/>
        <w:rPr>
          <w:rFonts w:asciiTheme="majorHAnsi" w:hAnsiTheme="majorHAnsi"/>
          <w:sz w:val="20"/>
          <w:szCs w:val="20"/>
          <w:lang w:val="es-ES_tradnl"/>
        </w:rPr>
      </w:pPr>
    </w:p>
    <w:p w14:paraId="1274F43D" w14:textId="42DE0E1A" w:rsidR="00CE644C" w:rsidRPr="00ED5C9A" w:rsidRDefault="00EB2F6D" w:rsidP="00DC5602">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Agregan que l</w:t>
      </w:r>
      <w:r w:rsidR="00F60813" w:rsidRPr="00ED5C9A">
        <w:rPr>
          <w:rFonts w:asciiTheme="majorHAnsi" w:hAnsiTheme="majorHAnsi"/>
          <w:color w:val="auto"/>
          <w:sz w:val="20"/>
          <w:szCs w:val="20"/>
          <w:lang w:val="es-ES_tradnl"/>
        </w:rPr>
        <w:t xml:space="preserve">a Sala Séptima de Revisión de la Corte Constitucional confirmó la </w:t>
      </w:r>
      <w:r w:rsidRPr="00ED5C9A">
        <w:rPr>
          <w:rFonts w:asciiTheme="majorHAnsi" w:hAnsiTheme="majorHAnsi"/>
          <w:color w:val="auto"/>
          <w:sz w:val="20"/>
          <w:szCs w:val="20"/>
          <w:lang w:val="es-ES_tradnl"/>
        </w:rPr>
        <w:t>denegación</w:t>
      </w:r>
      <w:r w:rsidR="00F60813" w:rsidRPr="00ED5C9A">
        <w:rPr>
          <w:rFonts w:asciiTheme="majorHAnsi" w:hAnsiTheme="majorHAnsi"/>
          <w:color w:val="auto"/>
          <w:sz w:val="20"/>
          <w:szCs w:val="20"/>
          <w:lang w:val="es-ES_tradnl"/>
        </w:rPr>
        <w:t xml:space="preserve"> de tutela </w:t>
      </w:r>
      <w:r w:rsidR="00A12048" w:rsidRPr="00ED5C9A">
        <w:rPr>
          <w:rFonts w:asciiTheme="majorHAnsi" w:hAnsiTheme="majorHAnsi"/>
          <w:color w:val="auto"/>
          <w:sz w:val="20"/>
          <w:szCs w:val="20"/>
          <w:lang w:val="es-ES_tradnl"/>
        </w:rPr>
        <w:t>mediante</w:t>
      </w:r>
      <w:r w:rsidR="00F60813" w:rsidRPr="00ED5C9A">
        <w:rPr>
          <w:rFonts w:asciiTheme="majorHAnsi" w:hAnsiTheme="majorHAnsi"/>
          <w:color w:val="auto"/>
          <w:sz w:val="20"/>
          <w:szCs w:val="20"/>
          <w:lang w:val="es-ES_tradnl"/>
        </w:rPr>
        <w:t xml:space="preserve"> sentencia T- 1619 del 5 de diciembre de 2000</w:t>
      </w:r>
      <w:r w:rsidR="00FB4A2D" w:rsidRPr="00ED5C9A">
        <w:rPr>
          <w:rFonts w:asciiTheme="majorHAnsi" w:hAnsiTheme="majorHAnsi"/>
          <w:color w:val="auto"/>
          <w:sz w:val="20"/>
          <w:szCs w:val="20"/>
          <w:lang w:val="es-ES_tradnl"/>
        </w:rPr>
        <w:t xml:space="preserve">, </w:t>
      </w:r>
      <w:r w:rsidR="00A12048" w:rsidRPr="00ED5C9A">
        <w:rPr>
          <w:rFonts w:asciiTheme="majorHAnsi" w:hAnsiTheme="majorHAnsi"/>
          <w:color w:val="auto"/>
          <w:sz w:val="20"/>
          <w:szCs w:val="20"/>
          <w:lang w:val="es-ES_tradnl"/>
        </w:rPr>
        <w:t>por medio de</w:t>
      </w:r>
      <w:r w:rsidR="00FB4A2D" w:rsidRPr="00ED5C9A">
        <w:rPr>
          <w:rFonts w:asciiTheme="majorHAnsi" w:hAnsiTheme="majorHAnsi"/>
          <w:color w:val="auto"/>
          <w:sz w:val="20"/>
          <w:szCs w:val="20"/>
          <w:lang w:val="es-ES_tradnl"/>
        </w:rPr>
        <w:t xml:space="preserve"> la cual</w:t>
      </w:r>
      <w:r w:rsidR="00A12048" w:rsidRPr="00ED5C9A">
        <w:rPr>
          <w:rFonts w:asciiTheme="majorHAnsi" w:hAnsiTheme="majorHAnsi"/>
          <w:color w:val="auto"/>
          <w:sz w:val="20"/>
          <w:szCs w:val="20"/>
          <w:lang w:val="es-ES_tradnl"/>
        </w:rPr>
        <w:t>, entre otras cosas,</w:t>
      </w:r>
      <w:r w:rsidR="00FB4A2D" w:rsidRPr="00ED5C9A">
        <w:rPr>
          <w:rFonts w:asciiTheme="majorHAnsi" w:hAnsiTheme="majorHAnsi"/>
          <w:color w:val="auto"/>
          <w:sz w:val="20"/>
          <w:szCs w:val="20"/>
          <w:lang w:val="es-ES_tradnl"/>
        </w:rPr>
        <w:t xml:space="preserve"> ordenó</w:t>
      </w:r>
      <w:r w:rsidR="00A12048" w:rsidRPr="00ED5C9A">
        <w:rPr>
          <w:rFonts w:asciiTheme="majorHAnsi" w:hAnsiTheme="majorHAnsi"/>
          <w:color w:val="auto"/>
          <w:sz w:val="20"/>
          <w:szCs w:val="20"/>
          <w:lang w:val="es-ES_tradnl"/>
        </w:rPr>
        <w:t xml:space="preserve"> </w:t>
      </w:r>
      <w:r w:rsidR="009445C6" w:rsidRPr="00ED5C9A">
        <w:rPr>
          <w:rFonts w:asciiTheme="majorHAnsi" w:hAnsiTheme="majorHAnsi"/>
          <w:color w:val="auto"/>
          <w:sz w:val="20"/>
          <w:szCs w:val="20"/>
          <w:lang w:val="es-ES_tradnl"/>
        </w:rPr>
        <w:t xml:space="preserve">al Director del DAS, al de la Policía Nacional, al Director de Programa de Protección a Interviniente del Proceso Penal de la Fiscalía General de la Nación y al Ministerio de Defensa Nacional evaluar de forma permanente los eventuales factores </w:t>
      </w:r>
      <w:r w:rsidR="000E7A3D" w:rsidRPr="00ED5C9A">
        <w:rPr>
          <w:rFonts w:asciiTheme="majorHAnsi" w:hAnsiTheme="majorHAnsi"/>
          <w:color w:val="auto"/>
          <w:sz w:val="20"/>
          <w:szCs w:val="20"/>
          <w:lang w:val="es-ES_tradnl"/>
        </w:rPr>
        <w:t xml:space="preserve">de riesgo y amenaza de Martha González y su núcleo familiar </w:t>
      </w:r>
      <w:r w:rsidR="00A12048" w:rsidRPr="00ED5C9A">
        <w:rPr>
          <w:rFonts w:asciiTheme="majorHAnsi" w:hAnsiTheme="majorHAnsi"/>
          <w:color w:val="auto"/>
          <w:sz w:val="20"/>
          <w:szCs w:val="20"/>
          <w:lang w:val="es-ES_tradnl"/>
        </w:rPr>
        <w:t>a fin</w:t>
      </w:r>
      <w:r w:rsidR="000E7A3D" w:rsidRPr="00ED5C9A">
        <w:rPr>
          <w:rFonts w:asciiTheme="majorHAnsi" w:hAnsiTheme="majorHAnsi"/>
          <w:color w:val="auto"/>
          <w:sz w:val="20"/>
          <w:szCs w:val="20"/>
          <w:lang w:val="es-ES_tradnl"/>
        </w:rPr>
        <w:t xml:space="preserve"> de implementar las medidas de seguridad a que dieran lugar</w:t>
      </w:r>
      <w:r w:rsidR="00F60813" w:rsidRPr="00ED5C9A">
        <w:rPr>
          <w:rFonts w:asciiTheme="majorHAnsi" w:hAnsiTheme="majorHAnsi"/>
          <w:color w:val="auto"/>
          <w:sz w:val="20"/>
          <w:szCs w:val="20"/>
          <w:lang w:val="es-ES_tradnl"/>
        </w:rPr>
        <w:t xml:space="preserve">. </w:t>
      </w:r>
      <w:r w:rsidR="00DC5602" w:rsidRPr="00ED5C9A">
        <w:rPr>
          <w:rFonts w:asciiTheme="majorHAnsi" w:hAnsiTheme="majorHAnsi"/>
          <w:color w:val="auto"/>
          <w:sz w:val="20"/>
          <w:szCs w:val="20"/>
          <w:lang w:val="es-ES_tradnl"/>
        </w:rPr>
        <w:t xml:space="preserve">No obstante, </w:t>
      </w:r>
      <w:r w:rsidRPr="00ED5C9A">
        <w:rPr>
          <w:rFonts w:asciiTheme="majorHAnsi" w:hAnsiTheme="majorHAnsi"/>
          <w:color w:val="auto"/>
          <w:sz w:val="20"/>
          <w:szCs w:val="20"/>
          <w:lang w:val="es-ES_tradnl"/>
        </w:rPr>
        <w:t xml:space="preserve">sostienen que la Corte Constitucional fundamentó su decisión en </w:t>
      </w:r>
      <w:r w:rsidR="00CE644C" w:rsidRPr="00ED5C9A">
        <w:rPr>
          <w:rFonts w:asciiTheme="majorHAnsi" w:hAnsiTheme="majorHAnsi"/>
          <w:color w:val="auto"/>
          <w:sz w:val="20"/>
          <w:szCs w:val="20"/>
          <w:lang w:val="es-ES_tradnl"/>
        </w:rPr>
        <w:t xml:space="preserve">la conclusión de </w:t>
      </w:r>
      <w:r w:rsidR="00F60813" w:rsidRPr="00ED5C9A">
        <w:rPr>
          <w:rFonts w:asciiTheme="majorHAnsi" w:hAnsiTheme="majorHAnsi"/>
          <w:color w:val="auto"/>
          <w:sz w:val="20"/>
          <w:szCs w:val="20"/>
          <w:lang w:val="es-ES_tradnl"/>
        </w:rPr>
        <w:t>un dictamen reservado</w:t>
      </w:r>
      <w:r w:rsidRPr="00ED5C9A">
        <w:rPr>
          <w:rFonts w:asciiTheme="majorHAnsi" w:hAnsiTheme="majorHAnsi"/>
          <w:color w:val="auto"/>
          <w:sz w:val="20"/>
          <w:szCs w:val="20"/>
          <w:lang w:val="es-ES_tradnl"/>
        </w:rPr>
        <w:t xml:space="preserve"> </w:t>
      </w:r>
      <w:r w:rsidR="00842092" w:rsidRPr="00ED5C9A">
        <w:rPr>
          <w:rFonts w:asciiTheme="majorHAnsi" w:hAnsiTheme="majorHAnsi"/>
          <w:color w:val="auto"/>
          <w:sz w:val="20"/>
          <w:szCs w:val="20"/>
          <w:lang w:val="es-ES_tradnl"/>
        </w:rPr>
        <w:t>realizado por la Fiscalía General de la Nación el 16 de mayo de 2000</w:t>
      </w:r>
      <w:r w:rsidR="00F60813" w:rsidRPr="00ED5C9A">
        <w:rPr>
          <w:rFonts w:asciiTheme="majorHAnsi" w:hAnsiTheme="majorHAnsi"/>
          <w:color w:val="auto"/>
          <w:sz w:val="20"/>
          <w:szCs w:val="20"/>
          <w:lang w:val="es-ES_tradnl"/>
        </w:rPr>
        <w:t>, al cual</w:t>
      </w:r>
      <w:r w:rsidR="00CE644C" w:rsidRPr="00ED5C9A">
        <w:rPr>
          <w:rFonts w:asciiTheme="majorHAnsi" w:hAnsiTheme="majorHAnsi"/>
          <w:color w:val="auto"/>
          <w:sz w:val="20"/>
          <w:szCs w:val="20"/>
          <w:lang w:val="es-ES_tradnl"/>
        </w:rPr>
        <w:t xml:space="preserve"> </w:t>
      </w:r>
      <w:r w:rsidR="00A12048" w:rsidRPr="00ED5C9A">
        <w:rPr>
          <w:rFonts w:asciiTheme="majorHAnsi" w:hAnsiTheme="majorHAnsi"/>
          <w:color w:val="auto"/>
          <w:sz w:val="20"/>
          <w:szCs w:val="20"/>
          <w:lang w:val="es-ES_tradnl"/>
        </w:rPr>
        <w:t xml:space="preserve">ni </w:t>
      </w:r>
      <w:r w:rsidR="00CE644C" w:rsidRPr="00ED5C9A">
        <w:rPr>
          <w:rFonts w:asciiTheme="majorHAnsi" w:hAnsiTheme="majorHAnsi"/>
          <w:color w:val="auto"/>
          <w:sz w:val="20"/>
          <w:szCs w:val="20"/>
          <w:lang w:val="es-ES_tradnl"/>
        </w:rPr>
        <w:t xml:space="preserve">el </w:t>
      </w:r>
      <w:r w:rsidR="00FB4A2D" w:rsidRPr="00ED5C9A">
        <w:rPr>
          <w:rFonts w:asciiTheme="majorHAnsi" w:hAnsiTheme="majorHAnsi"/>
          <w:color w:val="auto"/>
          <w:sz w:val="20"/>
          <w:szCs w:val="20"/>
          <w:lang w:val="es-ES_tradnl"/>
        </w:rPr>
        <w:t>t</w:t>
      </w:r>
      <w:r w:rsidR="00CE644C" w:rsidRPr="00ED5C9A">
        <w:rPr>
          <w:rFonts w:asciiTheme="majorHAnsi" w:hAnsiTheme="majorHAnsi"/>
          <w:color w:val="auto"/>
          <w:sz w:val="20"/>
          <w:szCs w:val="20"/>
          <w:lang w:val="es-ES_tradnl"/>
        </w:rPr>
        <w:t xml:space="preserve">ribunal </w:t>
      </w:r>
      <w:r w:rsidR="00A12048" w:rsidRPr="00ED5C9A">
        <w:rPr>
          <w:rFonts w:asciiTheme="majorHAnsi" w:hAnsiTheme="majorHAnsi"/>
          <w:color w:val="auto"/>
          <w:sz w:val="20"/>
          <w:szCs w:val="20"/>
          <w:lang w:val="es-ES_tradnl"/>
        </w:rPr>
        <w:t>ni</w:t>
      </w:r>
      <w:r w:rsidR="00CE644C" w:rsidRPr="00ED5C9A">
        <w:rPr>
          <w:rFonts w:asciiTheme="majorHAnsi" w:hAnsiTheme="majorHAnsi"/>
          <w:color w:val="auto"/>
          <w:sz w:val="20"/>
          <w:szCs w:val="20"/>
          <w:lang w:val="es-ES_tradnl"/>
        </w:rPr>
        <w:t xml:space="preserve"> Martha González</w:t>
      </w:r>
      <w:r w:rsidR="00F60813" w:rsidRPr="00ED5C9A">
        <w:rPr>
          <w:rFonts w:asciiTheme="majorHAnsi" w:hAnsiTheme="majorHAnsi"/>
          <w:color w:val="auto"/>
          <w:sz w:val="20"/>
          <w:szCs w:val="20"/>
          <w:lang w:val="es-ES_tradnl"/>
        </w:rPr>
        <w:t xml:space="preserve"> </w:t>
      </w:r>
      <w:r w:rsidR="00CE644C" w:rsidRPr="00ED5C9A">
        <w:rPr>
          <w:rFonts w:asciiTheme="majorHAnsi" w:hAnsiTheme="majorHAnsi"/>
          <w:color w:val="auto"/>
          <w:sz w:val="20"/>
          <w:szCs w:val="20"/>
          <w:lang w:val="es-ES_tradnl"/>
        </w:rPr>
        <w:t xml:space="preserve">tuvieron acceso en detalle, por la alegada reserva </w:t>
      </w:r>
      <w:r w:rsidR="00FB4A2D" w:rsidRPr="00ED5C9A">
        <w:rPr>
          <w:rFonts w:asciiTheme="majorHAnsi" w:hAnsiTheme="majorHAnsi"/>
          <w:color w:val="auto"/>
          <w:sz w:val="20"/>
          <w:szCs w:val="20"/>
          <w:lang w:val="es-ES_tradnl"/>
        </w:rPr>
        <w:t xml:space="preserve">de </w:t>
      </w:r>
      <w:r w:rsidR="00A12048" w:rsidRPr="00ED5C9A">
        <w:rPr>
          <w:rFonts w:asciiTheme="majorHAnsi" w:hAnsiTheme="majorHAnsi"/>
          <w:color w:val="auto"/>
          <w:sz w:val="20"/>
          <w:szCs w:val="20"/>
          <w:lang w:val="es-ES_tradnl"/>
        </w:rPr>
        <w:t>dicho dictamen</w:t>
      </w:r>
      <w:r w:rsidR="00F60813" w:rsidRPr="00ED5C9A">
        <w:rPr>
          <w:rFonts w:asciiTheme="majorHAnsi" w:hAnsiTheme="majorHAnsi"/>
          <w:color w:val="auto"/>
          <w:sz w:val="20"/>
          <w:szCs w:val="20"/>
          <w:lang w:val="es-ES_tradnl"/>
        </w:rPr>
        <w:t>, donde se afirm</w:t>
      </w:r>
      <w:r w:rsidR="00CE644C" w:rsidRPr="00ED5C9A">
        <w:rPr>
          <w:rFonts w:asciiTheme="majorHAnsi" w:hAnsiTheme="majorHAnsi"/>
          <w:color w:val="auto"/>
          <w:sz w:val="20"/>
          <w:szCs w:val="20"/>
          <w:lang w:val="es-ES_tradnl"/>
        </w:rPr>
        <w:t>ó</w:t>
      </w:r>
      <w:r w:rsidR="00F60813" w:rsidRPr="00ED5C9A">
        <w:rPr>
          <w:rFonts w:asciiTheme="majorHAnsi" w:hAnsiTheme="majorHAnsi"/>
          <w:color w:val="auto"/>
          <w:sz w:val="20"/>
          <w:szCs w:val="20"/>
          <w:lang w:val="es-ES_tradnl"/>
        </w:rPr>
        <w:t xml:space="preserve"> que no existiría riesgo para su vida</w:t>
      </w:r>
      <w:r w:rsidR="00842092" w:rsidRPr="00ED5C9A">
        <w:rPr>
          <w:rFonts w:asciiTheme="majorHAnsi" w:hAnsiTheme="majorHAnsi"/>
          <w:color w:val="auto"/>
          <w:sz w:val="20"/>
          <w:szCs w:val="20"/>
          <w:lang w:val="es-ES_tradnl"/>
        </w:rPr>
        <w:t xml:space="preserve"> que justificara su solicitud de incluirla en el programa de protección</w:t>
      </w:r>
      <w:r w:rsidR="00FB4A2D" w:rsidRPr="00ED5C9A">
        <w:rPr>
          <w:rFonts w:asciiTheme="majorHAnsi" w:hAnsiTheme="majorHAnsi"/>
          <w:color w:val="auto"/>
          <w:sz w:val="20"/>
          <w:szCs w:val="20"/>
          <w:lang w:val="es-ES_tradnl"/>
        </w:rPr>
        <w:t>. L</w:t>
      </w:r>
      <w:r w:rsidR="00842092" w:rsidRPr="00ED5C9A">
        <w:rPr>
          <w:rFonts w:asciiTheme="majorHAnsi" w:hAnsiTheme="majorHAnsi"/>
          <w:color w:val="auto"/>
          <w:sz w:val="20"/>
          <w:szCs w:val="20"/>
          <w:lang w:val="es-ES_tradnl"/>
        </w:rPr>
        <w:t>os peticionarios alegan que</w:t>
      </w:r>
      <w:r w:rsidR="00CE644C" w:rsidRPr="00ED5C9A">
        <w:rPr>
          <w:rFonts w:asciiTheme="majorHAnsi" w:hAnsiTheme="majorHAnsi"/>
          <w:color w:val="auto"/>
          <w:sz w:val="20"/>
          <w:szCs w:val="20"/>
          <w:lang w:val="es-ES_tradnl"/>
        </w:rPr>
        <w:t>, de acuerdo con información a la cual tuvieron acceso posteriormente,</w:t>
      </w:r>
      <w:r w:rsidR="00842092" w:rsidRPr="00ED5C9A">
        <w:rPr>
          <w:rFonts w:asciiTheme="majorHAnsi" w:hAnsiTheme="majorHAnsi"/>
          <w:color w:val="auto"/>
          <w:sz w:val="20"/>
          <w:szCs w:val="20"/>
          <w:lang w:val="es-ES_tradnl"/>
        </w:rPr>
        <w:t xml:space="preserve"> </w:t>
      </w:r>
      <w:r w:rsidR="007743CE" w:rsidRPr="00ED5C9A">
        <w:rPr>
          <w:rFonts w:asciiTheme="majorHAnsi" w:hAnsiTheme="majorHAnsi"/>
          <w:color w:val="auto"/>
          <w:sz w:val="20"/>
          <w:szCs w:val="20"/>
          <w:lang w:val="es-ES_tradnl"/>
        </w:rPr>
        <w:t>de acuerdo con</w:t>
      </w:r>
      <w:r w:rsidR="00842092" w:rsidRPr="00ED5C9A">
        <w:rPr>
          <w:rFonts w:asciiTheme="majorHAnsi" w:hAnsiTheme="majorHAnsi"/>
          <w:color w:val="auto"/>
          <w:sz w:val="20"/>
          <w:szCs w:val="20"/>
          <w:lang w:val="es-ES_tradnl"/>
        </w:rPr>
        <w:t xml:space="preserve"> este dictamen no existiría riesgo</w:t>
      </w:r>
      <w:r w:rsidR="00F60813" w:rsidRPr="00ED5C9A">
        <w:rPr>
          <w:rFonts w:asciiTheme="majorHAnsi" w:hAnsiTheme="majorHAnsi"/>
          <w:color w:val="auto"/>
          <w:sz w:val="20"/>
          <w:szCs w:val="20"/>
          <w:lang w:val="es-ES_tradnl"/>
        </w:rPr>
        <w:t xml:space="preserve"> única y exclusivamente mientras permaneciera en el exterior</w:t>
      </w:r>
      <w:r w:rsidR="00CE644C" w:rsidRPr="00ED5C9A">
        <w:rPr>
          <w:rFonts w:asciiTheme="majorHAnsi" w:hAnsiTheme="majorHAnsi"/>
          <w:color w:val="auto"/>
          <w:sz w:val="20"/>
          <w:szCs w:val="20"/>
          <w:lang w:val="es-ES_tradnl"/>
        </w:rPr>
        <w:t>, particularidad que no conoció la Corte Constitucional</w:t>
      </w:r>
      <w:r w:rsidR="00F60813" w:rsidRPr="00ED5C9A">
        <w:rPr>
          <w:rFonts w:asciiTheme="majorHAnsi" w:hAnsiTheme="majorHAnsi"/>
          <w:color w:val="auto"/>
          <w:sz w:val="20"/>
          <w:szCs w:val="20"/>
          <w:lang w:val="es-ES_tradnl"/>
        </w:rPr>
        <w:t xml:space="preserve">. </w:t>
      </w:r>
    </w:p>
    <w:p w14:paraId="1401165A" w14:textId="77777777" w:rsidR="00CE644C" w:rsidRPr="00ED5C9A" w:rsidRDefault="00CE644C" w:rsidP="00CE644C">
      <w:pPr>
        <w:pStyle w:val="ListParagraph"/>
        <w:jc w:val="both"/>
        <w:rPr>
          <w:rFonts w:asciiTheme="majorHAnsi" w:hAnsiTheme="majorHAnsi"/>
          <w:color w:val="auto"/>
          <w:sz w:val="20"/>
          <w:szCs w:val="20"/>
          <w:lang w:val="es-ES_tradnl"/>
        </w:rPr>
      </w:pPr>
    </w:p>
    <w:p w14:paraId="0603E951" w14:textId="2F8CE1C8" w:rsidR="00DC5602" w:rsidRPr="00ED5C9A" w:rsidRDefault="00A12048" w:rsidP="00DC5602">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 xml:space="preserve">Posteriormente, </w:t>
      </w:r>
      <w:r w:rsidR="00DC5602" w:rsidRPr="00ED5C9A">
        <w:rPr>
          <w:rFonts w:asciiTheme="majorHAnsi" w:hAnsiTheme="majorHAnsi"/>
          <w:color w:val="auto"/>
          <w:sz w:val="20"/>
          <w:szCs w:val="20"/>
          <w:lang w:val="es-ES_tradnl"/>
        </w:rPr>
        <w:t>el 1 de agosto de 2007</w:t>
      </w:r>
      <w:r w:rsidRPr="00ED5C9A">
        <w:rPr>
          <w:rFonts w:asciiTheme="majorHAnsi" w:hAnsiTheme="majorHAnsi"/>
          <w:color w:val="auto"/>
          <w:sz w:val="20"/>
          <w:szCs w:val="20"/>
          <w:lang w:val="es-ES_tradnl"/>
        </w:rPr>
        <w:t>, Martha Gonzalez interpuso</w:t>
      </w:r>
      <w:r w:rsidR="00DC5602" w:rsidRPr="00ED5C9A">
        <w:rPr>
          <w:rFonts w:asciiTheme="majorHAnsi" w:hAnsiTheme="majorHAnsi"/>
          <w:color w:val="auto"/>
          <w:sz w:val="20"/>
          <w:szCs w:val="20"/>
          <w:lang w:val="es-ES_tradnl"/>
        </w:rPr>
        <w:t xml:space="preserve"> un d</w:t>
      </w:r>
      <w:r w:rsidR="009445C6" w:rsidRPr="00ED5C9A">
        <w:rPr>
          <w:rFonts w:asciiTheme="majorHAnsi" w:hAnsiTheme="majorHAnsi"/>
          <w:color w:val="auto"/>
          <w:sz w:val="20"/>
          <w:szCs w:val="20"/>
          <w:lang w:val="es-ES_tradnl"/>
        </w:rPr>
        <w:t>erecho de petici</w:t>
      </w:r>
      <w:r w:rsidR="00DC5602" w:rsidRPr="00ED5C9A">
        <w:rPr>
          <w:rFonts w:asciiTheme="majorHAnsi" w:hAnsiTheme="majorHAnsi"/>
          <w:color w:val="auto"/>
          <w:sz w:val="20"/>
          <w:szCs w:val="20"/>
          <w:lang w:val="es-ES_tradnl"/>
        </w:rPr>
        <w:t>ó</w:t>
      </w:r>
      <w:r w:rsidR="009445C6" w:rsidRPr="00ED5C9A">
        <w:rPr>
          <w:rFonts w:asciiTheme="majorHAnsi" w:hAnsiTheme="majorHAnsi"/>
          <w:color w:val="auto"/>
          <w:sz w:val="20"/>
          <w:szCs w:val="20"/>
          <w:lang w:val="es-ES_tradnl"/>
        </w:rPr>
        <w:t>n a</w:t>
      </w:r>
      <w:r w:rsidR="00DC5602" w:rsidRPr="00ED5C9A">
        <w:rPr>
          <w:rFonts w:asciiTheme="majorHAnsi" w:hAnsiTheme="majorHAnsi"/>
          <w:color w:val="auto"/>
          <w:sz w:val="20"/>
          <w:szCs w:val="20"/>
          <w:lang w:val="es-ES_tradnl"/>
        </w:rPr>
        <w:t>nte la</w:t>
      </w:r>
      <w:r w:rsidR="009445C6" w:rsidRPr="00ED5C9A">
        <w:rPr>
          <w:rFonts w:asciiTheme="majorHAnsi" w:hAnsiTheme="majorHAnsi"/>
          <w:color w:val="auto"/>
          <w:sz w:val="20"/>
          <w:szCs w:val="20"/>
          <w:lang w:val="es-ES_tradnl"/>
        </w:rPr>
        <w:t xml:space="preserve"> </w:t>
      </w:r>
      <w:r w:rsidR="00DC5602" w:rsidRPr="00ED5C9A">
        <w:rPr>
          <w:rFonts w:asciiTheme="majorHAnsi" w:hAnsiTheme="majorHAnsi"/>
          <w:color w:val="auto"/>
          <w:sz w:val="20"/>
          <w:szCs w:val="20"/>
          <w:lang w:val="es-ES_tradnl"/>
        </w:rPr>
        <w:t>Fiscalía</w:t>
      </w:r>
      <w:r w:rsidR="009445C6" w:rsidRPr="00ED5C9A">
        <w:rPr>
          <w:rFonts w:asciiTheme="majorHAnsi" w:hAnsiTheme="majorHAnsi"/>
          <w:color w:val="auto"/>
          <w:sz w:val="20"/>
          <w:szCs w:val="20"/>
          <w:lang w:val="es-ES_tradnl"/>
        </w:rPr>
        <w:t xml:space="preserve"> General de la Nación </w:t>
      </w:r>
      <w:r w:rsidRPr="00ED5C9A">
        <w:rPr>
          <w:rFonts w:asciiTheme="majorHAnsi" w:hAnsiTheme="majorHAnsi"/>
          <w:color w:val="auto"/>
          <w:sz w:val="20"/>
          <w:szCs w:val="20"/>
          <w:lang w:val="es-ES_tradnl"/>
        </w:rPr>
        <w:t>solicitando valorar el riesgo; sin embargo, e</w:t>
      </w:r>
      <w:r w:rsidR="00FB4A2D" w:rsidRPr="00ED5C9A">
        <w:rPr>
          <w:rFonts w:asciiTheme="majorHAnsi" w:hAnsiTheme="majorHAnsi"/>
          <w:color w:val="auto"/>
          <w:sz w:val="20"/>
          <w:szCs w:val="20"/>
          <w:lang w:val="es-ES_tradnl"/>
        </w:rPr>
        <w:t>n respuesta d</w:t>
      </w:r>
      <w:r w:rsidR="009445C6" w:rsidRPr="00ED5C9A">
        <w:rPr>
          <w:rFonts w:asciiTheme="majorHAnsi" w:hAnsiTheme="majorHAnsi"/>
          <w:color w:val="auto"/>
          <w:sz w:val="20"/>
          <w:szCs w:val="20"/>
          <w:lang w:val="es-ES_tradnl"/>
        </w:rPr>
        <w:t>el 8 de noviembre de 2007</w:t>
      </w:r>
      <w:r w:rsidR="00DC5602" w:rsidRPr="00ED5C9A">
        <w:rPr>
          <w:rFonts w:asciiTheme="majorHAnsi" w:hAnsiTheme="majorHAnsi"/>
          <w:color w:val="auto"/>
          <w:sz w:val="20"/>
          <w:szCs w:val="20"/>
          <w:lang w:val="es-ES_tradnl"/>
        </w:rPr>
        <w:t>,</w:t>
      </w:r>
      <w:r w:rsidRPr="00ED5C9A">
        <w:rPr>
          <w:rFonts w:asciiTheme="majorHAnsi" w:hAnsiTheme="majorHAnsi"/>
          <w:color w:val="auto"/>
          <w:sz w:val="20"/>
          <w:szCs w:val="20"/>
          <w:lang w:val="es-ES_tradnl"/>
        </w:rPr>
        <w:t xml:space="preserve"> esta autoridad rechazó el pedido</w:t>
      </w:r>
      <w:r w:rsidR="009445C6" w:rsidRPr="00ED5C9A">
        <w:rPr>
          <w:rFonts w:asciiTheme="majorHAnsi" w:hAnsiTheme="majorHAnsi"/>
          <w:color w:val="auto"/>
          <w:sz w:val="20"/>
          <w:szCs w:val="20"/>
          <w:lang w:val="es-ES_tradnl"/>
        </w:rPr>
        <w:t xml:space="preserve"> </w:t>
      </w:r>
      <w:r w:rsidRPr="00ED5C9A">
        <w:rPr>
          <w:rFonts w:asciiTheme="majorHAnsi" w:hAnsiTheme="majorHAnsi"/>
          <w:color w:val="auto"/>
          <w:sz w:val="20"/>
          <w:szCs w:val="20"/>
          <w:lang w:val="es-ES_tradnl"/>
        </w:rPr>
        <w:t>por considerar que</w:t>
      </w:r>
      <w:r w:rsidR="00DC5602" w:rsidRPr="00ED5C9A">
        <w:rPr>
          <w:rFonts w:asciiTheme="majorHAnsi" w:hAnsiTheme="majorHAnsi"/>
          <w:color w:val="auto"/>
          <w:sz w:val="20"/>
          <w:szCs w:val="20"/>
          <w:lang w:val="es-ES_tradnl"/>
        </w:rPr>
        <w:t xml:space="preserve"> “</w:t>
      </w:r>
      <w:r w:rsidR="009445C6" w:rsidRPr="00ED5C9A">
        <w:rPr>
          <w:rFonts w:asciiTheme="majorHAnsi" w:hAnsiTheme="majorHAnsi"/>
          <w:i/>
          <w:iCs/>
          <w:color w:val="auto"/>
          <w:sz w:val="20"/>
          <w:szCs w:val="20"/>
          <w:lang w:val="es-ES_tradnl"/>
        </w:rPr>
        <w:t>no se valora el riesgo estando en el exterior</w:t>
      </w:r>
      <w:r w:rsidR="00DC5602" w:rsidRPr="00ED5C9A">
        <w:rPr>
          <w:rFonts w:asciiTheme="majorHAnsi" w:hAnsiTheme="majorHAnsi"/>
          <w:color w:val="auto"/>
          <w:sz w:val="20"/>
          <w:szCs w:val="20"/>
          <w:lang w:val="es-ES_tradnl"/>
        </w:rPr>
        <w:t>”</w:t>
      </w:r>
      <w:r w:rsidRPr="00ED5C9A">
        <w:rPr>
          <w:rFonts w:asciiTheme="majorHAnsi" w:hAnsiTheme="majorHAnsi"/>
          <w:color w:val="auto"/>
          <w:sz w:val="20"/>
          <w:szCs w:val="20"/>
          <w:lang w:val="es-ES_tradnl"/>
        </w:rPr>
        <w:t>, ya que la presunta víctima estaba fuera de la jurisdicción Colombiana</w:t>
      </w:r>
      <w:r w:rsidR="009445C6" w:rsidRPr="00ED5C9A">
        <w:rPr>
          <w:rFonts w:asciiTheme="majorHAnsi" w:hAnsiTheme="majorHAnsi"/>
          <w:color w:val="auto"/>
          <w:sz w:val="20"/>
          <w:szCs w:val="20"/>
          <w:lang w:val="es-ES_tradnl"/>
        </w:rPr>
        <w:t xml:space="preserve">. </w:t>
      </w:r>
      <w:r w:rsidR="00FB4A2D" w:rsidRPr="00ED5C9A">
        <w:rPr>
          <w:rFonts w:asciiTheme="majorHAnsi" w:hAnsiTheme="majorHAnsi"/>
          <w:color w:val="auto"/>
          <w:sz w:val="20"/>
          <w:szCs w:val="20"/>
          <w:lang w:val="es-ES_tradnl"/>
        </w:rPr>
        <w:t xml:space="preserve">En </w:t>
      </w:r>
      <w:r w:rsidRPr="00ED5C9A">
        <w:rPr>
          <w:rFonts w:asciiTheme="majorHAnsi" w:hAnsiTheme="majorHAnsi"/>
          <w:color w:val="auto"/>
          <w:sz w:val="20"/>
          <w:szCs w:val="20"/>
          <w:lang w:val="es-ES_tradnl"/>
        </w:rPr>
        <w:t>esa</w:t>
      </w:r>
      <w:r w:rsidR="00FB4A2D" w:rsidRPr="00ED5C9A">
        <w:rPr>
          <w:rFonts w:asciiTheme="majorHAnsi" w:hAnsiTheme="majorHAnsi"/>
          <w:color w:val="auto"/>
          <w:sz w:val="20"/>
          <w:szCs w:val="20"/>
          <w:lang w:val="es-ES_tradnl"/>
        </w:rPr>
        <w:t xml:space="preserve"> línea, </w:t>
      </w:r>
      <w:r w:rsidRPr="00ED5C9A">
        <w:rPr>
          <w:rFonts w:asciiTheme="majorHAnsi" w:hAnsiTheme="majorHAnsi"/>
          <w:color w:val="auto"/>
          <w:sz w:val="20"/>
          <w:szCs w:val="20"/>
          <w:lang w:val="es-ES_tradnl"/>
        </w:rPr>
        <w:t xml:space="preserve">los peticionarios </w:t>
      </w:r>
      <w:r w:rsidR="00FB4A2D" w:rsidRPr="00ED5C9A">
        <w:rPr>
          <w:rFonts w:asciiTheme="majorHAnsi" w:hAnsiTheme="majorHAnsi"/>
          <w:color w:val="auto"/>
          <w:sz w:val="20"/>
          <w:szCs w:val="20"/>
          <w:lang w:val="es-ES_tradnl"/>
        </w:rPr>
        <w:t>s</w:t>
      </w:r>
      <w:r w:rsidR="00DC5602" w:rsidRPr="00ED5C9A">
        <w:rPr>
          <w:rFonts w:asciiTheme="majorHAnsi" w:hAnsiTheme="majorHAnsi"/>
          <w:color w:val="auto"/>
          <w:sz w:val="20"/>
          <w:szCs w:val="20"/>
          <w:lang w:val="es-ES_tradnl"/>
        </w:rPr>
        <w:t>ostienen que Martha González y su familia han interpuesto solicitudes para remediar esta situación y ser incluidos en programas de protección</w:t>
      </w:r>
      <w:r w:rsidRPr="00ED5C9A">
        <w:rPr>
          <w:rFonts w:asciiTheme="majorHAnsi" w:hAnsiTheme="majorHAnsi"/>
          <w:color w:val="auto"/>
          <w:sz w:val="20"/>
          <w:szCs w:val="20"/>
          <w:lang w:val="es-ES_tradnl"/>
        </w:rPr>
        <w:t>;</w:t>
      </w:r>
      <w:r w:rsidR="00DC5602" w:rsidRPr="00ED5C9A">
        <w:rPr>
          <w:rFonts w:asciiTheme="majorHAnsi" w:hAnsiTheme="majorHAnsi"/>
          <w:color w:val="auto"/>
          <w:sz w:val="20"/>
          <w:szCs w:val="20"/>
          <w:lang w:val="es-ES_tradnl"/>
        </w:rPr>
        <w:t xml:space="preserve"> no obstante, el Estado las ha negado por considerar que no se encontraban en peligro mientras permanezcan en el exterior. </w:t>
      </w:r>
    </w:p>
    <w:p w14:paraId="3B314204" w14:textId="77777777" w:rsidR="009445C6" w:rsidRPr="00ED5C9A" w:rsidRDefault="009445C6" w:rsidP="00DC5602">
      <w:pPr>
        <w:pStyle w:val="ListParagraph"/>
        <w:rPr>
          <w:rFonts w:asciiTheme="majorHAnsi" w:hAnsiTheme="majorHAnsi"/>
          <w:color w:val="auto"/>
          <w:sz w:val="20"/>
          <w:szCs w:val="20"/>
          <w:lang w:val="es-ES_tradnl"/>
        </w:rPr>
      </w:pPr>
    </w:p>
    <w:p w14:paraId="64251A30" w14:textId="0B9D40DE" w:rsidR="00477AE2" w:rsidRPr="00ED5C9A" w:rsidRDefault="00792B43" w:rsidP="00DC5602">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L</w:t>
      </w:r>
      <w:r w:rsidR="00477AE2" w:rsidRPr="00ED5C9A">
        <w:rPr>
          <w:rFonts w:asciiTheme="majorHAnsi" w:hAnsiTheme="majorHAnsi"/>
          <w:color w:val="auto"/>
          <w:sz w:val="20"/>
          <w:szCs w:val="20"/>
          <w:lang w:val="es-ES_tradnl"/>
        </w:rPr>
        <w:t>os peticionarios alegan que e</w:t>
      </w:r>
      <w:r w:rsidR="004613D5" w:rsidRPr="00ED5C9A">
        <w:rPr>
          <w:rFonts w:asciiTheme="majorHAnsi" w:hAnsiTheme="majorHAnsi"/>
          <w:color w:val="auto"/>
          <w:sz w:val="20"/>
          <w:szCs w:val="20"/>
          <w:lang w:val="es-ES_tradnl"/>
        </w:rPr>
        <w:t xml:space="preserve">l derecho de circulación y residencia </w:t>
      </w:r>
      <w:r w:rsidR="00477AE2" w:rsidRPr="00ED5C9A">
        <w:rPr>
          <w:rFonts w:asciiTheme="majorHAnsi" w:hAnsiTheme="majorHAnsi"/>
          <w:color w:val="auto"/>
          <w:sz w:val="20"/>
          <w:szCs w:val="20"/>
          <w:lang w:val="es-ES_tradnl"/>
        </w:rPr>
        <w:t xml:space="preserve">de Martha González y su familia </w:t>
      </w:r>
      <w:r w:rsidR="004613D5" w:rsidRPr="00ED5C9A">
        <w:rPr>
          <w:rFonts w:asciiTheme="majorHAnsi" w:hAnsiTheme="majorHAnsi"/>
          <w:color w:val="auto"/>
          <w:sz w:val="20"/>
          <w:szCs w:val="20"/>
          <w:lang w:val="es-ES_tradnl"/>
        </w:rPr>
        <w:t xml:space="preserve">se vio </w:t>
      </w:r>
      <w:r w:rsidR="00BE3E29" w:rsidRPr="00ED5C9A">
        <w:rPr>
          <w:rFonts w:asciiTheme="majorHAnsi" w:hAnsiTheme="majorHAnsi"/>
          <w:color w:val="auto"/>
          <w:sz w:val="20"/>
          <w:szCs w:val="20"/>
          <w:lang w:val="es-ES_tradnl"/>
        </w:rPr>
        <w:t>vulnerado</w:t>
      </w:r>
      <w:r w:rsidR="004613D5" w:rsidRPr="00ED5C9A">
        <w:rPr>
          <w:rFonts w:asciiTheme="majorHAnsi" w:hAnsiTheme="majorHAnsi"/>
          <w:color w:val="auto"/>
          <w:sz w:val="20"/>
          <w:szCs w:val="20"/>
          <w:lang w:val="es-ES_tradnl"/>
        </w:rPr>
        <w:t xml:space="preserve"> </w:t>
      </w:r>
      <w:r w:rsidR="00477AE2" w:rsidRPr="00ED5C9A">
        <w:rPr>
          <w:rFonts w:asciiTheme="majorHAnsi" w:hAnsiTheme="majorHAnsi"/>
          <w:color w:val="auto"/>
          <w:sz w:val="20"/>
          <w:szCs w:val="20"/>
          <w:lang w:val="es-ES_tradnl"/>
        </w:rPr>
        <w:t xml:space="preserve">en un primer momento </w:t>
      </w:r>
      <w:r w:rsidR="004613D5" w:rsidRPr="00ED5C9A">
        <w:rPr>
          <w:rFonts w:asciiTheme="majorHAnsi" w:hAnsiTheme="majorHAnsi"/>
          <w:color w:val="auto"/>
          <w:sz w:val="20"/>
          <w:szCs w:val="20"/>
          <w:lang w:val="es-ES_tradnl"/>
        </w:rPr>
        <w:t>cuando el Estado decidió expatriarla como única forma de protección</w:t>
      </w:r>
      <w:r w:rsidR="00477AE2" w:rsidRPr="00ED5C9A">
        <w:rPr>
          <w:rFonts w:asciiTheme="majorHAnsi" w:hAnsiTheme="majorHAnsi"/>
          <w:color w:val="auto"/>
          <w:sz w:val="20"/>
          <w:szCs w:val="20"/>
          <w:lang w:val="es-ES_tradnl"/>
        </w:rPr>
        <w:t xml:space="preserve">, medida que </w:t>
      </w:r>
      <w:r w:rsidR="004613D5" w:rsidRPr="00ED5C9A">
        <w:rPr>
          <w:rFonts w:asciiTheme="majorHAnsi" w:hAnsiTheme="majorHAnsi"/>
          <w:color w:val="auto"/>
          <w:sz w:val="20"/>
          <w:szCs w:val="20"/>
          <w:lang w:val="es-ES_tradnl"/>
        </w:rPr>
        <w:t>ha demostrado ser inadecuada</w:t>
      </w:r>
      <w:r w:rsidR="00477AE2" w:rsidRPr="00ED5C9A">
        <w:rPr>
          <w:rFonts w:asciiTheme="majorHAnsi" w:hAnsiTheme="majorHAnsi"/>
          <w:color w:val="auto"/>
          <w:sz w:val="20"/>
          <w:szCs w:val="20"/>
          <w:lang w:val="es-ES_tradnl"/>
        </w:rPr>
        <w:t xml:space="preserve"> y ha </w:t>
      </w:r>
      <w:r w:rsidR="004613D5" w:rsidRPr="00ED5C9A">
        <w:rPr>
          <w:rFonts w:asciiTheme="majorHAnsi" w:hAnsiTheme="majorHAnsi"/>
          <w:color w:val="auto"/>
          <w:sz w:val="20"/>
          <w:szCs w:val="20"/>
          <w:lang w:val="es-ES_tradnl"/>
        </w:rPr>
        <w:t>afectado su calidad de vida</w:t>
      </w:r>
      <w:r w:rsidR="00477AE2" w:rsidRPr="00ED5C9A">
        <w:rPr>
          <w:rFonts w:asciiTheme="majorHAnsi" w:hAnsiTheme="majorHAnsi"/>
          <w:color w:val="auto"/>
          <w:sz w:val="20"/>
          <w:szCs w:val="20"/>
          <w:lang w:val="es-ES_tradnl"/>
        </w:rPr>
        <w:t>; e igualmente cuando f</w:t>
      </w:r>
      <w:r w:rsidR="004613D5" w:rsidRPr="00ED5C9A">
        <w:rPr>
          <w:rFonts w:asciiTheme="majorHAnsi" w:hAnsiTheme="majorHAnsi"/>
          <w:color w:val="auto"/>
          <w:sz w:val="20"/>
          <w:szCs w:val="20"/>
          <w:lang w:val="es-ES_tradnl"/>
        </w:rPr>
        <w:t>ue separada sin ninguna justificación válida del cargo que ocupaba como cónsul</w:t>
      </w:r>
      <w:r w:rsidR="00477AE2" w:rsidRPr="00ED5C9A">
        <w:rPr>
          <w:rFonts w:asciiTheme="majorHAnsi" w:hAnsiTheme="majorHAnsi"/>
          <w:color w:val="auto"/>
          <w:sz w:val="20"/>
          <w:szCs w:val="20"/>
          <w:lang w:val="es-ES_tradnl"/>
        </w:rPr>
        <w:t xml:space="preserve">, y </w:t>
      </w:r>
      <w:r w:rsidR="004613D5" w:rsidRPr="00ED5C9A">
        <w:rPr>
          <w:rFonts w:asciiTheme="majorHAnsi" w:hAnsiTheme="majorHAnsi"/>
          <w:color w:val="auto"/>
          <w:sz w:val="20"/>
          <w:szCs w:val="20"/>
          <w:lang w:val="es-ES_tradnl"/>
        </w:rPr>
        <w:t>sin la posibilidad de retornar a Colombia en condiciones de seguridad</w:t>
      </w:r>
      <w:r w:rsidR="00FB749D" w:rsidRPr="00ED5C9A">
        <w:rPr>
          <w:rFonts w:asciiTheme="majorHAnsi" w:hAnsiTheme="majorHAnsi"/>
          <w:color w:val="auto"/>
          <w:sz w:val="20"/>
          <w:szCs w:val="20"/>
          <w:lang w:val="es-ES_tradnl"/>
        </w:rPr>
        <w:t>;</w:t>
      </w:r>
      <w:r w:rsidR="004613D5" w:rsidRPr="00ED5C9A">
        <w:rPr>
          <w:rFonts w:asciiTheme="majorHAnsi" w:hAnsiTheme="majorHAnsi"/>
          <w:color w:val="auto"/>
          <w:sz w:val="20"/>
          <w:szCs w:val="20"/>
          <w:lang w:val="es-ES_tradnl"/>
        </w:rPr>
        <w:t xml:space="preserve"> </w:t>
      </w:r>
      <w:r w:rsidR="00FB749D" w:rsidRPr="00ED5C9A">
        <w:rPr>
          <w:rFonts w:asciiTheme="majorHAnsi" w:hAnsiTheme="majorHAnsi"/>
          <w:color w:val="auto"/>
          <w:sz w:val="20"/>
          <w:szCs w:val="20"/>
          <w:lang w:val="es-ES_tradnl"/>
        </w:rPr>
        <w:t xml:space="preserve">dada </w:t>
      </w:r>
      <w:r w:rsidR="00477AE2" w:rsidRPr="00ED5C9A">
        <w:rPr>
          <w:rFonts w:asciiTheme="majorHAnsi" w:hAnsiTheme="majorHAnsi"/>
          <w:color w:val="auto"/>
          <w:sz w:val="20"/>
          <w:szCs w:val="20"/>
          <w:lang w:val="es-ES_tradnl"/>
        </w:rPr>
        <w:t>la</w:t>
      </w:r>
      <w:r w:rsidR="00FB749D" w:rsidRPr="00ED5C9A">
        <w:rPr>
          <w:rFonts w:asciiTheme="majorHAnsi" w:hAnsiTheme="majorHAnsi"/>
          <w:color w:val="auto"/>
          <w:sz w:val="20"/>
          <w:szCs w:val="20"/>
          <w:lang w:val="es-ES_tradnl"/>
        </w:rPr>
        <w:t xml:space="preserve"> alegada</w:t>
      </w:r>
      <w:r w:rsidR="00477AE2" w:rsidRPr="00ED5C9A">
        <w:rPr>
          <w:rFonts w:asciiTheme="majorHAnsi" w:hAnsiTheme="majorHAnsi"/>
          <w:color w:val="auto"/>
          <w:sz w:val="20"/>
          <w:szCs w:val="20"/>
          <w:lang w:val="es-ES_tradnl"/>
        </w:rPr>
        <w:t xml:space="preserve"> </w:t>
      </w:r>
      <w:r w:rsidR="004613D5" w:rsidRPr="00ED5C9A">
        <w:rPr>
          <w:rFonts w:asciiTheme="majorHAnsi" w:hAnsiTheme="majorHAnsi"/>
          <w:color w:val="auto"/>
          <w:sz w:val="20"/>
          <w:szCs w:val="20"/>
          <w:lang w:val="es-ES_tradnl"/>
        </w:rPr>
        <w:t xml:space="preserve">falta de compromiso </w:t>
      </w:r>
      <w:r w:rsidR="00477AE2" w:rsidRPr="00ED5C9A">
        <w:rPr>
          <w:rFonts w:asciiTheme="majorHAnsi" w:hAnsiTheme="majorHAnsi"/>
          <w:color w:val="auto"/>
          <w:sz w:val="20"/>
          <w:szCs w:val="20"/>
          <w:lang w:val="es-ES_tradnl"/>
        </w:rPr>
        <w:t xml:space="preserve">del Estado de brindar </w:t>
      </w:r>
      <w:r w:rsidR="004613D5" w:rsidRPr="00ED5C9A">
        <w:rPr>
          <w:rFonts w:asciiTheme="majorHAnsi" w:hAnsiTheme="majorHAnsi"/>
          <w:color w:val="auto"/>
          <w:sz w:val="20"/>
          <w:szCs w:val="20"/>
          <w:lang w:val="es-ES_tradnl"/>
        </w:rPr>
        <w:t>medidas de protección</w:t>
      </w:r>
      <w:r w:rsidR="00477AE2" w:rsidRPr="00ED5C9A">
        <w:rPr>
          <w:rFonts w:asciiTheme="majorHAnsi" w:hAnsiTheme="majorHAnsi"/>
          <w:color w:val="auto"/>
          <w:sz w:val="20"/>
          <w:szCs w:val="20"/>
          <w:lang w:val="es-ES_tradnl"/>
        </w:rPr>
        <w:t xml:space="preserve">. </w:t>
      </w:r>
      <w:r w:rsidR="00DC5602" w:rsidRPr="00ED5C9A">
        <w:rPr>
          <w:rFonts w:asciiTheme="majorHAnsi" w:hAnsiTheme="majorHAnsi"/>
          <w:color w:val="auto"/>
          <w:sz w:val="20"/>
          <w:szCs w:val="20"/>
          <w:lang w:val="es-ES_tradnl"/>
        </w:rPr>
        <w:t>Los peticionarios agregan que, en consecuencia, Martha González</w:t>
      </w:r>
      <w:r w:rsidRPr="00ED5C9A">
        <w:rPr>
          <w:rFonts w:asciiTheme="majorHAnsi" w:hAnsiTheme="majorHAnsi"/>
          <w:color w:val="auto"/>
          <w:sz w:val="20"/>
          <w:szCs w:val="20"/>
          <w:lang w:val="es-ES_tradnl"/>
        </w:rPr>
        <w:t xml:space="preserve">, </w:t>
      </w:r>
      <w:r w:rsidR="00DC5602" w:rsidRPr="00ED5C9A">
        <w:rPr>
          <w:rFonts w:asciiTheme="majorHAnsi" w:hAnsiTheme="majorHAnsi"/>
          <w:color w:val="auto"/>
          <w:sz w:val="20"/>
          <w:szCs w:val="20"/>
          <w:lang w:val="es-ES_tradnl"/>
        </w:rPr>
        <w:t xml:space="preserve">su madre Marta Rodríguez y sus hermanos han tenido que subsistir por sus propios medios, luego de vender sus bienes en Colombia, sin ejercer su profesión y con graves problemas económicos. </w:t>
      </w:r>
    </w:p>
    <w:p w14:paraId="42E47826" w14:textId="77777777" w:rsidR="00DC5602" w:rsidRPr="00ED5C9A" w:rsidRDefault="00DC5602" w:rsidP="00DC5602">
      <w:pPr>
        <w:jc w:val="both"/>
        <w:rPr>
          <w:rFonts w:asciiTheme="majorHAnsi" w:hAnsiTheme="majorHAnsi"/>
          <w:sz w:val="20"/>
          <w:szCs w:val="20"/>
          <w:lang w:val="es-ES_tradnl"/>
        </w:rPr>
      </w:pPr>
    </w:p>
    <w:p w14:paraId="577BF493" w14:textId="463DFDE2" w:rsidR="001B6E08" w:rsidRPr="00ED5C9A" w:rsidRDefault="004613D5" w:rsidP="00DC5602">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Con respecto al agotamiento de los recursos internos, l</w:t>
      </w:r>
      <w:r w:rsidR="00BC00CC" w:rsidRPr="00ED5C9A">
        <w:rPr>
          <w:rFonts w:asciiTheme="majorHAnsi" w:hAnsiTheme="majorHAnsi"/>
          <w:color w:val="auto"/>
          <w:sz w:val="20"/>
          <w:szCs w:val="20"/>
          <w:lang w:val="es-ES_tradnl"/>
        </w:rPr>
        <w:t xml:space="preserve">os peticionarios alegan </w:t>
      </w:r>
      <w:r w:rsidRPr="00ED5C9A">
        <w:rPr>
          <w:rFonts w:asciiTheme="majorHAnsi" w:hAnsiTheme="majorHAnsi"/>
          <w:color w:val="auto"/>
          <w:sz w:val="20"/>
          <w:szCs w:val="20"/>
          <w:lang w:val="es-ES_tradnl"/>
        </w:rPr>
        <w:t xml:space="preserve">que existe un </w:t>
      </w:r>
      <w:r w:rsidR="00454302" w:rsidRPr="00ED5C9A">
        <w:rPr>
          <w:rFonts w:asciiTheme="majorHAnsi" w:hAnsiTheme="majorHAnsi"/>
          <w:color w:val="auto"/>
          <w:sz w:val="20"/>
          <w:szCs w:val="20"/>
          <w:lang w:val="es-ES_tradnl"/>
        </w:rPr>
        <w:t>retardo injustificado para resolver</w:t>
      </w:r>
      <w:r w:rsidRPr="00ED5C9A">
        <w:rPr>
          <w:rFonts w:asciiTheme="majorHAnsi" w:hAnsiTheme="majorHAnsi"/>
          <w:color w:val="auto"/>
          <w:sz w:val="20"/>
          <w:szCs w:val="20"/>
          <w:lang w:val="es-ES_tradnl"/>
        </w:rPr>
        <w:t xml:space="preserve"> los recursos existentes ante la jurisdicción </w:t>
      </w:r>
      <w:r w:rsidR="00F2617E" w:rsidRPr="00ED5C9A">
        <w:rPr>
          <w:rFonts w:asciiTheme="majorHAnsi" w:hAnsiTheme="majorHAnsi"/>
          <w:color w:val="auto"/>
          <w:sz w:val="20"/>
          <w:szCs w:val="20"/>
          <w:lang w:val="es-ES_tradnl"/>
        </w:rPr>
        <w:t>interna</w:t>
      </w:r>
      <w:r w:rsidR="00454302" w:rsidRPr="00ED5C9A">
        <w:rPr>
          <w:rFonts w:asciiTheme="majorHAnsi" w:hAnsiTheme="majorHAnsi"/>
          <w:color w:val="auto"/>
          <w:sz w:val="20"/>
          <w:szCs w:val="20"/>
          <w:lang w:val="es-ES_tradnl"/>
        </w:rPr>
        <w:t xml:space="preserve">. </w:t>
      </w:r>
      <w:r w:rsidRPr="00ED5C9A">
        <w:rPr>
          <w:rFonts w:asciiTheme="majorHAnsi" w:hAnsiTheme="majorHAnsi"/>
          <w:color w:val="auto"/>
          <w:sz w:val="20"/>
          <w:szCs w:val="20"/>
          <w:lang w:val="es-ES_tradnl"/>
        </w:rPr>
        <w:t>En particular, destaca</w:t>
      </w:r>
      <w:r w:rsidR="00BC00CC" w:rsidRPr="00ED5C9A">
        <w:rPr>
          <w:rFonts w:asciiTheme="majorHAnsi" w:hAnsiTheme="majorHAnsi"/>
          <w:color w:val="auto"/>
          <w:sz w:val="20"/>
          <w:szCs w:val="20"/>
          <w:lang w:val="es-ES_tradnl"/>
        </w:rPr>
        <w:t>n</w:t>
      </w:r>
      <w:r w:rsidRPr="00ED5C9A">
        <w:rPr>
          <w:rFonts w:asciiTheme="majorHAnsi" w:hAnsiTheme="majorHAnsi"/>
          <w:color w:val="auto"/>
          <w:sz w:val="20"/>
          <w:szCs w:val="20"/>
          <w:lang w:val="es-ES_tradnl"/>
        </w:rPr>
        <w:t xml:space="preserve"> </w:t>
      </w:r>
      <w:r w:rsidRPr="00ED5C9A">
        <w:rPr>
          <w:rFonts w:asciiTheme="majorHAnsi" w:hAnsiTheme="majorHAnsi"/>
          <w:color w:val="auto"/>
          <w:sz w:val="20"/>
          <w:szCs w:val="20"/>
          <w:lang w:val="es-ES_tradnl"/>
        </w:rPr>
        <w:lastRenderedPageBreak/>
        <w:t xml:space="preserve">que </w:t>
      </w:r>
      <w:r w:rsidR="00AE180D" w:rsidRPr="00ED5C9A">
        <w:rPr>
          <w:rFonts w:asciiTheme="majorHAnsi" w:hAnsiTheme="majorHAnsi"/>
          <w:color w:val="auto"/>
          <w:sz w:val="20"/>
          <w:szCs w:val="20"/>
          <w:lang w:val="es-ES_tradnl"/>
        </w:rPr>
        <w:t xml:space="preserve">frente a los intentos fallidos en contra de </w:t>
      </w:r>
      <w:r w:rsidR="00BC00CC" w:rsidRPr="00ED5C9A">
        <w:rPr>
          <w:rFonts w:asciiTheme="majorHAnsi" w:hAnsiTheme="majorHAnsi"/>
          <w:color w:val="auto"/>
          <w:sz w:val="20"/>
          <w:szCs w:val="20"/>
          <w:lang w:val="es-ES_tradnl"/>
        </w:rPr>
        <w:t>la</w:t>
      </w:r>
      <w:r w:rsidR="00AE180D" w:rsidRPr="00ED5C9A">
        <w:rPr>
          <w:rFonts w:asciiTheme="majorHAnsi" w:hAnsiTheme="majorHAnsi"/>
          <w:color w:val="auto"/>
          <w:sz w:val="20"/>
          <w:szCs w:val="20"/>
          <w:lang w:val="es-ES_tradnl"/>
        </w:rPr>
        <w:t xml:space="preserve"> vida </w:t>
      </w:r>
      <w:r w:rsidR="00BC00CC" w:rsidRPr="00ED5C9A">
        <w:rPr>
          <w:rFonts w:asciiTheme="majorHAnsi" w:hAnsiTheme="majorHAnsi"/>
          <w:color w:val="auto"/>
          <w:sz w:val="20"/>
          <w:szCs w:val="20"/>
          <w:lang w:val="es-ES_tradnl"/>
        </w:rPr>
        <w:t xml:space="preserve">de Martha González </w:t>
      </w:r>
      <w:r w:rsidR="00AE180D" w:rsidRPr="00ED5C9A">
        <w:rPr>
          <w:rFonts w:asciiTheme="majorHAnsi" w:hAnsiTheme="majorHAnsi"/>
          <w:color w:val="auto"/>
          <w:sz w:val="20"/>
          <w:szCs w:val="20"/>
          <w:lang w:val="es-ES_tradnl"/>
        </w:rPr>
        <w:t xml:space="preserve">y su posterior exilio, el Estado no ha iniciado investigación alguna, a pesar de haber tenido conocimiento de dichas amenazas </w:t>
      </w:r>
      <w:r w:rsidR="00BC00CC" w:rsidRPr="00ED5C9A">
        <w:rPr>
          <w:rFonts w:asciiTheme="majorHAnsi" w:hAnsiTheme="majorHAnsi"/>
          <w:color w:val="auto"/>
          <w:sz w:val="20"/>
          <w:szCs w:val="20"/>
          <w:lang w:val="es-ES_tradnl"/>
        </w:rPr>
        <w:t>en varias oportunidades</w:t>
      </w:r>
      <w:r w:rsidR="008545C3" w:rsidRPr="00ED5C9A">
        <w:rPr>
          <w:rFonts w:asciiTheme="majorHAnsi" w:hAnsiTheme="majorHAnsi"/>
          <w:color w:val="auto"/>
          <w:sz w:val="20"/>
          <w:szCs w:val="20"/>
          <w:lang w:val="es-ES_tradnl"/>
        </w:rPr>
        <w:t xml:space="preserve">. </w:t>
      </w:r>
      <w:r w:rsidR="00F2617E" w:rsidRPr="00ED5C9A">
        <w:rPr>
          <w:rFonts w:asciiTheme="majorHAnsi" w:hAnsiTheme="majorHAnsi"/>
          <w:color w:val="auto"/>
          <w:sz w:val="20"/>
          <w:szCs w:val="20"/>
          <w:lang w:val="es-ES_tradnl"/>
        </w:rPr>
        <w:t>Aducen</w:t>
      </w:r>
      <w:r w:rsidR="008545C3" w:rsidRPr="00ED5C9A">
        <w:rPr>
          <w:rFonts w:asciiTheme="majorHAnsi" w:hAnsiTheme="majorHAnsi"/>
          <w:color w:val="auto"/>
          <w:sz w:val="20"/>
          <w:szCs w:val="20"/>
          <w:lang w:val="es-ES_tradnl"/>
        </w:rPr>
        <w:t xml:space="preserve"> </w:t>
      </w:r>
      <w:r w:rsidR="0061102F" w:rsidRPr="00ED5C9A">
        <w:rPr>
          <w:rFonts w:asciiTheme="majorHAnsi" w:hAnsiTheme="majorHAnsi"/>
          <w:color w:val="auto"/>
          <w:sz w:val="20"/>
          <w:szCs w:val="20"/>
          <w:lang w:val="es-ES_tradnl"/>
        </w:rPr>
        <w:t xml:space="preserve">al respecto </w:t>
      </w:r>
      <w:r w:rsidR="008545C3" w:rsidRPr="00ED5C9A">
        <w:rPr>
          <w:rFonts w:asciiTheme="majorHAnsi" w:hAnsiTheme="majorHAnsi"/>
          <w:color w:val="auto"/>
          <w:sz w:val="20"/>
          <w:szCs w:val="20"/>
          <w:lang w:val="es-ES_tradnl"/>
        </w:rPr>
        <w:t xml:space="preserve">que </w:t>
      </w:r>
      <w:r w:rsidR="00BC00CC" w:rsidRPr="00ED5C9A">
        <w:rPr>
          <w:rFonts w:asciiTheme="majorHAnsi" w:hAnsiTheme="majorHAnsi"/>
          <w:color w:val="auto"/>
          <w:sz w:val="20"/>
          <w:szCs w:val="20"/>
          <w:lang w:val="es-ES_tradnl"/>
        </w:rPr>
        <w:t>el Estado</w:t>
      </w:r>
      <w:r w:rsidR="008545C3" w:rsidRPr="00ED5C9A">
        <w:rPr>
          <w:rFonts w:asciiTheme="majorHAnsi" w:hAnsiTheme="majorHAnsi"/>
          <w:color w:val="auto"/>
          <w:sz w:val="20"/>
          <w:szCs w:val="20"/>
          <w:lang w:val="es-ES_tradnl"/>
        </w:rPr>
        <w:t xml:space="preserve"> fue</w:t>
      </w:r>
      <w:r w:rsidR="00BC00CC" w:rsidRPr="00ED5C9A">
        <w:rPr>
          <w:rFonts w:asciiTheme="majorHAnsi" w:hAnsiTheme="majorHAnsi"/>
          <w:color w:val="auto"/>
          <w:sz w:val="20"/>
          <w:szCs w:val="20"/>
          <w:lang w:val="es-ES_tradnl"/>
        </w:rPr>
        <w:t xml:space="preserve"> quien procedió a su expatriación; que previamente a su salida del país tuvo escoltas; que la jueza que asumió el caso después de Martha González fue asesinada; y que fue comunicado al Estado, como se desprende, por ejemplo, de </w:t>
      </w:r>
      <w:r w:rsidR="00AE180D" w:rsidRPr="00ED5C9A">
        <w:rPr>
          <w:rFonts w:asciiTheme="majorHAnsi" w:hAnsiTheme="majorHAnsi"/>
          <w:color w:val="auto"/>
          <w:sz w:val="20"/>
          <w:szCs w:val="20"/>
          <w:lang w:val="es-ES_tradnl"/>
        </w:rPr>
        <w:t xml:space="preserve">los dictámenes del </w:t>
      </w:r>
      <w:r w:rsidR="0061102F" w:rsidRPr="00ED5C9A">
        <w:rPr>
          <w:rFonts w:asciiTheme="majorHAnsi" w:hAnsiTheme="majorHAnsi"/>
          <w:color w:val="auto"/>
          <w:sz w:val="20"/>
          <w:szCs w:val="20"/>
          <w:lang w:val="es-ES_tradnl"/>
        </w:rPr>
        <w:t xml:space="preserve">DAS </w:t>
      </w:r>
      <w:r w:rsidR="00AE180D" w:rsidRPr="00ED5C9A">
        <w:rPr>
          <w:rFonts w:asciiTheme="majorHAnsi" w:hAnsiTheme="majorHAnsi"/>
          <w:color w:val="auto"/>
          <w:sz w:val="20"/>
          <w:szCs w:val="20"/>
          <w:lang w:val="es-ES_tradnl"/>
        </w:rPr>
        <w:t xml:space="preserve">a la </w:t>
      </w:r>
      <w:r w:rsidR="00BC00CC" w:rsidRPr="00ED5C9A">
        <w:rPr>
          <w:rFonts w:asciiTheme="majorHAnsi" w:hAnsiTheme="majorHAnsi"/>
          <w:color w:val="auto"/>
          <w:sz w:val="20"/>
          <w:szCs w:val="20"/>
          <w:lang w:val="es-ES_tradnl"/>
        </w:rPr>
        <w:t>F</w:t>
      </w:r>
      <w:r w:rsidR="00AE180D" w:rsidRPr="00ED5C9A">
        <w:rPr>
          <w:rFonts w:asciiTheme="majorHAnsi" w:hAnsiTheme="majorHAnsi"/>
          <w:color w:val="auto"/>
          <w:sz w:val="20"/>
          <w:szCs w:val="20"/>
          <w:lang w:val="es-ES_tradnl"/>
        </w:rPr>
        <w:t xml:space="preserve">iscalía </w:t>
      </w:r>
      <w:r w:rsidR="00BC00CC" w:rsidRPr="00ED5C9A">
        <w:rPr>
          <w:rFonts w:asciiTheme="majorHAnsi" w:hAnsiTheme="majorHAnsi"/>
          <w:color w:val="auto"/>
          <w:sz w:val="20"/>
          <w:szCs w:val="20"/>
          <w:lang w:val="es-ES_tradnl"/>
        </w:rPr>
        <w:t>G</w:t>
      </w:r>
      <w:r w:rsidR="00AE180D" w:rsidRPr="00ED5C9A">
        <w:rPr>
          <w:rFonts w:asciiTheme="majorHAnsi" w:hAnsiTheme="majorHAnsi"/>
          <w:color w:val="auto"/>
          <w:sz w:val="20"/>
          <w:szCs w:val="20"/>
          <w:lang w:val="es-ES_tradnl"/>
        </w:rPr>
        <w:t>eneral el 8 de febrero de 2001</w:t>
      </w:r>
      <w:r w:rsidR="002179D2" w:rsidRPr="00ED5C9A">
        <w:rPr>
          <w:rFonts w:asciiTheme="majorHAnsi" w:hAnsiTheme="majorHAnsi"/>
          <w:color w:val="auto"/>
          <w:sz w:val="20"/>
          <w:szCs w:val="20"/>
          <w:lang w:val="es-ES_tradnl"/>
        </w:rPr>
        <w:t>;</w:t>
      </w:r>
      <w:r w:rsidR="00AE180D" w:rsidRPr="00ED5C9A">
        <w:rPr>
          <w:rFonts w:asciiTheme="majorHAnsi" w:hAnsiTheme="majorHAnsi"/>
          <w:color w:val="auto"/>
          <w:sz w:val="20"/>
          <w:szCs w:val="20"/>
          <w:lang w:val="es-ES_tradnl"/>
        </w:rPr>
        <w:t xml:space="preserve"> y como lo comunicaron Carlos Rivera López, Consuelo Gutiérrez y Álvaro Augusto González Rodríguez </w:t>
      </w:r>
      <w:r w:rsidR="00BC00CC" w:rsidRPr="00ED5C9A">
        <w:rPr>
          <w:rFonts w:asciiTheme="majorHAnsi" w:hAnsiTheme="majorHAnsi"/>
          <w:color w:val="auto"/>
          <w:sz w:val="20"/>
          <w:szCs w:val="20"/>
          <w:lang w:val="es-ES_tradnl"/>
        </w:rPr>
        <w:t xml:space="preserve">a las autoridades a la Fiscalía General. </w:t>
      </w:r>
      <w:r w:rsidR="002179D2" w:rsidRPr="00ED5C9A">
        <w:rPr>
          <w:rFonts w:asciiTheme="majorHAnsi" w:hAnsiTheme="majorHAnsi"/>
          <w:color w:val="auto"/>
          <w:sz w:val="20"/>
          <w:szCs w:val="20"/>
          <w:lang w:val="es-ES_tradnl"/>
        </w:rPr>
        <w:t>Aducen</w:t>
      </w:r>
      <w:r w:rsidR="001B6E08" w:rsidRPr="00ED5C9A">
        <w:rPr>
          <w:rFonts w:asciiTheme="majorHAnsi" w:hAnsiTheme="majorHAnsi"/>
          <w:color w:val="auto"/>
          <w:sz w:val="20"/>
          <w:szCs w:val="20"/>
          <w:lang w:val="es-ES_tradnl"/>
        </w:rPr>
        <w:t xml:space="preserve"> que el exilio y el miedo de Martha González </w:t>
      </w:r>
      <w:r w:rsidR="008545C3" w:rsidRPr="00ED5C9A">
        <w:rPr>
          <w:rFonts w:asciiTheme="majorHAnsi" w:hAnsiTheme="majorHAnsi"/>
          <w:color w:val="auto"/>
          <w:sz w:val="20"/>
          <w:szCs w:val="20"/>
          <w:lang w:val="es-ES_tradnl"/>
        </w:rPr>
        <w:t xml:space="preserve">en tanto </w:t>
      </w:r>
      <w:r w:rsidR="001B6E08" w:rsidRPr="00ED5C9A">
        <w:rPr>
          <w:rFonts w:asciiTheme="majorHAnsi" w:hAnsiTheme="majorHAnsi"/>
          <w:color w:val="auto"/>
          <w:sz w:val="20"/>
          <w:szCs w:val="20"/>
          <w:lang w:val="es-ES_tradnl"/>
        </w:rPr>
        <w:t xml:space="preserve">su familia continuaba viviendo en Colombia hacía más difícil acceder y actuar en el proceso judicial. </w:t>
      </w:r>
    </w:p>
    <w:p w14:paraId="3B4D6416" w14:textId="77777777" w:rsidR="00BC00CC" w:rsidRPr="00ED5C9A" w:rsidRDefault="00BC00CC" w:rsidP="00BC00CC">
      <w:pPr>
        <w:pStyle w:val="ListParagraph"/>
        <w:rPr>
          <w:rFonts w:asciiTheme="majorHAnsi" w:hAnsiTheme="majorHAnsi"/>
          <w:color w:val="auto"/>
          <w:sz w:val="20"/>
          <w:szCs w:val="20"/>
          <w:lang w:val="es-ES_tradnl"/>
        </w:rPr>
      </w:pPr>
    </w:p>
    <w:p w14:paraId="13AC6C60" w14:textId="23B11115" w:rsidR="0006664B" w:rsidRPr="00ED5C9A" w:rsidRDefault="00881FAF" w:rsidP="00CB6F93">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 xml:space="preserve">Asimismo, </w:t>
      </w:r>
      <w:r w:rsidR="002179D2" w:rsidRPr="00ED5C9A">
        <w:rPr>
          <w:rFonts w:asciiTheme="majorHAnsi" w:hAnsiTheme="majorHAnsi"/>
          <w:color w:val="auto"/>
          <w:sz w:val="20"/>
          <w:szCs w:val="20"/>
          <w:lang w:val="es-ES_tradnl"/>
        </w:rPr>
        <w:t xml:space="preserve">los peticionarios </w:t>
      </w:r>
      <w:r w:rsidR="00D21C5C" w:rsidRPr="00ED5C9A">
        <w:rPr>
          <w:rFonts w:asciiTheme="majorHAnsi" w:hAnsiTheme="majorHAnsi"/>
          <w:color w:val="auto"/>
          <w:sz w:val="20"/>
          <w:szCs w:val="20"/>
          <w:lang w:val="es-ES_tradnl"/>
        </w:rPr>
        <w:t>alegan</w:t>
      </w:r>
      <w:r w:rsidR="00DB5E10" w:rsidRPr="00ED5C9A">
        <w:rPr>
          <w:rFonts w:asciiTheme="majorHAnsi" w:hAnsiTheme="majorHAnsi"/>
          <w:color w:val="auto"/>
          <w:sz w:val="20"/>
          <w:szCs w:val="20"/>
          <w:lang w:val="es-ES_tradnl"/>
        </w:rPr>
        <w:t xml:space="preserve"> que </w:t>
      </w:r>
      <w:r w:rsidRPr="00ED5C9A">
        <w:rPr>
          <w:rFonts w:asciiTheme="majorHAnsi" w:hAnsiTheme="majorHAnsi"/>
          <w:color w:val="auto"/>
          <w:sz w:val="20"/>
          <w:szCs w:val="20"/>
          <w:lang w:val="es-ES_tradnl"/>
        </w:rPr>
        <w:t xml:space="preserve">el homicidio de Álvaro González se mantiene en </w:t>
      </w:r>
      <w:r w:rsidR="00FB0692" w:rsidRPr="00ED5C9A">
        <w:rPr>
          <w:rFonts w:asciiTheme="majorHAnsi" w:hAnsiTheme="majorHAnsi"/>
          <w:color w:val="auto"/>
          <w:sz w:val="20"/>
          <w:szCs w:val="20"/>
          <w:lang w:val="es-ES_tradnl"/>
        </w:rPr>
        <w:t xml:space="preserve">la </w:t>
      </w:r>
      <w:r w:rsidRPr="00ED5C9A">
        <w:rPr>
          <w:rFonts w:asciiTheme="majorHAnsi" w:hAnsiTheme="majorHAnsi"/>
          <w:color w:val="auto"/>
          <w:sz w:val="20"/>
          <w:szCs w:val="20"/>
          <w:lang w:val="es-ES_tradnl"/>
        </w:rPr>
        <w:t>impunidad</w:t>
      </w:r>
      <w:r w:rsidR="002179D2" w:rsidRPr="00ED5C9A">
        <w:rPr>
          <w:rFonts w:asciiTheme="majorHAnsi" w:hAnsiTheme="majorHAnsi"/>
          <w:color w:val="auto"/>
          <w:sz w:val="20"/>
          <w:szCs w:val="20"/>
          <w:lang w:val="es-ES_tradnl"/>
        </w:rPr>
        <w:t>.</w:t>
      </w:r>
      <w:r w:rsidRPr="00ED5C9A">
        <w:rPr>
          <w:rFonts w:asciiTheme="majorHAnsi" w:hAnsiTheme="majorHAnsi"/>
          <w:color w:val="auto"/>
          <w:sz w:val="20"/>
          <w:szCs w:val="20"/>
          <w:lang w:val="es-ES_tradnl"/>
        </w:rPr>
        <w:t xml:space="preserve"> </w:t>
      </w:r>
      <w:r w:rsidR="002179D2" w:rsidRPr="00ED5C9A">
        <w:rPr>
          <w:rFonts w:asciiTheme="majorHAnsi" w:hAnsiTheme="majorHAnsi"/>
          <w:color w:val="auto"/>
          <w:sz w:val="20"/>
          <w:szCs w:val="20"/>
          <w:lang w:val="es-ES_tradnl"/>
        </w:rPr>
        <w:t>S</w:t>
      </w:r>
      <w:r w:rsidR="00D21C5C" w:rsidRPr="00ED5C9A">
        <w:rPr>
          <w:rFonts w:asciiTheme="majorHAnsi" w:hAnsiTheme="majorHAnsi"/>
          <w:color w:val="auto"/>
          <w:sz w:val="20"/>
          <w:szCs w:val="20"/>
          <w:lang w:val="es-ES_tradnl"/>
        </w:rPr>
        <w:t xml:space="preserve">ostienen </w:t>
      </w:r>
      <w:r w:rsidRPr="00ED5C9A">
        <w:rPr>
          <w:rFonts w:asciiTheme="majorHAnsi" w:hAnsiTheme="majorHAnsi"/>
          <w:color w:val="auto"/>
          <w:sz w:val="20"/>
          <w:szCs w:val="20"/>
          <w:lang w:val="es-ES_tradnl"/>
        </w:rPr>
        <w:t xml:space="preserve">que </w:t>
      </w:r>
      <w:r w:rsidR="007A3B13" w:rsidRPr="00ED5C9A">
        <w:rPr>
          <w:rFonts w:asciiTheme="majorHAnsi" w:hAnsiTheme="majorHAnsi"/>
          <w:color w:val="auto"/>
          <w:sz w:val="20"/>
          <w:szCs w:val="20"/>
          <w:lang w:val="es-ES_tradnl"/>
        </w:rPr>
        <w:t xml:space="preserve">la complejidad del proceso penal </w:t>
      </w:r>
      <w:r w:rsidR="0006664B" w:rsidRPr="00ED5C9A">
        <w:rPr>
          <w:rFonts w:asciiTheme="majorHAnsi" w:hAnsiTheme="majorHAnsi"/>
          <w:color w:val="auto"/>
          <w:sz w:val="20"/>
          <w:szCs w:val="20"/>
          <w:lang w:val="es-ES_tradnl"/>
        </w:rPr>
        <w:t>alegad</w:t>
      </w:r>
      <w:r w:rsidR="007A3B13" w:rsidRPr="00ED5C9A">
        <w:rPr>
          <w:rFonts w:asciiTheme="majorHAnsi" w:hAnsiTheme="majorHAnsi"/>
          <w:color w:val="auto"/>
          <w:sz w:val="20"/>
          <w:szCs w:val="20"/>
          <w:lang w:val="es-ES_tradnl"/>
        </w:rPr>
        <w:t>a</w:t>
      </w:r>
      <w:r w:rsidR="0006664B" w:rsidRPr="00ED5C9A">
        <w:rPr>
          <w:rFonts w:asciiTheme="majorHAnsi" w:hAnsiTheme="majorHAnsi"/>
          <w:color w:val="auto"/>
          <w:sz w:val="20"/>
          <w:szCs w:val="20"/>
          <w:lang w:val="es-ES_tradnl"/>
        </w:rPr>
        <w:t xml:space="preserve"> por el Estado es imputable exclusivamente a su actuar</w:t>
      </w:r>
      <w:r w:rsidR="00D21C5C" w:rsidRPr="00ED5C9A">
        <w:rPr>
          <w:rFonts w:asciiTheme="majorHAnsi" w:hAnsiTheme="majorHAnsi"/>
          <w:color w:val="auto"/>
          <w:sz w:val="20"/>
          <w:szCs w:val="20"/>
          <w:lang w:val="es-ES_tradnl"/>
        </w:rPr>
        <w:t>,</w:t>
      </w:r>
      <w:r w:rsidR="007A3B13" w:rsidRPr="00ED5C9A">
        <w:rPr>
          <w:rFonts w:asciiTheme="majorHAnsi" w:hAnsiTheme="majorHAnsi"/>
          <w:color w:val="auto"/>
          <w:sz w:val="20"/>
          <w:szCs w:val="20"/>
          <w:lang w:val="es-ES_tradnl"/>
        </w:rPr>
        <w:t xml:space="preserve"> considerando que </w:t>
      </w:r>
      <w:r w:rsidRPr="00ED5C9A">
        <w:rPr>
          <w:rFonts w:asciiTheme="majorHAnsi" w:hAnsiTheme="majorHAnsi"/>
          <w:color w:val="auto"/>
          <w:sz w:val="20"/>
          <w:szCs w:val="20"/>
          <w:lang w:val="es-ES_tradnl"/>
        </w:rPr>
        <w:t>el pasar de tiempo</w:t>
      </w:r>
      <w:r w:rsidR="007A3B13" w:rsidRPr="00ED5C9A">
        <w:rPr>
          <w:rFonts w:asciiTheme="majorHAnsi" w:hAnsiTheme="majorHAnsi"/>
          <w:color w:val="auto"/>
          <w:sz w:val="20"/>
          <w:szCs w:val="20"/>
          <w:lang w:val="es-ES_tradnl"/>
        </w:rPr>
        <w:t xml:space="preserve"> y </w:t>
      </w:r>
      <w:r w:rsidRPr="00ED5C9A">
        <w:rPr>
          <w:rFonts w:asciiTheme="majorHAnsi" w:hAnsiTheme="majorHAnsi"/>
          <w:color w:val="auto"/>
          <w:sz w:val="20"/>
          <w:szCs w:val="20"/>
          <w:lang w:val="es-ES_tradnl"/>
        </w:rPr>
        <w:t xml:space="preserve">la </w:t>
      </w:r>
      <w:r w:rsidR="0006664B" w:rsidRPr="00ED5C9A">
        <w:rPr>
          <w:rFonts w:asciiTheme="majorHAnsi" w:hAnsiTheme="majorHAnsi"/>
          <w:color w:val="auto"/>
          <w:sz w:val="20"/>
          <w:szCs w:val="20"/>
          <w:lang w:val="es-ES_tradnl"/>
        </w:rPr>
        <w:t>decisión de acumular</w:t>
      </w:r>
      <w:r w:rsidRPr="00ED5C9A">
        <w:rPr>
          <w:rFonts w:asciiTheme="majorHAnsi" w:hAnsiTheme="majorHAnsi"/>
          <w:color w:val="auto"/>
          <w:sz w:val="20"/>
          <w:szCs w:val="20"/>
          <w:lang w:val="es-ES_tradnl"/>
        </w:rPr>
        <w:t xml:space="preserve"> </w:t>
      </w:r>
      <w:r w:rsidR="0006664B" w:rsidRPr="00ED5C9A">
        <w:rPr>
          <w:rFonts w:asciiTheme="majorHAnsi" w:hAnsiTheme="majorHAnsi"/>
          <w:color w:val="auto"/>
          <w:sz w:val="20"/>
          <w:szCs w:val="20"/>
          <w:lang w:val="es-ES_tradnl"/>
        </w:rPr>
        <w:t>la investigación a un gran proceso en contra del “Brazo Armado del Cartel de Medellín”</w:t>
      </w:r>
      <w:r w:rsidR="002179D2" w:rsidRPr="00ED5C9A">
        <w:rPr>
          <w:rFonts w:asciiTheme="majorHAnsi" w:hAnsiTheme="majorHAnsi"/>
          <w:color w:val="auto"/>
          <w:sz w:val="20"/>
          <w:szCs w:val="20"/>
          <w:lang w:val="es-ES_tradnl"/>
        </w:rPr>
        <w:t>,</w:t>
      </w:r>
      <w:r w:rsidR="0006664B" w:rsidRPr="00ED5C9A">
        <w:rPr>
          <w:rFonts w:asciiTheme="majorHAnsi" w:hAnsiTheme="majorHAnsi"/>
          <w:color w:val="auto"/>
          <w:sz w:val="20"/>
          <w:szCs w:val="20"/>
          <w:lang w:val="es-ES_tradnl"/>
        </w:rPr>
        <w:t xml:space="preserve"> después de </w:t>
      </w:r>
      <w:r w:rsidR="00D21C5C" w:rsidRPr="00ED5C9A">
        <w:rPr>
          <w:rFonts w:asciiTheme="majorHAnsi" w:hAnsiTheme="majorHAnsi"/>
          <w:color w:val="auto"/>
          <w:sz w:val="20"/>
          <w:szCs w:val="20"/>
          <w:lang w:val="es-ES_tradnl"/>
        </w:rPr>
        <w:t>veinte</w:t>
      </w:r>
      <w:r w:rsidR="0006664B" w:rsidRPr="00ED5C9A">
        <w:rPr>
          <w:rFonts w:asciiTheme="majorHAnsi" w:hAnsiTheme="majorHAnsi"/>
          <w:color w:val="auto"/>
          <w:sz w:val="20"/>
          <w:szCs w:val="20"/>
          <w:lang w:val="es-ES_tradnl"/>
        </w:rPr>
        <w:t xml:space="preserve"> años</w:t>
      </w:r>
      <w:r w:rsidR="00DB5E10" w:rsidRPr="00ED5C9A">
        <w:rPr>
          <w:rFonts w:asciiTheme="majorHAnsi" w:hAnsiTheme="majorHAnsi"/>
          <w:color w:val="auto"/>
          <w:sz w:val="20"/>
          <w:szCs w:val="20"/>
          <w:lang w:val="es-ES_tradnl"/>
        </w:rPr>
        <w:t xml:space="preserve"> agravó la situación</w:t>
      </w:r>
      <w:r w:rsidR="0006664B" w:rsidRPr="00ED5C9A">
        <w:rPr>
          <w:rFonts w:asciiTheme="majorHAnsi" w:hAnsiTheme="majorHAnsi"/>
          <w:color w:val="auto"/>
          <w:sz w:val="20"/>
          <w:szCs w:val="20"/>
          <w:lang w:val="es-ES_tradnl"/>
        </w:rPr>
        <w:t xml:space="preserve">. </w:t>
      </w:r>
      <w:r w:rsidR="007A3B13" w:rsidRPr="00ED5C9A">
        <w:rPr>
          <w:rFonts w:asciiTheme="majorHAnsi" w:hAnsiTheme="majorHAnsi"/>
          <w:color w:val="auto"/>
          <w:sz w:val="20"/>
          <w:szCs w:val="20"/>
          <w:lang w:val="es-ES_tradnl"/>
        </w:rPr>
        <w:t xml:space="preserve">Frente a los argumentos del Estado, recalcan </w:t>
      </w:r>
      <w:r w:rsidR="004720EC" w:rsidRPr="00ED5C9A">
        <w:rPr>
          <w:rFonts w:asciiTheme="majorHAnsi" w:hAnsiTheme="majorHAnsi"/>
          <w:color w:val="auto"/>
          <w:sz w:val="20"/>
          <w:szCs w:val="20"/>
          <w:lang w:val="es-ES_tradnl"/>
        </w:rPr>
        <w:t xml:space="preserve">que no </w:t>
      </w:r>
      <w:r w:rsidR="001B6E08" w:rsidRPr="00ED5C9A">
        <w:rPr>
          <w:rFonts w:asciiTheme="majorHAnsi" w:hAnsiTheme="majorHAnsi"/>
          <w:color w:val="auto"/>
          <w:sz w:val="20"/>
          <w:szCs w:val="20"/>
          <w:lang w:val="es-ES_tradnl"/>
        </w:rPr>
        <w:t xml:space="preserve">se ha </w:t>
      </w:r>
      <w:r w:rsidR="004720EC" w:rsidRPr="00ED5C9A">
        <w:rPr>
          <w:rFonts w:asciiTheme="majorHAnsi" w:hAnsiTheme="majorHAnsi"/>
          <w:color w:val="auto"/>
          <w:sz w:val="20"/>
          <w:szCs w:val="20"/>
          <w:lang w:val="es-ES_tradnl"/>
        </w:rPr>
        <w:t xml:space="preserve">revelado </w:t>
      </w:r>
      <w:r w:rsidR="001B6E08" w:rsidRPr="00ED5C9A">
        <w:rPr>
          <w:rFonts w:asciiTheme="majorHAnsi" w:hAnsiTheme="majorHAnsi"/>
          <w:color w:val="auto"/>
          <w:sz w:val="20"/>
          <w:szCs w:val="20"/>
          <w:lang w:val="es-ES_tradnl"/>
        </w:rPr>
        <w:t xml:space="preserve">la participación de </w:t>
      </w:r>
      <w:r w:rsidR="004720EC" w:rsidRPr="00ED5C9A">
        <w:rPr>
          <w:rFonts w:asciiTheme="majorHAnsi" w:hAnsiTheme="majorHAnsi"/>
          <w:color w:val="auto"/>
          <w:sz w:val="20"/>
          <w:szCs w:val="20"/>
          <w:lang w:val="es-ES_tradnl"/>
        </w:rPr>
        <w:t xml:space="preserve">agentes estatales o la tolerancia de estos en el asesinato de Álvaro González, </w:t>
      </w:r>
      <w:r w:rsidR="001B6E08" w:rsidRPr="00ED5C9A">
        <w:rPr>
          <w:rFonts w:asciiTheme="majorHAnsi" w:hAnsiTheme="majorHAnsi"/>
          <w:color w:val="auto"/>
          <w:sz w:val="20"/>
          <w:szCs w:val="20"/>
          <w:lang w:val="es-ES_tradnl"/>
        </w:rPr>
        <w:t xml:space="preserve">por </w:t>
      </w:r>
      <w:r w:rsidR="004720EC" w:rsidRPr="00ED5C9A">
        <w:rPr>
          <w:rFonts w:asciiTheme="majorHAnsi" w:hAnsiTheme="majorHAnsi"/>
          <w:color w:val="auto"/>
          <w:sz w:val="20"/>
          <w:szCs w:val="20"/>
          <w:lang w:val="es-ES_tradnl"/>
        </w:rPr>
        <w:t xml:space="preserve">cuanto el </w:t>
      </w:r>
      <w:r w:rsidR="001B6E08" w:rsidRPr="00ED5C9A">
        <w:rPr>
          <w:rFonts w:asciiTheme="majorHAnsi" w:hAnsiTheme="majorHAnsi"/>
          <w:color w:val="auto"/>
          <w:sz w:val="20"/>
          <w:szCs w:val="20"/>
          <w:lang w:val="es-ES_tradnl"/>
        </w:rPr>
        <w:t>Estado colombian</w:t>
      </w:r>
      <w:r w:rsidR="004720EC" w:rsidRPr="00ED5C9A">
        <w:rPr>
          <w:rFonts w:asciiTheme="majorHAnsi" w:hAnsiTheme="majorHAnsi"/>
          <w:color w:val="auto"/>
          <w:sz w:val="20"/>
          <w:szCs w:val="20"/>
          <w:lang w:val="es-ES_tradnl"/>
        </w:rPr>
        <w:t xml:space="preserve">o </w:t>
      </w:r>
      <w:r w:rsidR="001B6E08" w:rsidRPr="00ED5C9A">
        <w:rPr>
          <w:rFonts w:asciiTheme="majorHAnsi" w:hAnsiTheme="majorHAnsi"/>
          <w:color w:val="auto"/>
          <w:sz w:val="20"/>
          <w:szCs w:val="20"/>
          <w:lang w:val="es-ES_tradnl"/>
        </w:rPr>
        <w:t>no ha evaluado correctamente esta línea de investigación y no ha cumplido con sus obligaciones convencionales</w:t>
      </w:r>
      <w:r w:rsidR="00DB696D" w:rsidRPr="00ED5C9A">
        <w:rPr>
          <w:rFonts w:asciiTheme="majorHAnsi" w:hAnsiTheme="majorHAnsi"/>
          <w:color w:val="auto"/>
          <w:sz w:val="20"/>
          <w:szCs w:val="20"/>
          <w:lang w:val="es-ES_tradnl"/>
        </w:rPr>
        <w:t xml:space="preserve"> a</w:t>
      </w:r>
      <w:r w:rsidR="00766839" w:rsidRPr="00ED5C9A">
        <w:rPr>
          <w:rFonts w:asciiTheme="majorHAnsi" w:hAnsiTheme="majorHAnsi"/>
          <w:color w:val="auto"/>
          <w:sz w:val="20"/>
          <w:szCs w:val="20"/>
          <w:lang w:val="es-ES_tradnl"/>
        </w:rPr>
        <w:t xml:space="preserve"> pesar de conocer que los móviles de este crimen se debieron a las decisiones proferidas por Martha Lucía Rodríguez en contra de paramilitares y narcotraficantes, incluyendo agentes estatales.</w:t>
      </w:r>
      <w:r w:rsidR="00DB696D" w:rsidRPr="00ED5C9A">
        <w:rPr>
          <w:rFonts w:asciiTheme="majorHAnsi" w:hAnsiTheme="majorHAnsi"/>
          <w:color w:val="auto"/>
          <w:sz w:val="20"/>
          <w:szCs w:val="20"/>
          <w:lang w:val="es-ES_tradnl"/>
        </w:rPr>
        <w:t xml:space="preserve"> </w:t>
      </w:r>
      <w:r w:rsidR="007A3B13" w:rsidRPr="00ED5C9A">
        <w:rPr>
          <w:rFonts w:asciiTheme="majorHAnsi" w:hAnsiTheme="majorHAnsi"/>
          <w:color w:val="auto"/>
          <w:sz w:val="20"/>
          <w:szCs w:val="20"/>
          <w:lang w:val="es-ES_tradnl"/>
        </w:rPr>
        <w:t>Por último, d</w:t>
      </w:r>
      <w:r w:rsidR="004720EC" w:rsidRPr="00ED5C9A">
        <w:rPr>
          <w:rFonts w:asciiTheme="majorHAnsi" w:hAnsiTheme="majorHAnsi"/>
          <w:color w:val="auto"/>
          <w:sz w:val="20"/>
          <w:szCs w:val="20"/>
          <w:lang w:val="es-ES_tradnl"/>
        </w:rPr>
        <w:t>estacan que</w:t>
      </w:r>
      <w:r w:rsidR="007A3B13" w:rsidRPr="00ED5C9A">
        <w:rPr>
          <w:rFonts w:asciiTheme="majorHAnsi" w:hAnsiTheme="majorHAnsi"/>
          <w:color w:val="auto"/>
          <w:sz w:val="20"/>
          <w:szCs w:val="20"/>
          <w:lang w:val="es-ES_tradnl"/>
        </w:rPr>
        <w:t xml:space="preserve"> tomando en consideración el contexto de los hechos alegados y las amenazas a Martha González,</w:t>
      </w:r>
      <w:r w:rsidR="004720EC" w:rsidRPr="00ED5C9A">
        <w:rPr>
          <w:rFonts w:asciiTheme="majorHAnsi" w:hAnsiTheme="majorHAnsi"/>
          <w:color w:val="auto"/>
          <w:sz w:val="20"/>
          <w:szCs w:val="20"/>
          <w:lang w:val="es-ES_tradnl"/>
        </w:rPr>
        <w:t xml:space="preserve"> </w:t>
      </w:r>
      <w:r w:rsidR="001B6E08" w:rsidRPr="00ED5C9A">
        <w:rPr>
          <w:rFonts w:asciiTheme="majorHAnsi" w:hAnsiTheme="majorHAnsi"/>
          <w:color w:val="auto"/>
          <w:sz w:val="20"/>
          <w:szCs w:val="20"/>
          <w:lang w:val="es-ES_tradnl"/>
        </w:rPr>
        <w:t xml:space="preserve">es inconcebible que el Estado afirme que no tenía elementos concretos que permitieran concluir que existía un riesgo real o eminente en contra del señor </w:t>
      </w:r>
      <w:r w:rsidR="00D21C5C" w:rsidRPr="00ED5C9A">
        <w:rPr>
          <w:rFonts w:asciiTheme="majorHAnsi" w:hAnsiTheme="majorHAnsi"/>
          <w:color w:val="auto"/>
          <w:sz w:val="20"/>
          <w:szCs w:val="20"/>
          <w:lang w:val="es-ES_tradnl"/>
        </w:rPr>
        <w:t xml:space="preserve">Álvaro </w:t>
      </w:r>
      <w:r w:rsidR="001B6E08" w:rsidRPr="00ED5C9A">
        <w:rPr>
          <w:rFonts w:asciiTheme="majorHAnsi" w:hAnsiTheme="majorHAnsi"/>
          <w:color w:val="auto"/>
          <w:sz w:val="20"/>
          <w:szCs w:val="20"/>
          <w:lang w:val="es-ES_tradnl"/>
        </w:rPr>
        <w:t>González</w:t>
      </w:r>
      <w:r w:rsidR="004720EC" w:rsidRPr="00ED5C9A">
        <w:rPr>
          <w:rFonts w:asciiTheme="majorHAnsi" w:hAnsiTheme="majorHAnsi"/>
          <w:color w:val="auto"/>
          <w:sz w:val="20"/>
          <w:szCs w:val="20"/>
          <w:lang w:val="es-ES_tradnl"/>
        </w:rPr>
        <w:t>.</w:t>
      </w:r>
    </w:p>
    <w:p w14:paraId="58C66AED" w14:textId="77777777" w:rsidR="0006664B" w:rsidRPr="00ED5C9A" w:rsidRDefault="0006664B" w:rsidP="0006664B">
      <w:pPr>
        <w:pStyle w:val="ListParagraph"/>
        <w:rPr>
          <w:rFonts w:asciiTheme="majorHAnsi" w:hAnsiTheme="majorHAnsi"/>
          <w:color w:val="auto"/>
          <w:sz w:val="20"/>
          <w:szCs w:val="20"/>
          <w:lang w:val="es-ES_tradnl"/>
        </w:rPr>
      </w:pPr>
    </w:p>
    <w:p w14:paraId="37D11AC7" w14:textId="576F65FC" w:rsidR="00DB696D" w:rsidRPr="00ED5C9A" w:rsidRDefault="00FB0692" w:rsidP="00DB696D">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Los peticionarios plantean</w:t>
      </w:r>
      <w:r w:rsidR="0061102F" w:rsidRPr="00ED5C9A">
        <w:rPr>
          <w:rFonts w:asciiTheme="majorHAnsi" w:hAnsiTheme="majorHAnsi"/>
          <w:color w:val="auto"/>
          <w:sz w:val="20"/>
          <w:szCs w:val="20"/>
          <w:lang w:val="es-ES_tradnl"/>
        </w:rPr>
        <w:t xml:space="preserve"> </w:t>
      </w:r>
      <w:r w:rsidR="001B6E08" w:rsidRPr="00ED5C9A">
        <w:rPr>
          <w:rFonts w:asciiTheme="majorHAnsi" w:hAnsiTheme="majorHAnsi"/>
          <w:color w:val="auto"/>
          <w:sz w:val="20"/>
          <w:szCs w:val="20"/>
          <w:lang w:val="es-ES_tradnl"/>
        </w:rPr>
        <w:t xml:space="preserve">que </w:t>
      </w:r>
      <w:r w:rsidR="0006664B" w:rsidRPr="00ED5C9A">
        <w:rPr>
          <w:rFonts w:asciiTheme="majorHAnsi" w:hAnsiTheme="majorHAnsi"/>
          <w:color w:val="auto"/>
          <w:sz w:val="20"/>
          <w:szCs w:val="20"/>
          <w:lang w:val="es-ES_tradnl"/>
        </w:rPr>
        <w:t xml:space="preserve">la petición debe verse como un todo de manera integral, </w:t>
      </w:r>
      <w:r w:rsidR="001B6E08" w:rsidRPr="00ED5C9A">
        <w:rPr>
          <w:rFonts w:asciiTheme="majorHAnsi" w:hAnsiTheme="majorHAnsi"/>
          <w:color w:val="auto"/>
          <w:sz w:val="20"/>
          <w:szCs w:val="20"/>
          <w:lang w:val="es-ES_tradnl"/>
        </w:rPr>
        <w:t xml:space="preserve">especialmente </w:t>
      </w:r>
      <w:r w:rsidR="0006664B" w:rsidRPr="00ED5C9A">
        <w:rPr>
          <w:rFonts w:asciiTheme="majorHAnsi" w:hAnsiTheme="majorHAnsi"/>
          <w:color w:val="auto"/>
          <w:sz w:val="20"/>
          <w:szCs w:val="20"/>
          <w:lang w:val="es-ES_tradnl"/>
        </w:rPr>
        <w:t xml:space="preserve">para contabilizar el lapso de los </w:t>
      </w:r>
      <w:r w:rsidR="001B6E08" w:rsidRPr="00ED5C9A">
        <w:rPr>
          <w:rFonts w:asciiTheme="majorHAnsi" w:hAnsiTheme="majorHAnsi"/>
          <w:color w:val="auto"/>
          <w:sz w:val="20"/>
          <w:szCs w:val="20"/>
          <w:lang w:val="es-ES_tradnl"/>
        </w:rPr>
        <w:t>seis</w:t>
      </w:r>
      <w:r w:rsidR="0006664B" w:rsidRPr="00ED5C9A">
        <w:rPr>
          <w:rFonts w:asciiTheme="majorHAnsi" w:hAnsiTheme="majorHAnsi"/>
          <w:color w:val="auto"/>
          <w:sz w:val="20"/>
          <w:szCs w:val="20"/>
          <w:lang w:val="es-ES_tradnl"/>
        </w:rPr>
        <w:t xml:space="preserve"> meses para </w:t>
      </w:r>
      <w:r w:rsidR="00957DF1" w:rsidRPr="00ED5C9A">
        <w:rPr>
          <w:rFonts w:asciiTheme="majorHAnsi" w:hAnsiTheme="majorHAnsi"/>
          <w:color w:val="auto"/>
          <w:sz w:val="20"/>
          <w:szCs w:val="20"/>
          <w:lang w:val="es-ES_tradnl"/>
        </w:rPr>
        <w:t>su</w:t>
      </w:r>
      <w:r w:rsidR="0006664B" w:rsidRPr="00ED5C9A">
        <w:rPr>
          <w:rFonts w:asciiTheme="majorHAnsi" w:hAnsiTheme="majorHAnsi"/>
          <w:color w:val="auto"/>
          <w:sz w:val="20"/>
          <w:szCs w:val="20"/>
          <w:lang w:val="es-ES_tradnl"/>
        </w:rPr>
        <w:t xml:space="preserve"> </w:t>
      </w:r>
      <w:r w:rsidR="001B6E08" w:rsidRPr="00ED5C9A">
        <w:rPr>
          <w:rFonts w:asciiTheme="majorHAnsi" w:hAnsiTheme="majorHAnsi"/>
          <w:color w:val="auto"/>
          <w:sz w:val="20"/>
          <w:szCs w:val="20"/>
          <w:lang w:val="es-ES_tradnl"/>
        </w:rPr>
        <w:t xml:space="preserve">presentación </w:t>
      </w:r>
      <w:r w:rsidR="00957DF1" w:rsidRPr="00ED5C9A">
        <w:rPr>
          <w:rFonts w:asciiTheme="majorHAnsi" w:hAnsiTheme="majorHAnsi"/>
          <w:color w:val="auto"/>
          <w:sz w:val="20"/>
          <w:szCs w:val="20"/>
          <w:lang w:val="es-ES_tradnl"/>
        </w:rPr>
        <w:t>a la CIDH</w:t>
      </w:r>
      <w:r w:rsidR="001B6E08" w:rsidRPr="00ED5C9A">
        <w:rPr>
          <w:rFonts w:asciiTheme="majorHAnsi" w:hAnsiTheme="majorHAnsi"/>
          <w:color w:val="auto"/>
          <w:sz w:val="20"/>
          <w:szCs w:val="20"/>
          <w:lang w:val="es-ES_tradnl"/>
        </w:rPr>
        <w:t xml:space="preserve">. En tal sentido, argumentan que este lapso debe tenerse en cuenta </w:t>
      </w:r>
      <w:r w:rsidR="0006664B" w:rsidRPr="00ED5C9A">
        <w:rPr>
          <w:rFonts w:asciiTheme="majorHAnsi" w:hAnsiTheme="majorHAnsi"/>
          <w:color w:val="auto"/>
          <w:sz w:val="20"/>
          <w:szCs w:val="20"/>
          <w:lang w:val="es-ES_tradnl"/>
        </w:rPr>
        <w:t>conforme al proceso penal</w:t>
      </w:r>
      <w:r w:rsidR="001B6E08" w:rsidRPr="00ED5C9A">
        <w:rPr>
          <w:rFonts w:asciiTheme="majorHAnsi" w:hAnsiTheme="majorHAnsi"/>
          <w:color w:val="auto"/>
          <w:sz w:val="20"/>
          <w:szCs w:val="20"/>
          <w:lang w:val="es-ES_tradnl"/>
        </w:rPr>
        <w:t xml:space="preserve"> por el homicidio de Álvaro González</w:t>
      </w:r>
      <w:r w:rsidR="0006664B" w:rsidRPr="00ED5C9A">
        <w:rPr>
          <w:rFonts w:asciiTheme="majorHAnsi" w:hAnsiTheme="majorHAnsi"/>
          <w:color w:val="auto"/>
          <w:sz w:val="20"/>
          <w:szCs w:val="20"/>
          <w:lang w:val="es-ES_tradnl"/>
        </w:rPr>
        <w:t xml:space="preserve"> y no </w:t>
      </w:r>
      <w:r w:rsidR="00957DF1" w:rsidRPr="00ED5C9A">
        <w:rPr>
          <w:rFonts w:asciiTheme="majorHAnsi" w:hAnsiTheme="majorHAnsi"/>
          <w:color w:val="auto"/>
          <w:sz w:val="20"/>
          <w:szCs w:val="20"/>
          <w:lang w:val="es-ES_tradnl"/>
        </w:rPr>
        <w:t>respecto</w:t>
      </w:r>
      <w:r w:rsidR="001B6E08" w:rsidRPr="00ED5C9A">
        <w:rPr>
          <w:rFonts w:asciiTheme="majorHAnsi" w:hAnsiTheme="majorHAnsi"/>
          <w:color w:val="auto"/>
          <w:sz w:val="20"/>
          <w:szCs w:val="20"/>
          <w:lang w:val="es-ES_tradnl"/>
        </w:rPr>
        <w:t xml:space="preserve"> al </w:t>
      </w:r>
      <w:r w:rsidR="0006664B" w:rsidRPr="00ED5C9A">
        <w:rPr>
          <w:rFonts w:asciiTheme="majorHAnsi" w:hAnsiTheme="majorHAnsi"/>
          <w:color w:val="auto"/>
          <w:sz w:val="20"/>
          <w:szCs w:val="20"/>
          <w:lang w:val="es-ES_tradnl"/>
        </w:rPr>
        <w:t xml:space="preserve">proceso de </w:t>
      </w:r>
      <w:r w:rsidR="001B6E08" w:rsidRPr="00ED5C9A">
        <w:rPr>
          <w:rFonts w:asciiTheme="majorHAnsi" w:hAnsiTheme="majorHAnsi"/>
          <w:color w:val="auto"/>
          <w:sz w:val="20"/>
          <w:szCs w:val="20"/>
          <w:lang w:val="es-ES_tradnl"/>
        </w:rPr>
        <w:t xml:space="preserve">la </w:t>
      </w:r>
      <w:r w:rsidR="0006664B" w:rsidRPr="00ED5C9A">
        <w:rPr>
          <w:rFonts w:asciiTheme="majorHAnsi" w:hAnsiTheme="majorHAnsi"/>
          <w:color w:val="auto"/>
          <w:sz w:val="20"/>
          <w:szCs w:val="20"/>
          <w:lang w:val="es-ES_tradnl"/>
        </w:rPr>
        <w:t xml:space="preserve">acción de tutela </w:t>
      </w:r>
      <w:r w:rsidR="00DB696D" w:rsidRPr="00ED5C9A">
        <w:rPr>
          <w:rFonts w:asciiTheme="majorHAnsi" w:hAnsiTheme="majorHAnsi"/>
          <w:color w:val="auto"/>
          <w:sz w:val="20"/>
          <w:szCs w:val="20"/>
          <w:lang w:val="es-ES_tradnl"/>
        </w:rPr>
        <w:t xml:space="preserve">frente </w:t>
      </w:r>
      <w:r w:rsidR="0006664B" w:rsidRPr="00ED5C9A">
        <w:rPr>
          <w:rFonts w:asciiTheme="majorHAnsi" w:hAnsiTheme="majorHAnsi"/>
          <w:color w:val="auto"/>
          <w:sz w:val="20"/>
          <w:szCs w:val="20"/>
          <w:lang w:val="es-ES_tradnl"/>
        </w:rPr>
        <w:t xml:space="preserve">de la </w:t>
      </w:r>
      <w:r w:rsidR="00AA1A96" w:rsidRPr="00ED5C9A">
        <w:rPr>
          <w:rFonts w:asciiTheme="majorHAnsi" w:hAnsiTheme="majorHAnsi"/>
          <w:color w:val="auto"/>
          <w:sz w:val="20"/>
          <w:szCs w:val="20"/>
          <w:lang w:val="es-ES_tradnl"/>
        </w:rPr>
        <w:t>R</w:t>
      </w:r>
      <w:r w:rsidR="0006664B" w:rsidRPr="00ED5C9A">
        <w:rPr>
          <w:rFonts w:asciiTheme="majorHAnsi" w:hAnsiTheme="majorHAnsi"/>
          <w:color w:val="auto"/>
          <w:sz w:val="20"/>
          <w:szCs w:val="20"/>
          <w:lang w:val="es-ES_tradnl"/>
        </w:rPr>
        <w:t xml:space="preserve">esolución </w:t>
      </w:r>
      <w:r w:rsidR="001B6E08" w:rsidRPr="00ED5C9A">
        <w:rPr>
          <w:rFonts w:asciiTheme="majorHAnsi" w:hAnsiTheme="majorHAnsi"/>
          <w:color w:val="auto"/>
          <w:sz w:val="20"/>
          <w:szCs w:val="20"/>
          <w:lang w:val="es-ES_tradnl"/>
        </w:rPr>
        <w:t xml:space="preserve">No. 2619 </w:t>
      </w:r>
      <w:r w:rsidR="0006664B" w:rsidRPr="00ED5C9A">
        <w:rPr>
          <w:rFonts w:asciiTheme="majorHAnsi" w:hAnsiTheme="majorHAnsi"/>
          <w:color w:val="auto"/>
          <w:sz w:val="20"/>
          <w:szCs w:val="20"/>
          <w:lang w:val="es-ES_tradnl"/>
        </w:rPr>
        <w:t>de</w:t>
      </w:r>
      <w:r w:rsidR="001B6E08" w:rsidRPr="00ED5C9A">
        <w:rPr>
          <w:rFonts w:asciiTheme="majorHAnsi" w:hAnsiTheme="majorHAnsi"/>
          <w:color w:val="auto"/>
          <w:sz w:val="20"/>
          <w:szCs w:val="20"/>
          <w:lang w:val="es-ES_tradnl"/>
        </w:rPr>
        <w:t xml:space="preserve"> </w:t>
      </w:r>
      <w:r w:rsidR="0006664B" w:rsidRPr="00ED5C9A">
        <w:rPr>
          <w:rFonts w:asciiTheme="majorHAnsi" w:hAnsiTheme="majorHAnsi"/>
          <w:color w:val="auto"/>
          <w:sz w:val="20"/>
          <w:szCs w:val="20"/>
          <w:lang w:val="es-ES_tradnl"/>
        </w:rPr>
        <w:t>1999</w:t>
      </w:r>
      <w:r w:rsidR="00DD7909" w:rsidRPr="00ED5C9A">
        <w:rPr>
          <w:rFonts w:asciiTheme="majorHAnsi" w:hAnsiTheme="majorHAnsi"/>
          <w:color w:val="auto"/>
          <w:sz w:val="20"/>
          <w:szCs w:val="20"/>
          <w:lang w:val="es-ES_tradnl"/>
        </w:rPr>
        <w:t xml:space="preserve">. </w:t>
      </w:r>
      <w:r w:rsidR="00957DF1" w:rsidRPr="00ED5C9A">
        <w:rPr>
          <w:rFonts w:asciiTheme="majorHAnsi" w:hAnsiTheme="majorHAnsi"/>
          <w:color w:val="auto"/>
          <w:sz w:val="20"/>
          <w:szCs w:val="20"/>
          <w:lang w:val="es-ES_tradnl"/>
        </w:rPr>
        <w:t>L</w:t>
      </w:r>
      <w:r w:rsidR="00DD7909" w:rsidRPr="00ED5C9A">
        <w:rPr>
          <w:rFonts w:asciiTheme="majorHAnsi" w:hAnsiTheme="majorHAnsi"/>
          <w:color w:val="auto"/>
          <w:sz w:val="20"/>
          <w:szCs w:val="20"/>
          <w:lang w:val="es-ES_tradnl"/>
        </w:rPr>
        <w:t xml:space="preserve">os peticionarios insisten </w:t>
      </w:r>
      <w:r w:rsidR="00957DF1" w:rsidRPr="00ED5C9A">
        <w:rPr>
          <w:rFonts w:asciiTheme="majorHAnsi" w:hAnsiTheme="majorHAnsi"/>
          <w:color w:val="auto"/>
          <w:sz w:val="20"/>
          <w:szCs w:val="20"/>
          <w:lang w:val="es-ES_tradnl"/>
        </w:rPr>
        <w:t xml:space="preserve">en </w:t>
      </w:r>
      <w:r w:rsidR="00DD7909" w:rsidRPr="00ED5C9A">
        <w:rPr>
          <w:rFonts w:asciiTheme="majorHAnsi" w:hAnsiTheme="majorHAnsi"/>
          <w:color w:val="auto"/>
          <w:sz w:val="20"/>
          <w:szCs w:val="20"/>
          <w:lang w:val="es-ES_tradnl"/>
        </w:rPr>
        <w:t xml:space="preserve">que respecto a Martha González y su familia, </w:t>
      </w:r>
      <w:r w:rsidR="001B6E08" w:rsidRPr="00ED5C9A">
        <w:rPr>
          <w:rFonts w:asciiTheme="majorHAnsi" w:hAnsiTheme="majorHAnsi"/>
          <w:color w:val="auto"/>
          <w:sz w:val="20"/>
          <w:szCs w:val="20"/>
          <w:lang w:val="es-ES_tradnl"/>
        </w:rPr>
        <w:t>la presente petición se fundamenta</w:t>
      </w:r>
      <w:r w:rsidR="008545C3" w:rsidRPr="00ED5C9A">
        <w:rPr>
          <w:rFonts w:asciiTheme="majorHAnsi" w:hAnsiTheme="majorHAnsi"/>
          <w:color w:val="auto"/>
          <w:sz w:val="20"/>
          <w:szCs w:val="20"/>
          <w:lang w:val="es-ES_tradnl"/>
        </w:rPr>
        <w:t xml:space="preserve"> </w:t>
      </w:r>
      <w:r w:rsidR="001B6E08" w:rsidRPr="00ED5C9A">
        <w:rPr>
          <w:rFonts w:asciiTheme="majorHAnsi" w:hAnsiTheme="majorHAnsi"/>
          <w:color w:val="auto"/>
          <w:sz w:val="20"/>
          <w:szCs w:val="20"/>
          <w:lang w:val="es-ES_tradnl"/>
        </w:rPr>
        <w:t xml:space="preserve">en </w:t>
      </w:r>
      <w:r w:rsidR="00DD7909" w:rsidRPr="00ED5C9A">
        <w:rPr>
          <w:rFonts w:asciiTheme="majorHAnsi" w:hAnsiTheme="majorHAnsi"/>
          <w:color w:val="auto"/>
          <w:sz w:val="20"/>
          <w:szCs w:val="20"/>
          <w:lang w:val="es-ES_tradnl"/>
        </w:rPr>
        <w:t xml:space="preserve">el </w:t>
      </w:r>
      <w:r w:rsidR="0006664B" w:rsidRPr="00ED5C9A">
        <w:rPr>
          <w:rFonts w:asciiTheme="majorHAnsi" w:hAnsiTheme="majorHAnsi"/>
          <w:color w:val="auto"/>
          <w:sz w:val="20"/>
          <w:szCs w:val="20"/>
          <w:lang w:val="es-ES_tradnl"/>
        </w:rPr>
        <w:t xml:space="preserve">desplazamiento forzado y exilio </w:t>
      </w:r>
      <w:r w:rsidR="00DD7909" w:rsidRPr="00ED5C9A">
        <w:rPr>
          <w:rFonts w:asciiTheme="majorHAnsi" w:hAnsiTheme="majorHAnsi"/>
          <w:color w:val="auto"/>
          <w:sz w:val="20"/>
          <w:szCs w:val="20"/>
          <w:lang w:val="es-ES_tradnl"/>
        </w:rPr>
        <w:t xml:space="preserve">prolongado sufrido </w:t>
      </w:r>
      <w:r w:rsidR="00957DF1" w:rsidRPr="00ED5C9A">
        <w:rPr>
          <w:rFonts w:asciiTheme="majorHAnsi" w:hAnsiTheme="majorHAnsi"/>
          <w:color w:val="auto"/>
          <w:sz w:val="20"/>
          <w:szCs w:val="20"/>
          <w:lang w:val="es-ES_tradnl"/>
        </w:rPr>
        <w:t xml:space="preserve">por estos </w:t>
      </w:r>
      <w:r w:rsidR="00DD7909" w:rsidRPr="00ED5C9A">
        <w:rPr>
          <w:rFonts w:asciiTheme="majorHAnsi" w:hAnsiTheme="majorHAnsi"/>
          <w:color w:val="auto"/>
          <w:sz w:val="20"/>
          <w:szCs w:val="20"/>
          <w:lang w:val="es-ES_tradnl"/>
        </w:rPr>
        <w:t>como consecuencia del</w:t>
      </w:r>
      <w:r w:rsidR="008545C3" w:rsidRPr="00ED5C9A">
        <w:rPr>
          <w:rFonts w:asciiTheme="majorHAnsi" w:hAnsiTheme="majorHAnsi"/>
          <w:color w:val="auto"/>
          <w:sz w:val="20"/>
          <w:szCs w:val="20"/>
          <w:lang w:val="es-ES_tradnl"/>
        </w:rPr>
        <w:t xml:space="preserve"> actuar de agentes estatales y terceros</w:t>
      </w:r>
      <w:r w:rsidR="00E90D3C" w:rsidRPr="00ED5C9A">
        <w:rPr>
          <w:rFonts w:asciiTheme="majorHAnsi" w:hAnsiTheme="majorHAnsi"/>
          <w:color w:val="auto"/>
          <w:sz w:val="20"/>
          <w:szCs w:val="20"/>
          <w:lang w:val="es-ES_tradnl"/>
        </w:rPr>
        <w:t>;</w:t>
      </w:r>
      <w:r w:rsidR="001B6E08" w:rsidRPr="00ED5C9A">
        <w:rPr>
          <w:rFonts w:asciiTheme="majorHAnsi" w:hAnsiTheme="majorHAnsi"/>
          <w:color w:val="auto"/>
          <w:sz w:val="20"/>
          <w:szCs w:val="20"/>
          <w:lang w:val="es-ES_tradnl"/>
        </w:rPr>
        <w:t xml:space="preserve"> así como</w:t>
      </w:r>
      <w:r w:rsidR="008545C3" w:rsidRPr="00ED5C9A">
        <w:rPr>
          <w:rFonts w:asciiTheme="majorHAnsi" w:hAnsiTheme="majorHAnsi"/>
          <w:color w:val="auto"/>
          <w:sz w:val="20"/>
          <w:szCs w:val="20"/>
          <w:lang w:val="es-ES_tradnl"/>
        </w:rPr>
        <w:t xml:space="preserve"> </w:t>
      </w:r>
      <w:r w:rsidR="00957DF1" w:rsidRPr="00ED5C9A">
        <w:rPr>
          <w:rFonts w:asciiTheme="majorHAnsi" w:hAnsiTheme="majorHAnsi"/>
          <w:color w:val="auto"/>
          <w:sz w:val="20"/>
          <w:szCs w:val="20"/>
          <w:lang w:val="es-ES_tradnl"/>
        </w:rPr>
        <w:t>en</w:t>
      </w:r>
      <w:r w:rsidR="008545C3" w:rsidRPr="00ED5C9A">
        <w:rPr>
          <w:rFonts w:asciiTheme="majorHAnsi" w:hAnsiTheme="majorHAnsi"/>
          <w:color w:val="auto"/>
          <w:sz w:val="20"/>
          <w:szCs w:val="20"/>
          <w:lang w:val="es-ES_tradnl"/>
        </w:rPr>
        <w:t xml:space="preserve"> la omisión del Estado de realizar</w:t>
      </w:r>
      <w:r w:rsidR="001B6E08" w:rsidRPr="00ED5C9A">
        <w:rPr>
          <w:rFonts w:asciiTheme="majorHAnsi" w:hAnsiTheme="majorHAnsi"/>
          <w:color w:val="auto"/>
          <w:sz w:val="20"/>
          <w:szCs w:val="20"/>
          <w:lang w:val="es-ES_tradnl"/>
        </w:rPr>
        <w:t xml:space="preserve"> </w:t>
      </w:r>
      <w:r w:rsidR="008545C3" w:rsidRPr="00ED5C9A">
        <w:rPr>
          <w:rFonts w:asciiTheme="majorHAnsi" w:hAnsiTheme="majorHAnsi"/>
          <w:color w:val="auto"/>
          <w:sz w:val="20"/>
          <w:szCs w:val="20"/>
          <w:lang w:val="es-ES_tradnl"/>
        </w:rPr>
        <w:t xml:space="preserve">las gestiones suficientes para garantizar su regreso o su estabilización </w:t>
      </w:r>
      <w:r w:rsidR="00957DF1" w:rsidRPr="00ED5C9A">
        <w:rPr>
          <w:rFonts w:asciiTheme="majorHAnsi" w:hAnsiTheme="majorHAnsi"/>
          <w:color w:val="auto"/>
          <w:sz w:val="20"/>
          <w:szCs w:val="20"/>
          <w:lang w:val="es-ES_tradnl"/>
        </w:rPr>
        <w:t>socioeconómica</w:t>
      </w:r>
      <w:r w:rsidR="008545C3" w:rsidRPr="00ED5C9A">
        <w:rPr>
          <w:rFonts w:asciiTheme="majorHAnsi" w:hAnsiTheme="majorHAnsi"/>
          <w:color w:val="auto"/>
          <w:sz w:val="20"/>
          <w:szCs w:val="20"/>
          <w:lang w:val="es-ES_tradnl"/>
        </w:rPr>
        <w:t xml:space="preserve"> en el exilio</w:t>
      </w:r>
      <w:r w:rsidR="0040257C" w:rsidRPr="00ED5C9A">
        <w:rPr>
          <w:rFonts w:asciiTheme="majorHAnsi" w:hAnsiTheme="majorHAnsi"/>
          <w:color w:val="auto"/>
          <w:sz w:val="20"/>
          <w:szCs w:val="20"/>
          <w:lang w:val="es-ES_tradnl"/>
        </w:rPr>
        <w:t>.</w:t>
      </w:r>
      <w:r w:rsidR="0050693A" w:rsidRPr="00ED5C9A">
        <w:rPr>
          <w:rFonts w:asciiTheme="majorHAnsi" w:hAnsiTheme="majorHAnsi"/>
          <w:color w:val="auto"/>
          <w:sz w:val="20"/>
          <w:szCs w:val="20"/>
          <w:lang w:val="es-ES_tradnl"/>
        </w:rPr>
        <w:t xml:space="preserve"> </w:t>
      </w:r>
      <w:r w:rsidR="00DB696D" w:rsidRPr="00ED5C9A">
        <w:rPr>
          <w:rFonts w:asciiTheme="majorHAnsi" w:hAnsiTheme="majorHAnsi"/>
          <w:color w:val="auto"/>
          <w:sz w:val="20"/>
          <w:szCs w:val="20"/>
          <w:lang w:val="es-ES_tradnl"/>
        </w:rPr>
        <w:t xml:space="preserve">En tal sentido, sostienen que el Estado </w:t>
      </w:r>
      <w:r w:rsidR="00DB696D" w:rsidRPr="00ED5C9A">
        <w:rPr>
          <w:rFonts w:asciiTheme="majorHAnsi" w:eastAsia="Arial Unicode MS" w:hAnsiTheme="majorHAnsi" w:cs="Times New Roman"/>
          <w:color w:val="auto"/>
          <w:sz w:val="20"/>
          <w:szCs w:val="20"/>
          <w:lang w:val="es-ES_tradnl" w:eastAsia="en-US"/>
        </w:rPr>
        <w:t xml:space="preserve">asume que la petición presentada versa sobre los errores judiciales en el mencionado trámite de tutela e ignora los argumentos, hechos y pruebas acerca del desplazamiento forzado de la familia González Rodríguez. </w:t>
      </w:r>
    </w:p>
    <w:p w14:paraId="03E66EE5" w14:textId="77777777" w:rsidR="00FB383A" w:rsidRPr="00ED5C9A" w:rsidRDefault="00FB383A" w:rsidP="00FB383A">
      <w:pPr>
        <w:pStyle w:val="ListParagraph"/>
        <w:rPr>
          <w:rFonts w:asciiTheme="majorHAnsi" w:hAnsiTheme="majorHAnsi"/>
          <w:color w:val="auto"/>
          <w:sz w:val="20"/>
          <w:szCs w:val="20"/>
          <w:lang w:val="es-ES_tradnl"/>
        </w:rPr>
      </w:pPr>
    </w:p>
    <w:p w14:paraId="23032B99" w14:textId="507A2A3C" w:rsidR="0040257C" w:rsidRPr="00ED5C9A" w:rsidRDefault="00DB696D" w:rsidP="00EE3663">
      <w:pPr>
        <w:pStyle w:val="ListParagraph"/>
        <w:numPr>
          <w:ilvl w:val="0"/>
          <w:numId w:val="57"/>
        </w:numPr>
        <w:ind w:left="0" w:firstLine="720"/>
        <w:jc w:val="both"/>
        <w:rPr>
          <w:rFonts w:asciiTheme="majorHAnsi" w:hAnsiTheme="majorHAnsi"/>
          <w:b/>
          <w:bCs/>
          <w:color w:val="auto"/>
          <w:sz w:val="20"/>
          <w:szCs w:val="20"/>
          <w:lang w:val="es-ES_tradnl"/>
        </w:rPr>
      </w:pPr>
      <w:r w:rsidRPr="00ED5C9A">
        <w:rPr>
          <w:rFonts w:asciiTheme="majorHAnsi" w:hAnsiTheme="majorHAnsi"/>
          <w:color w:val="auto"/>
          <w:sz w:val="20"/>
          <w:szCs w:val="20"/>
          <w:lang w:val="es-ES_tradnl"/>
        </w:rPr>
        <w:t xml:space="preserve">Finalmente, respecto al alegato de la nombrada “cuarta instancia”, afirman que </w:t>
      </w:r>
      <w:r w:rsidR="00DF6914" w:rsidRPr="00ED5C9A">
        <w:rPr>
          <w:rFonts w:asciiTheme="majorHAnsi" w:hAnsiTheme="majorHAnsi"/>
          <w:color w:val="auto"/>
          <w:sz w:val="20"/>
          <w:szCs w:val="20"/>
          <w:lang w:val="es-ES_tradnl"/>
        </w:rPr>
        <w:t xml:space="preserve">la petición </w:t>
      </w:r>
      <w:r w:rsidRPr="00ED5C9A">
        <w:rPr>
          <w:rFonts w:asciiTheme="majorHAnsi" w:hAnsiTheme="majorHAnsi"/>
          <w:color w:val="auto"/>
          <w:sz w:val="20"/>
          <w:szCs w:val="20"/>
          <w:lang w:val="es-ES_tradnl"/>
        </w:rPr>
        <w:t xml:space="preserve">no </w:t>
      </w:r>
      <w:r w:rsidR="00CE644C" w:rsidRPr="00ED5C9A">
        <w:rPr>
          <w:rFonts w:asciiTheme="majorHAnsi" w:hAnsiTheme="majorHAnsi"/>
          <w:color w:val="auto"/>
          <w:sz w:val="20"/>
          <w:szCs w:val="20"/>
          <w:lang w:val="es-ES_tradnl"/>
        </w:rPr>
        <w:t xml:space="preserve">pretende </w:t>
      </w:r>
      <w:r w:rsidR="00DF6914" w:rsidRPr="00ED5C9A">
        <w:rPr>
          <w:rFonts w:asciiTheme="majorHAnsi" w:hAnsiTheme="majorHAnsi"/>
          <w:color w:val="auto"/>
          <w:sz w:val="20"/>
          <w:szCs w:val="20"/>
          <w:lang w:val="es-ES_tradnl"/>
        </w:rPr>
        <w:t>revivir una discusión ya definida a nivel interno</w:t>
      </w:r>
      <w:r w:rsidR="00CE644C" w:rsidRPr="00ED5C9A">
        <w:rPr>
          <w:rFonts w:asciiTheme="majorHAnsi" w:hAnsiTheme="majorHAnsi"/>
          <w:color w:val="auto"/>
          <w:sz w:val="20"/>
          <w:szCs w:val="20"/>
          <w:lang w:val="es-ES_tradnl"/>
        </w:rPr>
        <w:t>, en relación con la reincorporación al servicio diplomático de Martha González</w:t>
      </w:r>
      <w:r w:rsidR="00E90D3C" w:rsidRPr="00ED5C9A">
        <w:rPr>
          <w:rFonts w:asciiTheme="majorHAnsi" w:hAnsiTheme="majorHAnsi"/>
          <w:color w:val="auto"/>
          <w:sz w:val="20"/>
          <w:szCs w:val="20"/>
          <w:lang w:val="es-ES_tradnl"/>
        </w:rPr>
        <w:t xml:space="preserve">; sino </w:t>
      </w:r>
      <w:r w:rsidR="00DF6914" w:rsidRPr="00ED5C9A">
        <w:rPr>
          <w:rFonts w:asciiTheme="majorHAnsi" w:hAnsiTheme="majorHAnsi"/>
          <w:color w:val="auto"/>
          <w:sz w:val="20"/>
          <w:szCs w:val="20"/>
          <w:lang w:val="es-ES_tradnl"/>
        </w:rPr>
        <w:t xml:space="preserve">la declaración de responsabilidad del Estado por los hechos alegados relativos al desplazamiento forzado de las víctimas y el asesinato del señor Álvaro González Santana. </w:t>
      </w:r>
    </w:p>
    <w:p w14:paraId="683E84A0" w14:textId="77777777" w:rsidR="00E90D3C" w:rsidRPr="00ED5C9A" w:rsidRDefault="00E90D3C" w:rsidP="00E90D3C">
      <w:pPr>
        <w:pStyle w:val="ListParagraph"/>
        <w:rPr>
          <w:rFonts w:asciiTheme="majorHAnsi" w:hAnsiTheme="majorHAnsi"/>
          <w:b/>
          <w:bCs/>
          <w:color w:val="auto"/>
          <w:sz w:val="20"/>
          <w:szCs w:val="20"/>
          <w:lang w:val="es-ES_tradnl"/>
        </w:rPr>
      </w:pPr>
    </w:p>
    <w:p w14:paraId="79B32279" w14:textId="56491E4D" w:rsidR="00E90D3C" w:rsidRPr="00ED5C9A" w:rsidRDefault="00E90D3C" w:rsidP="00E90D3C">
      <w:pPr>
        <w:pStyle w:val="ListParagraph"/>
        <w:jc w:val="both"/>
        <w:rPr>
          <w:rFonts w:asciiTheme="majorHAnsi" w:hAnsiTheme="majorHAnsi"/>
          <w:i/>
          <w:iCs/>
          <w:color w:val="auto"/>
          <w:sz w:val="20"/>
          <w:szCs w:val="20"/>
          <w:lang w:val="es-ES_tradnl"/>
        </w:rPr>
      </w:pPr>
      <w:r w:rsidRPr="00ED5C9A">
        <w:rPr>
          <w:rFonts w:asciiTheme="majorHAnsi" w:hAnsiTheme="majorHAnsi"/>
          <w:i/>
          <w:iCs/>
          <w:color w:val="auto"/>
          <w:sz w:val="20"/>
          <w:szCs w:val="20"/>
          <w:lang w:val="es-ES_tradnl"/>
        </w:rPr>
        <w:t>Alegatos del Estado colombiano</w:t>
      </w:r>
    </w:p>
    <w:p w14:paraId="3FA62AF7" w14:textId="77777777" w:rsidR="00CE644C" w:rsidRPr="00ED5C9A" w:rsidRDefault="00CE644C" w:rsidP="00CE644C">
      <w:pPr>
        <w:jc w:val="both"/>
        <w:rPr>
          <w:rFonts w:asciiTheme="majorHAnsi" w:hAnsiTheme="majorHAnsi"/>
          <w:b/>
          <w:bCs/>
          <w:sz w:val="20"/>
          <w:szCs w:val="20"/>
          <w:lang w:val="es-ES_tradnl"/>
        </w:rPr>
      </w:pPr>
    </w:p>
    <w:p w14:paraId="6C66B29C" w14:textId="77619012" w:rsidR="00A0157B" w:rsidRPr="00ED5C9A" w:rsidRDefault="00CE6044"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Por su parte, el Estado</w:t>
      </w:r>
      <w:r w:rsidR="00E2552E" w:rsidRPr="00ED5C9A">
        <w:rPr>
          <w:rFonts w:asciiTheme="majorHAnsi" w:hAnsiTheme="majorHAnsi"/>
          <w:color w:val="auto"/>
          <w:sz w:val="20"/>
          <w:szCs w:val="20"/>
          <w:lang w:val="es-ES_tradnl"/>
        </w:rPr>
        <w:t xml:space="preserve"> </w:t>
      </w:r>
      <w:r w:rsidR="005853A8" w:rsidRPr="00ED5C9A">
        <w:rPr>
          <w:rFonts w:asciiTheme="majorHAnsi" w:hAnsiTheme="majorHAnsi"/>
          <w:bCs/>
          <w:color w:val="auto"/>
          <w:sz w:val="20"/>
          <w:szCs w:val="20"/>
          <w:lang w:val="es-ES_tradnl"/>
        </w:rPr>
        <w:t xml:space="preserve">argumenta </w:t>
      </w:r>
      <w:r w:rsidR="00A0157B" w:rsidRPr="00ED5C9A">
        <w:rPr>
          <w:rFonts w:asciiTheme="majorHAnsi" w:hAnsiTheme="majorHAnsi"/>
          <w:bCs/>
          <w:color w:val="auto"/>
          <w:sz w:val="20"/>
          <w:szCs w:val="20"/>
          <w:lang w:val="es-ES_tradnl"/>
        </w:rPr>
        <w:t>que los hechos alegados no deben ser analizados de manera integral en tanto</w:t>
      </w:r>
      <w:r w:rsidR="001946A7" w:rsidRPr="00ED5C9A">
        <w:rPr>
          <w:rFonts w:asciiTheme="majorHAnsi" w:hAnsiTheme="majorHAnsi"/>
          <w:bCs/>
          <w:color w:val="auto"/>
          <w:sz w:val="20"/>
          <w:szCs w:val="20"/>
          <w:lang w:val="es-ES_tradnl"/>
        </w:rPr>
        <w:t xml:space="preserve"> la petición</w:t>
      </w:r>
      <w:r w:rsidR="00A0157B" w:rsidRPr="00ED5C9A">
        <w:rPr>
          <w:rFonts w:asciiTheme="majorHAnsi" w:hAnsiTheme="majorHAnsi"/>
          <w:bCs/>
          <w:color w:val="auto"/>
          <w:sz w:val="20"/>
          <w:szCs w:val="20"/>
          <w:lang w:val="es-ES_tradnl"/>
        </w:rPr>
        <w:t xml:space="preserve"> versa sobre dos hechos distintos</w:t>
      </w:r>
      <w:r w:rsidR="001946A7" w:rsidRPr="00ED5C9A">
        <w:rPr>
          <w:rFonts w:asciiTheme="majorHAnsi" w:hAnsiTheme="majorHAnsi"/>
          <w:bCs/>
          <w:color w:val="auto"/>
          <w:sz w:val="20"/>
          <w:szCs w:val="20"/>
          <w:lang w:val="es-ES_tradnl"/>
        </w:rPr>
        <w:t>; p</w:t>
      </w:r>
      <w:r w:rsidR="00A0157B" w:rsidRPr="00ED5C9A">
        <w:rPr>
          <w:rFonts w:asciiTheme="majorHAnsi" w:hAnsiTheme="majorHAnsi"/>
          <w:bCs/>
          <w:color w:val="auto"/>
          <w:sz w:val="20"/>
          <w:szCs w:val="20"/>
          <w:lang w:val="es-ES_tradnl"/>
        </w:rPr>
        <w:t xml:space="preserve">or una </w:t>
      </w:r>
      <w:r w:rsidR="00CA29CE" w:rsidRPr="00ED5C9A">
        <w:rPr>
          <w:rFonts w:asciiTheme="majorHAnsi" w:hAnsiTheme="majorHAnsi"/>
          <w:bCs/>
          <w:color w:val="auto"/>
          <w:sz w:val="20"/>
          <w:szCs w:val="20"/>
          <w:lang w:val="es-ES_tradnl"/>
        </w:rPr>
        <w:t>parte,</w:t>
      </w:r>
      <w:r w:rsidR="00A0157B" w:rsidRPr="00ED5C9A">
        <w:rPr>
          <w:rFonts w:asciiTheme="majorHAnsi" w:hAnsiTheme="majorHAnsi"/>
          <w:bCs/>
          <w:color w:val="auto"/>
          <w:sz w:val="20"/>
          <w:szCs w:val="20"/>
          <w:lang w:val="es-ES_tradnl"/>
        </w:rPr>
        <w:t xml:space="preserve"> la muerte de </w:t>
      </w:r>
      <w:r w:rsidR="00AE180D" w:rsidRPr="00ED5C9A">
        <w:rPr>
          <w:rFonts w:asciiTheme="majorHAnsi" w:hAnsiTheme="majorHAnsi"/>
          <w:bCs/>
          <w:color w:val="auto"/>
          <w:sz w:val="20"/>
          <w:szCs w:val="20"/>
          <w:lang w:val="es-ES_tradnl"/>
        </w:rPr>
        <w:t>Álvaro</w:t>
      </w:r>
      <w:r w:rsidR="00A0157B" w:rsidRPr="00ED5C9A">
        <w:rPr>
          <w:rFonts w:asciiTheme="majorHAnsi" w:hAnsiTheme="majorHAnsi"/>
          <w:bCs/>
          <w:color w:val="auto"/>
          <w:sz w:val="20"/>
          <w:szCs w:val="20"/>
          <w:lang w:val="es-ES_tradnl"/>
        </w:rPr>
        <w:t xml:space="preserve"> </w:t>
      </w:r>
      <w:r w:rsidR="00AE180D" w:rsidRPr="00ED5C9A">
        <w:rPr>
          <w:rFonts w:asciiTheme="majorHAnsi" w:hAnsiTheme="majorHAnsi"/>
          <w:bCs/>
          <w:color w:val="auto"/>
          <w:sz w:val="20"/>
          <w:szCs w:val="20"/>
          <w:lang w:val="es-ES_tradnl"/>
        </w:rPr>
        <w:t>González</w:t>
      </w:r>
      <w:r w:rsidR="00A0157B" w:rsidRPr="00ED5C9A">
        <w:rPr>
          <w:rFonts w:asciiTheme="majorHAnsi" w:hAnsiTheme="majorHAnsi"/>
          <w:bCs/>
          <w:color w:val="auto"/>
          <w:sz w:val="20"/>
          <w:szCs w:val="20"/>
          <w:lang w:val="es-ES_tradnl"/>
        </w:rPr>
        <w:t xml:space="preserve"> y por otra</w:t>
      </w:r>
      <w:r w:rsidR="0002644B" w:rsidRPr="00ED5C9A">
        <w:rPr>
          <w:rFonts w:asciiTheme="majorHAnsi" w:hAnsiTheme="majorHAnsi"/>
          <w:bCs/>
          <w:color w:val="auto"/>
          <w:sz w:val="20"/>
          <w:szCs w:val="20"/>
          <w:lang w:val="es-ES_tradnl"/>
        </w:rPr>
        <w:t xml:space="preserve">, </w:t>
      </w:r>
      <w:r w:rsidR="00A0157B" w:rsidRPr="00ED5C9A">
        <w:rPr>
          <w:rFonts w:asciiTheme="majorHAnsi" w:hAnsiTheme="majorHAnsi"/>
          <w:bCs/>
          <w:color w:val="auto"/>
          <w:sz w:val="20"/>
          <w:szCs w:val="20"/>
          <w:lang w:val="es-ES_tradnl"/>
        </w:rPr>
        <w:t xml:space="preserve">el levantamiento de las medidas de protección adoptadas por el Estado para proteger y salvaguardar la vida e integridad familiar de Martha González. Aunque puede eventualmente existir una relación entre estos dos hechos, de ello no se deriva que la Comisión deba analizarlos conjuntamente, por cuanto las obligaciones internacionales en cabeza del Estado para cada caso poseen alcances diferentes. </w:t>
      </w:r>
    </w:p>
    <w:p w14:paraId="2E5C2426" w14:textId="77777777" w:rsidR="002A610D" w:rsidRPr="00ED5C9A" w:rsidRDefault="002A610D" w:rsidP="002A610D">
      <w:pPr>
        <w:pStyle w:val="ListParagraph"/>
        <w:rPr>
          <w:rFonts w:asciiTheme="majorHAnsi" w:hAnsiTheme="majorHAnsi"/>
          <w:bCs/>
          <w:color w:val="auto"/>
          <w:sz w:val="20"/>
          <w:szCs w:val="20"/>
          <w:lang w:val="es-ES_tradnl"/>
        </w:rPr>
      </w:pPr>
    </w:p>
    <w:p w14:paraId="205EC073" w14:textId="5475839E" w:rsidR="002A610D" w:rsidRPr="00ED5C9A" w:rsidRDefault="002A610D"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E</w:t>
      </w:r>
      <w:r w:rsidR="001978B5" w:rsidRPr="00ED5C9A">
        <w:rPr>
          <w:rFonts w:asciiTheme="majorHAnsi" w:hAnsiTheme="majorHAnsi"/>
          <w:bCs/>
          <w:color w:val="auto"/>
          <w:sz w:val="20"/>
          <w:szCs w:val="20"/>
          <w:lang w:val="es-ES_tradnl"/>
        </w:rPr>
        <w:t>n particular, e</w:t>
      </w:r>
      <w:r w:rsidRPr="00ED5C9A">
        <w:rPr>
          <w:rFonts w:asciiTheme="majorHAnsi" w:hAnsiTheme="majorHAnsi"/>
          <w:bCs/>
          <w:color w:val="auto"/>
          <w:sz w:val="20"/>
          <w:szCs w:val="20"/>
          <w:lang w:val="es-ES_tradnl"/>
        </w:rPr>
        <w:t>l Estado sostiene que</w:t>
      </w:r>
      <w:r w:rsidR="001978B5" w:rsidRPr="00ED5C9A">
        <w:rPr>
          <w:rFonts w:asciiTheme="majorHAnsi" w:hAnsiTheme="majorHAnsi"/>
          <w:bCs/>
          <w:color w:val="auto"/>
          <w:sz w:val="20"/>
          <w:szCs w:val="20"/>
          <w:lang w:val="es-ES_tradnl"/>
        </w:rPr>
        <w:t xml:space="preserve"> </w:t>
      </w:r>
      <w:r w:rsidRPr="00ED5C9A">
        <w:rPr>
          <w:rFonts w:asciiTheme="majorHAnsi" w:hAnsiTheme="majorHAnsi"/>
          <w:bCs/>
          <w:color w:val="auto"/>
          <w:sz w:val="20"/>
          <w:szCs w:val="20"/>
          <w:lang w:val="es-ES_tradnl"/>
        </w:rPr>
        <w:t xml:space="preserve">respecto a la muerte de Álvaro González se ha desarrollado </w:t>
      </w:r>
      <w:r w:rsidR="000B1635" w:rsidRPr="00ED5C9A">
        <w:rPr>
          <w:rFonts w:asciiTheme="majorHAnsi" w:hAnsiTheme="majorHAnsi"/>
          <w:bCs/>
          <w:color w:val="auto"/>
          <w:sz w:val="20"/>
          <w:szCs w:val="20"/>
          <w:lang w:val="es-ES_tradnl"/>
        </w:rPr>
        <w:t xml:space="preserve">la investigación </w:t>
      </w:r>
      <w:r w:rsidR="000A70AE" w:rsidRPr="00ED5C9A">
        <w:rPr>
          <w:rFonts w:asciiTheme="majorHAnsi" w:hAnsiTheme="majorHAnsi"/>
          <w:bCs/>
          <w:color w:val="auto"/>
          <w:sz w:val="20"/>
          <w:szCs w:val="20"/>
          <w:lang w:val="es-ES_tradnl"/>
        </w:rPr>
        <w:t xml:space="preserve">de manera diligente </w:t>
      </w:r>
      <w:r w:rsidRPr="00ED5C9A">
        <w:rPr>
          <w:rFonts w:asciiTheme="majorHAnsi" w:hAnsiTheme="majorHAnsi"/>
          <w:bCs/>
          <w:color w:val="auto"/>
          <w:sz w:val="20"/>
          <w:szCs w:val="20"/>
          <w:lang w:val="es-ES_tradnl"/>
        </w:rPr>
        <w:t xml:space="preserve">en la jurisdicción penal ordinaria, aunque aún no se han sancionado a los responsables. </w:t>
      </w:r>
      <w:r w:rsidR="000A70AE" w:rsidRPr="00ED5C9A">
        <w:rPr>
          <w:rFonts w:asciiTheme="majorHAnsi" w:hAnsiTheme="majorHAnsi"/>
          <w:bCs/>
          <w:color w:val="auto"/>
          <w:sz w:val="20"/>
          <w:szCs w:val="20"/>
          <w:lang w:val="es-ES_tradnl"/>
        </w:rPr>
        <w:t>Explica que</w:t>
      </w:r>
      <w:r w:rsidRPr="00ED5C9A">
        <w:rPr>
          <w:rFonts w:asciiTheme="majorHAnsi" w:hAnsiTheme="majorHAnsi"/>
          <w:bCs/>
          <w:color w:val="auto"/>
          <w:sz w:val="20"/>
          <w:szCs w:val="20"/>
          <w:lang w:val="es-ES_tradnl"/>
        </w:rPr>
        <w:t xml:space="preserve"> las labores investigativas iniciaron el mismo día con la diligencia de inspección judicial y levantamiento del cadáver adelantada por el Juzgado 116 de Instrucción Criminal de Bogotá</w:t>
      </w:r>
      <w:r w:rsidR="0048587B" w:rsidRPr="00ED5C9A">
        <w:rPr>
          <w:rFonts w:asciiTheme="majorHAnsi" w:hAnsiTheme="majorHAnsi"/>
          <w:bCs/>
          <w:color w:val="auto"/>
          <w:sz w:val="20"/>
          <w:szCs w:val="20"/>
          <w:lang w:val="es-ES_tradnl"/>
        </w:rPr>
        <w:t>;</w:t>
      </w:r>
      <w:r w:rsidR="000A70AE" w:rsidRPr="00ED5C9A">
        <w:rPr>
          <w:rFonts w:asciiTheme="majorHAnsi" w:hAnsiTheme="majorHAnsi"/>
          <w:bCs/>
          <w:color w:val="auto"/>
          <w:sz w:val="20"/>
          <w:szCs w:val="20"/>
          <w:lang w:val="es-ES_tradnl"/>
        </w:rPr>
        <w:t xml:space="preserve"> y </w:t>
      </w:r>
      <w:r w:rsidR="0048587B" w:rsidRPr="00ED5C9A">
        <w:rPr>
          <w:rFonts w:asciiTheme="majorHAnsi" w:hAnsiTheme="majorHAnsi"/>
          <w:bCs/>
          <w:color w:val="auto"/>
          <w:sz w:val="20"/>
          <w:szCs w:val="20"/>
          <w:lang w:val="es-ES_tradnl"/>
        </w:rPr>
        <w:t xml:space="preserve">que </w:t>
      </w:r>
      <w:r w:rsidR="000A70AE" w:rsidRPr="00ED5C9A">
        <w:rPr>
          <w:rFonts w:asciiTheme="majorHAnsi" w:hAnsiTheme="majorHAnsi"/>
          <w:bCs/>
          <w:color w:val="auto"/>
          <w:sz w:val="20"/>
          <w:szCs w:val="20"/>
          <w:lang w:val="es-ES_tradnl"/>
        </w:rPr>
        <w:t xml:space="preserve">desde entonces han incluido, entre otras, </w:t>
      </w:r>
      <w:r w:rsidRPr="00ED5C9A">
        <w:rPr>
          <w:rFonts w:asciiTheme="majorHAnsi" w:hAnsiTheme="majorHAnsi"/>
          <w:bCs/>
          <w:color w:val="auto"/>
          <w:sz w:val="20"/>
          <w:szCs w:val="20"/>
          <w:lang w:val="es-ES_tradnl"/>
        </w:rPr>
        <w:t>actividades tendientes a establecer una posible relación entre los propietarios de la motocicleta con los hechos</w:t>
      </w:r>
      <w:r w:rsidR="000B1635" w:rsidRPr="00ED5C9A">
        <w:rPr>
          <w:rFonts w:asciiTheme="majorHAnsi" w:hAnsiTheme="majorHAnsi"/>
          <w:bCs/>
          <w:color w:val="auto"/>
          <w:sz w:val="20"/>
          <w:szCs w:val="20"/>
          <w:lang w:val="es-ES_tradnl"/>
        </w:rPr>
        <w:t>, y la vinculación al proceso de dos personas. No obstante, no fue posible cumplir con los requisitos sustanciales exigidos para proferir resolución de acusación en contra de estas</w:t>
      </w:r>
      <w:r w:rsidR="0048587B" w:rsidRPr="00ED5C9A">
        <w:rPr>
          <w:rFonts w:asciiTheme="majorHAnsi" w:hAnsiTheme="majorHAnsi"/>
          <w:bCs/>
          <w:color w:val="auto"/>
          <w:sz w:val="20"/>
          <w:szCs w:val="20"/>
          <w:lang w:val="es-ES_tradnl"/>
        </w:rPr>
        <w:t>,</w:t>
      </w:r>
      <w:r w:rsidR="000B1635" w:rsidRPr="00ED5C9A">
        <w:rPr>
          <w:rFonts w:asciiTheme="majorHAnsi" w:hAnsiTheme="majorHAnsi"/>
          <w:bCs/>
          <w:color w:val="auto"/>
          <w:sz w:val="20"/>
          <w:szCs w:val="20"/>
          <w:lang w:val="es-ES_tradnl"/>
        </w:rPr>
        <w:t xml:space="preserve"> por lo cual se profirió preclusión de la instrucción el 15 de mayo de 1996. Destaca que p</w:t>
      </w:r>
      <w:r w:rsidRPr="00ED5C9A">
        <w:rPr>
          <w:rFonts w:asciiTheme="majorHAnsi" w:hAnsiTheme="majorHAnsi"/>
          <w:bCs/>
          <w:color w:val="auto"/>
          <w:sz w:val="20"/>
          <w:szCs w:val="20"/>
          <w:lang w:val="es-ES_tradnl"/>
        </w:rPr>
        <w:t xml:space="preserve">osteriormente </w:t>
      </w:r>
      <w:r w:rsidRPr="00ED5C9A">
        <w:rPr>
          <w:rFonts w:asciiTheme="majorHAnsi" w:hAnsiTheme="majorHAnsi"/>
          <w:bCs/>
          <w:color w:val="auto"/>
          <w:sz w:val="20"/>
          <w:szCs w:val="20"/>
          <w:lang w:val="es-ES_tradnl"/>
        </w:rPr>
        <w:lastRenderedPageBreak/>
        <w:t xml:space="preserve">fue vinculado a la investigación uno de los sicarios del Cartel de Medellín quien </w:t>
      </w:r>
      <w:r w:rsidR="0044747B" w:rsidRPr="00ED5C9A">
        <w:rPr>
          <w:rFonts w:asciiTheme="majorHAnsi" w:hAnsiTheme="majorHAnsi"/>
          <w:bCs/>
          <w:color w:val="auto"/>
          <w:sz w:val="20"/>
          <w:szCs w:val="20"/>
          <w:lang w:val="es-ES_tradnl"/>
        </w:rPr>
        <w:t xml:space="preserve">identificó a otro </w:t>
      </w:r>
      <w:r w:rsidRPr="00ED5C9A">
        <w:rPr>
          <w:rFonts w:asciiTheme="majorHAnsi" w:hAnsiTheme="majorHAnsi"/>
          <w:bCs/>
          <w:color w:val="auto"/>
          <w:sz w:val="20"/>
          <w:szCs w:val="20"/>
          <w:lang w:val="es-ES_tradnl"/>
        </w:rPr>
        <w:t xml:space="preserve">sicario que falleció </w:t>
      </w:r>
      <w:r w:rsidR="0044747B" w:rsidRPr="00ED5C9A">
        <w:rPr>
          <w:rFonts w:asciiTheme="majorHAnsi" w:hAnsiTheme="majorHAnsi"/>
          <w:bCs/>
          <w:color w:val="auto"/>
          <w:sz w:val="20"/>
          <w:szCs w:val="20"/>
          <w:lang w:val="es-ES_tradnl"/>
        </w:rPr>
        <w:t xml:space="preserve">en </w:t>
      </w:r>
      <w:r w:rsidRPr="00ED5C9A">
        <w:rPr>
          <w:rFonts w:asciiTheme="majorHAnsi" w:hAnsiTheme="majorHAnsi"/>
          <w:bCs/>
          <w:color w:val="auto"/>
          <w:sz w:val="20"/>
          <w:szCs w:val="20"/>
          <w:lang w:val="es-ES_tradnl"/>
        </w:rPr>
        <w:t>1993</w:t>
      </w:r>
      <w:r w:rsidR="0044747B" w:rsidRPr="00ED5C9A">
        <w:rPr>
          <w:rFonts w:asciiTheme="majorHAnsi" w:hAnsiTheme="majorHAnsi"/>
          <w:bCs/>
          <w:color w:val="auto"/>
          <w:sz w:val="20"/>
          <w:szCs w:val="20"/>
          <w:lang w:val="es-ES_tradnl"/>
        </w:rPr>
        <w:t xml:space="preserve">, como uno de los responsables por la muerte Álvaro González, así como </w:t>
      </w:r>
      <w:r w:rsidRPr="00ED5C9A">
        <w:rPr>
          <w:rFonts w:asciiTheme="majorHAnsi" w:hAnsiTheme="majorHAnsi"/>
          <w:bCs/>
          <w:color w:val="auto"/>
          <w:sz w:val="20"/>
          <w:szCs w:val="20"/>
          <w:lang w:val="es-ES_tradnl"/>
        </w:rPr>
        <w:t xml:space="preserve">a otras personas </w:t>
      </w:r>
      <w:r w:rsidR="0044747B" w:rsidRPr="00ED5C9A">
        <w:rPr>
          <w:rFonts w:asciiTheme="majorHAnsi" w:hAnsiTheme="majorHAnsi"/>
          <w:bCs/>
          <w:color w:val="auto"/>
          <w:sz w:val="20"/>
          <w:szCs w:val="20"/>
          <w:lang w:val="es-ES_tradnl"/>
        </w:rPr>
        <w:t xml:space="preserve">que </w:t>
      </w:r>
      <w:r w:rsidRPr="00ED5C9A">
        <w:rPr>
          <w:rFonts w:asciiTheme="majorHAnsi" w:hAnsiTheme="majorHAnsi"/>
          <w:bCs/>
          <w:color w:val="auto"/>
          <w:sz w:val="20"/>
          <w:szCs w:val="20"/>
          <w:lang w:val="es-ES_tradnl"/>
        </w:rPr>
        <w:t xml:space="preserve">únicamente </w:t>
      </w:r>
      <w:r w:rsidR="0044747B" w:rsidRPr="00ED5C9A">
        <w:rPr>
          <w:rFonts w:asciiTheme="majorHAnsi" w:hAnsiTheme="majorHAnsi"/>
          <w:bCs/>
          <w:color w:val="auto"/>
          <w:sz w:val="20"/>
          <w:szCs w:val="20"/>
          <w:lang w:val="es-ES_tradnl"/>
        </w:rPr>
        <w:t xml:space="preserve">identificó </w:t>
      </w:r>
      <w:r w:rsidRPr="00ED5C9A">
        <w:rPr>
          <w:rFonts w:asciiTheme="majorHAnsi" w:hAnsiTheme="majorHAnsi"/>
          <w:bCs/>
          <w:color w:val="auto"/>
          <w:sz w:val="20"/>
          <w:szCs w:val="20"/>
          <w:lang w:val="es-ES_tradnl"/>
        </w:rPr>
        <w:t>por su</w:t>
      </w:r>
      <w:r w:rsidR="0044747B" w:rsidRPr="00ED5C9A">
        <w:rPr>
          <w:rFonts w:asciiTheme="majorHAnsi" w:hAnsiTheme="majorHAnsi"/>
          <w:bCs/>
          <w:color w:val="auto"/>
          <w:sz w:val="20"/>
          <w:szCs w:val="20"/>
          <w:lang w:val="es-ES_tradnl"/>
        </w:rPr>
        <w:t>s</w:t>
      </w:r>
      <w:r w:rsidRPr="00ED5C9A">
        <w:rPr>
          <w:rFonts w:asciiTheme="majorHAnsi" w:hAnsiTheme="majorHAnsi"/>
          <w:bCs/>
          <w:color w:val="auto"/>
          <w:sz w:val="20"/>
          <w:szCs w:val="20"/>
          <w:lang w:val="es-ES_tradnl"/>
        </w:rPr>
        <w:t xml:space="preserve"> alias</w:t>
      </w:r>
      <w:r w:rsidR="0044747B" w:rsidRPr="00ED5C9A">
        <w:rPr>
          <w:rFonts w:asciiTheme="majorHAnsi" w:hAnsiTheme="majorHAnsi"/>
          <w:bCs/>
          <w:color w:val="auto"/>
          <w:sz w:val="20"/>
          <w:szCs w:val="20"/>
          <w:lang w:val="es-ES_tradnl"/>
        </w:rPr>
        <w:t>;</w:t>
      </w:r>
      <w:r w:rsidRPr="00ED5C9A">
        <w:rPr>
          <w:rFonts w:asciiTheme="majorHAnsi" w:hAnsiTheme="majorHAnsi"/>
          <w:bCs/>
          <w:color w:val="auto"/>
          <w:sz w:val="20"/>
          <w:szCs w:val="20"/>
          <w:lang w:val="es-ES_tradnl"/>
        </w:rPr>
        <w:t xml:space="preserve"> por </w:t>
      </w:r>
      <w:r w:rsidR="0044747B" w:rsidRPr="00ED5C9A">
        <w:rPr>
          <w:rFonts w:asciiTheme="majorHAnsi" w:hAnsiTheme="majorHAnsi"/>
          <w:bCs/>
          <w:color w:val="auto"/>
          <w:sz w:val="20"/>
          <w:szCs w:val="20"/>
          <w:lang w:val="es-ES_tradnl"/>
        </w:rPr>
        <w:t xml:space="preserve">lo cual explica que </w:t>
      </w:r>
      <w:r w:rsidRPr="00ED5C9A">
        <w:rPr>
          <w:rFonts w:asciiTheme="majorHAnsi" w:hAnsiTheme="majorHAnsi"/>
          <w:bCs/>
          <w:color w:val="auto"/>
          <w:sz w:val="20"/>
          <w:szCs w:val="20"/>
          <w:lang w:val="es-ES_tradnl"/>
        </w:rPr>
        <w:t>las labores investigativas se han enfocado en identificar a estas personas y saber si aún se encuentra</w:t>
      </w:r>
      <w:r w:rsidR="00AB5CC9" w:rsidRPr="00ED5C9A">
        <w:rPr>
          <w:rFonts w:asciiTheme="majorHAnsi" w:hAnsiTheme="majorHAnsi"/>
          <w:bCs/>
          <w:color w:val="auto"/>
          <w:sz w:val="20"/>
          <w:szCs w:val="20"/>
          <w:lang w:val="es-ES_tradnl"/>
        </w:rPr>
        <w:t>n</w:t>
      </w:r>
      <w:r w:rsidRPr="00ED5C9A">
        <w:rPr>
          <w:rFonts w:asciiTheme="majorHAnsi" w:hAnsiTheme="majorHAnsi"/>
          <w:bCs/>
          <w:color w:val="auto"/>
          <w:sz w:val="20"/>
          <w:szCs w:val="20"/>
          <w:lang w:val="es-ES_tradnl"/>
        </w:rPr>
        <w:t xml:space="preserve"> con vida. </w:t>
      </w:r>
    </w:p>
    <w:p w14:paraId="6E09C129" w14:textId="77777777" w:rsidR="002A610D" w:rsidRPr="00ED5C9A" w:rsidRDefault="002A610D" w:rsidP="002A610D">
      <w:pPr>
        <w:pStyle w:val="ListParagraph"/>
        <w:jc w:val="both"/>
        <w:rPr>
          <w:rFonts w:asciiTheme="majorHAnsi" w:hAnsiTheme="majorHAnsi"/>
          <w:bCs/>
          <w:color w:val="auto"/>
          <w:sz w:val="20"/>
          <w:szCs w:val="20"/>
          <w:lang w:val="es-ES_tradnl"/>
        </w:rPr>
      </w:pPr>
    </w:p>
    <w:p w14:paraId="07442361" w14:textId="2C0EE1E4" w:rsidR="002A610D" w:rsidRPr="00ED5C9A" w:rsidRDefault="002A610D"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 xml:space="preserve">Señala que el 25 de noviembre de 2005 la </w:t>
      </w:r>
      <w:r w:rsidR="000B1635" w:rsidRPr="00ED5C9A">
        <w:rPr>
          <w:rFonts w:asciiTheme="majorHAnsi" w:hAnsiTheme="majorHAnsi"/>
          <w:bCs/>
          <w:color w:val="auto"/>
          <w:sz w:val="20"/>
          <w:szCs w:val="20"/>
          <w:lang w:val="es-ES_tradnl"/>
        </w:rPr>
        <w:t>F</w:t>
      </w:r>
      <w:r w:rsidRPr="00ED5C9A">
        <w:rPr>
          <w:rFonts w:asciiTheme="majorHAnsi" w:hAnsiTheme="majorHAnsi"/>
          <w:bCs/>
          <w:color w:val="auto"/>
          <w:sz w:val="20"/>
          <w:szCs w:val="20"/>
          <w:lang w:val="es-ES_tradnl"/>
        </w:rPr>
        <w:t xml:space="preserve">iscalía 26 Especializada de la Unidad de Fiscalías </w:t>
      </w:r>
      <w:r w:rsidR="000B1635" w:rsidRPr="00ED5C9A">
        <w:rPr>
          <w:rFonts w:asciiTheme="majorHAnsi" w:hAnsiTheme="majorHAnsi"/>
          <w:bCs/>
          <w:color w:val="auto"/>
          <w:sz w:val="20"/>
          <w:szCs w:val="20"/>
          <w:lang w:val="es-ES_tradnl"/>
        </w:rPr>
        <w:t>delegadas</w:t>
      </w:r>
      <w:r w:rsidRPr="00ED5C9A">
        <w:rPr>
          <w:rFonts w:asciiTheme="majorHAnsi" w:hAnsiTheme="majorHAnsi"/>
          <w:bCs/>
          <w:color w:val="auto"/>
          <w:sz w:val="20"/>
          <w:szCs w:val="20"/>
          <w:lang w:val="es-ES_tradnl"/>
        </w:rPr>
        <w:t xml:space="preserve"> ante los Juzgados Penales del Circuito Especializados de Medellín</w:t>
      </w:r>
      <w:r w:rsidR="00125BCA" w:rsidRPr="00ED5C9A">
        <w:rPr>
          <w:rFonts w:asciiTheme="majorHAnsi" w:hAnsiTheme="majorHAnsi"/>
          <w:bCs/>
          <w:color w:val="auto"/>
          <w:sz w:val="20"/>
          <w:szCs w:val="20"/>
          <w:lang w:val="es-ES_tradnl"/>
        </w:rPr>
        <w:t>,</w:t>
      </w:r>
      <w:r w:rsidRPr="00ED5C9A">
        <w:rPr>
          <w:rFonts w:asciiTheme="majorHAnsi" w:hAnsiTheme="majorHAnsi"/>
          <w:bCs/>
          <w:color w:val="auto"/>
          <w:sz w:val="20"/>
          <w:szCs w:val="20"/>
          <w:lang w:val="es-ES_tradnl"/>
        </w:rPr>
        <w:t xml:space="preserve"> profirió resolución por medio de la cual calificó como delitos de lesa humanidad varias conductas aparentemente realizadas por el Cartel de Medellín</w:t>
      </w:r>
      <w:r w:rsidR="000B1635" w:rsidRPr="00ED5C9A">
        <w:rPr>
          <w:rFonts w:asciiTheme="majorHAnsi" w:hAnsiTheme="majorHAnsi"/>
          <w:bCs/>
          <w:color w:val="auto"/>
          <w:sz w:val="20"/>
          <w:szCs w:val="20"/>
          <w:lang w:val="es-ES_tradnl"/>
        </w:rPr>
        <w:t>,</w:t>
      </w:r>
      <w:r w:rsidRPr="00ED5C9A">
        <w:rPr>
          <w:rFonts w:asciiTheme="majorHAnsi" w:hAnsiTheme="majorHAnsi"/>
          <w:bCs/>
          <w:color w:val="auto"/>
          <w:sz w:val="20"/>
          <w:szCs w:val="20"/>
          <w:lang w:val="es-ES_tradnl"/>
        </w:rPr>
        <w:t xml:space="preserve"> entre las cuales se encuentra el homicidio de Álvaro González. Tras esta decisión</w:t>
      </w:r>
      <w:r w:rsidR="00125BCA" w:rsidRPr="00ED5C9A">
        <w:rPr>
          <w:rFonts w:asciiTheme="majorHAnsi" w:hAnsiTheme="majorHAnsi"/>
          <w:bCs/>
          <w:color w:val="auto"/>
          <w:sz w:val="20"/>
          <w:szCs w:val="20"/>
          <w:lang w:val="es-ES_tradnl"/>
        </w:rPr>
        <w:t>,</w:t>
      </w:r>
      <w:r w:rsidRPr="00ED5C9A">
        <w:rPr>
          <w:rFonts w:asciiTheme="majorHAnsi" w:hAnsiTheme="majorHAnsi"/>
          <w:bCs/>
          <w:color w:val="auto"/>
          <w:sz w:val="20"/>
          <w:szCs w:val="20"/>
          <w:lang w:val="es-ES_tradnl"/>
        </w:rPr>
        <w:t xml:space="preserve"> la investigación fue asignada a la Fiscalía </w:t>
      </w:r>
      <w:r w:rsidR="001F729F" w:rsidRPr="00ED5C9A">
        <w:rPr>
          <w:rFonts w:asciiTheme="majorHAnsi" w:hAnsiTheme="majorHAnsi"/>
          <w:bCs/>
          <w:color w:val="auto"/>
          <w:sz w:val="20"/>
          <w:szCs w:val="20"/>
          <w:lang w:val="es-ES_tradnl"/>
        </w:rPr>
        <w:t>Octava</w:t>
      </w:r>
      <w:r w:rsidRPr="00ED5C9A">
        <w:rPr>
          <w:rFonts w:asciiTheme="majorHAnsi" w:hAnsiTheme="majorHAnsi"/>
          <w:bCs/>
          <w:color w:val="auto"/>
          <w:sz w:val="20"/>
          <w:szCs w:val="20"/>
          <w:lang w:val="es-ES_tradnl"/>
        </w:rPr>
        <w:t xml:space="preserve"> Especializada de la Unidad Nacional de Derechos Humanos y Derecho Internacional Humanitario. </w:t>
      </w:r>
      <w:r w:rsidR="000B1635" w:rsidRPr="00ED5C9A">
        <w:rPr>
          <w:rFonts w:asciiTheme="majorHAnsi" w:hAnsiTheme="majorHAnsi"/>
          <w:bCs/>
          <w:color w:val="auto"/>
          <w:sz w:val="20"/>
          <w:szCs w:val="20"/>
          <w:lang w:val="es-ES_tradnl"/>
        </w:rPr>
        <w:t xml:space="preserve">En tal sentido, </w:t>
      </w:r>
      <w:r w:rsidR="00E23192" w:rsidRPr="00ED5C9A">
        <w:rPr>
          <w:rFonts w:asciiTheme="majorHAnsi" w:hAnsiTheme="majorHAnsi"/>
          <w:bCs/>
          <w:color w:val="auto"/>
          <w:sz w:val="20"/>
          <w:szCs w:val="20"/>
          <w:lang w:val="es-ES_tradnl"/>
        </w:rPr>
        <w:t>Colombia aduce</w:t>
      </w:r>
      <w:r w:rsidR="000B1635" w:rsidRPr="00ED5C9A">
        <w:rPr>
          <w:rFonts w:asciiTheme="majorHAnsi" w:hAnsiTheme="majorHAnsi"/>
          <w:bCs/>
          <w:color w:val="auto"/>
          <w:sz w:val="20"/>
          <w:szCs w:val="20"/>
          <w:lang w:val="es-ES_tradnl"/>
        </w:rPr>
        <w:t xml:space="preserve"> que los operadores judiciales han actuado de manera diligente y efectiva en la investigación de los hechos</w:t>
      </w:r>
      <w:r w:rsidR="003021C2" w:rsidRPr="00ED5C9A">
        <w:rPr>
          <w:rFonts w:asciiTheme="majorHAnsi" w:hAnsiTheme="majorHAnsi"/>
          <w:bCs/>
          <w:color w:val="auto"/>
          <w:sz w:val="20"/>
          <w:szCs w:val="20"/>
          <w:lang w:val="es-ES_tradnl"/>
        </w:rPr>
        <w:t>;</w:t>
      </w:r>
      <w:r w:rsidR="000B1635" w:rsidRPr="00ED5C9A">
        <w:rPr>
          <w:rFonts w:asciiTheme="majorHAnsi" w:hAnsiTheme="majorHAnsi"/>
          <w:bCs/>
          <w:color w:val="auto"/>
          <w:sz w:val="20"/>
          <w:szCs w:val="20"/>
          <w:lang w:val="es-ES_tradnl"/>
        </w:rPr>
        <w:t xml:space="preserve"> siendo hechos ajenos al Estado como la muerte de quie</w:t>
      </w:r>
      <w:r w:rsidR="0044747B" w:rsidRPr="00ED5C9A">
        <w:rPr>
          <w:rFonts w:asciiTheme="majorHAnsi" w:hAnsiTheme="majorHAnsi"/>
          <w:bCs/>
          <w:color w:val="auto"/>
          <w:sz w:val="20"/>
          <w:szCs w:val="20"/>
          <w:lang w:val="es-ES_tradnl"/>
        </w:rPr>
        <w:t>n</w:t>
      </w:r>
      <w:r w:rsidR="000B1635" w:rsidRPr="00ED5C9A">
        <w:rPr>
          <w:rFonts w:asciiTheme="majorHAnsi" w:hAnsiTheme="majorHAnsi"/>
          <w:bCs/>
          <w:color w:val="auto"/>
          <w:sz w:val="20"/>
          <w:szCs w:val="20"/>
          <w:lang w:val="es-ES_tradnl"/>
        </w:rPr>
        <w:t>es posiblemente s</w:t>
      </w:r>
      <w:r w:rsidR="0044747B" w:rsidRPr="00ED5C9A">
        <w:rPr>
          <w:rFonts w:asciiTheme="majorHAnsi" w:hAnsiTheme="majorHAnsi"/>
          <w:bCs/>
          <w:color w:val="auto"/>
          <w:sz w:val="20"/>
          <w:szCs w:val="20"/>
          <w:lang w:val="es-ES_tradnl"/>
        </w:rPr>
        <w:t>on</w:t>
      </w:r>
      <w:r w:rsidR="000B1635" w:rsidRPr="00ED5C9A">
        <w:rPr>
          <w:rFonts w:asciiTheme="majorHAnsi" w:hAnsiTheme="majorHAnsi"/>
          <w:bCs/>
          <w:color w:val="auto"/>
          <w:sz w:val="20"/>
          <w:szCs w:val="20"/>
          <w:lang w:val="es-ES_tradnl"/>
        </w:rPr>
        <w:t xml:space="preserve"> los autores intelectuales</w:t>
      </w:r>
      <w:r w:rsidR="003021C2" w:rsidRPr="00ED5C9A">
        <w:rPr>
          <w:rFonts w:asciiTheme="majorHAnsi" w:hAnsiTheme="majorHAnsi"/>
          <w:bCs/>
          <w:color w:val="auto"/>
          <w:sz w:val="20"/>
          <w:szCs w:val="20"/>
          <w:lang w:val="es-ES_tradnl"/>
        </w:rPr>
        <w:t>;</w:t>
      </w:r>
      <w:r w:rsidR="0044747B" w:rsidRPr="00ED5C9A">
        <w:rPr>
          <w:rFonts w:asciiTheme="majorHAnsi" w:hAnsiTheme="majorHAnsi"/>
          <w:bCs/>
          <w:color w:val="auto"/>
          <w:sz w:val="20"/>
          <w:szCs w:val="20"/>
          <w:lang w:val="es-ES_tradnl"/>
        </w:rPr>
        <w:t xml:space="preserve"> el volumen del expediente</w:t>
      </w:r>
      <w:r w:rsidR="003021C2" w:rsidRPr="00ED5C9A">
        <w:rPr>
          <w:rFonts w:asciiTheme="majorHAnsi" w:hAnsiTheme="majorHAnsi"/>
          <w:bCs/>
          <w:color w:val="auto"/>
          <w:sz w:val="20"/>
          <w:szCs w:val="20"/>
          <w:lang w:val="es-ES_tradnl"/>
        </w:rPr>
        <w:t>;</w:t>
      </w:r>
      <w:r w:rsidR="0044747B" w:rsidRPr="00ED5C9A">
        <w:rPr>
          <w:rFonts w:asciiTheme="majorHAnsi" w:hAnsiTheme="majorHAnsi"/>
          <w:bCs/>
          <w:color w:val="auto"/>
          <w:sz w:val="20"/>
          <w:szCs w:val="20"/>
          <w:lang w:val="es-ES_tradnl"/>
        </w:rPr>
        <w:t xml:space="preserve"> </w:t>
      </w:r>
      <w:r w:rsidR="00254005" w:rsidRPr="00ED5C9A">
        <w:rPr>
          <w:rFonts w:asciiTheme="majorHAnsi" w:hAnsiTheme="majorHAnsi"/>
          <w:bCs/>
          <w:color w:val="auto"/>
          <w:sz w:val="20"/>
          <w:szCs w:val="20"/>
          <w:lang w:val="es-ES_tradnl"/>
        </w:rPr>
        <w:t>el tiempo transcurrido desde la ocurrencia de los hechos</w:t>
      </w:r>
      <w:r w:rsidR="003021C2" w:rsidRPr="00ED5C9A">
        <w:rPr>
          <w:rFonts w:asciiTheme="majorHAnsi" w:hAnsiTheme="majorHAnsi"/>
          <w:bCs/>
          <w:color w:val="auto"/>
          <w:sz w:val="20"/>
          <w:szCs w:val="20"/>
          <w:lang w:val="es-ES_tradnl"/>
        </w:rPr>
        <w:t>;</w:t>
      </w:r>
      <w:r w:rsidR="00254005" w:rsidRPr="00ED5C9A">
        <w:rPr>
          <w:rFonts w:asciiTheme="majorHAnsi" w:hAnsiTheme="majorHAnsi"/>
          <w:bCs/>
          <w:color w:val="auto"/>
          <w:sz w:val="20"/>
          <w:szCs w:val="20"/>
          <w:lang w:val="es-ES_tradnl"/>
        </w:rPr>
        <w:t xml:space="preserve"> y la complejidad de la prueba</w:t>
      </w:r>
      <w:r w:rsidR="003021C2" w:rsidRPr="00ED5C9A">
        <w:rPr>
          <w:rFonts w:asciiTheme="majorHAnsi" w:hAnsiTheme="majorHAnsi"/>
          <w:bCs/>
          <w:color w:val="auto"/>
          <w:sz w:val="20"/>
          <w:szCs w:val="20"/>
          <w:lang w:val="es-ES_tradnl"/>
        </w:rPr>
        <w:t>,</w:t>
      </w:r>
      <w:r w:rsidR="00254005" w:rsidRPr="00ED5C9A">
        <w:rPr>
          <w:rFonts w:asciiTheme="majorHAnsi" w:hAnsiTheme="majorHAnsi"/>
          <w:bCs/>
          <w:color w:val="auto"/>
          <w:sz w:val="20"/>
          <w:szCs w:val="20"/>
          <w:lang w:val="es-ES_tradnl"/>
        </w:rPr>
        <w:t xml:space="preserve"> lo</w:t>
      </w:r>
      <w:r w:rsidR="003021C2" w:rsidRPr="00ED5C9A">
        <w:rPr>
          <w:rFonts w:asciiTheme="majorHAnsi" w:hAnsiTheme="majorHAnsi"/>
          <w:bCs/>
          <w:color w:val="auto"/>
          <w:sz w:val="20"/>
          <w:szCs w:val="20"/>
          <w:lang w:val="es-ES_tradnl"/>
        </w:rPr>
        <w:t>s</w:t>
      </w:r>
      <w:r w:rsidR="00254005" w:rsidRPr="00ED5C9A">
        <w:rPr>
          <w:rFonts w:asciiTheme="majorHAnsi" w:hAnsiTheme="majorHAnsi"/>
          <w:bCs/>
          <w:color w:val="auto"/>
          <w:sz w:val="20"/>
          <w:szCs w:val="20"/>
          <w:lang w:val="es-ES_tradnl"/>
        </w:rPr>
        <w:t xml:space="preserve"> que han hecho que las labores investigativas avancen lentamente</w:t>
      </w:r>
      <w:r w:rsidRPr="00ED5C9A">
        <w:rPr>
          <w:rFonts w:asciiTheme="majorHAnsi" w:hAnsiTheme="majorHAnsi"/>
          <w:bCs/>
          <w:color w:val="auto"/>
          <w:sz w:val="20"/>
          <w:szCs w:val="20"/>
          <w:lang w:val="es-ES_tradnl"/>
        </w:rPr>
        <w:t xml:space="preserve">. </w:t>
      </w:r>
      <w:r w:rsidR="008D2F92" w:rsidRPr="00ED5C9A">
        <w:rPr>
          <w:rFonts w:asciiTheme="majorHAnsi" w:hAnsiTheme="majorHAnsi"/>
          <w:bCs/>
          <w:color w:val="auto"/>
          <w:sz w:val="20"/>
          <w:szCs w:val="20"/>
          <w:lang w:val="es-ES_tradnl"/>
        </w:rPr>
        <w:t xml:space="preserve">No </w:t>
      </w:r>
      <w:r w:rsidR="009E454A" w:rsidRPr="00ED5C9A">
        <w:rPr>
          <w:rFonts w:asciiTheme="majorHAnsi" w:hAnsiTheme="majorHAnsi"/>
          <w:bCs/>
          <w:color w:val="auto"/>
          <w:sz w:val="20"/>
          <w:szCs w:val="20"/>
          <w:lang w:val="es-ES_tradnl"/>
        </w:rPr>
        <w:t>podría</w:t>
      </w:r>
      <w:r w:rsidR="008D2F92" w:rsidRPr="00ED5C9A">
        <w:rPr>
          <w:rFonts w:asciiTheme="majorHAnsi" w:hAnsiTheme="majorHAnsi"/>
          <w:bCs/>
          <w:color w:val="auto"/>
          <w:sz w:val="20"/>
          <w:szCs w:val="20"/>
          <w:lang w:val="es-ES_tradnl"/>
        </w:rPr>
        <w:t xml:space="preserve"> afirmarse que en el presente caso la investigación penal haya sido objeto de un retardo injustificado que exima a la peticionaria de agotar dicho recurso antes de acudir ante el </w:t>
      </w:r>
      <w:r w:rsidR="00144E8E" w:rsidRPr="00ED5C9A">
        <w:rPr>
          <w:rFonts w:asciiTheme="majorHAnsi" w:hAnsiTheme="majorHAnsi"/>
          <w:bCs/>
          <w:color w:val="auto"/>
          <w:sz w:val="20"/>
          <w:szCs w:val="20"/>
          <w:lang w:val="es-ES_tradnl"/>
        </w:rPr>
        <w:t>s</w:t>
      </w:r>
      <w:r w:rsidR="008D2F92" w:rsidRPr="00ED5C9A">
        <w:rPr>
          <w:rFonts w:asciiTheme="majorHAnsi" w:hAnsiTheme="majorHAnsi"/>
          <w:bCs/>
          <w:color w:val="auto"/>
          <w:sz w:val="20"/>
          <w:szCs w:val="20"/>
          <w:lang w:val="es-ES_tradnl"/>
        </w:rPr>
        <w:t xml:space="preserve">istema </w:t>
      </w:r>
      <w:r w:rsidR="00144E8E" w:rsidRPr="00ED5C9A">
        <w:rPr>
          <w:rFonts w:asciiTheme="majorHAnsi" w:hAnsiTheme="majorHAnsi"/>
          <w:bCs/>
          <w:color w:val="auto"/>
          <w:sz w:val="20"/>
          <w:szCs w:val="20"/>
          <w:lang w:val="es-ES_tradnl"/>
        </w:rPr>
        <w:t>i</w:t>
      </w:r>
      <w:r w:rsidR="008D2F92" w:rsidRPr="00ED5C9A">
        <w:rPr>
          <w:rFonts w:asciiTheme="majorHAnsi" w:hAnsiTheme="majorHAnsi"/>
          <w:bCs/>
          <w:color w:val="auto"/>
          <w:sz w:val="20"/>
          <w:szCs w:val="20"/>
          <w:lang w:val="es-ES_tradnl"/>
        </w:rPr>
        <w:t xml:space="preserve">nteramericano de protección de derechos humanos. </w:t>
      </w:r>
    </w:p>
    <w:p w14:paraId="1D6B8A4D" w14:textId="77777777" w:rsidR="00A1217B" w:rsidRPr="00ED5C9A" w:rsidRDefault="00A1217B" w:rsidP="00A1217B">
      <w:pPr>
        <w:pStyle w:val="ListParagraph"/>
        <w:rPr>
          <w:rFonts w:asciiTheme="majorHAnsi" w:hAnsiTheme="majorHAnsi"/>
          <w:bCs/>
          <w:color w:val="auto"/>
          <w:sz w:val="20"/>
          <w:szCs w:val="20"/>
          <w:lang w:val="es-ES_tradnl"/>
        </w:rPr>
      </w:pPr>
    </w:p>
    <w:p w14:paraId="67373EF5" w14:textId="77777777" w:rsidR="009E454A" w:rsidRPr="00ED5C9A" w:rsidRDefault="00254005"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 xml:space="preserve">Argumenta que las gestiones realizadas por los familiares de Álvaro González han sido </w:t>
      </w:r>
      <w:r w:rsidR="00A1217B" w:rsidRPr="00ED5C9A">
        <w:rPr>
          <w:rFonts w:asciiTheme="majorHAnsi" w:hAnsiTheme="majorHAnsi"/>
          <w:bCs/>
          <w:color w:val="auto"/>
          <w:sz w:val="20"/>
          <w:szCs w:val="20"/>
          <w:lang w:val="es-ES_tradnl"/>
        </w:rPr>
        <w:t xml:space="preserve">prácticamente nulas desde el tiempo de ocurrencia de los hechos </w:t>
      </w:r>
      <w:r w:rsidRPr="00ED5C9A">
        <w:rPr>
          <w:rFonts w:asciiTheme="majorHAnsi" w:hAnsiTheme="majorHAnsi"/>
          <w:bCs/>
          <w:color w:val="auto"/>
          <w:sz w:val="20"/>
          <w:szCs w:val="20"/>
          <w:lang w:val="es-ES_tradnl"/>
        </w:rPr>
        <w:t xml:space="preserve">hasta </w:t>
      </w:r>
      <w:r w:rsidR="00A1217B" w:rsidRPr="00ED5C9A">
        <w:rPr>
          <w:rFonts w:asciiTheme="majorHAnsi" w:hAnsiTheme="majorHAnsi"/>
          <w:bCs/>
          <w:color w:val="auto"/>
          <w:sz w:val="20"/>
          <w:szCs w:val="20"/>
          <w:lang w:val="es-ES_tradnl"/>
        </w:rPr>
        <w:t>la presentación de la petición</w:t>
      </w:r>
      <w:r w:rsidRPr="00ED5C9A">
        <w:rPr>
          <w:rFonts w:asciiTheme="majorHAnsi" w:hAnsiTheme="majorHAnsi"/>
          <w:bCs/>
          <w:color w:val="auto"/>
          <w:sz w:val="20"/>
          <w:szCs w:val="20"/>
          <w:lang w:val="es-ES_tradnl"/>
        </w:rPr>
        <w:t>, siendo l</w:t>
      </w:r>
      <w:r w:rsidR="00A1217B" w:rsidRPr="00ED5C9A">
        <w:rPr>
          <w:rFonts w:asciiTheme="majorHAnsi" w:hAnsiTheme="majorHAnsi"/>
          <w:bCs/>
          <w:color w:val="auto"/>
          <w:sz w:val="20"/>
          <w:szCs w:val="20"/>
          <w:lang w:val="es-ES_tradnl"/>
        </w:rPr>
        <w:t>as gestiones a las que hace</w:t>
      </w:r>
      <w:r w:rsidRPr="00ED5C9A">
        <w:rPr>
          <w:rFonts w:asciiTheme="majorHAnsi" w:hAnsiTheme="majorHAnsi"/>
          <w:bCs/>
          <w:color w:val="auto"/>
          <w:sz w:val="20"/>
          <w:szCs w:val="20"/>
          <w:lang w:val="es-ES_tradnl"/>
        </w:rPr>
        <w:t>n</w:t>
      </w:r>
      <w:r w:rsidR="00A1217B" w:rsidRPr="00ED5C9A">
        <w:rPr>
          <w:rFonts w:asciiTheme="majorHAnsi" w:hAnsiTheme="majorHAnsi"/>
          <w:bCs/>
          <w:color w:val="auto"/>
          <w:sz w:val="20"/>
          <w:szCs w:val="20"/>
          <w:lang w:val="es-ES_tradnl"/>
        </w:rPr>
        <w:t xml:space="preserve"> referencia </w:t>
      </w:r>
      <w:r w:rsidRPr="00ED5C9A">
        <w:rPr>
          <w:rFonts w:asciiTheme="majorHAnsi" w:hAnsiTheme="majorHAnsi"/>
          <w:bCs/>
          <w:color w:val="auto"/>
          <w:sz w:val="20"/>
          <w:szCs w:val="20"/>
          <w:lang w:val="es-ES_tradnl"/>
        </w:rPr>
        <w:t xml:space="preserve">los peticionarios </w:t>
      </w:r>
      <w:r w:rsidR="00A1217B" w:rsidRPr="00ED5C9A">
        <w:rPr>
          <w:rFonts w:asciiTheme="majorHAnsi" w:hAnsiTheme="majorHAnsi"/>
          <w:bCs/>
          <w:color w:val="auto"/>
          <w:sz w:val="20"/>
          <w:szCs w:val="20"/>
          <w:lang w:val="es-ES_tradnl"/>
        </w:rPr>
        <w:t>posteriores a la presentación de la petición</w:t>
      </w:r>
      <w:r w:rsidR="00FB613D" w:rsidRPr="00ED5C9A">
        <w:rPr>
          <w:rFonts w:asciiTheme="majorHAnsi" w:hAnsiTheme="majorHAnsi"/>
          <w:bCs/>
          <w:color w:val="auto"/>
          <w:sz w:val="20"/>
          <w:szCs w:val="20"/>
          <w:lang w:val="es-ES_tradnl"/>
        </w:rPr>
        <w:t xml:space="preserve">. Asimismo, destaca que la familia de Álvaro González no ha realizado </w:t>
      </w:r>
      <w:r w:rsidR="00A1217B" w:rsidRPr="00ED5C9A">
        <w:rPr>
          <w:rFonts w:asciiTheme="majorHAnsi" w:hAnsiTheme="majorHAnsi"/>
          <w:bCs/>
          <w:color w:val="auto"/>
          <w:sz w:val="20"/>
          <w:szCs w:val="20"/>
          <w:lang w:val="es-ES_tradnl"/>
        </w:rPr>
        <w:t xml:space="preserve">gestión alguna para obtener una indemnización por la ocurrencia de los hechos. </w:t>
      </w:r>
    </w:p>
    <w:p w14:paraId="4D7726CD" w14:textId="77777777" w:rsidR="009E454A" w:rsidRPr="00ED5C9A" w:rsidRDefault="009E454A" w:rsidP="009E454A">
      <w:pPr>
        <w:pStyle w:val="ListParagraph"/>
        <w:rPr>
          <w:rFonts w:asciiTheme="majorHAnsi" w:hAnsiTheme="majorHAnsi"/>
          <w:bCs/>
          <w:color w:val="auto"/>
          <w:sz w:val="20"/>
          <w:szCs w:val="20"/>
          <w:lang w:val="es-ES_tradnl"/>
        </w:rPr>
      </w:pPr>
    </w:p>
    <w:p w14:paraId="13CF93F3" w14:textId="6103F4E2" w:rsidR="00A1217B" w:rsidRPr="00ED5C9A" w:rsidRDefault="002D11B8"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 xml:space="preserve">Con respecto al plazo de presentación de la petición, </w:t>
      </w:r>
      <w:r w:rsidR="00A1217B" w:rsidRPr="00ED5C9A">
        <w:rPr>
          <w:rFonts w:asciiTheme="majorHAnsi" w:hAnsiTheme="majorHAnsi"/>
          <w:bCs/>
          <w:color w:val="auto"/>
          <w:sz w:val="20"/>
          <w:szCs w:val="20"/>
          <w:lang w:val="es-ES_tradnl"/>
        </w:rPr>
        <w:t>el Estado argumenta que l</w:t>
      </w:r>
      <w:r w:rsidRPr="00ED5C9A">
        <w:rPr>
          <w:rFonts w:asciiTheme="majorHAnsi" w:hAnsiTheme="majorHAnsi"/>
          <w:bCs/>
          <w:color w:val="auto"/>
          <w:sz w:val="20"/>
          <w:szCs w:val="20"/>
          <w:lang w:val="es-ES_tradnl"/>
        </w:rPr>
        <w:t>os peticionarios</w:t>
      </w:r>
      <w:r w:rsidR="00A1217B" w:rsidRPr="00ED5C9A">
        <w:rPr>
          <w:rFonts w:asciiTheme="majorHAnsi" w:hAnsiTheme="majorHAnsi"/>
          <w:bCs/>
          <w:color w:val="auto"/>
          <w:sz w:val="20"/>
          <w:szCs w:val="20"/>
          <w:lang w:val="es-ES_tradnl"/>
        </w:rPr>
        <w:t xml:space="preserve"> excedi</w:t>
      </w:r>
      <w:r w:rsidRPr="00ED5C9A">
        <w:rPr>
          <w:rFonts w:asciiTheme="majorHAnsi" w:hAnsiTheme="majorHAnsi"/>
          <w:bCs/>
          <w:color w:val="auto"/>
          <w:sz w:val="20"/>
          <w:szCs w:val="20"/>
          <w:lang w:val="es-ES_tradnl"/>
        </w:rPr>
        <w:t xml:space="preserve">eron </w:t>
      </w:r>
      <w:r w:rsidR="00A1217B" w:rsidRPr="00ED5C9A">
        <w:rPr>
          <w:rFonts w:asciiTheme="majorHAnsi" w:hAnsiTheme="majorHAnsi"/>
          <w:bCs/>
          <w:color w:val="auto"/>
          <w:sz w:val="20"/>
          <w:szCs w:val="20"/>
          <w:lang w:val="es-ES_tradnl"/>
        </w:rPr>
        <w:t>el plazo razonable</w:t>
      </w:r>
      <w:r w:rsidRPr="00ED5C9A">
        <w:rPr>
          <w:rFonts w:asciiTheme="majorHAnsi" w:hAnsiTheme="majorHAnsi"/>
          <w:bCs/>
          <w:color w:val="auto"/>
          <w:sz w:val="20"/>
          <w:szCs w:val="20"/>
          <w:lang w:val="es-ES_tradnl"/>
        </w:rPr>
        <w:t xml:space="preserve"> pues han </w:t>
      </w:r>
      <w:r w:rsidR="00A1217B" w:rsidRPr="00ED5C9A">
        <w:rPr>
          <w:rFonts w:asciiTheme="majorHAnsi" w:hAnsiTheme="majorHAnsi"/>
          <w:bCs/>
          <w:color w:val="auto"/>
          <w:sz w:val="20"/>
          <w:szCs w:val="20"/>
          <w:lang w:val="es-ES_tradnl"/>
        </w:rPr>
        <w:t>transcurri</w:t>
      </w:r>
      <w:r w:rsidRPr="00ED5C9A">
        <w:rPr>
          <w:rFonts w:asciiTheme="majorHAnsi" w:hAnsiTheme="majorHAnsi"/>
          <w:bCs/>
          <w:color w:val="auto"/>
          <w:sz w:val="20"/>
          <w:szCs w:val="20"/>
          <w:lang w:val="es-ES_tradnl"/>
        </w:rPr>
        <w:t xml:space="preserve">do </w:t>
      </w:r>
      <w:r w:rsidR="00A1217B" w:rsidRPr="00ED5C9A">
        <w:rPr>
          <w:rFonts w:asciiTheme="majorHAnsi" w:hAnsiTheme="majorHAnsi"/>
          <w:bCs/>
          <w:color w:val="auto"/>
          <w:sz w:val="20"/>
          <w:szCs w:val="20"/>
          <w:lang w:val="es-ES_tradnl"/>
        </w:rPr>
        <w:t xml:space="preserve">aproximadamente </w:t>
      </w:r>
      <w:r w:rsidR="00125BCA" w:rsidRPr="00ED5C9A">
        <w:rPr>
          <w:rFonts w:asciiTheme="majorHAnsi" w:hAnsiTheme="majorHAnsi"/>
          <w:bCs/>
          <w:color w:val="auto"/>
          <w:sz w:val="20"/>
          <w:szCs w:val="20"/>
          <w:lang w:val="es-ES_tradnl"/>
        </w:rPr>
        <w:t>veintiséis</w:t>
      </w:r>
      <w:r w:rsidR="00A1217B" w:rsidRPr="00ED5C9A">
        <w:rPr>
          <w:rFonts w:asciiTheme="majorHAnsi" w:hAnsiTheme="majorHAnsi"/>
          <w:bCs/>
          <w:color w:val="auto"/>
          <w:sz w:val="20"/>
          <w:szCs w:val="20"/>
          <w:lang w:val="es-ES_tradnl"/>
        </w:rPr>
        <w:t xml:space="preserve"> años entre los hechos relacionados con la muerte del Álvaro González y la presentación inicial</w:t>
      </w:r>
      <w:r w:rsidRPr="00ED5C9A">
        <w:rPr>
          <w:rFonts w:asciiTheme="majorHAnsi" w:hAnsiTheme="majorHAnsi"/>
          <w:bCs/>
          <w:color w:val="auto"/>
          <w:sz w:val="20"/>
          <w:szCs w:val="20"/>
          <w:lang w:val="es-ES_tradnl"/>
        </w:rPr>
        <w:t xml:space="preserve">; sin que </w:t>
      </w:r>
      <w:r w:rsidR="009E454A" w:rsidRPr="00ED5C9A">
        <w:rPr>
          <w:rFonts w:asciiTheme="majorHAnsi" w:hAnsiTheme="majorHAnsi"/>
          <w:bCs/>
          <w:color w:val="auto"/>
          <w:sz w:val="20"/>
          <w:szCs w:val="20"/>
          <w:lang w:val="es-ES_tradnl"/>
        </w:rPr>
        <w:t>estos</w:t>
      </w:r>
      <w:r w:rsidRPr="00ED5C9A">
        <w:rPr>
          <w:rFonts w:asciiTheme="majorHAnsi" w:hAnsiTheme="majorHAnsi"/>
          <w:bCs/>
          <w:color w:val="auto"/>
          <w:sz w:val="20"/>
          <w:szCs w:val="20"/>
          <w:lang w:val="es-ES_tradnl"/>
        </w:rPr>
        <w:t xml:space="preserve"> hayan explicado </w:t>
      </w:r>
      <w:r w:rsidR="00A1217B" w:rsidRPr="00ED5C9A">
        <w:rPr>
          <w:rFonts w:asciiTheme="majorHAnsi" w:hAnsiTheme="majorHAnsi"/>
          <w:bCs/>
          <w:color w:val="auto"/>
          <w:sz w:val="20"/>
          <w:szCs w:val="20"/>
          <w:lang w:val="es-ES_tradnl"/>
        </w:rPr>
        <w:t xml:space="preserve">las razones que justifiquen el amplio lapso de tiempo transcurrido. </w:t>
      </w:r>
    </w:p>
    <w:p w14:paraId="357DD546" w14:textId="77777777" w:rsidR="002A610D" w:rsidRPr="00ED5C9A" w:rsidRDefault="002A610D" w:rsidP="001946A7">
      <w:pPr>
        <w:pStyle w:val="ListParagraph"/>
        <w:jc w:val="both"/>
        <w:rPr>
          <w:rFonts w:asciiTheme="majorHAnsi" w:hAnsiTheme="majorHAnsi"/>
          <w:bCs/>
          <w:color w:val="auto"/>
          <w:sz w:val="20"/>
          <w:szCs w:val="20"/>
          <w:lang w:val="es-ES_tradnl"/>
        </w:rPr>
      </w:pPr>
    </w:p>
    <w:p w14:paraId="259C4BAD" w14:textId="3F4E3C8A" w:rsidR="00A0157B" w:rsidRPr="00ED5C9A" w:rsidRDefault="00125BCA"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El Estado aduce además</w:t>
      </w:r>
      <w:r w:rsidR="002A610D" w:rsidRPr="00ED5C9A">
        <w:rPr>
          <w:rFonts w:asciiTheme="majorHAnsi" w:hAnsiTheme="majorHAnsi"/>
          <w:bCs/>
          <w:color w:val="auto"/>
          <w:sz w:val="20"/>
          <w:szCs w:val="20"/>
          <w:lang w:val="es-ES_tradnl"/>
        </w:rPr>
        <w:t xml:space="preserve"> que la pretensión </w:t>
      </w:r>
      <w:r w:rsidR="002D11B8" w:rsidRPr="00ED5C9A">
        <w:rPr>
          <w:rFonts w:asciiTheme="majorHAnsi" w:hAnsiTheme="majorHAnsi"/>
          <w:bCs/>
          <w:color w:val="auto"/>
          <w:sz w:val="20"/>
          <w:szCs w:val="20"/>
          <w:lang w:val="es-ES_tradnl"/>
        </w:rPr>
        <w:t xml:space="preserve">de los peticionarios relativa a </w:t>
      </w:r>
      <w:r w:rsidR="002A610D" w:rsidRPr="00ED5C9A">
        <w:rPr>
          <w:rFonts w:asciiTheme="majorHAnsi" w:hAnsiTheme="majorHAnsi"/>
          <w:bCs/>
          <w:color w:val="auto"/>
          <w:sz w:val="20"/>
          <w:szCs w:val="20"/>
          <w:lang w:val="es-ES_tradnl"/>
        </w:rPr>
        <w:t>la muerte de Álvaro González resulta manifiestamente infundada</w:t>
      </w:r>
      <w:r w:rsidR="00C458C3" w:rsidRPr="00ED5C9A">
        <w:rPr>
          <w:rFonts w:asciiTheme="majorHAnsi" w:hAnsiTheme="majorHAnsi"/>
          <w:bCs/>
          <w:color w:val="auto"/>
          <w:sz w:val="20"/>
          <w:szCs w:val="20"/>
          <w:lang w:val="es-ES_tradnl"/>
        </w:rPr>
        <w:t>,</w:t>
      </w:r>
      <w:r w:rsidR="002D11B8" w:rsidRPr="00ED5C9A">
        <w:rPr>
          <w:rFonts w:asciiTheme="majorHAnsi" w:hAnsiTheme="majorHAnsi"/>
          <w:bCs/>
          <w:color w:val="auto"/>
          <w:sz w:val="20"/>
          <w:szCs w:val="20"/>
          <w:lang w:val="es-ES_tradnl"/>
        </w:rPr>
        <w:t xml:space="preserve"> en tanto </w:t>
      </w:r>
      <w:r w:rsidR="002A610D" w:rsidRPr="00ED5C9A">
        <w:rPr>
          <w:rFonts w:asciiTheme="majorHAnsi" w:hAnsiTheme="majorHAnsi"/>
          <w:bCs/>
          <w:color w:val="auto"/>
          <w:sz w:val="20"/>
          <w:szCs w:val="20"/>
          <w:lang w:val="es-ES_tradnl"/>
        </w:rPr>
        <w:t xml:space="preserve">la petición inicial carece de elementos probatorios que brinden unos mínimos facticos y jurídicos que acrediten </w:t>
      </w:r>
      <w:r w:rsidR="002A610D" w:rsidRPr="00ED5C9A">
        <w:rPr>
          <w:rFonts w:asciiTheme="majorHAnsi" w:hAnsiTheme="majorHAnsi"/>
          <w:bCs/>
          <w:i/>
          <w:iCs/>
          <w:color w:val="auto"/>
          <w:sz w:val="20"/>
          <w:szCs w:val="20"/>
          <w:lang w:val="es-ES_tradnl"/>
        </w:rPr>
        <w:t>prima facie</w:t>
      </w:r>
      <w:r w:rsidR="002A610D" w:rsidRPr="00ED5C9A">
        <w:rPr>
          <w:rFonts w:asciiTheme="majorHAnsi" w:hAnsiTheme="majorHAnsi"/>
          <w:bCs/>
          <w:color w:val="auto"/>
          <w:sz w:val="20"/>
          <w:szCs w:val="20"/>
          <w:lang w:val="es-ES_tradnl"/>
        </w:rPr>
        <w:t xml:space="preserve"> que </w:t>
      </w:r>
      <w:r w:rsidR="002D11B8" w:rsidRPr="00ED5C9A">
        <w:rPr>
          <w:rFonts w:asciiTheme="majorHAnsi" w:hAnsiTheme="majorHAnsi"/>
          <w:bCs/>
          <w:color w:val="auto"/>
          <w:sz w:val="20"/>
          <w:szCs w:val="20"/>
          <w:lang w:val="es-ES_tradnl"/>
        </w:rPr>
        <w:t xml:space="preserve">su </w:t>
      </w:r>
      <w:r w:rsidR="002A610D" w:rsidRPr="00ED5C9A">
        <w:rPr>
          <w:rFonts w:asciiTheme="majorHAnsi" w:hAnsiTheme="majorHAnsi"/>
          <w:bCs/>
          <w:color w:val="auto"/>
          <w:sz w:val="20"/>
          <w:szCs w:val="20"/>
          <w:lang w:val="es-ES_tradnl"/>
        </w:rPr>
        <w:t xml:space="preserve">muerte es atribuible al Estado. </w:t>
      </w:r>
      <w:r w:rsidR="008D2F92" w:rsidRPr="00ED5C9A">
        <w:rPr>
          <w:rFonts w:asciiTheme="majorHAnsi" w:hAnsiTheme="majorHAnsi"/>
          <w:bCs/>
          <w:color w:val="auto"/>
          <w:sz w:val="20"/>
          <w:szCs w:val="20"/>
          <w:lang w:val="es-ES_tradnl"/>
        </w:rPr>
        <w:t>Destaca que e</w:t>
      </w:r>
      <w:r w:rsidR="002A610D" w:rsidRPr="00ED5C9A">
        <w:rPr>
          <w:rFonts w:asciiTheme="majorHAnsi" w:hAnsiTheme="majorHAnsi"/>
          <w:bCs/>
          <w:color w:val="auto"/>
          <w:sz w:val="20"/>
          <w:szCs w:val="20"/>
          <w:lang w:val="es-ES_tradnl"/>
        </w:rPr>
        <w:t xml:space="preserve">l hecho </w:t>
      </w:r>
      <w:r w:rsidR="00C458C3" w:rsidRPr="00ED5C9A">
        <w:rPr>
          <w:rFonts w:asciiTheme="majorHAnsi" w:hAnsiTheme="majorHAnsi"/>
          <w:bCs/>
          <w:color w:val="auto"/>
          <w:sz w:val="20"/>
          <w:szCs w:val="20"/>
          <w:lang w:val="es-ES_tradnl"/>
        </w:rPr>
        <w:t xml:space="preserve">de </w:t>
      </w:r>
      <w:r w:rsidR="002A610D" w:rsidRPr="00ED5C9A">
        <w:rPr>
          <w:rFonts w:asciiTheme="majorHAnsi" w:hAnsiTheme="majorHAnsi"/>
          <w:bCs/>
          <w:color w:val="auto"/>
          <w:sz w:val="20"/>
          <w:szCs w:val="20"/>
          <w:lang w:val="es-ES_tradnl"/>
        </w:rPr>
        <w:t>que a la fecha no</w:t>
      </w:r>
      <w:r w:rsidR="00C458C3" w:rsidRPr="00ED5C9A">
        <w:rPr>
          <w:rFonts w:asciiTheme="majorHAnsi" w:hAnsiTheme="majorHAnsi"/>
          <w:bCs/>
          <w:color w:val="auto"/>
          <w:sz w:val="20"/>
          <w:szCs w:val="20"/>
          <w:lang w:val="es-ES_tradnl"/>
        </w:rPr>
        <w:t xml:space="preserve"> se</w:t>
      </w:r>
      <w:r w:rsidR="002A610D" w:rsidRPr="00ED5C9A">
        <w:rPr>
          <w:rFonts w:asciiTheme="majorHAnsi" w:hAnsiTheme="majorHAnsi"/>
          <w:bCs/>
          <w:color w:val="auto"/>
          <w:sz w:val="20"/>
          <w:szCs w:val="20"/>
          <w:lang w:val="es-ES_tradnl"/>
        </w:rPr>
        <w:t xml:space="preserve"> haya conseguido juzgar y sancionar a los responsables por la muerte de Álvaro González no exime a la parte peticionaria de presentar elementos probatorios que brinden esos mínimos facticos y jurídicos que acrediten que este hecho es atribuible al Estado. </w:t>
      </w:r>
      <w:r w:rsidR="00C458C3" w:rsidRPr="00ED5C9A">
        <w:rPr>
          <w:rFonts w:asciiTheme="majorHAnsi" w:hAnsiTheme="majorHAnsi"/>
          <w:bCs/>
          <w:color w:val="auto"/>
          <w:sz w:val="20"/>
          <w:szCs w:val="20"/>
          <w:lang w:val="es-ES_tradnl"/>
        </w:rPr>
        <w:t>Colombia señala además</w:t>
      </w:r>
      <w:r w:rsidR="002A4B48" w:rsidRPr="00ED5C9A">
        <w:rPr>
          <w:rFonts w:asciiTheme="majorHAnsi" w:hAnsiTheme="majorHAnsi"/>
          <w:bCs/>
          <w:color w:val="auto"/>
          <w:sz w:val="20"/>
          <w:szCs w:val="20"/>
          <w:lang w:val="es-ES_tradnl"/>
        </w:rPr>
        <w:t xml:space="preserve"> que únicamente tenía conocimiento de amenazas </w:t>
      </w:r>
      <w:r w:rsidR="00DD7909" w:rsidRPr="00ED5C9A">
        <w:rPr>
          <w:rFonts w:asciiTheme="majorHAnsi" w:hAnsiTheme="majorHAnsi"/>
          <w:bCs/>
          <w:color w:val="auto"/>
          <w:sz w:val="20"/>
          <w:szCs w:val="20"/>
          <w:lang w:val="es-ES_tradnl"/>
        </w:rPr>
        <w:t>en relación con</w:t>
      </w:r>
      <w:r w:rsidR="002A4B48" w:rsidRPr="00ED5C9A">
        <w:rPr>
          <w:rFonts w:asciiTheme="majorHAnsi" w:hAnsiTheme="majorHAnsi"/>
          <w:bCs/>
          <w:color w:val="auto"/>
          <w:sz w:val="20"/>
          <w:szCs w:val="20"/>
          <w:lang w:val="es-ES_tradnl"/>
        </w:rPr>
        <w:t xml:space="preserve"> Martha González, su esposo e hijas, sin que se pudiera </w:t>
      </w:r>
      <w:r w:rsidR="00A0157B" w:rsidRPr="00ED5C9A">
        <w:rPr>
          <w:rFonts w:asciiTheme="majorHAnsi" w:hAnsiTheme="majorHAnsi"/>
          <w:bCs/>
          <w:color w:val="auto"/>
          <w:sz w:val="20"/>
          <w:szCs w:val="20"/>
          <w:lang w:val="es-ES_tradnl"/>
        </w:rPr>
        <w:t xml:space="preserve">concluir que existía un riesgo real o inmediato sobre el señor </w:t>
      </w:r>
      <w:r w:rsidR="005853A8" w:rsidRPr="00ED5C9A">
        <w:rPr>
          <w:rFonts w:asciiTheme="majorHAnsi" w:hAnsiTheme="majorHAnsi"/>
          <w:bCs/>
          <w:color w:val="auto"/>
          <w:sz w:val="20"/>
          <w:szCs w:val="20"/>
          <w:lang w:val="es-ES_tradnl"/>
        </w:rPr>
        <w:t>González</w:t>
      </w:r>
      <w:r w:rsidR="00A0157B" w:rsidRPr="00ED5C9A">
        <w:rPr>
          <w:rFonts w:asciiTheme="majorHAnsi" w:hAnsiTheme="majorHAnsi"/>
          <w:bCs/>
          <w:color w:val="auto"/>
          <w:sz w:val="20"/>
          <w:szCs w:val="20"/>
          <w:lang w:val="es-ES_tradnl"/>
        </w:rPr>
        <w:t xml:space="preserve"> que las autoridades conocieron o </w:t>
      </w:r>
      <w:r w:rsidR="005853A8" w:rsidRPr="00ED5C9A">
        <w:rPr>
          <w:rFonts w:asciiTheme="majorHAnsi" w:hAnsiTheme="majorHAnsi"/>
          <w:bCs/>
          <w:color w:val="auto"/>
          <w:sz w:val="20"/>
          <w:szCs w:val="20"/>
          <w:lang w:val="es-ES_tradnl"/>
        </w:rPr>
        <w:t>debían</w:t>
      </w:r>
      <w:r w:rsidR="00A0157B" w:rsidRPr="00ED5C9A">
        <w:rPr>
          <w:rFonts w:asciiTheme="majorHAnsi" w:hAnsiTheme="majorHAnsi"/>
          <w:bCs/>
          <w:color w:val="auto"/>
          <w:sz w:val="20"/>
          <w:szCs w:val="20"/>
          <w:lang w:val="es-ES_tradnl"/>
        </w:rPr>
        <w:t xml:space="preserve"> conocer. </w:t>
      </w:r>
    </w:p>
    <w:p w14:paraId="03A3FEFE" w14:textId="77777777" w:rsidR="00A0157B" w:rsidRPr="00ED5C9A" w:rsidRDefault="00A0157B" w:rsidP="00A0157B">
      <w:pPr>
        <w:pStyle w:val="ListParagraph"/>
        <w:rPr>
          <w:rFonts w:asciiTheme="majorHAnsi" w:hAnsiTheme="majorHAnsi"/>
          <w:bCs/>
          <w:color w:val="auto"/>
          <w:sz w:val="20"/>
          <w:szCs w:val="20"/>
          <w:lang w:val="es-ES_tradnl"/>
        </w:rPr>
      </w:pPr>
    </w:p>
    <w:p w14:paraId="09B38526" w14:textId="1D34FFEB" w:rsidR="0002644B" w:rsidRPr="00ED5C9A" w:rsidRDefault="009F5246" w:rsidP="0002644B">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 xml:space="preserve">Por otro lado, </w:t>
      </w:r>
      <w:r w:rsidR="000D573E" w:rsidRPr="00ED5C9A">
        <w:rPr>
          <w:rFonts w:asciiTheme="majorHAnsi" w:hAnsiTheme="majorHAnsi"/>
          <w:bCs/>
          <w:color w:val="auto"/>
          <w:sz w:val="20"/>
          <w:szCs w:val="20"/>
          <w:lang w:val="es-ES_tradnl"/>
        </w:rPr>
        <w:t xml:space="preserve">argumenta que, contrario a lo expuesto por </w:t>
      </w:r>
      <w:r w:rsidR="00C458C3" w:rsidRPr="00ED5C9A">
        <w:rPr>
          <w:rFonts w:asciiTheme="majorHAnsi" w:hAnsiTheme="majorHAnsi"/>
          <w:bCs/>
          <w:color w:val="auto"/>
          <w:sz w:val="20"/>
          <w:szCs w:val="20"/>
          <w:lang w:val="es-ES_tradnl"/>
        </w:rPr>
        <w:t>los peticionarios</w:t>
      </w:r>
      <w:r w:rsidR="000D573E" w:rsidRPr="00ED5C9A">
        <w:rPr>
          <w:rFonts w:asciiTheme="majorHAnsi" w:hAnsiTheme="majorHAnsi"/>
          <w:bCs/>
          <w:color w:val="auto"/>
          <w:sz w:val="20"/>
          <w:szCs w:val="20"/>
          <w:lang w:val="es-ES_tradnl"/>
        </w:rPr>
        <w:t xml:space="preserve">, </w:t>
      </w:r>
      <w:bookmarkStart w:id="3" w:name="_Hlk118801421"/>
      <w:r w:rsidR="000D573E" w:rsidRPr="00ED5C9A">
        <w:rPr>
          <w:rFonts w:asciiTheme="majorHAnsi" w:hAnsiTheme="majorHAnsi"/>
          <w:bCs/>
          <w:color w:val="auto"/>
          <w:sz w:val="20"/>
          <w:szCs w:val="20"/>
          <w:lang w:val="es-ES_tradnl"/>
        </w:rPr>
        <w:t xml:space="preserve">el objeto de la petición </w:t>
      </w:r>
      <w:r w:rsidR="00320DBA" w:rsidRPr="00ED5C9A">
        <w:rPr>
          <w:rFonts w:asciiTheme="majorHAnsi" w:hAnsiTheme="majorHAnsi"/>
          <w:bCs/>
          <w:color w:val="auto"/>
          <w:sz w:val="20"/>
          <w:szCs w:val="20"/>
          <w:lang w:val="es-ES_tradnl"/>
        </w:rPr>
        <w:t xml:space="preserve">frente a la Sra. González y su familia </w:t>
      </w:r>
      <w:r w:rsidR="00C05CF3" w:rsidRPr="00ED5C9A">
        <w:rPr>
          <w:rFonts w:asciiTheme="majorHAnsi" w:hAnsiTheme="majorHAnsi"/>
          <w:bCs/>
          <w:color w:val="auto"/>
          <w:sz w:val="20"/>
          <w:szCs w:val="20"/>
          <w:lang w:val="es-ES_tradnl"/>
        </w:rPr>
        <w:t>está</w:t>
      </w:r>
      <w:r w:rsidR="000D573E" w:rsidRPr="00ED5C9A">
        <w:rPr>
          <w:rFonts w:asciiTheme="majorHAnsi" w:hAnsiTheme="majorHAnsi"/>
          <w:bCs/>
          <w:color w:val="auto"/>
          <w:sz w:val="20"/>
          <w:szCs w:val="20"/>
          <w:lang w:val="es-ES_tradnl"/>
        </w:rPr>
        <w:t xml:space="preserve"> ligado a las decisiones judiciales adoptadas </w:t>
      </w:r>
      <w:bookmarkEnd w:id="3"/>
      <w:r w:rsidR="000D573E" w:rsidRPr="00ED5C9A">
        <w:rPr>
          <w:rFonts w:asciiTheme="majorHAnsi" w:hAnsiTheme="majorHAnsi"/>
          <w:bCs/>
          <w:color w:val="auto"/>
          <w:sz w:val="20"/>
          <w:szCs w:val="20"/>
          <w:lang w:val="es-ES_tradnl"/>
        </w:rPr>
        <w:t>en su cas</w:t>
      </w:r>
      <w:r w:rsidR="00C05CF3" w:rsidRPr="00ED5C9A">
        <w:rPr>
          <w:rFonts w:asciiTheme="majorHAnsi" w:hAnsiTheme="majorHAnsi"/>
          <w:bCs/>
          <w:color w:val="auto"/>
          <w:sz w:val="20"/>
          <w:szCs w:val="20"/>
          <w:lang w:val="es-ES_tradnl"/>
        </w:rPr>
        <w:t>o</w:t>
      </w:r>
      <w:r w:rsidR="000D573E" w:rsidRPr="00ED5C9A">
        <w:rPr>
          <w:rFonts w:asciiTheme="majorHAnsi" w:hAnsiTheme="majorHAnsi"/>
          <w:bCs/>
          <w:color w:val="auto"/>
          <w:sz w:val="20"/>
          <w:szCs w:val="20"/>
          <w:lang w:val="es-ES_tradnl"/>
        </w:rPr>
        <w:t xml:space="preserve"> y no a un desplazamiento forzado. </w:t>
      </w:r>
      <w:r w:rsidR="00C05CF3" w:rsidRPr="00ED5C9A">
        <w:rPr>
          <w:rFonts w:asciiTheme="majorHAnsi" w:hAnsiTheme="majorHAnsi"/>
          <w:bCs/>
          <w:color w:val="auto"/>
          <w:sz w:val="20"/>
          <w:szCs w:val="20"/>
          <w:lang w:val="es-ES_tradnl"/>
        </w:rPr>
        <w:t>Destaca que, d</w:t>
      </w:r>
      <w:r w:rsidR="000D573E" w:rsidRPr="00ED5C9A">
        <w:rPr>
          <w:rFonts w:asciiTheme="majorHAnsi" w:hAnsiTheme="majorHAnsi"/>
          <w:bCs/>
          <w:color w:val="auto"/>
          <w:sz w:val="20"/>
          <w:szCs w:val="20"/>
          <w:lang w:val="es-ES_tradnl"/>
        </w:rPr>
        <w:t>e una lectura detallada del escrito de petición inicial</w:t>
      </w:r>
      <w:r w:rsidR="00C05CF3" w:rsidRPr="00ED5C9A">
        <w:rPr>
          <w:rFonts w:asciiTheme="majorHAnsi" w:hAnsiTheme="majorHAnsi"/>
          <w:bCs/>
          <w:color w:val="auto"/>
          <w:sz w:val="20"/>
          <w:szCs w:val="20"/>
          <w:lang w:val="es-ES_tradnl"/>
        </w:rPr>
        <w:t>,</w:t>
      </w:r>
      <w:r w:rsidR="000D573E" w:rsidRPr="00ED5C9A">
        <w:rPr>
          <w:rFonts w:asciiTheme="majorHAnsi" w:hAnsiTheme="majorHAnsi"/>
          <w:bCs/>
          <w:color w:val="auto"/>
          <w:sz w:val="20"/>
          <w:szCs w:val="20"/>
          <w:lang w:val="es-ES_tradnl"/>
        </w:rPr>
        <w:t xml:space="preserve"> se </w:t>
      </w:r>
      <w:r w:rsidR="00C05CF3" w:rsidRPr="00ED5C9A">
        <w:rPr>
          <w:rFonts w:asciiTheme="majorHAnsi" w:hAnsiTheme="majorHAnsi"/>
          <w:bCs/>
          <w:color w:val="auto"/>
          <w:sz w:val="20"/>
          <w:szCs w:val="20"/>
          <w:lang w:val="es-ES_tradnl"/>
        </w:rPr>
        <w:t xml:space="preserve">observa que los peticionarios no alegan </w:t>
      </w:r>
      <w:r w:rsidR="000D573E" w:rsidRPr="00ED5C9A">
        <w:rPr>
          <w:rFonts w:asciiTheme="majorHAnsi" w:hAnsiTheme="majorHAnsi"/>
          <w:bCs/>
          <w:color w:val="auto"/>
          <w:sz w:val="20"/>
          <w:szCs w:val="20"/>
          <w:lang w:val="es-ES_tradnl"/>
        </w:rPr>
        <w:t>la responsabilidad del Estado por el desplazamiento del que fue víctima Martha González</w:t>
      </w:r>
      <w:r w:rsidR="0002644B" w:rsidRPr="00ED5C9A">
        <w:rPr>
          <w:rFonts w:asciiTheme="majorHAnsi" w:hAnsiTheme="majorHAnsi"/>
          <w:bCs/>
          <w:color w:val="auto"/>
          <w:sz w:val="20"/>
          <w:szCs w:val="20"/>
          <w:lang w:val="es-ES_tradnl"/>
        </w:rPr>
        <w:t xml:space="preserve">, y se limitan a argumentar sobre el levantamiento de las medidas de protección adoptadas por el Estado para proteger y salvaguardar la vida e integridad familiar de Martha González por cuanto </w:t>
      </w:r>
      <w:r w:rsidR="000D573E" w:rsidRPr="00ED5C9A">
        <w:rPr>
          <w:rFonts w:asciiTheme="majorHAnsi" w:hAnsiTheme="majorHAnsi"/>
          <w:bCs/>
          <w:color w:val="auto"/>
          <w:sz w:val="20"/>
          <w:szCs w:val="20"/>
          <w:lang w:val="es-ES_tradnl"/>
        </w:rPr>
        <w:t xml:space="preserve">busca permanecer fuera del territorio nacional. </w:t>
      </w:r>
      <w:r w:rsidR="008C30CB" w:rsidRPr="00ED5C9A">
        <w:rPr>
          <w:rFonts w:asciiTheme="majorHAnsi" w:hAnsiTheme="majorHAnsi"/>
          <w:bCs/>
          <w:color w:val="auto"/>
          <w:sz w:val="20"/>
          <w:szCs w:val="20"/>
          <w:lang w:val="es-ES_tradnl"/>
        </w:rPr>
        <w:t>S</w:t>
      </w:r>
      <w:r w:rsidR="0002644B" w:rsidRPr="00ED5C9A">
        <w:rPr>
          <w:rFonts w:asciiTheme="majorHAnsi" w:hAnsiTheme="majorHAnsi"/>
          <w:color w:val="auto"/>
          <w:sz w:val="20"/>
          <w:szCs w:val="20"/>
          <w:lang w:val="es-ES_tradnl"/>
        </w:rPr>
        <w:t xml:space="preserve">ostiene que la decisión del Ministerio de Relaciones Exteriores de nombrar mediante la Resolución No. 2619 del 23 de diciembre de 1999, a una persona como reemplazo de Martha González en el cargo de Cónsul del Consulado de Colombia en Bilbao, España, se fundamentó en el hecho </w:t>
      </w:r>
      <w:r w:rsidR="000A05D7" w:rsidRPr="00ED5C9A">
        <w:rPr>
          <w:rFonts w:asciiTheme="majorHAnsi" w:hAnsiTheme="majorHAnsi"/>
          <w:color w:val="auto"/>
          <w:sz w:val="20"/>
          <w:szCs w:val="20"/>
          <w:lang w:val="es-ES_tradnl"/>
        </w:rPr>
        <w:t xml:space="preserve">de </w:t>
      </w:r>
      <w:r w:rsidR="0002644B" w:rsidRPr="00ED5C9A">
        <w:rPr>
          <w:rFonts w:asciiTheme="majorHAnsi" w:hAnsiTheme="majorHAnsi"/>
          <w:color w:val="auto"/>
          <w:sz w:val="20"/>
          <w:szCs w:val="20"/>
          <w:lang w:val="es-ES_tradnl"/>
        </w:rPr>
        <w:t xml:space="preserve">que, de conformidad con la legislación nacional vigente, los funcionarios del servicio exterior no pueden permanecer más de cuatro años continuos en el servicio. </w:t>
      </w:r>
      <w:r w:rsidR="00106262" w:rsidRPr="00ED5C9A">
        <w:rPr>
          <w:rFonts w:asciiTheme="majorHAnsi" w:hAnsiTheme="majorHAnsi"/>
          <w:color w:val="auto"/>
          <w:sz w:val="20"/>
          <w:szCs w:val="20"/>
          <w:lang w:val="es-ES_tradnl"/>
        </w:rPr>
        <w:t>En tal sentido, destaca que toda decisión relacionada con un riesgo a su vida en caso de retornar debía ser decidida por la Fiscalía</w:t>
      </w:r>
      <w:r w:rsidR="00094311">
        <w:rPr>
          <w:rFonts w:asciiTheme="majorHAnsi" w:hAnsiTheme="majorHAnsi"/>
          <w:color w:val="auto"/>
          <w:sz w:val="20"/>
          <w:szCs w:val="20"/>
          <w:lang w:val="es-ES_tradnl"/>
        </w:rPr>
        <w:t xml:space="preserve"> </w:t>
      </w:r>
      <w:r w:rsidR="00106262" w:rsidRPr="00ED5C9A">
        <w:rPr>
          <w:rFonts w:asciiTheme="majorHAnsi" w:hAnsiTheme="majorHAnsi"/>
          <w:color w:val="auto"/>
          <w:sz w:val="20"/>
          <w:szCs w:val="20"/>
          <w:lang w:val="es-ES_tradnl"/>
        </w:rPr>
        <w:t>General de la Nación, los Ministerios de Defensa Nacional y Relaciones Exteriores y el D</w:t>
      </w:r>
      <w:r w:rsidR="0061102F" w:rsidRPr="00ED5C9A">
        <w:rPr>
          <w:rFonts w:asciiTheme="majorHAnsi" w:hAnsiTheme="majorHAnsi"/>
          <w:color w:val="auto"/>
          <w:sz w:val="20"/>
          <w:szCs w:val="20"/>
          <w:lang w:val="es-ES_tradnl"/>
        </w:rPr>
        <w:t>AS</w:t>
      </w:r>
      <w:r w:rsidR="00EE5B05" w:rsidRPr="00ED5C9A">
        <w:rPr>
          <w:rFonts w:asciiTheme="majorHAnsi" w:hAnsiTheme="majorHAnsi"/>
          <w:color w:val="auto"/>
          <w:sz w:val="20"/>
          <w:szCs w:val="20"/>
          <w:lang w:val="es-ES_tradnl"/>
        </w:rPr>
        <w:t>.</w:t>
      </w:r>
    </w:p>
    <w:p w14:paraId="4707AC77" w14:textId="77777777" w:rsidR="0002644B" w:rsidRPr="00ED5C9A" w:rsidRDefault="0002644B" w:rsidP="0002644B">
      <w:pPr>
        <w:pStyle w:val="ListParagraph"/>
        <w:rPr>
          <w:rFonts w:asciiTheme="majorHAnsi" w:hAnsiTheme="majorHAnsi"/>
          <w:bCs/>
          <w:color w:val="auto"/>
          <w:sz w:val="20"/>
          <w:szCs w:val="20"/>
          <w:lang w:val="es-ES_tradnl"/>
        </w:rPr>
      </w:pPr>
    </w:p>
    <w:p w14:paraId="67208D05" w14:textId="41BD21E5" w:rsidR="00A71D96" w:rsidRPr="00ED5C9A" w:rsidRDefault="000A05D7"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S</w:t>
      </w:r>
      <w:r w:rsidR="00A71D96" w:rsidRPr="00ED5C9A">
        <w:rPr>
          <w:rFonts w:asciiTheme="majorHAnsi" w:hAnsiTheme="majorHAnsi"/>
          <w:bCs/>
          <w:color w:val="auto"/>
          <w:sz w:val="20"/>
          <w:szCs w:val="20"/>
          <w:lang w:val="es-ES_tradnl"/>
        </w:rPr>
        <w:t>obre este punto</w:t>
      </w:r>
      <w:r w:rsidRPr="00ED5C9A">
        <w:rPr>
          <w:rFonts w:asciiTheme="majorHAnsi" w:hAnsiTheme="majorHAnsi"/>
          <w:bCs/>
          <w:color w:val="auto"/>
          <w:sz w:val="20"/>
          <w:szCs w:val="20"/>
          <w:lang w:val="es-ES_tradnl"/>
        </w:rPr>
        <w:t xml:space="preserve"> el Estado aduce que</w:t>
      </w:r>
      <w:r w:rsidR="008D0E80" w:rsidRPr="00ED5C9A">
        <w:rPr>
          <w:rFonts w:asciiTheme="majorHAnsi" w:hAnsiTheme="majorHAnsi"/>
          <w:bCs/>
          <w:color w:val="auto"/>
          <w:sz w:val="20"/>
          <w:szCs w:val="20"/>
          <w:lang w:val="es-ES_tradnl"/>
        </w:rPr>
        <w:t xml:space="preserve"> </w:t>
      </w:r>
      <w:r w:rsidR="008A7BE9" w:rsidRPr="00ED5C9A">
        <w:rPr>
          <w:rFonts w:asciiTheme="majorHAnsi" w:hAnsiTheme="majorHAnsi"/>
          <w:bCs/>
          <w:color w:val="auto"/>
          <w:sz w:val="20"/>
          <w:szCs w:val="20"/>
          <w:lang w:val="es-ES_tradnl"/>
        </w:rPr>
        <w:t>la petición incurre en la</w:t>
      </w:r>
      <w:r w:rsidR="008C0C37" w:rsidRPr="00ED5C9A">
        <w:rPr>
          <w:rFonts w:asciiTheme="majorHAnsi" w:hAnsiTheme="majorHAnsi"/>
          <w:bCs/>
          <w:color w:val="auto"/>
          <w:sz w:val="20"/>
          <w:szCs w:val="20"/>
          <w:lang w:val="es-ES_tradnl"/>
        </w:rPr>
        <w:t xml:space="preserve"> llamada</w:t>
      </w:r>
      <w:r w:rsidR="008A7BE9" w:rsidRPr="00ED5C9A">
        <w:rPr>
          <w:rFonts w:asciiTheme="majorHAnsi" w:hAnsiTheme="majorHAnsi"/>
          <w:bCs/>
          <w:color w:val="auto"/>
          <w:sz w:val="20"/>
          <w:szCs w:val="20"/>
          <w:lang w:val="es-ES_tradnl"/>
        </w:rPr>
        <w:t xml:space="preserve"> </w:t>
      </w:r>
      <w:r w:rsidR="008C0C37" w:rsidRPr="00ED5C9A">
        <w:rPr>
          <w:rFonts w:asciiTheme="majorHAnsi" w:hAnsiTheme="majorHAnsi"/>
          <w:bCs/>
          <w:color w:val="auto"/>
          <w:sz w:val="20"/>
          <w:szCs w:val="20"/>
          <w:lang w:val="es-ES_tradnl"/>
        </w:rPr>
        <w:t>“</w:t>
      </w:r>
      <w:r w:rsidR="008A7BE9" w:rsidRPr="00ED5C9A">
        <w:rPr>
          <w:rFonts w:asciiTheme="majorHAnsi" w:hAnsiTheme="majorHAnsi"/>
          <w:bCs/>
          <w:color w:val="auto"/>
          <w:sz w:val="20"/>
          <w:szCs w:val="20"/>
          <w:lang w:val="es-ES_tradnl"/>
        </w:rPr>
        <w:t>fórmula de la cuarta instancia</w:t>
      </w:r>
      <w:r w:rsidR="008C0C37" w:rsidRPr="00ED5C9A">
        <w:rPr>
          <w:rFonts w:asciiTheme="majorHAnsi" w:hAnsiTheme="majorHAnsi"/>
          <w:bCs/>
          <w:color w:val="auto"/>
          <w:sz w:val="20"/>
          <w:szCs w:val="20"/>
          <w:lang w:val="es-ES_tradnl"/>
        </w:rPr>
        <w:t>”</w:t>
      </w:r>
      <w:r w:rsidR="008A7BE9" w:rsidRPr="00ED5C9A">
        <w:rPr>
          <w:rFonts w:asciiTheme="majorHAnsi" w:hAnsiTheme="majorHAnsi"/>
          <w:bCs/>
          <w:color w:val="auto"/>
          <w:sz w:val="20"/>
          <w:szCs w:val="20"/>
          <w:lang w:val="es-ES_tradnl"/>
        </w:rPr>
        <w:t xml:space="preserve"> en relación </w:t>
      </w:r>
      <w:r w:rsidR="00664297" w:rsidRPr="00ED5C9A">
        <w:rPr>
          <w:rFonts w:asciiTheme="majorHAnsi" w:hAnsiTheme="majorHAnsi"/>
          <w:bCs/>
          <w:color w:val="auto"/>
          <w:sz w:val="20"/>
          <w:szCs w:val="20"/>
          <w:lang w:val="es-ES_tradnl"/>
        </w:rPr>
        <w:t>a</w:t>
      </w:r>
      <w:r w:rsidR="008A7BE9" w:rsidRPr="00ED5C9A">
        <w:rPr>
          <w:rFonts w:asciiTheme="majorHAnsi" w:hAnsiTheme="majorHAnsi"/>
          <w:bCs/>
          <w:color w:val="auto"/>
          <w:sz w:val="20"/>
          <w:szCs w:val="20"/>
          <w:lang w:val="es-ES_tradnl"/>
        </w:rPr>
        <w:t xml:space="preserve">l análisis de las amenazas en contra de </w:t>
      </w:r>
      <w:r w:rsidR="00664297" w:rsidRPr="00ED5C9A">
        <w:rPr>
          <w:rFonts w:asciiTheme="majorHAnsi" w:hAnsiTheme="majorHAnsi"/>
          <w:bCs/>
          <w:color w:val="auto"/>
          <w:sz w:val="20"/>
          <w:szCs w:val="20"/>
          <w:lang w:val="es-ES_tradnl"/>
        </w:rPr>
        <w:t>Martha González</w:t>
      </w:r>
      <w:r w:rsidR="008A7BE9" w:rsidRPr="00ED5C9A">
        <w:rPr>
          <w:rFonts w:asciiTheme="majorHAnsi" w:hAnsiTheme="majorHAnsi"/>
          <w:bCs/>
          <w:color w:val="auto"/>
          <w:sz w:val="20"/>
          <w:szCs w:val="20"/>
          <w:lang w:val="es-ES_tradnl"/>
        </w:rPr>
        <w:t xml:space="preserve"> y su núcleo familiar</w:t>
      </w:r>
      <w:r w:rsidR="008C0C37" w:rsidRPr="00ED5C9A">
        <w:rPr>
          <w:rFonts w:asciiTheme="majorHAnsi" w:hAnsiTheme="majorHAnsi"/>
          <w:bCs/>
          <w:color w:val="auto"/>
          <w:sz w:val="20"/>
          <w:szCs w:val="20"/>
          <w:lang w:val="es-ES_tradnl"/>
        </w:rPr>
        <w:t>,</w:t>
      </w:r>
      <w:r w:rsidR="00664297" w:rsidRPr="00ED5C9A">
        <w:rPr>
          <w:rFonts w:asciiTheme="majorHAnsi" w:hAnsiTheme="majorHAnsi"/>
          <w:bCs/>
          <w:color w:val="auto"/>
          <w:sz w:val="20"/>
          <w:szCs w:val="20"/>
          <w:lang w:val="es-ES_tradnl"/>
        </w:rPr>
        <w:t xml:space="preserve"> en tanto</w:t>
      </w:r>
      <w:r w:rsidR="008A7BE9" w:rsidRPr="00ED5C9A">
        <w:rPr>
          <w:rFonts w:asciiTheme="majorHAnsi" w:hAnsiTheme="majorHAnsi"/>
          <w:bCs/>
          <w:color w:val="auto"/>
          <w:sz w:val="20"/>
          <w:szCs w:val="20"/>
          <w:lang w:val="es-ES_tradnl"/>
        </w:rPr>
        <w:t xml:space="preserve"> </w:t>
      </w:r>
      <w:r w:rsidR="00A71D96" w:rsidRPr="00ED5C9A">
        <w:rPr>
          <w:rFonts w:asciiTheme="majorHAnsi" w:hAnsiTheme="majorHAnsi"/>
          <w:bCs/>
          <w:color w:val="auto"/>
          <w:sz w:val="20"/>
          <w:szCs w:val="20"/>
          <w:lang w:val="es-ES_tradnl"/>
        </w:rPr>
        <w:t xml:space="preserve">el </w:t>
      </w:r>
      <w:r w:rsidR="00A71D96" w:rsidRPr="00ED5C9A">
        <w:rPr>
          <w:rFonts w:asciiTheme="majorHAnsi" w:hAnsiTheme="majorHAnsi"/>
          <w:bCs/>
          <w:color w:val="auto"/>
          <w:sz w:val="20"/>
          <w:szCs w:val="20"/>
          <w:lang w:val="es-ES_tradnl"/>
        </w:rPr>
        <w:lastRenderedPageBreak/>
        <w:t xml:space="preserve">proceso seguido </w:t>
      </w:r>
      <w:r w:rsidR="00664297" w:rsidRPr="00ED5C9A">
        <w:rPr>
          <w:rFonts w:asciiTheme="majorHAnsi" w:hAnsiTheme="majorHAnsi"/>
          <w:bCs/>
          <w:color w:val="auto"/>
          <w:sz w:val="20"/>
          <w:szCs w:val="20"/>
          <w:lang w:val="es-ES_tradnl"/>
        </w:rPr>
        <w:t>en relación con la acción de tutela instaurada resultó plenamente concordante con las garantías convencionales</w:t>
      </w:r>
      <w:r w:rsidR="00A71D96" w:rsidRPr="00ED5C9A">
        <w:rPr>
          <w:rFonts w:asciiTheme="majorHAnsi" w:hAnsiTheme="majorHAnsi"/>
          <w:bCs/>
          <w:color w:val="auto"/>
          <w:sz w:val="20"/>
          <w:szCs w:val="20"/>
          <w:lang w:val="es-ES_tradnl"/>
        </w:rPr>
        <w:t>,</w:t>
      </w:r>
      <w:r w:rsidR="00664297" w:rsidRPr="00ED5C9A">
        <w:rPr>
          <w:rFonts w:asciiTheme="majorHAnsi" w:hAnsiTheme="majorHAnsi"/>
          <w:bCs/>
          <w:color w:val="auto"/>
          <w:sz w:val="20"/>
          <w:szCs w:val="20"/>
          <w:lang w:val="es-ES_tradnl"/>
        </w:rPr>
        <w:t xml:space="preserve"> en la medida que se realizó el análisis de argumentos y pruebas aportados por las partes, se permitió la participación de la peticionaria y las providencias se encontraron debidamente motivadas teniendo en cuenta cuestiones de orden factico y jurídico. </w:t>
      </w:r>
      <w:r w:rsidR="00A71D96" w:rsidRPr="00ED5C9A">
        <w:rPr>
          <w:rFonts w:asciiTheme="majorHAnsi" w:hAnsiTheme="majorHAnsi"/>
          <w:bCs/>
          <w:color w:val="auto"/>
          <w:sz w:val="20"/>
          <w:szCs w:val="20"/>
          <w:lang w:val="es-ES_tradnl"/>
        </w:rPr>
        <w:t xml:space="preserve">Al respecto, alega que en el marco de la presente petición </w:t>
      </w:r>
      <w:r w:rsidR="00664297" w:rsidRPr="00ED5C9A">
        <w:rPr>
          <w:rFonts w:asciiTheme="majorHAnsi" w:hAnsiTheme="majorHAnsi"/>
          <w:bCs/>
          <w:color w:val="auto"/>
          <w:sz w:val="20"/>
          <w:szCs w:val="20"/>
          <w:lang w:val="es-ES_tradnl"/>
        </w:rPr>
        <w:t>no se expuso ningún argumento mediante el cual se acredite que las providencias proferidas resultaron contrarias a los estándares del</w:t>
      </w:r>
      <w:r w:rsidR="00A71D96" w:rsidRPr="00ED5C9A">
        <w:rPr>
          <w:rFonts w:asciiTheme="majorHAnsi" w:hAnsiTheme="majorHAnsi"/>
          <w:bCs/>
          <w:color w:val="auto"/>
          <w:sz w:val="20"/>
          <w:szCs w:val="20"/>
          <w:lang w:val="es-ES_tradnl"/>
        </w:rPr>
        <w:t xml:space="preserve"> </w:t>
      </w:r>
      <w:r w:rsidR="00144E8E" w:rsidRPr="00ED5C9A">
        <w:rPr>
          <w:rFonts w:asciiTheme="majorHAnsi" w:hAnsiTheme="majorHAnsi"/>
          <w:bCs/>
          <w:color w:val="auto"/>
          <w:sz w:val="20"/>
          <w:szCs w:val="20"/>
          <w:lang w:val="es-ES_tradnl"/>
        </w:rPr>
        <w:t>s</w:t>
      </w:r>
      <w:r w:rsidR="00A71D96" w:rsidRPr="00ED5C9A">
        <w:rPr>
          <w:rFonts w:asciiTheme="majorHAnsi" w:hAnsiTheme="majorHAnsi"/>
          <w:bCs/>
          <w:color w:val="auto"/>
          <w:sz w:val="20"/>
          <w:szCs w:val="20"/>
          <w:lang w:val="es-ES_tradnl"/>
        </w:rPr>
        <w:t xml:space="preserve">istema </w:t>
      </w:r>
      <w:r w:rsidR="00144E8E" w:rsidRPr="00ED5C9A">
        <w:rPr>
          <w:rFonts w:asciiTheme="majorHAnsi" w:hAnsiTheme="majorHAnsi"/>
          <w:bCs/>
          <w:color w:val="auto"/>
          <w:sz w:val="20"/>
          <w:szCs w:val="20"/>
          <w:lang w:val="es-ES_tradnl"/>
        </w:rPr>
        <w:t>i</w:t>
      </w:r>
      <w:r w:rsidR="00A71D96" w:rsidRPr="00ED5C9A">
        <w:rPr>
          <w:rFonts w:asciiTheme="majorHAnsi" w:hAnsiTheme="majorHAnsi"/>
          <w:bCs/>
          <w:color w:val="auto"/>
          <w:sz w:val="20"/>
          <w:szCs w:val="20"/>
          <w:lang w:val="es-ES_tradnl"/>
        </w:rPr>
        <w:t>nteramericano de derechos humanos</w:t>
      </w:r>
      <w:r w:rsidR="00664297" w:rsidRPr="00ED5C9A">
        <w:rPr>
          <w:rFonts w:asciiTheme="majorHAnsi" w:hAnsiTheme="majorHAnsi"/>
          <w:bCs/>
          <w:color w:val="auto"/>
          <w:sz w:val="20"/>
          <w:szCs w:val="20"/>
          <w:lang w:val="es-ES_tradnl"/>
        </w:rPr>
        <w:t xml:space="preserve">. </w:t>
      </w:r>
    </w:p>
    <w:p w14:paraId="7DF25322" w14:textId="77777777" w:rsidR="00106262" w:rsidRPr="00ED5C9A" w:rsidRDefault="00106262" w:rsidP="00106262">
      <w:pPr>
        <w:pStyle w:val="ListParagraph"/>
        <w:rPr>
          <w:rFonts w:asciiTheme="majorHAnsi" w:hAnsiTheme="majorHAnsi"/>
          <w:bCs/>
          <w:color w:val="auto"/>
          <w:sz w:val="20"/>
          <w:szCs w:val="20"/>
          <w:lang w:val="es-ES_tradnl"/>
        </w:rPr>
      </w:pPr>
    </w:p>
    <w:p w14:paraId="6190D22F" w14:textId="018DCA81" w:rsidR="00664297" w:rsidRPr="00ED5C9A" w:rsidRDefault="003C1101"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 xml:space="preserve">Colombia insiste en que </w:t>
      </w:r>
      <w:r w:rsidR="00AA1A96" w:rsidRPr="00ED5C9A">
        <w:rPr>
          <w:rFonts w:asciiTheme="majorHAnsi" w:hAnsiTheme="majorHAnsi"/>
          <w:bCs/>
          <w:color w:val="auto"/>
          <w:sz w:val="20"/>
          <w:szCs w:val="20"/>
          <w:lang w:val="es-ES_tradnl"/>
        </w:rPr>
        <w:t xml:space="preserve">respecto a la decisión </w:t>
      </w:r>
      <w:r w:rsidR="00AA1A96" w:rsidRPr="00ED5C9A">
        <w:rPr>
          <w:rFonts w:asciiTheme="majorHAnsi" w:hAnsiTheme="majorHAnsi"/>
          <w:color w:val="auto"/>
          <w:sz w:val="20"/>
          <w:szCs w:val="20"/>
          <w:lang w:val="es-ES_tradnl"/>
        </w:rPr>
        <w:t xml:space="preserve">del Ministerio de Relaciones Exteriores de nombrar mediante la Resolución No. 2619 del 23 de diciembre de 1999, a una persona como reemplazo de Martha González en el cargo de Cónsul, </w:t>
      </w:r>
      <w:r w:rsidR="00664297" w:rsidRPr="00ED5C9A">
        <w:rPr>
          <w:rFonts w:asciiTheme="majorHAnsi" w:hAnsiTheme="majorHAnsi"/>
          <w:bCs/>
          <w:color w:val="auto"/>
          <w:sz w:val="20"/>
          <w:szCs w:val="20"/>
          <w:lang w:val="es-ES_tradnl"/>
        </w:rPr>
        <w:t>el 3 de marzo de 2000 el Juzgado 23 Penal de Circuito de Bogotá profirió sentencia de primera instancia en la cual decidió tutelar de manera transitoria los derechos fundamentales de Martha González</w:t>
      </w:r>
      <w:r w:rsidR="006C0542" w:rsidRPr="00ED5C9A">
        <w:rPr>
          <w:rFonts w:asciiTheme="majorHAnsi" w:hAnsiTheme="majorHAnsi"/>
          <w:bCs/>
          <w:color w:val="auto"/>
          <w:sz w:val="20"/>
          <w:szCs w:val="20"/>
          <w:lang w:val="es-ES_tradnl"/>
        </w:rPr>
        <w:t xml:space="preserve">, tomando en cuenta </w:t>
      </w:r>
      <w:r w:rsidR="00664297" w:rsidRPr="00ED5C9A">
        <w:rPr>
          <w:rFonts w:asciiTheme="majorHAnsi" w:hAnsiTheme="majorHAnsi"/>
          <w:bCs/>
          <w:color w:val="auto"/>
          <w:sz w:val="20"/>
          <w:szCs w:val="20"/>
          <w:lang w:val="es-ES_tradnl"/>
        </w:rPr>
        <w:t xml:space="preserve">los argumentos y pruebas aportados. </w:t>
      </w:r>
      <w:r w:rsidR="006C0542" w:rsidRPr="00ED5C9A">
        <w:rPr>
          <w:rFonts w:asciiTheme="majorHAnsi" w:hAnsiTheme="majorHAnsi"/>
          <w:bCs/>
          <w:color w:val="auto"/>
          <w:sz w:val="20"/>
          <w:szCs w:val="20"/>
          <w:lang w:val="es-ES_tradnl"/>
        </w:rPr>
        <w:t xml:space="preserve">Asimismo, </w:t>
      </w:r>
      <w:r w:rsidR="00664297" w:rsidRPr="00ED5C9A">
        <w:rPr>
          <w:rFonts w:asciiTheme="majorHAnsi" w:hAnsiTheme="majorHAnsi"/>
          <w:bCs/>
          <w:color w:val="auto"/>
          <w:sz w:val="20"/>
          <w:szCs w:val="20"/>
          <w:lang w:val="es-ES_tradnl"/>
        </w:rPr>
        <w:t xml:space="preserve">la Sala Penal del Tribunal Superior de Bogotá analizó </w:t>
      </w:r>
      <w:r w:rsidR="006C0542" w:rsidRPr="00ED5C9A">
        <w:rPr>
          <w:rFonts w:asciiTheme="majorHAnsi" w:hAnsiTheme="majorHAnsi"/>
          <w:bCs/>
          <w:color w:val="auto"/>
          <w:sz w:val="20"/>
          <w:szCs w:val="20"/>
          <w:lang w:val="es-ES_tradnl"/>
        </w:rPr>
        <w:t xml:space="preserve">en el marco de la decisión de segunda instancia, </w:t>
      </w:r>
      <w:r w:rsidR="00664297" w:rsidRPr="00ED5C9A">
        <w:rPr>
          <w:rFonts w:asciiTheme="majorHAnsi" w:hAnsiTheme="majorHAnsi"/>
          <w:bCs/>
          <w:color w:val="auto"/>
          <w:sz w:val="20"/>
          <w:szCs w:val="20"/>
          <w:lang w:val="es-ES_tradnl"/>
        </w:rPr>
        <w:t>los argumentos presentados por las entidades</w:t>
      </w:r>
      <w:r w:rsidR="006C0542" w:rsidRPr="00ED5C9A">
        <w:rPr>
          <w:rFonts w:asciiTheme="majorHAnsi" w:hAnsiTheme="majorHAnsi"/>
          <w:bCs/>
          <w:color w:val="auto"/>
          <w:sz w:val="20"/>
          <w:szCs w:val="20"/>
          <w:lang w:val="es-ES_tradnl"/>
        </w:rPr>
        <w:t xml:space="preserve"> apelantes</w:t>
      </w:r>
      <w:r w:rsidR="00664297" w:rsidRPr="00ED5C9A">
        <w:rPr>
          <w:rFonts w:asciiTheme="majorHAnsi" w:hAnsiTheme="majorHAnsi"/>
          <w:bCs/>
          <w:color w:val="auto"/>
          <w:sz w:val="20"/>
          <w:szCs w:val="20"/>
          <w:lang w:val="es-ES_tradnl"/>
        </w:rPr>
        <w:t>, así como los relacionados con sus inconformidades respecto de la decisión de primera instancia</w:t>
      </w:r>
      <w:r w:rsidR="006C0542" w:rsidRPr="00ED5C9A">
        <w:rPr>
          <w:rFonts w:asciiTheme="majorHAnsi" w:hAnsiTheme="majorHAnsi"/>
          <w:bCs/>
          <w:color w:val="auto"/>
          <w:sz w:val="20"/>
          <w:szCs w:val="20"/>
          <w:lang w:val="es-ES_tradnl"/>
        </w:rPr>
        <w:t xml:space="preserve">; y decidió </w:t>
      </w:r>
      <w:r w:rsidR="00664297" w:rsidRPr="00ED5C9A">
        <w:rPr>
          <w:rFonts w:asciiTheme="majorHAnsi" w:hAnsiTheme="majorHAnsi"/>
          <w:bCs/>
          <w:color w:val="auto"/>
          <w:sz w:val="20"/>
          <w:szCs w:val="20"/>
          <w:lang w:val="es-ES_tradnl"/>
        </w:rPr>
        <w:t xml:space="preserve">el 14 de abril de 2000 revocar la decisión de primera instancia. </w:t>
      </w:r>
      <w:r w:rsidR="006C0542" w:rsidRPr="00ED5C9A">
        <w:rPr>
          <w:rFonts w:asciiTheme="majorHAnsi" w:hAnsiTheme="majorHAnsi"/>
          <w:bCs/>
          <w:color w:val="auto"/>
          <w:sz w:val="20"/>
          <w:szCs w:val="20"/>
          <w:lang w:val="es-ES_tradnl"/>
        </w:rPr>
        <w:t>Finalmente, l</w:t>
      </w:r>
      <w:r w:rsidR="00664297" w:rsidRPr="00ED5C9A">
        <w:rPr>
          <w:rFonts w:asciiTheme="majorHAnsi" w:hAnsiTheme="majorHAnsi"/>
          <w:bCs/>
          <w:color w:val="auto"/>
          <w:sz w:val="20"/>
          <w:szCs w:val="20"/>
          <w:lang w:val="es-ES_tradnl"/>
        </w:rPr>
        <w:t>a Corte Constitucional decretó nuevas pruebas con el fin de analizar aspectos adicionales del asunto</w:t>
      </w:r>
      <w:r w:rsidR="006F081A" w:rsidRPr="00ED5C9A">
        <w:rPr>
          <w:rFonts w:asciiTheme="majorHAnsi" w:hAnsiTheme="majorHAnsi"/>
          <w:bCs/>
          <w:color w:val="auto"/>
          <w:sz w:val="20"/>
          <w:szCs w:val="20"/>
          <w:lang w:val="es-ES_tradnl"/>
        </w:rPr>
        <w:t>,</w:t>
      </w:r>
      <w:r w:rsidR="00664297" w:rsidRPr="00ED5C9A">
        <w:rPr>
          <w:rFonts w:asciiTheme="majorHAnsi" w:hAnsiTheme="majorHAnsi"/>
          <w:bCs/>
          <w:color w:val="auto"/>
          <w:sz w:val="20"/>
          <w:szCs w:val="20"/>
          <w:lang w:val="es-ES_tradnl"/>
        </w:rPr>
        <w:t xml:space="preserve"> y dispuso oficiar al Fiscal General de la Nación y al Jefe de la Oficina de Protección y Asistencia de la </w:t>
      </w:r>
      <w:r w:rsidR="006C0542" w:rsidRPr="00ED5C9A">
        <w:rPr>
          <w:rFonts w:asciiTheme="majorHAnsi" w:hAnsiTheme="majorHAnsi"/>
          <w:bCs/>
          <w:color w:val="auto"/>
          <w:sz w:val="20"/>
          <w:szCs w:val="20"/>
          <w:lang w:val="es-ES_tradnl"/>
        </w:rPr>
        <w:t xml:space="preserve">Fiscalía General </w:t>
      </w:r>
      <w:r w:rsidR="00664297" w:rsidRPr="00ED5C9A">
        <w:rPr>
          <w:rFonts w:asciiTheme="majorHAnsi" w:hAnsiTheme="majorHAnsi"/>
          <w:bCs/>
          <w:color w:val="auto"/>
          <w:sz w:val="20"/>
          <w:szCs w:val="20"/>
          <w:lang w:val="es-ES_tradnl"/>
        </w:rPr>
        <w:t xml:space="preserve">para </w:t>
      </w:r>
      <w:r w:rsidR="000D573E" w:rsidRPr="00ED5C9A">
        <w:rPr>
          <w:rFonts w:asciiTheme="majorHAnsi" w:hAnsiTheme="majorHAnsi"/>
          <w:bCs/>
          <w:color w:val="auto"/>
          <w:sz w:val="20"/>
          <w:szCs w:val="20"/>
          <w:lang w:val="es-ES_tradnl"/>
        </w:rPr>
        <w:t>realizar</w:t>
      </w:r>
      <w:r w:rsidR="00664297" w:rsidRPr="00ED5C9A">
        <w:rPr>
          <w:rFonts w:asciiTheme="majorHAnsi" w:hAnsiTheme="majorHAnsi"/>
          <w:bCs/>
          <w:color w:val="auto"/>
          <w:sz w:val="20"/>
          <w:szCs w:val="20"/>
          <w:lang w:val="es-ES_tradnl"/>
        </w:rPr>
        <w:t xml:space="preserve"> una evaluación de seguridad de la peticionaria</w:t>
      </w:r>
      <w:r w:rsidR="000D573E" w:rsidRPr="00ED5C9A">
        <w:rPr>
          <w:rFonts w:asciiTheme="majorHAnsi" w:hAnsiTheme="majorHAnsi"/>
          <w:bCs/>
          <w:color w:val="auto"/>
          <w:sz w:val="20"/>
          <w:szCs w:val="20"/>
          <w:lang w:val="es-ES_tradnl"/>
        </w:rPr>
        <w:t>; y frente a los resultados de estas, confirmó la decisión emitida por el Tribunal Superior de Bogotá</w:t>
      </w:r>
      <w:r w:rsidR="00664297" w:rsidRPr="00ED5C9A">
        <w:rPr>
          <w:rFonts w:asciiTheme="majorHAnsi" w:hAnsiTheme="majorHAnsi"/>
          <w:bCs/>
          <w:color w:val="auto"/>
          <w:sz w:val="20"/>
          <w:szCs w:val="20"/>
          <w:lang w:val="es-ES_tradnl"/>
        </w:rPr>
        <w:t xml:space="preserve">. </w:t>
      </w:r>
    </w:p>
    <w:p w14:paraId="2D49D983" w14:textId="77777777" w:rsidR="006C0542" w:rsidRPr="00ED5C9A" w:rsidRDefault="006C0542" w:rsidP="006C0542">
      <w:pPr>
        <w:pStyle w:val="ListParagraph"/>
        <w:jc w:val="both"/>
        <w:rPr>
          <w:rFonts w:asciiTheme="majorHAnsi" w:hAnsiTheme="majorHAnsi"/>
          <w:bCs/>
          <w:color w:val="auto"/>
          <w:sz w:val="20"/>
          <w:szCs w:val="20"/>
          <w:lang w:val="es-ES_tradnl"/>
        </w:rPr>
      </w:pPr>
    </w:p>
    <w:p w14:paraId="589FCC9F" w14:textId="041FBA81" w:rsidR="008D0E80" w:rsidRPr="00ED5C9A" w:rsidRDefault="00320DBA" w:rsidP="00BE5F7B">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bCs/>
          <w:color w:val="auto"/>
          <w:sz w:val="20"/>
          <w:szCs w:val="20"/>
          <w:lang w:val="es-ES_tradnl"/>
        </w:rPr>
        <w:t>Por último, señala que los peticionarios incumplieron el plazo de seis meses contemplado en el artículo 46.1.b</w:t>
      </w:r>
      <w:r w:rsidR="006F081A" w:rsidRPr="00ED5C9A">
        <w:rPr>
          <w:rFonts w:asciiTheme="majorHAnsi" w:hAnsiTheme="majorHAnsi"/>
          <w:bCs/>
          <w:color w:val="auto"/>
          <w:sz w:val="20"/>
          <w:szCs w:val="20"/>
          <w:lang w:val="es-ES_tradnl"/>
        </w:rPr>
        <w:t>)</w:t>
      </w:r>
      <w:r w:rsidRPr="00ED5C9A">
        <w:rPr>
          <w:rFonts w:asciiTheme="majorHAnsi" w:hAnsiTheme="majorHAnsi"/>
          <w:bCs/>
          <w:color w:val="auto"/>
          <w:sz w:val="20"/>
          <w:szCs w:val="20"/>
          <w:lang w:val="es-ES_tradnl"/>
        </w:rPr>
        <w:t xml:space="preserve"> de la Convención Americana</w:t>
      </w:r>
      <w:r w:rsidR="006F081A" w:rsidRPr="00ED5C9A">
        <w:rPr>
          <w:rFonts w:asciiTheme="majorHAnsi" w:hAnsiTheme="majorHAnsi"/>
          <w:bCs/>
          <w:color w:val="auto"/>
          <w:sz w:val="20"/>
          <w:szCs w:val="20"/>
          <w:lang w:val="es-ES_tradnl"/>
        </w:rPr>
        <w:t>,</w:t>
      </w:r>
      <w:r w:rsidRPr="00ED5C9A">
        <w:rPr>
          <w:rFonts w:asciiTheme="majorHAnsi" w:hAnsiTheme="majorHAnsi"/>
          <w:bCs/>
          <w:color w:val="auto"/>
          <w:sz w:val="20"/>
          <w:szCs w:val="20"/>
          <w:lang w:val="es-ES_tradnl"/>
        </w:rPr>
        <w:t xml:space="preserve"> por cuanto </w:t>
      </w:r>
      <w:r w:rsidR="00A71D96" w:rsidRPr="00ED5C9A">
        <w:rPr>
          <w:rFonts w:asciiTheme="majorHAnsi" w:hAnsiTheme="majorHAnsi"/>
          <w:bCs/>
          <w:color w:val="auto"/>
          <w:sz w:val="20"/>
          <w:szCs w:val="20"/>
          <w:lang w:val="es-ES_tradnl"/>
        </w:rPr>
        <w:t xml:space="preserve">la Corte Constitucional profirió </w:t>
      </w:r>
      <w:r w:rsidRPr="00ED5C9A">
        <w:rPr>
          <w:rFonts w:asciiTheme="majorHAnsi" w:hAnsiTheme="majorHAnsi"/>
          <w:bCs/>
          <w:color w:val="auto"/>
          <w:sz w:val="20"/>
          <w:szCs w:val="20"/>
          <w:lang w:val="es-ES_tradnl"/>
        </w:rPr>
        <w:t xml:space="preserve">la decisión </w:t>
      </w:r>
      <w:r w:rsidR="006F081A" w:rsidRPr="00ED5C9A">
        <w:rPr>
          <w:rFonts w:asciiTheme="majorHAnsi" w:hAnsiTheme="majorHAnsi"/>
          <w:bCs/>
          <w:color w:val="auto"/>
          <w:sz w:val="20"/>
          <w:szCs w:val="20"/>
          <w:lang w:val="es-ES_tradnl"/>
        </w:rPr>
        <w:t>con relación a</w:t>
      </w:r>
      <w:r w:rsidRPr="00ED5C9A">
        <w:rPr>
          <w:rFonts w:asciiTheme="majorHAnsi" w:hAnsiTheme="majorHAnsi"/>
          <w:bCs/>
          <w:color w:val="auto"/>
          <w:sz w:val="20"/>
          <w:szCs w:val="20"/>
          <w:lang w:val="es-ES_tradnl"/>
        </w:rPr>
        <w:t xml:space="preserve"> </w:t>
      </w:r>
      <w:r w:rsidR="008D0E80" w:rsidRPr="00ED5C9A">
        <w:rPr>
          <w:rFonts w:asciiTheme="majorHAnsi" w:hAnsiTheme="majorHAnsi"/>
          <w:bCs/>
          <w:color w:val="auto"/>
          <w:sz w:val="20"/>
          <w:szCs w:val="20"/>
          <w:lang w:val="es-ES_tradnl"/>
        </w:rPr>
        <w:t>la acción de tutela interpuesta el 5 de diciembre de 2000</w:t>
      </w:r>
      <w:r w:rsidR="00367D13" w:rsidRPr="00ED5C9A">
        <w:rPr>
          <w:rFonts w:asciiTheme="majorHAnsi" w:hAnsiTheme="majorHAnsi"/>
          <w:bCs/>
          <w:color w:val="auto"/>
          <w:sz w:val="20"/>
          <w:szCs w:val="20"/>
          <w:lang w:val="es-ES_tradnl"/>
        </w:rPr>
        <w:t>,</w:t>
      </w:r>
      <w:r w:rsidR="008D0E80" w:rsidRPr="00ED5C9A">
        <w:rPr>
          <w:rFonts w:asciiTheme="majorHAnsi" w:hAnsiTheme="majorHAnsi"/>
          <w:bCs/>
          <w:color w:val="auto"/>
          <w:sz w:val="20"/>
          <w:szCs w:val="20"/>
          <w:lang w:val="es-ES_tradnl"/>
        </w:rPr>
        <w:t xml:space="preserve"> y la petición inicial fue presentada </w:t>
      </w:r>
      <w:r w:rsidRPr="00ED5C9A">
        <w:rPr>
          <w:rFonts w:asciiTheme="majorHAnsi" w:hAnsiTheme="majorHAnsi"/>
          <w:bCs/>
          <w:color w:val="auto"/>
          <w:sz w:val="20"/>
          <w:szCs w:val="20"/>
          <w:lang w:val="es-ES_tradnl"/>
        </w:rPr>
        <w:t>en</w:t>
      </w:r>
      <w:r w:rsidR="008D0E80" w:rsidRPr="00ED5C9A">
        <w:rPr>
          <w:rFonts w:asciiTheme="majorHAnsi" w:hAnsiTheme="majorHAnsi"/>
          <w:bCs/>
          <w:color w:val="auto"/>
          <w:sz w:val="20"/>
          <w:szCs w:val="20"/>
          <w:lang w:val="es-ES_tradnl"/>
        </w:rPr>
        <w:t xml:space="preserve"> mayo de</w:t>
      </w:r>
      <w:r w:rsidRPr="00ED5C9A">
        <w:rPr>
          <w:rFonts w:asciiTheme="majorHAnsi" w:hAnsiTheme="majorHAnsi"/>
          <w:bCs/>
          <w:color w:val="auto"/>
          <w:sz w:val="20"/>
          <w:szCs w:val="20"/>
          <w:lang w:val="es-ES_tradnl"/>
        </w:rPr>
        <w:t>l</w:t>
      </w:r>
      <w:r w:rsidR="008D0E80" w:rsidRPr="00ED5C9A">
        <w:rPr>
          <w:rFonts w:asciiTheme="majorHAnsi" w:hAnsiTheme="majorHAnsi"/>
          <w:bCs/>
          <w:color w:val="auto"/>
          <w:sz w:val="20"/>
          <w:szCs w:val="20"/>
          <w:lang w:val="es-ES_tradnl"/>
        </w:rPr>
        <w:t xml:space="preserve"> 2014. Así</w:t>
      </w:r>
      <w:r w:rsidRPr="00ED5C9A">
        <w:rPr>
          <w:rFonts w:asciiTheme="majorHAnsi" w:hAnsiTheme="majorHAnsi"/>
          <w:bCs/>
          <w:color w:val="auto"/>
          <w:sz w:val="20"/>
          <w:szCs w:val="20"/>
          <w:lang w:val="es-ES_tradnl"/>
        </w:rPr>
        <w:t>,</w:t>
      </w:r>
      <w:r w:rsidR="008D0E80" w:rsidRPr="00ED5C9A">
        <w:rPr>
          <w:rFonts w:asciiTheme="majorHAnsi" w:hAnsiTheme="majorHAnsi"/>
          <w:bCs/>
          <w:color w:val="auto"/>
          <w:sz w:val="20"/>
          <w:szCs w:val="20"/>
          <w:lang w:val="es-ES_tradnl"/>
        </w:rPr>
        <w:t xml:space="preserve"> sin importar la fecha exacta en </w:t>
      </w:r>
      <w:r w:rsidRPr="00ED5C9A">
        <w:rPr>
          <w:rFonts w:asciiTheme="majorHAnsi" w:hAnsiTheme="majorHAnsi"/>
          <w:bCs/>
          <w:color w:val="auto"/>
          <w:sz w:val="20"/>
          <w:szCs w:val="20"/>
          <w:lang w:val="es-ES_tradnl"/>
        </w:rPr>
        <w:t xml:space="preserve">la </w:t>
      </w:r>
      <w:r w:rsidR="008D0E80" w:rsidRPr="00ED5C9A">
        <w:rPr>
          <w:rFonts w:asciiTheme="majorHAnsi" w:hAnsiTheme="majorHAnsi"/>
          <w:bCs/>
          <w:color w:val="auto"/>
          <w:sz w:val="20"/>
          <w:szCs w:val="20"/>
          <w:lang w:val="es-ES_tradnl"/>
        </w:rPr>
        <w:t xml:space="preserve">que la Corte </w:t>
      </w:r>
      <w:r w:rsidRPr="00ED5C9A">
        <w:rPr>
          <w:rFonts w:asciiTheme="majorHAnsi" w:hAnsiTheme="majorHAnsi"/>
          <w:bCs/>
          <w:color w:val="auto"/>
          <w:sz w:val="20"/>
          <w:szCs w:val="20"/>
          <w:lang w:val="es-ES_tradnl"/>
        </w:rPr>
        <w:t xml:space="preserve">Constitucional </w:t>
      </w:r>
      <w:r w:rsidR="008D0E80" w:rsidRPr="00ED5C9A">
        <w:rPr>
          <w:rFonts w:asciiTheme="majorHAnsi" w:hAnsiTheme="majorHAnsi"/>
          <w:bCs/>
          <w:color w:val="auto"/>
          <w:sz w:val="20"/>
          <w:szCs w:val="20"/>
          <w:lang w:val="es-ES_tradnl"/>
        </w:rPr>
        <w:t xml:space="preserve">haya notificado </w:t>
      </w:r>
      <w:r w:rsidRPr="00ED5C9A">
        <w:rPr>
          <w:rFonts w:asciiTheme="majorHAnsi" w:hAnsiTheme="majorHAnsi"/>
          <w:bCs/>
          <w:color w:val="auto"/>
          <w:sz w:val="20"/>
          <w:szCs w:val="20"/>
          <w:lang w:val="es-ES_tradnl"/>
        </w:rPr>
        <w:t xml:space="preserve">su decisión, </w:t>
      </w:r>
      <w:r w:rsidR="008D0E80" w:rsidRPr="00ED5C9A">
        <w:rPr>
          <w:rFonts w:asciiTheme="majorHAnsi" w:hAnsiTheme="majorHAnsi"/>
          <w:bCs/>
          <w:color w:val="auto"/>
          <w:sz w:val="20"/>
          <w:szCs w:val="20"/>
          <w:lang w:val="es-ES_tradnl"/>
        </w:rPr>
        <w:t xml:space="preserve">es claro que transcurrieron </w:t>
      </w:r>
      <w:r w:rsidRPr="00ED5C9A">
        <w:rPr>
          <w:rFonts w:asciiTheme="majorHAnsi" w:hAnsiTheme="majorHAnsi"/>
          <w:bCs/>
          <w:color w:val="auto"/>
          <w:sz w:val="20"/>
          <w:szCs w:val="20"/>
          <w:lang w:val="es-ES_tradnl"/>
        </w:rPr>
        <w:t>más</w:t>
      </w:r>
      <w:r w:rsidR="008D0E80" w:rsidRPr="00ED5C9A">
        <w:rPr>
          <w:rFonts w:asciiTheme="majorHAnsi" w:hAnsiTheme="majorHAnsi"/>
          <w:bCs/>
          <w:color w:val="auto"/>
          <w:sz w:val="20"/>
          <w:szCs w:val="20"/>
          <w:lang w:val="es-ES_tradnl"/>
        </w:rPr>
        <w:t xml:space="preserve"> de </w:t>
      </w:r>
      <w:r w:rsidR="006F081A" w:rsidRPr="00ED5C9A">
        <w:rPr>
          <w:rFonts w:asciiTheme="majorHAnsi" w:hAnsiTheme="majorHAnsi"/>
          <w:bCs/>
          <w:color w:val="auto"/>
          <w:sz w:val="20"/>
          <w:szCs w:val="20"/>
          <w:lang w:val="es-ES_tradnl"/>
        </w:rPr>
        <w:t>diez</w:t>
      </w:r>
      <w:r w:rsidR="008D0E80" w:rsidRPr="00ED5C9A">
        <w:rPr>
          <w:rFonts w:asciiTheme="majorHAnsi" w:hAnsiTheme="majorHAnsi"/>
          <w:bCs/>
          <w:color w:val="auto"/>
          <w:sz w:val="20"/>
          <w:szCs w:val="20"/>
          <w:lang w:val="es-ES_tradnl"/>
        </w:rPr>
        <w:t xml:space="preserve"> años entre la decisión </w:t>
      </w:r>
      <w:r w:rsidR="00CA29CE" w:rsidRPr="00ED5C9A">
        <w:rPr>
          <w:rFonts w:asciiTheme="majorHAnsi" w:hAnsiTheme="majorHAnsi"/>
          <w:bCs/>
          <w:color w:val="auto"/>
          <w:sz w:val="20"/>
          <w:szCs w:val="20"/>
          <w:lang w:val="es-ES_tradnl"/>
        </w:rPr>
        <w:t>definitiva</w:t>
      </w:r>
      <w:r w:rsidR="008D0E80" w:rsidRPr="00ED5C9A">
        <w:rPr>
          <w:rFonts w:asciiTheme="majorHAnsi" w:hAnsiTheme="majorHAnsi"/>
          <w:bCs/>
          <w:color w:val="auto"/>
          <w:sz w:val="20"/>
          <w:szCs w:val="20"/>
          <w:lang w:val="es-ES_tradnl"/>
        </w:rPr>
        <w:t xml:space="preserve"> </w:t>
      </w:r>
      <w:r w:rsidR="00106262" w:rsidRPr="00ED5C9A">
        <w:rPr>
          <w:rFonts w:asciiTheme="majorHAnsi" w:hAnsiTheme="majorHAnsi"/>
          <w:bCs/>
          <w:color w:val="auto"/>
          <w:sz w:val="20"/>
          <w:szCs w:val="20"/>
          <w:lang w:val="es-ES_tradnl"/>
        </w:rPr>
        <w:t xml:space="preserve">a nivel interno relacionada con este aspecto </w:t>
      </w:r>
      <w:r w:rsidR="008D0E80" w:rsidRPr="00ED5C9A">
        <w:rPr>
          <w:rFonts w:asciiTheme="majorHAnsi" w:hAnsiTheme="majorHAnsi"/>
          <w:bCs/>
          <w:color w:val="auto"/>
          <w:sz w:val="20"/>
          <w:szCs w:val="20"/>
          <w:lang w:val="es-ES_tradnl"/>
        </w:rPr>
        <w:t>y la</w:t>
      </w:r>
      <w:r w:rsidR="00CA29CE" w:rsidRPr="00ED5C9A">
        <w:rPr>
          <w:rFonts w:asciiTheme="majorHAnsi" w:hAnsiTheme="majorHAnsi"/>
          <w:bCs/>
          <w:color w:val="auto"/>
          <w:sz w:val="20"/>
          <w:szCs w:val="20"/>
          <w:lang w:val="es-ES_tradnl"/>
        </w:rPr>
        <w:t xml:space="preserve"> presentación</w:t>
      </w:r>
      <w:r w:rsidR="008D0E80" w:rsidRPr="00ED5C9A">
        <w:rPr>
          <w:rFonts w:asciiTheme="majorHAnsi" w:hAnsiTheme="majorHAnsi"/>
          <w:bCs/>
          <w:color w:val="auto"/>
          <w:sz w:val="20"/>
          <w:szCs w:val="20"/>
          <w:lang w:val="es-ES_tradnl"/>
        </w:rPr>
        <w:t xml:space="preserve"> de la petición inicial</w:t>
      </w:r>
      <w:r w:rsidR="0002644B" w:rsidRPr="00ED5C9A">
        <w:rPr>
          <w:rFonts w:asciiTheme="majorHAnsi" w:hAnsiTheme="majorHAnsi"/>
          <w:color w:val="auto"/>
          <w:sz w:val="20"/>
          <w:szCs w:val="20"/>
          <w:lang w:val="es-ES_tradnl"/>
        </w:rPr>
        <w:t>.</w:t>
      </w:r>
    </w:p>
    <w:p w14:paraId="51F68C92" w14:textId="278FE7AD" w:rsidR="003239B8" w:rsidRPr="00ED5C9A" w:rsidRDefault="004A6A54" w:rsidP="00C2554E">
      <w:pPr>
        <w:pStyle w:val="ListParagraph"/>
        <w:numPr>
          <w:ilvl w:val="0"/>
          <w:numId w:val="60"/>
        </w:numPr>
        <w:spacing w:before="240" w:after="240"/>
        <w:ind w:left="0" w:firstLine="720"/>
        <w:jc w:val="both"/>
        <w:rPr>
          <w:rFonts w:asciiTheme="majorHAnsi" w:hAnsiTheme="majorHAnsi"/>
          <w:color w:val="auto"/>
          <w:sz w:val="20"/>
          <w:szCs w:val="20"/>
          <w:lang w:val="es-ES_tradnl"/>
        </w:rPr>
      </w:pPr>
      <w:r w:rsidRPr="00ED5C9A">
        <w:rPr>
          <w:rFonts w:asciiTheme="majorHAnsi" w:hAnsiTheme="majorHAnsi"/>
          <w:b/>
          <w:bCs/>
          <w:color w:val="auto"/>
          <w:sz w:val="20"/>
          <w:szCs w:val="20"/>
          <w:lang w:val="es-ES_tradnl"/>
        </w:rPr>
        <w:t xml:space="preserve">ANÁLISIS DE </w:t>
      </w:r>
      <w:r w:rsidR="00C21FEF" w:rsidRPr="00ED5C9A">
        <w:rPr>
          <w:rFonts w:asciiTheme="majorHAnsi" w:hAnsiTheme="majorHAnsi"/>
          <w:b/>
          <w:color w:val="auto"/>
          <w:sz w:val="20"/>
          <w:szCs w:val="20"/>
          <w:lang w:val="es-ES_tradnl"/>
        </w:rPr>
        <w:t>AGOTAMIENTO DE LOS RECURSOS INTERNOS Y PLAZO DE PRESENTACIÓN</w:t>
      </w:r>
      <w:r w:rsidR="00C21FEF" w:rsidRPr="00ED5C9A">
        <w:rPr>
          <w:rFonts w:asciiTheme="majorHAnsi" w:hAnsiTheme="majorHAnsi"/>
          <w:b/>
          <w:bCs/>
          <w:color w:val="auto"/>
          <w:sz w:val="20"/>
          <w:szCs w:val="20"/>
          <w:lang w:val="es-ES_tradnl"/>
        </w:rPr>
        <w:t xml:space="preserve"> </w:t>
      </w:r>
    </w:p>
    <w:p w14:paraId="1DB8CEC2" w14:textId="3F6DC3DA" w:rsidR="00BC2A4E" w:rsidRPr="00ED5C9A" w:rsidRDefault="00B25229" w:rsidP="00B97760">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 xml:space="preserve">En atención al presente caso, </w:t>
      </w:r>
      <w:r w:rsidR="00541676" w:rsidRPr="00ED5C9A">
        <w:rPr>
          <w:rFonts w:asciiTheme="majorHAnsi" w:hAnsiTheme="majorHAnsi"/>
          <w:color w:val="auto"/>
          <w:sz w:val="20"/>
          <w:szCs w:val="20"/>
          <w:lang w:val="es-ES_tradnl"/>
        </w:rPr>
        <w:t xml:space="preserve">la Comisión </w:t>
      </w:r>
      <w:r w:rsidRPr="00ED5C9A">
        <w:rPr>
          <w:rFonts w:asciiTheme="majorHAnsi" w:hAnsiTheme="majorHAnsi"/>
          <w:color w:val="auto"/>
          <w:sz w:val="20"/>
          <w:szCs w:val="20"/>
          <w:lang w:val="es-ES_tradnl"/>
        </w:rPr>
        <w:t xml:space="preserve">observa que, </w:t>
      </w:r>
      <w:r w:rsidR="00941A59" w:rsidRPr="00ED5C9A">
        <w:rPr>
          <w:rFonts w:asciiTheme="majorHAnsi" w:hAnsiTheme="majorHAnsi"/>
          <w:color w:val="auto"/>
          <w:sz w:val="20"/>
          <w:szCs w:val="20"/>
          <w:lang w:val="es-ES_tradnl"/>
        </w:rPr>
        <w:t>de acuerdo con</w:t>
      </w:r>
      <w:r w:rsidRPr="00ED5C9A">
        <w:rPr>
          <w:rFonts w:asciiTheme="majorHAnsi" w:hAnsiTheme="majorHAnsi"/>
          <w:color w:val="auto"/>
          <w:sz w:val="20"/>
          <w:szCs w:val="20"/>
          <w:lang w:val="es-ES_tradnl"/>
        </w:rPr>
        <w:t xml:space="preserve"> su práctica sostenida, </w:t>
      </w:r>
      <w:r w:rsidR="00541676" w:rsidRPr="00ED5C9A">
        <w:rPr>
          <w:rFonts w:asciiTheme="majorHAnsi" w:hAnsiTheme="majorHAnsi"/>
          <w:color w:val="auto"/>
          <w:sz w:val="20"/>
          <w:szCs w:val="20"/>
          <w:lang w:val="es-ES_tradnl"/>
        </w:rPr>
        <w:t>debe identificar preliminarmente el objeto de la petición presentada a su conocimiento a fines de determinar la vía procesal adecuada que debía ser agotada a nivel doméstico para dar cumplimiento al requisito de agotamiento de los recursos internos</w:t>
      </w:r>
      <w:r w:rsidR="00541676" w:rsidRPr="00ED5C9A">
        <w:rPr>
          <w:rStyle w:val="FootnoteReference"/>
          <w:rFonts w:asciiTheme="majorHAnsi" w:hAnsiTheme="majorHAnsi"/>
          <w:color w:val="auto"/>
          <w:sz w:val="20"/>
          <w:szCs w:val="20"/>
          <w:lang w:val="es-ES_tradnl"/>
        </w:rPr>
        <w:footnoteReference w:id="6"/>
      </w:r>
      <w:r w:rsidR="00541676" w:rsidRPr="00ED5C9A">
        <w:rPr>
          <w:rFonts w:asciiTheme="majorHAnsi" w:hAnsiTheme="majorHAnsi"/>
          <w:color w:val="auto"/>
          <w:sz w:val="20"/>
          <w:szCs w:val="20"/>
          <w:lang w:val="es-ES_tradnl"/>
        </w:rPr>
        <w:t xml:space="preserve">. </w:t>
      </w:r>
      <w:r w:rsidR="00FC6C50" w:rsidRPr="00ED5C9A">
        <w:rPr>
          <w:rFonts w:asciiTheme="majorHAnsi" w:hAnsiTheme="majorHAnsi"/>
          <w:color w:val="auto"/>
          <w:sz w:val="20"/>
          <w:szCs w:val="20"/>
          <w:lang w:val="es-ES_tradnl"/>
        </w:rPr>
        <w:t>En este sentido, l</w:t>
      </w:r>
      <w:r w:rsidR="00BC2A4E" w:rsidRPr="00ED5C9A">
        <w:rPr>
          <w:rStyle w:val="normaltextrun"/>
          <w:rFonts w:asciiTheme="majorHAnsi" w:hAnsiTheme="majorHAnsi"/>
          <w:color w:val="auto"/>
          <w:sz w:val="20"/>
          <w:szCs w:val="20"/>
          <w:lang w:val="es-ES_tradnl"/>
        </w:rPr>
        <w:t xml:space="preserve">a Comisión toma nota de la argumentación de los peticionarios sobre la importancia de considerar la petición </w:t>
      </w:r>
      <w:r w:rsidR="00BC2A4E" w:rsidRPr="00ED5C9A">
        <w:rPr>
          <w:rFonts w:asciiTheme="majorHAnsi" w:hAnsiTheme="majorHAnsi"/>
          <w:color w:val="auto"/>
          <w:sz w:val="20"/>
          <w:szCs w:val="20"/>
          <w:lang w:val="es-ES_tradnl"/>
        </w:rPr>
        <w:t>como un todo de manera integral</w:t>
      </w:r>
      <w:r w:rsidR="00941A59" w:rsidRPr="00ED5C9A">
        <w:rPr>
          <w:rFonts w:asciiTheme="majorHAnsi" w:hAnsiTheme="majorHAnsi"/>
          <w:color w:val="auto"/>
          <w:sz w:val="20"/>
          <w:szCs w:val="20"/>
          <w:lang w:val="es-ES_tradnl"/>
        </w:rPr>
        <w:t>;</w:t>
      </w:r>
      <w:r w:rsidR="00BC2A4E" w:rsidRPr="00ED5C9A">
        <w:rPr>
          <w:rFonts w:asciiTheme="majorHAnsi" w:hAnsiTheme="majorHAnsi"/>
          <w:color w:val="auto"/>
          <w:sz w:val="20"/>
          <w:szCs w:val="20"/>
          <w:lang w:val="es-ES_tradnl"/>
        </w:rPr>
        <w:t xml:space="preserve"> sin embargo, l</w:t>
      </w:r>
      <w:r w:rsidR="00BC2A4E" w:rsidRPr="00ED5C9A">
        <w:rPr>
          <w:rFonts w:asciiTheme="majorHAnsi" w:hAnsiTheme="majorHAnsi"/>
          <w:bCs/>
          <w:color w:val="auto"/>
          <w:sz w:val="20"/>
          <w:szCs w:val="20"/>
          <w:lang w:val="es-ES_tradnl"/>
        </w:rPr>
        <w:t xml:space="preserve">a Comisión </w:t>
      </w:r>
      <w:r w:rsidR="00C15355" w:rsidRPr="00ED5C9A">
        <w:rPr>
          <w:rFonts w:asciiTheme="majorHAnsi" w:hAnsiTheme="majorHAnsi"/>
          <w:bCs/>
          <w:color w:val="auto"/>
          <w:sz w:val="20"/>
          <w:szCs w:val="20"/>
          <w:lang w:val="es-ES_tradnl"/>
        </w:rPr>
        <w:t xml:space="preserve">entiende </w:t>
      </w:r>
      <w:r w:rsidR="00BC2A4E" w:rsidRPr="00ED5C9A">
        <w:rPr>
          <w:rFonts w:asciiTheme="majorHAnsi" w:hAnsiTheme="majorHAnsi"/>
          <w:bCs/>
          <w:color w:val="auto"/>
          <w:sz w:val="20"/>
          <w:szCs w:val="20"/>
          <w:lang w:val="es-ES_tradnl"/>
        </w:rPr>
        <w:t xml:space="preserve">que existen distintos hechos que por su </w:t>
      </w:r>
      <w:r w:rsidR="00941A59" w:rsidRPr="00ED5C9A">
        <w:rPr>
          <w:rFonts w:asciiTheme="majorHAnsi" w:hAnsiTheme="majorHAnsi"/>
          <w:bCs/>
          <w:color w:val="auto"/>
          <w:sz w:val="20"/>
          <w:szCs w:val="20"/>
          <w:lang w:val="es-ES_tradnl"/>
        </w:rPr>
        <w:t>naturaleza</w:t>
      </w:r>
      <w:r w:rsidR="00BC2A4E" w:rsidRPr="00ED5C9A">
        <w:rPr>
          <w:rFonts w:asciiTheme="majorHAnsi" w:hAnsiTheme="majorHAnsi"/>
          <w:bCs/>
          <w:color w:val="auto"/>
          <w:sz w:val="20"/>
          <w:szCs w:val="20"/>
          <w:lang w:val="es-ES_tradnl"/>
        </w:rPr>
        <w:t xml:space="preserve"> debe ser analizados separadamente. </w:t>
      </w:r>
    </w:p>
    <w:p w14:paraId="2A5DCEFF" w14:textId="77777777" w:rsidR="00524D35" w:rsidRPr="00ED5C9A" w:rsidRDefault="00524D35" w:rsidP="00524D35">
      <w:pPr>
        <w:pStyle w:val="ListParagraph"/>
        <w:jc w:val="both"/>
        <w:rPr>
          <w:rFonts w:asciiTheme="majorHAnsi" w:hAnsiTheme="majorHAnsi"/>
          <w:bCs/>
          <w:color w:val="auto"/>
          <w:sz w:val="20"/>
          <w:szCs w:val="20"/>
          <w:lang w:val="es-ES_tradnl"/>
        </w:rPr>
      </w:pPr>
    </w:p>
    <w:p w14:paraId="581125DD" w14:textId="341686C8" w:rsidR="00F54F85" w:rsidRPr="00ED5C9A" w:rsidRDefault="00941A59" w:rsidP="008E12D4">
      <w:pPr>
        <w:pStyle w:val="ListParagraph"/>
        <w:numPr>
          <w:ilvl w:val="0"/>
          <w:numId w:val="57"/>
        </w:numPr>
        <w:ind w:left="0" w:firstLine="720"/>
        <w:jc w:val="both"/>
        <w:rPr>
          <w:rFonts w:asciiTheme="majorHAnsi" w:hAnsiTheme="majorHAnsi"/>
          <w:color w:val="auto"/>
          <w:sz w:val="20"/>
          <w:szCs w:val="20"/>
          <w:lang w:val="es-ES_tradnl"/>
        </w:rPr>
      </w:pPr>
      <w:r w:rsidRPr="00ED5C9A">
        <w:rPr>
          <w:rFonts w:asciiTheme="majorHAnsi" w:hAnsiTheme="majorHAnsi"/>
          <w:bCs/>
          <w:color w:val="auto"/>
          <w:sz w:val="20"/>
          <w:szCs w:val="20"/>
          <w:lang w:val="es-ES_tradnl"/>
        </w:rPr>
        <w:t>D</w:t>
      </w:r>
      <w:r w:rsidR="00C15355" w:rsidRPr="00ED5C9A">
        <w:rPr>
          <w:rFonts w:asciiTheme="majorHAnsi" w:hAnsiTheme="majorHAnsi"/>
          <w:color w:val="auto"/>
          <w:sz w:val="20"/>
          <w:szCs w:val="20"/>
          <w:lang w:val="es-ES_tradnl"/>
        </w:rPr>
        <w:t>e acuerdo</w:t>
      </w:r>
      <w:r w:rsidRPr="00ED5C9A">
        <w:rPr>
          <w:rFonts w:asciiTheme="majorHAnsi" w:hAnsiTheme="majorHAnsi"/>
          <w:color w:val="auto"/>
          <w:sz w:val="20"/>
          <w:szCs w:val="20"/>
          <w:lang w:val="es-ES_tradnl"/>
        </w:rPr>
        <w:t xml:space="preserve"> con</w:t>
      </w:r>
      <w:r w:rsidR="00C15355" w:rsidRPr="00ED5C9A">
        <w:rPr>
          <w:rFonts w:asciiTheme="majorHAnsi" w:hAnsiTheme="majorHAnsi"/>
          <w:color w:val="auto"/>
          <w:sz w:val="20"/>
          <w:szCs w:val="20"/>
          <w:lang w:val="es-ES_tradnl"/>
        </w:rPr>
        <w:t xml:space="preserve"> </w:t>
      </w:r>
      <w:r w:rsidR="00FC6C50" w:rsidRPr="00ED5C9A">
        <w:rPr>
          <w:rFonts w:asciiTheme="majorHAnsi" w:hAnsiTheme="majorHAnsi"/>
          <w:color w:val="auto"/>
          <w:sz w:val="20"/>
          <w:szCs w:val="20"/>
          <w:lang w:val="es-ES_tradnl"/>
        </w:rPr>
        <w:t>lo alegado por el Estado</w:t>
      </w:r>
      <w:r w:rsidR="00C15355" w:rsidRPr="00ED5C9A">
        <w:rPr>
          <w:rFonts w:asciiTheme="majorHAnsi" w:hAnsiTheme="majorHAnsi"/>
          <w:color w:val="auto"/>
          <w:sz w:val="20"/>
          <w:szCs w:val="20"/>
          <w:lang w:val="es-ES_tradnl"/>
        </w:rPr>
        <w:t>,</w:t>
      </w:r>
      <w:r w:rsidR="00FC6C50" w:rsidRPr="00ED5C9A">
        <w:rPr>
          <w:rFonts w:asciiTheme="majorHAnsi" w:hAnsiTheme="majorHAnsi"/>
          <w:color w:val="auto"/>
          <w:sz w:val="20"/>
          <w:szCs w:val="20"/>
          <w:lang w:val="es-ES_tradnl"/>
        </w:rPr>
        <w:t xml:space="preserve"> </w:t>
      </w:r>
      <w:r w:rsidR="00C15355" w:rsidRPr="00ED5C9A">
        <w:rPr>
          <w:rFonts w:asciiTheme="majorHAnsi" w:hAnsiTheme="majorHAnsi"/>
          <w:color w:val="auto"/>
          <w:sz w:val="20"/>
          <w:szCs w:val="20"/>
          <w:lang w:val="es-ES_tradnl"/>
        </w:rPr>
        <w:t xml:space="preserve">la pretensión de los peticionarios </w:t>
      </w:r>
      <w:r w:rsidR="00895ADB" w:rsidRPr="00ED5C9A">
        <w:rPr>
          <w:rFonts w:asciiTheme="majorHAnsi" w:hAnsiTheme="majorHAnsi"/>
          <w:color w:val="auto"/>
          <w:sz w:val="20"/>
          <w:szCs w:val="20"/>
          <w:lang w:val="es-ES_tradnl"/>
        </w:rPr>
        <w:t>con relación a</w:t>
      </w:r>
      <w:r w:rsidR="00C15355" w:rsidRPr="00ED5C9A">
        <w:rPr>
          <w:rFonts w:asciiTheme="majorHAnsi" w:hAnsiTheme="majorHAnsi"/>
          <w:color w:val="auto"/>
          <w:sz w:val="20"/>
          <w:szCs w:val="20"/>
          <w:lang w:val="es-ES_tradnl"/>
        </w:rPr>
        <w:t xml:space="preserve"> Martha González y su familia </w:t>
      </w:r>
      <w:r w:rsidR="00524D35" w:rsidRPr="00ED5C9A">
        <w:rPr>
          <w:rFonts w:asciiTheme="majorHAnsi" w:hAnsiTheme="majorHAnsi"/>
          <w:bCs/>
          <w:color w:val="auto"/>
          <w:sz w:val="20"/>
          <w:szCs w:val="20"/>
          <w:lang w:val="es-ES_tradnl"/>
        </w:rPr>
        <w:t>estaría ligada únicamente a las decisiones judiciales adoptada</w:t>
      </w:r>
      <w:r w:rsidR="00524D35" w:rsidRPr="00ED5C9A">
        <w:rPr>
          <w:rFonts w:asciiTheme="majorHAnsi" w:hAnsiTheme="majorHAnsi"/>
          <w:color w:val="auto"/>
          <w:sz w:val="20"/>
          <w:szCs w:val="20"/>
          <w:lang w:val="es-ES_tradnl"/>
        </w:rPr>
        <w:t>s en el marco de la acción de tutela luego de su separación del servicio diplomático</w:t>
      </w:r>
      <w:r w:rsidR="00FF7C02" w:rsidRPr="00ED5C9A">
        <w:rPr>
          <w:rFonts w:asciiTheme="majorHAnsi" w:hAnsiTheme="majorHAnsi"/>
          <w:color w:val="auto"/>
          <w:sz w:val="20"/>
          <w:szCs w:val="20"/>
          <w:lang w:val="es-ES_tradnl"/>
        </w:rPr>
        <w:t>,</w:t>
      </w:r>
      <w:r w:rsidR="00524D35" w:rsidRPr="00ED5C9A">
        <w:rPr>
          <w:rFonts w:asciiTheme="majorHAnsi" w:hAnsiTheme="majorHAnsi"/>
          <w:color w:val="auto"/>
          <w:sz w:val="20"/>
          <w:szCs w:val="20"/>
          <w:lang w:val="es-ES_tradnl"/>
        </w:rPr>
        <w:t xml:space="preserve"> </w:t>
      </w:r>
      <w:r w:rsidR="00FC6C50" w:rsidRPr="00ED5C9A">
        <w:rPr>
          <w:rFonts w:asciiTheme="majorHAnsi" w:hAnsiTheme="majorHAnsi"/>
          <w:bCs/>
          <w:color w:val="auto"/>
          <w:sz w:val="20"/>
          <w:szCs w:val="20"/>
          <w:lang w:val="es-ES_tradnl"/>
        </w:rPr>
        <w:t xml:space="preserve">por cuanto </w:t>
      </w:r>
      <w:r w:rsidR="00FF7C02" w:rsidRPr="00ED5C9A">
        <w:rPr>
          <w:rFonts w:asciiTheme="majorHAnsi" w:hAnsiTheme="majorHAnsi"/>
          <w:bCs/>
          <w:color w:val="auto"/>
          <w:sz w:val="20"/>
          <w:szCs w:val="20"/>
          <w:lang w:val="es-ES_tradnl"/>
        </w:rPr>
        <w:t xml:space="preserve">esta </w:t>
      </w:r>
      <w:r w:rsidR="00FC6C50" w:rsidRPr="00ED5C9A">
        <w:rPr>
          <w:rFonts w:asciiTheme="majorHAnsi" w:hAnsiTheme="majorHAnsi"/>
          <w:bCs/>
          <w:color w:val="auto"/>
          <w:sz w:val="20"/>
          <w:szCs w:val="20"/>
          <w:lang w:val="es-ES_tradnl"/>
        </w:rPr>
        <w:t>busca</w:t>
      </w:r>
      <w:r w:rsidR="00FF7C02" w:rsidRPr="00ED5C9A">
        <w:rPr>
          <w:rFonts w:asciiTheme="majorHAnsi" w:hAnsiTheme="majorHAnsi"/>
          <w:bCs/>
          <w:color w:val="auto"/>
          <w:sz w:val="20"/>
          <w:szCs w:val="20"/>
          <w:lang w:val="es-ES_tradnl"/>
        </w:rPr>
        <w:t>ría</w:t>
      </w:r>
      <w:r w:rsidR="00FC6C50" w:rsidRPr="00ED5C9A">
        <w:rPr>
          <w:rFonts w:asciiTheme="majorHAnsi" w:hAnsiTheme="majorHAnsi"/>
          <w:bCs/>
          <w:color w:val="auto"/>
          <w:sz w:val="20"/>
          <w:szCs w:val="20"/>
          <w:lang w:val="es-ES_tradnl"/>
        </w:rPr>
        <w:t xml:space="preserve"> permanecer fuera del territorio nacional</w:t>
      </w:r>
      <w:r w:rsidR="00524D35" w:rsidRPr="00ED5C9A">
        <w:rPr>
          <w:rFonts w:asciiTheme="majorHAnsi" w:hAnsiTheme="majorHAnsi"/>
          <w:bCs/>
          <w:color w:val="auto"/>
          <w:sz w:val="20"/>
          <w:szCs w:val="20"/>
          <w:lang w:val="es-ES_tradnl"/>
        </w:rPr>
        <w:t xml:space="preserve">. Al respecto, la Comisión nota que </w:t>
      </w:r>
      <w:r w:rsidR="007916E7" w:rsidRPr="00ED5C9A">
        <w:rPr>
          <w:rFonts w:asciiTheme="majorHAnsi" w:hAnsiTheme="majorHAnsi"/>
          <w:bCs/>
          <w:color w:val="auto"/>
          <w:sz w:val="20"/>
          <w:szCs w:val="20"/>
          <w:lang w:val="es-ES_tradnl"/>
        </w:rPr>
        <w:t>los peticionarios presenta</w:t>
      </w:r>
      <w:r w:rsidR="005D4C9D" w:rsidRPr="00ED5C9A">
        <w:rPr>
          <w:rFonts w:asciiTheme="majorHAnsi" w:hAnsiTheme="majorHAnsi"/>
          <w:bCs/>
          <w:color w:val="auto"/>
          <w:sz w:val="20"/>
          <w:szCs w:val="20"/>
          <w:lang w:val="es-ES_tradnl"/>
        </w:rPr>
        <w:t>ron</w:t>
      </w:r>
      <w:r w:rsidR="007916E7" w:rsidRPr="00ED5C9A">
        <w:rPr>
          <w:rFonts w:asciiTheme="majorHAnsi" w:hAnsiTheme="majorHAnsi"/>
          <w:bCs/>
          <w:color w:val="auto"/>
          <w:sz w:val="20"/>
          <w:szCs w:val="20"/>
          <w:lang w:val="es-ES_tradnl"/>
        </w:rPr>
        <w:t xml:space="preserve"> información respecto a los efectos </w:t>
      </w:r>
      <w:r w:rsidR="00850E19" w:rsidRPr="00ED5C9A">
        <w:rPr>
          <w:rFonts w:asciiTheme="majorHAnsi" w:hAnsiTheme="majorHAnsi"/>
          <w:bCs/>
          <w:color w:val="auto"/>
          <w:sz w:val="20"/>
          <w:szCs w:val="20"/>
          <w:lang w:val="es-ES_tradnl"/>
        </w:rPr>
        <w:t xml:space="preserve">que la separación de Martha González de su posición como </w:t>
      </w:r>
      <w:r w:rsidR="00FF7C02" w:rsidRPr="00ED5C9A">
        <w:rPr>
          <w:rFonts w:asciiTheme="majorHAnsi" w:hAnsiTheme="majorHAnsi"/>
          <w:bCs/>
          <w:color w:val="auto"/>
          <w:sz w:val="20"/>
          <w:szCs w:val="20"/>
          <w:lang w:val="es-ES_tradnl"/>
        </w:rPr>
        <w:t>c</w:t>
      </w:r>
      <w:r w:rsidR="00850E19" w:rsidRPr="00ED5C9A">
        <w:rPr>
          <w:rFonts w:asciiTheme="majorHAnsi" w:hAnsiTheme="majorHAnsi"/>
          <w:bCs/>
          <w:color w:val="auto"/>
          <w:sz w:val="20"/>
          <w:szCs w:val="20"/>
          <w:lang w:val="es-ES_tradnl"/>
        </w:rPr>
        <w:t xml:space="preserve">ónsul </w:t>
      </w:r>
      <w:r w:rsidR="00FF7C02" w:rsidRPr="00ED5C9A">
        <w:rPr>
          <w:rFonts w:asciiTheme="majorHAnsi" w:hAnsiTheme="majorHAnsi"/>
          <w:bCs/>
          <w:color w:val="auto"/>
          <w:sz w:val="20"/>
          <w:szCs w:val="20"/>
          <w:lang w:val="es-ES_tradnl"/>
        </w:rPr>
        <w:t>en</w:t>
      </w:r>
      <w:r w:rsidR="00850E19" w:rsidRPr="00ED5C9A">
        <w:rPr>
          <w:rFonts w:asciiTheme="majorHAnsi" w:hAnsiTheme="majorHAnsi"/>
          <w:bCs/>
          <w:color w:val="auto"/>
          <w:sz w:val="20"/>
          <w:szCs w:val="20"/>
          <w:lang w:val="es-ES_tradnl"/>
        </w:rPr>
        <w:t xml:space="preserve"> Bilbao</w:t>
      </w:r>
      <w:r w:rsidR="00FF7C02" w:rsidRPr="00ED5C9A">
        <w:rPr>
          <w:rFonts w:asciiTheme="majorHAnsi" w:hAnsiTheme="majorHAnsi"/>
          <w:bCs/>
          <w:color w:val="auto"/>
          <w:sz w:val="20"/>
          <w:szCs w:val="20"/>
          <w:lang w:val="es-ES_tradnl"/>
        </w:rPr>
        <w:t xml:space="preserve"> </w:t>
      </w:r>
      <w:r w:rsidR="00850E19" w:rsidRPr="00ED5C9A">
        <w:rPr>
          <w:rFonts w:asciiTheme="majorHAnsi" w:hAnsiTheme="majorHAnsi"/>
          <w:bCs/>
          <w:color w:val="auto"/>
          <w:sz w:val="20"/>
          <w:szCs w:val="20"/>
          <w:lang w:val="es-ES_tradnl"/>
        </w:rPr>
        <w:t>habría tenido</w:t>
      </w:r>
      <w:r w:rsidR="003B2D07" w:rsidRPr="00ED5C9A">
        <w:rPr>
          <w:rFonts w:asciiTheme="majorHAnsi" w:hAnsiTheme="majorHAnsi"/>
          <w:bCs/>
          <w:color w:val="auto"/>
          <w:sz w:val="20"/>
          <w:szCs w:val="20"/>
          <w:lang w:val="es-ES_tradnl"/>
        </w:rPr>
        <w:t xml:space="preserve">, entre otras, </w:t>
      </w:r>
      <w:r w:rsidR="00850E19" w:rsidRPr="00ED5C9A">
        <w:rPr>
          <w:rFonts w:asciiTheme="majorHAnsi" w:hAnsiTheme="majorHAnsi"/>
          <w:bCs/>
          <w:color w:val="auto"/>
          <w:sz w:val="20"/>
          <w:szCs w:val="20"/>
          <w:lang w:val="es-ES_tradnl"/>
        </w:rPr>
        <w:t>en la estabilidad económica y subsistencia de la familia</w:t>
      </w:r>
      <w:r w:rsidR="005D4C9D" w:rsidRPr="00ED5C9A">
        <w:rPr>
          <w:rFonts w:asciiTheme="majorHAnsi" w:hAnsiTheme="majorHAnsi"/>
          <w:bCs/>
          <w:color w:val="auto"/>
          <w:sz w:val="20"/>
          <w:szCs w:val="20"/>
          <w:lang w:val="es-ES_tradnl"/>
        </w:rPr>
        <w:t xml:space="preserve">; y solicitaron </w:t>
      </w:r>
      <w:r w:rsidR="00F54F85" w:rsidRPr="00ED5C9A">
        <w:rPr>
          <w:rFonts w:asciiTheme="majorHAnsi" w:hAnsiTheme="majorHAnsi"/>
          <w:bCs/>
          <w:color w:val="auto"/>
          <w:sz w:val="20"/>
          <w:szCs w:val="20"/>
          <w:lang w:val="es-ES_tradnl"/>
        </w:rPr>
        <w:t xml:space="preserve">mediante la petición inicial, </w:t>
      </w:r>
      <w:r w:rsidR="00850E19" w:rsidRPr="00ED5C9A">
        <w:rPr>
          <w:rFonts w:asciiTheme="majorHAnsi" w:hAnsiTheme="majorHAnsi"/>
          <w:color w:val="auto"/>
          <w:sz w:val="20"/>
          <w:szCs w:val="20"/>
          <w:lang w:val="es-ES_tradnl"/>
        </w:rPr>
        <w:t xml:space="preserve">una investigación imparcial, exhaustiva, pronta y efectiva con el fin de juzgar y sancionar a todos los responsables materiales e intelectuales </w:t>
      </w:r>
      <w:r w:rsidR="00F54F85" w:rsidRPr="00ED5C9A">
        <w:rPr>
          <w:rFonts w:asciiTheme="majorHAnsi" w:hAnsiTheme="majorHAnsi"/>
          <w:color w:val="auto"/>
          <w:sz w:val="20"/>
          <w:szCs w:val="20"/>
          <w:lang w:val="es-ES_tradnl"/>
        </w:rPr>
        <w:t>“</w:t>
      </w:r>
      <w:r w:rsidR="00850E19" w:rsidRPr="00ED5C9A">
        <w:rPr>
          <w:rFonts w:asciiTheme="majorHAnsi" w:hAnsiTheme="majorHAnsi"/>
          <w:i/>
          <w:iCs/>
          <w:color w:val="auto"/>
          <w:sz w:val="20"/>
          <w:szCs w:val="20"/>
          <w:lang w:val="es-ES_tradnl"/>
        </w:rPr>
        <w:t xml:space="preserve">del despojo injusto, en el curso de </w:t>
      </w:r>
      <w:r w:rsidR="00F54F85" w:rsidRPr="00ED5C9A">
        <w:rPr>
          <w:rFonts w:asciiTheme="majorHAnsi" w:hAnsiTheme="majorHAnsi"/>
          <w:i/>
          <w:iCs/>
          <w:color w:val="auto"/>
          <w:sz w:val="20"/>
          <w:szCs w:val="20"/>
          <w:lang w:val="es-ES_tradnl"/>
        </w:rPr>
        <w:t xml:space="preserve">[su] </w:t>
      </w:r>
      <w:r w:rsidR="00850E19" w:rsidRPr="00ED5C9A">
        <w:rPr>
          <w:rFonts w:asciiTheme="majorHAnsi" w:hAnsiTheme="majorHAnsi"/>
          <w:i/>
          <w:iCs/>
          <w:color w:val="auto"/>
          <w:sz w:val="20"/>
          <w:szCs w:val="20"/>
          <w:lang w:val="es-ES_tradnl"/>
        </w:rPr>
        <w:t xml:space="preserve">exilio forzado, de </w:t>
      </w:r>
      <w:r w:rsidR="00F54F85" w:rsidRPr="00ED5C9A">
        <w:rPr>
          <w:rFonts w:asciiTheme="majorHAnsi" w:hAnsiTheme="majorHAnsi"/>
          <w:i/>
          <w:iCs/>
          <w:color w:val="auto"/>
          <w:sz w:val="20"/>
          <w:szCs w:val="20"/>
          <w:lang w:val="es-ES_tradnl"/>
        </w:rPr>
        <w:t>[su]</w:t>
      </w:r>
      <w:r w:rsidR="00850E19" w:rsidRPr="00ED5C9A">
        <w:rPr>
          <w:rFonts w:asciiTheme="majorHAnsi" w:hAnsiTheme="majorHAnsi"/>
          <w:i/>
          <w:iCs/>
          <w:color w:val="auto"/>
          <w:sz w:val="20"/>
          <w:szCs w:val="20"/>
          <w:lang w:val="es-ES_tradnl"/>
        </w:rPr>
        <w:t xml:space="preserve"> puesto de trabajo</w:t>
      </w:r>
      <w:r w:rsidR="00F54F85" w:rsidRPr="00ED5C9A">
        <w:rPr>
          <w:rFonts w:asciiTheme="majorHAnsi" w:hAnsiTheme="majorHAnsi"/>
          <w:color w:val="auto"/>
          <w:sz w:val="20"/>
          <w:szCs w:val="20"/>
          <w:lang w:val="es-ES_tradnl"/>
        </w:rPr>
        <w:t xml:space="preserve"> </w:t>
      </w:r>
      <w:r w:rsidR="00895ADB" w:rsidRPr="00ED5C9A">
        <w:rPr>
          <w:rFonts w:asciiTheme="majorHAnsi" w:hAnsiTheme="majorHAnsi"/>
          <w:color w:val="auto"/>
          <w:sz w:val="20"/>
          <w:szCs w:val="20"/>
          <w:lang w:val="es-ES_tradnl"/>
        </w:rPr>
        <w:t>[</w:t>
      </w:r>
      <w:r w:rsidR="00F54F85" w:rsidRPr="00ED5C9A">
        <w:rPr>
          <w:rFonts w:asciiTheme="majorHAnsi" w:hAnsiTheme="majorHAnsi"/>
          <w:color w:val="auto"/>
          <w:sz w:val="20"/>
          <w:szCs w:val="20"/>
          <w:lang w:val="es-ES_tradnl"/>
        </w:rPr>
        <w:t>…</w:t>
      </w:r>
      <w:r w:rsidR="00895ADB" w:rsidRPr="00ED5C9A">
        <w:rPr>
          <w:rFonts w:asciiTheme="majorHAnsi" w:hAnsiTheme="majorHAnsi"/>
          <w:color w:val="auto"/>
          <w:sz w:val="20"/>
          <w:szCs w:val="20"/>
          <w:lang w:val="es-ES_tradnl"/>
        </w:rPr>
        <w:t>]</w:t>
      </w:r>
      <w:r w:rsidR="00F54F85" w:rsidRPr="00ED5C9A">
        <w:rPr>
          <w:rFonts w:asciiTheme="majorHAnsi" w:hAnsiTheme="majorHAnsi"/>
          <w:color w:val="auto"/>
          <w:sz w:val="20"/>
          <w:szCs w:val="20"/>
          <w:lang w:val="es-ES_tradnl"/>
        </w:rPr>
        <w:t>”</w:t>
      </w:r>
      <w:r w:rsidR="00850E19" w:rsidRPr="00ED5C9A">
        <w:rPr>
          <w:rFonts w:asciiTheme="majorHAnsi" w:hAnsiTheme="majorHAnsi"/>
          <w:color w:val="auto"/>
          <w:sz w:val="20"/>
          <w:szCs w:val="20"/>
          <w:lang w:val="es-ES_tradnl"/>
        </w:rPr>
        <w:t>.</w:t>
      </w:r>
      <w:r w:rsidR="00F54F85" w:rsidRPr="00ED5C9A">
        <w:rPr>
          <w:rFonts w:asciiTheme="majorHAnsi" w:hAnsiTheme="majorHAnsi"/>
          <w:color w:val="auto"/>
          <w:sz w:val="20"/>
          <w:szCs w:val="20"/>
          <w:lang w:val="es-ES_tradnl"/>
        </w:rPr>
        <w:t xml:space="preserve"> No obstante, la Comisión observa que los peticionarios</w:t>
      </w:r>
      <w:r w:rsidR="008E12D4" w:rsidRPr="00ED5C9A">
        <w:rPr>
          <w:rFonts w:asciiTheme="majorHAnsi" w:hAnsiTheme="majorHAnsi"/>
          <w:color w:val="auto"/>
          <w:sz w:val="20"/>
          <w:szCs w:val="20"/>
          <w:lang w:val="es-ES_tradnl"/>
        </w:rPr>
        <w:t xml:space="preserve"> </w:t>
      </w:r>
      <w:r w:rsidR="00FF7C02" w:rsidRPr="00ED5C9A">
        <w:rPr>
          <w:rFonts w:asciiTheme="majorHAnsi" w:hAnsiTheme="majorHAnsi"/>
          <w:color w:val="auto"/>
          <w:sz w:val="20"/>
          <w:szCs w:val="20"/>
          <w:lang w:val="es-ES_tradnl"/>
        </w:rPr>
        <w:t>luego han venido afirmando</w:t>
      </w:r>
      <w:r w:rsidR="003B2D07" w:rsidRPr="00ED5C9A">
        <w:rPr>
          <w:rFonts w:asciiTheme="majorHAnsi" w:hAnsiTheme="majorHAnsi"/>
          <w:color w:val="auto"/>
          <w:sz w:val="20"/>
          <w:szCs w:val="20"/>
          <w:lang w:val="es-ES_tradnl"/>
        </w:rPr>
        <w:t xml:space="preserve"> </w:t>
      </w:r>
      <w:r w:rsidR="00FF7C02" w:rsidRPr="00ED5C9A">
        <w:rPr>
          <w:rFonts w:asciiTheme="majorHAnsi" w:hAnsiTheme="majorHAnsi"/>
          <w:color w:val="auto"/>
          <w:sz w:val="20"/>
          <w:szCs w:val="20"/>
          <w:lang w:val="es-ES_tradnl"/>
        </w:rPr>
        <w:t>reiteradamente</w:t>
      </w:r>
      <w:r w:rsidR="008E12D4" w:rsidRPr="00ED5C9A">
        <w:rPr>
          <w:rFonts w:asciiTheme="majorHAnsi" w:hAnsiTheme="majorHAnsi"/>
          <w:color w:val="auto"/>
          <w:sz w:val="20"/>
          <w:szCs w:val="20"/>
          <w:lang w:val="es-ES_tradnl"/>
        </w:rPr>
        <w:t xml:space="preserve"> </w:t>
      </w:r>
      <w:r w:rsidR="00F54F85" w:rsidRPr="00ED5C9A">
        <w:rPr>
          <w:rFonts w:asciiTheme="majorHAnsi" w:hAnsiTheme="majorHAnsi"/>
          <w:color w:val="auto"/>
          <w:sz w:val="20"/>
          <w:szCs w:val="20"/>
          <w:lang w:val="es-ES_tradnl"/>
        </w:rPr>
        <w:t>que</w:t>
      </w:r>
      <w:r w:rsidR="00FF7C02" w:rsidRPr="00ED5C9A">
        <w:rPr>
          <w:rFonts w:asciiTheme="majorHAnsi" w:hAnsiTheme="majorHAnsi"/>
          <w:color w:val="auto"/>
          <w:sz w:val="20"/>
          <w:szCs w:val="20"/>
          <w:lang w:val="es-ES_tradnl"/>
        </w:rPr>
        <w:t xml:space="preserve"> </w:t>
      </w:r>
      <w:r w:rsidR="00F54F85" w:rsidRPr="00ED5C9A">
        <w:rPr>
          <w:rFonts w:asciiTheme="majorHAnsi" w:hAnsiTheme="majorHAnsi"/>
          <w:color w:val="auto"/>
          <w:sz w:val="20"/>
          <w:szCs w:val="20"/>
          <w:lang w:val="es-ES_tradnl"/>
        </w:rPr>
        <w:t xml:space="preserve">la petición se fundamenta </w:t>
      </w:r>
      <w:r w:rsidR="008E12D4" w:rsidRPr="00ED5C9A">
        <w:rPr>
          <w:rFonts w:asciiTheme="majorHAnsi" w:hAnsiTheme="majorHAnsi"/>
          <w:color w:val="auto"/>
          <w:sz w:val="20"/>
          <w:szCs w:val="20"/>
          <w:lang w:val="es-ES_tradnl"/>
        </w:rPr>
        <w:t>“</w:t>
      </w:r>
      <w:r w:rsidR="00F54F85" w:rsidRPr="00ED5C9A">
        <w:rPr>
          <w:rFonts w:asciiTheme="majorHAnsi" w:hAnsiTheme="majorHAnsi"/>
          <w:i/>
          <w:iCs/>
          <w:color w:val="auto"/>
          <w:sz w:val="20"/>
          <w:szCs w:val="20"/>
          <w:lang w:val="es-ES_tradnl"/>
        </w:rPr>
        <w:t>en el desplazamiento forzado y exilio prolongado sufrido, así como de la omisión del Estado de realizar las gestiones suficientes para garantizar su regreso o su estabilización socio-económica en el exilio</w:t>
      </w:r>
      <w:r w:rsidR="008E12D4" w:rsidRPr="00ED5C9A">
        <w:rPr>
          <w:rFonts w:asciiTheme="majorHAnsi" w:hAnsiTheme="majorHAnsi"/>
          <w:color w:val="auto"/>
          <w:sz w:val="20"/>
          <w:szCs w:val="20"/>
          <w:lang w:val="es-ES_tradnl"/>
        </w:rPr>
        <w:t>”</w:t>
      </w:r>
      <w:r w:rsidR="00F54F85" w:rsidRPr="00ED5C9A">
        <w:rPr>
          <w:rFonts w:asciiTheme="majorHAnsi" w:hAnsiTheme="majorHAnsi"/>
          <w:color w:val="auto"/>
          <w:sz w:val="20"/>
          <w:szCs w:val="20"/>
          <w:lang w:val="es-ES_tradnl"/>
        </w:rPr>
        <w:t>.</w:t>
      </w:r>
    </w:p>
    <w:p w14:paraId="20DE4E69" w14:textId="77777777" w:rsidR="008E12D4" w:rsidRPr="00ED5C9A" w:rsidRDefault="008E12D4" w:rsidP="008E12D4">
      <w:pPr>
        <w:pStyle w:val="ListParagraph"/>
        <w:ind w:left="0" w:firstLine="720"/>
        <w:jc w:val="both"/>
        <w:rPr>
          <w:rFonts w:asciiTheme="majorHAnsi" w:hAnsiTheme="majorHAnsi"/>
          <w:color w:val="auto"/>
          <w:sz w:val="20"/>
          <w:szCs w:val="20"/>
          <w:lang w:val="es-ES_tradnl"/>
        </w:rPr>
      </w:pPr>
    </w:p>
    <w:p w14:paraId="347F1068" w14:textId="3474F32E" w:rsidR="00387393" w:rsidRPr="00ED5C9A" w:rsidRDefault="00BC2A4E" w:rsidP="003B2D07">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En vista de lo anterior</w:t>
      </w:r>
      <w:r w:rsidR="00524D35" w:rsidRPr="00ED5C9A">
        <w:rPr>
          <w:rFonts w:asciiTheme="majorHAnsi" w:hAnsiTheme="majorHAnsi"/>
          <w:color w:val="auto"/>
          <w:sz w:val="20"/>
          <w:szCs w:val="20"/>
          <w:lang w:val="es-ES_tradnl"/>
        </w:rPr>
        <w:t xml:space="preserve">, </w:t>
      </w:r>
      <w:r w:rsidR="00D7687F" w:rsidRPr="00ED5C9A">
        <w:rPr>
          <w:rFonts w:asciiTheme="majorHAnsi" w:hAnsiTheme="majorHAnsi"/>
          <w:color w:val="auto"/>
          <w:sz w:val="20"/>
          <w:szCs w:val="20"/>
          <w:lang w:val="es-ES_tradnl"/>
        </w:rPr>
        <w:t>y tras</w:t>
      </w:r>
      <w:r w:rsidR="00524D35" w:rsidRPr="00ED5C9A">
        <w:rPr>
          <w:rFonts w:asciiTheme="majorHAnsi" w:hAnsiTheme="majorHAnsi"/>
          <w:color w:val="auto"/>
          <w:sz w:val="20"/>
          <w:szCs w:val="20"/>
          <w:lang w:val="es-ES_tradnl"/>
        </w:rPr>
        <w:t xml:space="preserve"> una lectura detallada del expediente</w:t>
      </w:r>
      <w:r w:rsidR="00EC559F" w:rsidRPr="00ED5C9A">
        <w:rPr>
          <w:rFonts w:asciiTheme="majorHAnsi" w:hAnsiTheme="majorHAnsi"/>
          <w:color w:val="auto"/>
          <w:sz w:val="20"/>
          <w:szCs w:val="20"/>
          <w:lang w:val="es-ES_tradnl"/>
        </w:rPr>
        <w:t>,</w:t>
      </w:r>
      <w:r w:rsidR="00524D35" w:rsidRPr="00ED5C9A">
        <w:rPr>
          <w:rFonts w:asciiTheme="majorHAnsi" w:hAnsiTheme="majorHAnsi"/>
          <w:color w:val="auto"/>
          <w:sz w:val="20"/>
          <w:szCs w:val="20"/>
          <w:lang w:val="es-ES_tradnl"/>
        </w:rPr>
        <w:t xml:space="preserve"> </w:t>
      </w:r>
      <w:r w:rsidR="00D7687F" w:rsidRPr="00ED5C9A">
        <w:rPr>
          <w:rFonts w:asciiTheme="majorHAnsi" w:hAnsiTheme="majorHAnsi"/>
          <w:color w:val="auto"/>
          <w:sz w:val="20"/>
          <w:szCs w:val="20"/>
          <w:lang w:val="es-ES_tradnl"/>
        </w:rPr>
        <w:t xml:space="preserve">la Comisión entiende </w:t>
      </w:r>
      <w:r w:rsidR="00541676" w:rsidRPr="00ED5C9A">
        <w:rPr>
          <w:rFonts w:asciiTheme="majorHAnsi" w:hAnsiTheme="majorHAnsi"/>
          <w:color w:val="auto"/>
          <w:sz w:val="20"/>
          <w:szCs w:val="20"/>
          <w:lang w:val="es-ES_tradnl"/>
        </w:rPr>
        <w:t>que</w:t>
      </w:r>
      <w:r w:rsidRPr="00ED5C9A">
        <w:rPr>
          <w:rFonts w:asciiTheme="majorHAnsi" w:hAnsiTheme="majorHAnsi"/>
          <w:color w:val="auto"/>
          <w:sz w:val="20"/>
          <w:szCs w:val="20"/>
          <w:lang w:val="es-ES_tradnl"/>
        </w:rPr>
        <w:t xml:space="preserve"> </w:t>
      </w:r>
      <w:r w:rsidR="00721835" w:rsidRPr="00ED5C9A">
        <w:rPr>
          <w:rFonts w:asciiTheme="majorHAnsi" w:hAnsiTheme="majorHAnsi"/>
          <w:color w:val="auto"/>
          <w:sz w:val="20"/>
          <w:szCs w:val="20"/>
          <w:lang w:val="es-ES_tradnl"/>
        </w:rPr>
        <w:t>el objeto de la presente petición se circunscribe a</w:t>
      </w:r>
      <w:r w:rsidR="00387393" w:rsidRPr="00ED5C9A">
        <w:rPr>
          <w:rFonts w:asciiTheme="majorHAnsi" w:hAnsiTheme="majorHAnsi"/>
          <w:color w:val="auto"/>
          <w:sz w:val="20"/>
          <w:szCs w:val="20"/>
          <w:lang w:val="es-ES_tradnl"/>
        </w:rPr>
        <w:t xml:space="preserve"> </w:t>
      </w:r>
      <w:r w:rsidR="0061102F" w:rsidRPr="00ED5C9A">
        <w:rPr>
          <w:rFonts w:asciiTheme="majorHAnsi" w:hAnsiTheme="majorHAnsi"/>
          <w:color w:val="auto"/>
          <w:sz w:val="20"/>
          <w:szCs w:val="20"/>
          <w:lang w:val="es-ES_tradnl"/>
        </w:rPr>
        <w:t>dos</w:t>
      </w:r>
      <w:r w:rsidR="00387393" w:rsidRPr="00ED5C9A">
        <w:rPr>
          <w:rFonts w:asciiTheme="majorHAnsi" w:hAnsiTheme="majorHAnsi"/>
          <w:color w:val="auto"/>
          <w:sz w:val="20"/>
          <w:szCs w:val="20"/>
          <w:lang w:val="es-ES_tradnl"/>
        </w:rPr>
        <w:t xml:space="preserve"> </w:t>
      </w:r>
      <w:r w:rsidR="00721835" w:rsidRPr="00ED5C9A">
        <w:rPr>
          <w:rFonts w:asciiTheme="majorHAnsi" w:hAnsiTheme="majorHAnsi"/>
          <w:color w:val="auto"/>
          <w:sz w:val="20"/>
          <w:szCs w:val="20"/>
          <w:lang w:val="es-ES_tradnl"/>
        </w:rPr>
        <w:t xml:space="preserve">reclamos </w:t>
      </w:r>
      <w:r w:rsidR="002F2E74" w:rsidRPr="00ED5C9A">
        <w:rPr>
          <w:rFonts w:asciiTheme="majorHAnsi" w:hAnsiTheme="majorHAnsi"/>
          <w:color w:val="auto"/>
          <w:sz w:val="20"/>
          <w:szCs w:val="20"/>
          <w:lang w:val="es-ES_tradnl"/>
        </w:rPr>
        <w:t>fundamentales</w:t>
      </w:r>
      <w:r w:rsidR="00B97760" w:rsidRPr="00ED5C9A">
        <w:rPr>
          <w:rStyle w:val="normaltextrun"/>
          <w:rFonts w:asciiTheme="majorHAnsi" w:hAnsiTheme="majorHAnsi"/>
          <w:color w:val="auto"/>
          <w:sz w:val="20"/>
          <w:szCs w:val="20"/>
          <w:lang w:val="es-ES_tradnl"/>
        </w:rPr>
        <w:t>: (1) la responsabilidad del Estado por la falta de investigación, juzgamiento y sanción de todos los responsables, materiales e intelectuales, del homicidio de Álvaro González; (2)</w:t>
      </w:r>
      <w:r w:rsidR="0061102F" w:rsidRPr="00ED5C9A">
        <w:rPr>
          <w:rStyle w:val="normaltextrun"/>
          <w:rFonts w:asciiTheme="majorHAnsi" w:hAnsiTheme="majorHAnsi"/>
          <w:color w:val="auto"/>
          <w:sz w:val="20"/>
          <w:szCs w:val="20"/>
          <w:lang w:val="es-ES_tradnl"/>
        </w:rPr>
        <w:t xml:space="preserve"> la responsabilidad del Estado frente a</w:t>
      </w:r>
      <w:r w:rsidR="00B97760" w:rsidRPr="00ED5C9A">
        <w:rPr>
          <w:rStyle w:val="normaltextrun"/>
          <w:rFonts w:asciiTheme="majorHAnsi" w:hAnsiTheme="majorHAnsi"/>
          <w:color w:val="auto"/>
          <w:sz w:val="20"/>
          <w:szCs w:val="20"/>
          <w:lang w:val="es-ES_tradnl"/>
        </w:rPr>
        <w:t xml:space="preserve"> </w:t>
      </w:r>
      <w:r w:rsidR="00387393" w:rsidRPr="00ED5C9A">
        <w:rPr>
          <w:rStyle w:val="normaltextrun"/>
          <w:rFonts w:asciiTheme="majorHAnsi" w:hAnsiTheme="majorHAnsi"/>
          <w:color w:val="auto"/>
          <w:sz w:val="20"/>
          <w:szCs w:val="20"/>
          <w:lang w:val="es-ES_tradnl"/>
        </w:rPr>
        <w:t xml:space="preserve">las </w:t>
      </w:r>
      <w:r w:rsidR="00387393" w:rsidRPr="00ED5C9A">
        <w:rPr>
          <w:rFonts w:asciiTheme="majorHAnsi" w:hAnsiTheme="majorHAnsi"/>
          <w:color w:val="auto"/>
          <w:sz w:val="20"/>
          <w:szCs w:val="20"/>
          <w:lang w:val="es-ES_tradnl"/>
        </w:rPr>
        <w:t xml:space="preserve">amenazas en contra de la vida </w:t>
      </w:r>
      <w:r w:rsidR="00387393" w:rsidRPr="00ED5C9A">
        <w:rPr>
          <w:rFonts w:asciiTheme="majorHAnsi" w:hAnsiTheme="majorHAnsi"/>
          <w:color w:val="auto"/>
          <w:sz w:val="20"/>
          <w:szCs w:val="20"/>
          <w:lang w:val="es-ES_tradnl"/>
        </w:rPr>
        <w:lastRenderedPageBreak/>
        <w:t xml:space="preserve">de Martha Lucía González y </w:t>
      </w:r>
      <w:r w:rsidR="00B97760" w:rsidRPr="00ED5C9A">
        <w:rPr>
          <w:rFonts w:asciiTheme="majorHAnsi" w:hAnsiTheme="majorHAnsi"/>
          <w:color w:val="auto"/>
          <w:sz w:val="20"/>
          <w:szCs w:val="20"/>
          <w:lang w:val="es-ES_tradnl"/>
        </w:rPr>
        <w:t xml:space="preserve">el </w:t>
      </w:r>
      <w:r w:rsidR="008E12D4" w:rsidRPr="00ED5C9A">
        <w:rPr>
          <w:rFonts w:asciiTheme="majorHAnsi" w:hAnsiTheme="majorHAnsi"/>
          <w:color w:val="auto"/>
          <w:sz w:val="20"/>
          <w:szCs w:val="20"/>
          <w:lang w:val="es-ES_tradnl"/>
        </w:rPr>
        <w:t xml:space="preserve">exilio </w:t>
      </w:r>
      <w:r w:rsidR="00B97760" w:rsidRPr="00ED5C9A">
        <w:rPr>
          <w:rFonts w:asciiTheme="majorHAnsi" w:hAnsiTheme="majorHAnsi"/>
          <w:color w:val="auto"/>
          <w:sz w:val="20"/>
          <w:szCs w:val="20"/>
          <w:lang w:val="es-ES_tradnl"/>
        </w:rPr>
        <w:t xml:space="preserve">forzado </w:t>
      </w:r>
      <w:r w:rsidR="00F54F85" w:rsidRPr="00ED5C9A">
        <w:rPr>
          <w:rFonts w:asciiTheme="majorHAnsi" w:hAnsiTheme="majorHAnsi"/>
          <w:color w:val="auto"/>
          <w:sz w:val="20"/>
          <w:szCs w:val="20"/>
          <w:lang w:val="es-ES_tradnl"/>
        </w:rPr>
        <w:t xml:space="preserve">prolongado </w:t>
      </w:r>
      <w:r w:rsidR="00B97760" w:rsidRPr="00ED5C9A">
        <w:rPr>
          <w:rFonts w:asciiTheme="majorHAnsi" w:hAnsiTheme="majorHAnsi"/>
          <w:color w:val="auto"/>
          <w:sz w:val="20"/>
          <w:szCs w:val="20"/>
          <w:lang w:val="es-ES_tradnl"/>
        </w:rPr>
        <w:t xml:space="preserve">de </w:t>
      </w:r>
      <w:r w:rsidR="00387393" w:rsidRPr="00ED5C9A">
        <w:rPr>
          <w:rFonts w:asciiTheme="majorHAnsi" w:hAnsiTheme="majorHAnsi"/>
          <w:color w:val="auto"/>
          <w:sz w:val="20"/>
          <w:szCs w:val="20"/>
          <w:lang w:val="es-ES_tradnl"/>
        </w:rPr>
        <w:t xml:space="preserve">ella </w:t>
      </w:r>
      <w:r w:rsidR="00B97760" w:rsidRPr="00ED5C9A">
        <w:rPr>
          <w:rFonts w:asciiTheme="majorHAnsi" w:hAnsiTheme="majorHAnsi"/>
          <w:color w:val="auto"/>
          <w:sz w:val="20"/>
          <w:szCs w:val="20"/>
          <w:lang w:val="es-ES_tradnl"/>
        </w:rPr>
        <w:t>y su familia, así como la omisión del Estado de realizar las gestiones suficientes para garantizar su regreso seguro a Colombia</w:t>
      </w:r>
      <w:r w:rsidR="0061102F" w:rsidRPr="00ED5C9A">
        <w:rPr>
          <w:rFonts w:asciiTheme="majorHAnsi" w:hAnsiTheme="majorHAnsi"/>
          <w:color w:val="auto"/>
          <w:sz w:val="20"/>
          <w:szCs w:val="20"/>
          <w:lang w:val="es-ES_tradnl"/>
        </w:rPr>
        <w:t xml:space="preserve">. </w:t>
      </w:r>
      <w:r w:rsidR="003B2D07" w:rsidRPr="00ED5C9A">
        <w:rPr>
          <w:rFonts w:asciiTheme="majorHAnsi" w:hAnsiTheme="majorHAnsi"/>
          <w:color w:val="auto"/>
          <w:sz w:val="20"/>
          <w:szCs w:val="20"/>
          <w:lang w:val="es-ES_tradnl"/>
        </w:rPr>
        <w:t xml:space="preserve">En tal sentido, la Comisión observa que </w:t>
      </w:r>
      <w:r w:rsidR="003E2E34" w:rsidRPr="00ED5C9A">
        <w:rPr>
          <w:rFonts w:asciiTheme="majorHAnsi" w:hAnsiTheme="majorHAnsi"/>
          <w:color w:val="auto"/>
          <w:sz w:val="20"/>
          <w:szCs w:val="20"/>
          <w:lang w:val="es-ES_tradnl"/>
        </w:rPr>
        <w:t xml:space="preserve">alegatos descritos por los peticionarios relativos al despido o </w:t>
      </w:r>
      <w:r w:rsidR="002F2E74" w:rsidRPr="00ED5C9A">
        <w:rPr>
          <w:rFonts w:asciiTheme="majorHAnsi" w:hAnsiTheme="majorHAnsi"/>
          <w:color w:val="auto"/>
          <w:sz w:val="20"/>
          <w:szCs w:val="20"/>
          <w:lang w:val="es-ES_tradnl"/>
        </w:rPr>
        <w:t>“</w:t>
      </w:r>
      <w:r w:rsidR="003E2E34" w:rsidRPr="00ED5C9A">
        <w:rPr>
          <w:rFonts w:asciiTheme="majorHAnsi" w:hAnsiTheme="majorHAnsi"/>
          <w:color w:val="auto"/>
          <w:sz w:val="20"/>
          <w:szCs w:val="20"/>
          <w:lang w:val="es-ES_tradnl"/>
        </w:rPr>
        <w:t>despojo</w:t>
      </w:r>
      <w:r w:rsidR="002F2E74" w:rsidRPr="00ED5C9A">
        <w:rPr>
          <w:rFonts w:asciiTheme="majorHAnsi" w:hAnsiTheme="majorHAnsi"/>
          <w:color w:val="auto"/>
          <w:sz w:val="20"/>
          <w:szCs w:val="20"/>
          <w:lang w:val="es-ES_tradnl"/>
        </w:rPr>
        <w:t>”</w:t>
      </w:r>
      <w:r w:rsidR="003E2E34" w:rsidRPr="00ED5C9A">
        <w:rPr>
          <w:rFonts w:asciiTheme="majorHAnsi" w:hAnsiTheme="majorHAnsi"/>
          <w:color w:val="auto"/>
          <w:sz w:val="20"/>
          <w:szCs w:val="20"/>
          <w:lang w:val="es-ES_tradnl"/>
        </w:rPr>
        <w:t xml:space="preserve"> de Martha Lucía González de su posición como </w:t>
      </w:r>
      <w:r w:rsidR="002F2E74" w:rsidRPr="00ED5C9A">
        <w:rPr>
          <w:rFonts w:asciiTheme="majorHAnsi" w:hAnsiTheme="majorHAnsi"/>
          <w:color w:val="auto"/>
          <w:sz w:val="20"/>
          <w:szCs w:val="20"/>
          <w:lang w:val="es-ES_tradnl"/>
        </w:rPr>
        <w:t>c</w:t>
      </w:r>
      <w:r w:rsidR="003E2E34" w:rsidRPr="00ED5C9A">
        <w:rPr>
          <w:rFonts w:asciiTheme="majorHAnsi" w:hAnsiTheme="majorHAnsi"/>
          <w:color w:val="auto"/>
          <w:sz w:val="20"/>
          <w:szCs w:val="20"/>
          <w:lang w:val="es-ES_tradnl"/>
        </w:rPr>
        <w:t xml:space="preserve">ónsul, en sí mismo, así como </w:t>
      </w:r>
      <w:r w:rsidR="002F2E74" w:rsidRPr="00ED5C9A">
        <w:rPr>
          <w:rFonts w:asciiTheme="majorHAnsi" w:hAnsiTheme="majorHAnsi"/>
          <w:color w:val="auto"/>
          <w:sz w:val="20"/>
          <w:szCs w:val="20"/>
          <w:lang w:val="es-ES_tradnl"/>
        </w:rPr>
        <w:t xml:space="preserve">los </w:t>
      </w:r>
      <w:r w:rsidR="003B2D07" w:rsidRPr="00ED5C9A">
        <w:rPr>
          <w:rFonts w:asciiTheme="majorHAnsi" w:hAnsiTheme="majorHAnsi"/>
          <w:color w:val="auto"/>
          <w:sz w:val="20"/>
          <w:szCs w:val="20"/>
          <w:lang w:val="es-ES_tradnl"/>
        </w:rPr>
        <w:t xml:space="preserve">relativos </w:t>
      </w:r>
      <w:r w:rsidR="003E2E34" w:rsidRPr="00ED5C9A">
        <w:rPr>
          <w:rFonts w:asciiTheme="majorHAnsi" w:hAnsiTheme="majorHAnsi"/>
          <w:color w:val="auto"/>
          <w:sz w:val="20"/>
          <w:szCs w:val="20"/>
          <w:lang w:val="es-ES_tradnl"/>
        </w:rPr>
        <w:t xml:space="preserve">a su </w:t>
      </w:r>
      <w:r w:rsidR="00A76A0D" w:rsidRPr="00ED5C9A">
        <w:rPr>
          <w:rFonts w:asciiTheme="majorHAnsi" w:hAnsiTheme="majorHAnsi"/>
          <w:color w:val="auto"/>
          <w:sz w:val="20"/>
          <w:szCs w:val="20"/>
          <w:lang w:val="es-ES_tradnl"/>
        </w:rPr>
        <w:t>reintegro al servicio consular</w:t>
      </w:r>
      <w:r w:rsidR="003B2D07" w:rsidRPr="00ED5C9A">
        <w:rPr>
          <w:rFonts w:asciiTheme="majorHAnsi" w:hAnsiTheme="majorHAnsi"/>
          <w:color w:val="auto"/>
          <w:sz w:val="20"/>
          <w:szCs w:val="20"/>
          <w:lang w:val="es-ES_tradnl"/>
        </w:rPr>
        <w:t>, no forman parte del objeto principal de la petición y por tanto quedan fuera del marco del análisis del presente informe</w:t>
      </w:r>
      <w:r w:rsidR="003E2E34" w:rsidRPr="00ED5C9A">
        <w:rPr>
          <w:rFonts w:asciiTheme="majorHAnsi" w:hAnsiTheme="majorHAnsi"/>
          <w:color w:val="auto"/>
          <w:sz w:val="20"/>
          <w:szCs w:val="20"/>
          <w:lang w:val="es-ES_tradnl"/>
        </w:rPr>
        <w:t xml:space="preserve">, </w:t>
      </w:r>
      <w:r w:rsidR="003B2D07" w:rsidRPr="00ED5C9A">
        <w:rPr>
          <w:rFonts w:asciiTheme="majorHAnsi" w:hAnsiTheme="majorHAnsi"/>
          <w:bCs/>
          <w:color w:val="auto"/>
          <w:sz w:val="20"/>
          <w:szCs w:val="20"/>
          <w:lang w:val="es-ES_tradnl"/>
        </w:rPr>
        <w:t xml:space="preserve">sin perjuicio </w:t>
      </w:r>
      <w:r w:rsidR="002F2E74" w:rsidRPr="00ED5C9A">
        <w:rPr>
          <w:rFonts w:asciiTheme="majorHAnsi" w:hAnsiTheme="majorHAnsi"/>
          <w:bCs/>
          <w:color w:val="auto"/>
          <w:sz w:val="20"/>
          <w:szCs w:val="20"/>
          <w:lang w:val="es-ES_tradnl"/>
        </w:rPr>
        <w:t xml:space="preserve">de </w:t>
      </w:r>
      <w:r w:rsidR="003B2D07" w:rsidRPr="00ED5C9A">
        <w:rPr>
          <w:rFonts w:asciiTheme="majorHAnsi" w:hAnsiTheme="majorHAnsi"/>
          <w:bCs/>
          <w:color w:val="auto"/>
          <w:sz w:val="20"/>
          <w:szCs w:val="20"/>
          <w:lang w:val="es-ES_tradnl"/>
        </w:rPr>
        <w:t xml:space="preserve">que la </w:t>
      </w:r>
      <w:r w:rsidR="003E2E34" w:rsidRPr="00ED5C9A">
        <w:rPr>
          <w:rFonts w:asciiTheme="majorHAnsi" w:hAnsiTheme="majorHAnsi"/>
          <w:bCs/>
          <w:color w:val="auto"/>
          <w:sz w:val="20"/>
          <w:szCs w:val="20"/>
          <w:lang w:val="es-ES_tradnl"/>
        </w:rPr>
        <w:t>C</w:t>
      </w:r>
      <w:r w:rsidR="003B2D07" w:rsidRPr="00ED5C9A">
        <w:rPr>
          <w:rFonts w:asciiTheme="majorHAnsi" w:hAnsiTheme="majorHAnsi"/>
          <w:bCs/>
          <w:color w:val="auto"/>
          <w:sz w:val="20"/>
          <w:szCs w:val="20"/>
          <w:lang w:val="es-ES_tradnl"/>
        </w:rPr>
        <w:t xml:space="preserve">omisión pueda </w:t>
      </w:r>
      <w:r w:rsidR="002F2E74" w:rsidRPr="00ED5C9A">
        <w:rPr>
          <w:rFonts w:asciiTheme="majorHAnsi" w:hAnsiTheme="majorHAnsi"/>
          <w:bCs/>
          <w:color w:val="auto"/>
          <w:sz w:val="20"/>
          <w:szCs w:val="20"/>
          <w:lang w:val="es-ES_tradnl"/>
        </w:rPr>
        <w:t>leerlos</w:t>
      </w:r>
      <w:r w:rsidR="003B2D07" w:rsidRPr="00ED5C9A">
        <w:rPr>
          <w:rFonts w:asciiTheme="majorHAnsi" w:hAnsiTheme="majorHAnsi"/>
          <w:bCs/>
          <w:color w:val="auto"/>
          <w:sz w:val="20"/>
          <w:szCs w:val="20"/>
          <w:lang w:val="es-ES_tradnl"/>
        </w:rPr>
        <w:t xml:space="preserve"> como parte de</w:t>
      </w:r>
      <w:r w:rsidR="00A76A0D" w:rsidRPr="00ED5C9A">
        <w:rPr>
          <w:rFonts w:asciiTheme="majorHAnsi" w:hAnsiTheme="majorHAnsi"/>
          <w:bCs/>
          <w:color w:val="auto"/>
          <w:sz w:val="20"/>
          <w:szCs w:val="20"/>
          <w:lang w:val="es-ES_tradnl"/>
        </w:rPr>
        <w:t>l</w:t>
      </w:r>
      <w:r w:rsidR="003B2D07" w:rsidRPr="00ED5C9A">
        <w:rPr>
          <w:rFonts w:asciiTheme="majorHAnsi" w:hAnsiTheme="majorHAnsi"/>
          <w:bCs/>
          <w:color w:val="auto"/>
          <w:sz w:val="20"/>
          <w:szCs w:val="20"/>
          <w:lang w:val="es-ES_tradnl"/>
        </w:rPr>
        <w:t xml:space="preserve"> contexto </w:t>
      </w:r>
      <w:r w:rsidR="00A76A0D" w:rsidRPr="00ED5C9A">
        <w:rPr>
          <w:rFonts w:asciiTheme="majorHAnsi" w:hAnsiTheme="majorHAnsi"/>
          <w:bCs/>
          <w:color w:val="auto"/>
          <w:sz w:val="20"/>
          <w:szCs w:val="20"/>
          <w:lang w:val="es-ES_tradnl"/>
        </w:rPr>
        <w:t xml:space="preserve">de medidas </w:t>
      </w:r>
      <w:r w:rsidR="003770CE" w:rsidRPr="00ED5C9A">
        <w:rPr>
          <w:rFonts w:asciiTheme="majorHAnsi" w:hAnsiTheme="majorHAnsi"/>
          <w:bCs/>
          <w:color w:val="auto"/>
          <w:sz w:val="20"/>
          <w:szCs w:val="20"/>
          <w:lang w:val="es-ES_tradnl"/>
        </w:rPr>
        <w:t>requeridas</w:t>
      </w:r>
      <w:r w:rsidR="00A76A0D" w:rsidRPr="00ED5C9A">
        <w:rPr>
          <w:rFonts w:asciiTheme="majorHAnsi" w:hAnsiTheme="majorHAnsi"/>
          <w:bCs/>
          <w:color w:val="auto"/>
          <w:sz w:val="20"/>
          <w:szCs w:val="20"/>
          <w:lang w:val="es-ES_tradnl"/>
        </w:rPr>
        <w:t xml:space="preserve"> por la presunta víctima en el marco de las </w:t>
      </w:r>
      <w:r w:rsidR="003B2D07" w:rsidRPr="00ED5C9A">
        <w:rPr>
          <w:rFonts w:asciiTheme="majorHAnsi" w:hAnsiTheme="majorHAnsi"/>
          <w:bCs/>
          <w:color w:val="auto"/>
          <w:sz w:val="20"/>
          <w:szCs w:val="20"/>
          <w:lang w:val="es-ES_tradnl"/>
        </w:rPr>
        <w:t>amen</w:t>
      </w:r>
      <w:r w:rsidR="00A76A0D" w:rsidRPr="00ED5C9A">
        <w:rPr>
          <w:rFonts w:asciiTheme="majorHAnsi" w:hAnsiTheme="majorHAnsi"/>
          <w:bCs/>
          <w:color w:val="auto"/>
          <w:sz w:val="20"/>
          <w:szCs w:val="20"/>
          <w:lang w:val="es-ES_tradnl"/>
        </w:rPr>
        <w:t>a</w:t>
      </w:r>
      <w:r w:rsidR="003B2D07" w:rsidRPr="00ED5C9A">
        <w:rPr>
          <w:rFonts w:asciiTheme="majorHAnsi" w:hAnsiTheme="majorHAnsi"/>
          <w:bCs/>
          <w:color w:val="auto"/>
          <w:sz w:val="20"/>
          <w:szCs w:val="20"/>
          <w:lang w:val="es-ES_tradnl"/>
        </w:rPr>
        <w:t>zas</w:t>
      </w:r>
      <w:r w:rsidR="00A76A0D" w:rsidRPr="00ED5C9A">
        <w:rPr>
          <w:rFonts w:asciiTheme="majorHAnsi" w:hAnsiTheme="majorHAnsi"/>
          <w:bCs/>
          <w:color w:val="auto"/>
          <w:sz w:val="20"/>
          <w:szCs w:val="20"/>
          <w:lang w:val="es-ES_tradnl"/>
        </w:rPr>
        <w:t xml:space="preserve"> a su vida e integridad personal</w:t>
      </w:r>
      <w:r w:rsidR="003770CE" w:rsidRPr="00ED5C9A">
        <w:rPr>
          <w:rFonts w:asciiTheme="majorHAnsi" w:hAnsiTheme="majorHAnsi"/>
          <w:bCs/>
          <w:color w:val="auto"/>
          <w:sz w:val="20"/>
          <w:szCs w:val="20"/>
          <w:lang w:val="es-ES_tradnl"/>
        </w:rPr>
        <w:t>,</w:t>
      </w:r>
      <w:r w:rsidR="00A76A0D" w:rsidRPr="00ED5C9A">
        <w:rPr>
          <w:rFonts w:asciiTheme="majorHAnsi" w:hAnsiTheme="majorHAnsi"/>
          <w:bCs/>
          <w:color w:val="auto"/>
          <w:sz w:val="20"/>
          <w:szCs w:val="20"/>
          <w:lang w:val="es-ES_tradnl"/>
        </w:rPr>
        <w:t xml:space="preserve"> y las </w:t>
      </w:r>
      <w:r w:rsidR="003B2D07" w:rsidRPr="00ED5C9A">
        <w:rPr>
          <w:rFonts w:asciiTheme="majorHAnsi" w:hAnsiTheme="majorHAnsi"/>
          <w:bCs/>
          <w:color w:val="auto"/>
          <w:sz w:val="20"/>
          <w:szCs w:val="20"/>
          <w:lang w:val="es-ES_tradnl"/>
        </w:rPr>
        <w:t xml:space="preserve">acciones del </w:t>
      </w:r>
      <w:r w:rsidR="00A76A0D" w:rsidRPr="00ED5C9A">
        <w:rPr>
          <w:rFonts w:asciiTheme="majorHAnsi" w:hAnsiTheme="majorHAnsi"/>
          <w:bCs/>
          <w:color w:val="auto"/>
          <w:sz w:val="20"/>
          <w:szCs w:val="20"/>
          <w:lang w:val="es-ES_tradnl"/>
        </w:rPr>
        <w:t>E</w:t>
      </w:r>
      <w:r w:rsidR="003B2D07" w:rsidRPr="00ED5C9A">
        <w:rPr>
          <w:rFonts w:asciiTheme="majorHAnsi" w:hAnsiTheme="majorHAnsi"/>
          <w:bCs/>
          <w:color w:val="auto"/>
          <w:sz w:val="20"/>
          <w:szCs w:val="20"/>
          <w:lang w:val="es-ES_tradnl"/>
        </w:rPr>
        <w:t xml:space="preserve">stado para protegerla. </w:t>
      </w:r>
    </w:p>
    <w:p w14:paraId="48B01A80" w14:textId="26F58894" w:rsidR="007650BE" w:rsidRPr="00ED5C9A" w:rsidRDefault="007650BE" w:rsidP="008E12D4">
      <w:pPr>
        <w:jc w:val="both"/>
        <w:rPr>
          <w:rFonts w:asciiTheme="majorHAnsi" w:hAnsiTheme="majorHAnsi"/>
          <w:bCs/>
          <w:sz w:val="20"/>
          <w:szCs w:val="20"/>
          <w:lang w:val="es-ES_tradnl"/>
        </w:rPr>
      </w:pPr>
    </w:p>
    <w:p w14:paraId="29B64341" w14:textId="07167B7E" w:rsidR="00387393" w:rsidRPr="00ED5C9A" w:rsidRDefault="003770CE" w:rsidP="000D6F71">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Así pues, c</w:t>
      </w:r>
      <w:r w:rsidR="00387393" w:rsidRPr="00ED5C9A">
        <w:rPr>
          <w:rFonts w:asciiTheme="majorHAnsi" w:hAnsiTheme="majorHAnsi"/>
          <w:color w:val="auto"/>
          <w:sz w:val="20"/>
          <w:szCs w:val="20"/>
          <w:lang w:val="es-ES_tradnl"/>
        </w:rPr>
        <w:t>on respecto al primer reclamo, la Comisión observa que l</w:t>
      </w:r>
      <w:r w:rsidR="00E0080E" w:rsidRPr="00ED5C9A">
        <w:rPr>
          <w:rFonts w:asciiTheme="majorHAnsi" w:hAnsiTheme="majorHAnsi"/>
          <w:color w:val="auto"/>
          <w:sz w:val="20"/>
          <w:szCs w:val="20"/>
          <w:lang w:val="es-ES_tradnl"/>
        </w:rPr>
        <w:t xml:space="preserve">os peticionarios sostienen que </w:t>
      </w:r>
      <w:r w:rsidR="008C4539" w:rsidRPr="00ED5C9A">
        <w:rPr>
          <w:rFonts w:asciiTheme="majorHAnsi" w:hAnsiTheme="majorHAnsi"/>
          <w:color w:val="auto"/>
          <w:sz w:val="20"/>
          <w:szCs w:val="20"/>
          <w:lang w:val="es-ES_tradnl"/>
        </w:rPr>
        <w:t xml:space="preserve">el homicidio de Álvaro González se mantiene en impunidad encontrándose actualmente </w:t>
      </w:r>
      <w:r w:rsidR="00E0080E" w:rsidRPr="00ED5C9A">
        <w:rPr>
          <w:rFonts w:asciiTheme="majorHAnsi" w:hAnsiTheme="majorHAnsi"/>
          <w:color w:val="auto"/>
          <w:sz w:val="20"/>
          <w:szCs w:val="20"/>
          <w:lang w:val="es-ES_tradnl"/>
        </w:rPr>
        <w:t xml:space="preserve">el proceso en etapa preliminar </w:t>
      </w:r>
      <w:r w:rsidR="009658A5" w:rsidRPr="00ED5C9A">
        <w:rPr>
          <w:rFonts w:asciiTheme="majorHAnsi" w:hAnsiTheme="majorHAnsi"/>
          <w:color w:val="auto"/>
          <w:sz w:val="20"/>
          <w:szCs w:val="20"/>
          <w:lang w:val="es-ES_tradnl"/>
        </w:rPr>
        <w:t xml:space="preserve">dentro del expediente relativo a los delitos cometidos por el “Brazo Armado del Cartel de Medellín” </w:t>
      </w:r>
      <w:r w:rsidR="008C4539" w:rsidRPr="00ED5C9A">
        <w:rPr>
          <w:rFonts w:asciiTheme="majorHAnsi" w:hAnsiTheme="majorHAnsi"/>
          <w:color w:val="auto"/>
          <w:sz w:val="20"/>
          <w:szCs w:val="20"/>
          <w:lang w:val="es-ES_tradnl"/>
        </w:rPr>
        <w:t xml:space="preserve">ante </w:t>
      </w:r>
      <w:r w:rsidR="00E0080E" w:rsidRPr="00ED5C9A">
        <w:rPr>
          <w:rFonts w:asciiTheme="majorHAnsi" w:hAnsiTheme="majorHAnsi"/>
          <w:color w:val="auto"/>
          <w:sz w:val="20"/>
          <w:szCs w:val="20"/>
          <w:lang w:val="es-ES_tradnl"/>
        </w:rPr>
        <w:t xml:space="preserve">el Despacho </w:t>
      </w:r>
      <w:r w:rsidR="008C4539" w:rsidRPr="00ED5C9A">
        <w:rPr>
          <w:rFonts w:asciiTheme="majorHAnsi" w:hAnsiTheme="majorHAnsi"/>
          <w:color w:val="auto"/>
          <w:sz w:val="20"/>
          <w:szCs w:val="20"/>
          <w:lang w:val="es-ES_tradnl"/>
        </w:rPr>
        <w:t>Octavo</w:t>
      </w:r>
      <w:r w:rsidR="00E0080E" w:rsidRPr="00ED5C9A">
        <w:rPr>
          <w:rFonts w:asciiTheme="majorHAnsi" w:hAnsiTheme="majorHAnsi"/>
          <w:color w:val="auto"/>
          <w:sz w:val="20"/>
          <w:szCs w:val="20"/>
          <w:lang w:val="es-ES_tradnl"/>
        </w:rPr>
        <w:t xml:space="preserve"> de la Unidad Nacional de Derechos Humanos</w:t>
      </w:r>
      <w:r w:rsidR="008C4539" w:rsidRPr="00ED5C9A">
        <w:rPr>
          <w:rFonts w:asciiTheme="majorHAnsi" w:hAnsiTheme="majorHAnsi"/>
          <w:color w:val="auto"/>
          <w:sz w:val="20"/>
          <w:szCs w:val="20"/>
          <w:lang w:val="es-ES_tradnl"/>
        </w:rPr>
        <w:t xml:space="preserve">. </w:t>
      </w:r>
      <w:r w:rsidR="00387393" w:rsidRPr="00ED5C9A">
        <w:rPr>
          <w:rFonts w:asciiTheme="majorHAnsi" w:hAnsiTheme="majorHAnsi"/>
          <w:color w:val="auto"/>
          <w:sz w:val="20"/>
          <w:szCs w:val="20"/>
          <w:lang w:val="es-ES_tradnl"/>
        </w:rPr>
        <w:t xml:space="preserve">Por su parte, el Estado sostiene que </w:t>
      </w:r>
      <w:r w:rsidR="00387393" w:rsidRPr="00ED5C9A">
        <w:rPr>
          <w:rFonts w:asciiTheme="majorHAnsi" w:hAnsiTheme="majorHAnsi"/>
          <w:bCs/>
          <w:color w:val="auto"/>
          <w:sz w:val="20"/>
          <w:szCs w:val="20"/>
          <w:lang w:val="es-ES_tradnl"/>
        </w:rPr>
        <w:t>respecto a la muerte de Álvaro González, se ha desarrollado una investigación penal diligente</w:t>
      </w:r>
      <w:r w:rsidR="00A80D5E" w:rsidRPr="00ED5C9A">
        <w:rPr>
          <w:rFonts w:asciiTheme="majorHAnsi" w:hAnsiTheme="majorHAnsi"/>
          <w:bCs/>
          <w:color w:val="auto"/>
          <w:sz w:val="20"/>
          <w:szCs w:val="20"/>
          <w:lang w:val="es-ES_tradnl"/>
        </w:rPr>
        <w:t>;</w:t>
      </w:r>
      <w:r w:rsidR="00387393" w:rsidRPr="00ED5C9A">
        <w:rPr>
          <w:rFonts w:asciiTheme="majorHAnsi" w:hAnsiTheme="majorHAnsi"/>
          <w:bCs/>
          <w:color w:val="auto"/>
          <w:sz w:val="20"/>
          <w:szCs w:val="20"/>
          <w:lang w:val="es-ES_tradnl"/>
        </w:rPr>
        <w:t xml:space="preserve"> y </w:t>
      </w:r>
      <w:r w:rsidR="00A80D5E" w:rsidRPr="00ED5C9A">
        <w:rPr>
          <w:rFonts w:asciiTheme="majorHAnsi" w:hAnsiTheme="majorHAnsi"/>
          <w:bCs/>
          <w:color w:val="auto"/>
          <w:sz w:val="20"/>
          <w:szCs w:val="20"/>
          <w:lang w:val="es-ES_tradnl"/>
        </w:rPr>
        <w:t xml:space="preserve">que </w:t>
      </w:r>
      <w:r w:rsidR="00387393" w:rsidRPr="00ED5C9A">
        <w:rPr>
          <w:rFonts w:asciiTheme="majorHAnsi" w:hAnsiTheme="majorHAnsi"/>
          <w:bCs/>
          <w:color w:val="auto"/>
          <w:sz w:val="20"/>
          <w:szCs w:val="20"/>
          <w:lang w:val="es-ES_tradnl"/>
        </w:rPr>
        <w:t xml:space="preserve">las labores investigativas continúan bajo el cargo de la Fiscalía Octava Especializada de la Unidad Nacional de Derechos Humanos y Derecho Internacional Humanitario, sin que se pueda considerar que exista un retardo injustificado. </w:t>
      </w:r>
      <w:r w:rsidR="00A80D5E" w:rsidRPr="00ED5C9A">
        <w:rPr>
          <w:rFonts w:asciiTheme="majorHAnsi" w:hAnsiTheme="majorHAnsi"/>
          <w:bCs/>
          <w:color w:val="auto"/>
          <w:sz w:val="20"/>
          <w:szCs w:val="20"/>
          <w:lang w:val="es-ES_tradnl"/>
        </w:rPr>
        <w:t>Además,</w:t>
      </w:r>
      <w:r w:rsidR="00387393" w:rsidRPr="00ED5C9A">
        <w:rPr>
          <w:rFonts w:asciiTheme="majorHAnsi" w:hAnsiTheme="majorHAnsi"/>
          <w:bCs/>
          <w:color w:val="auto"/>
          <w:sz w:val="20"/>
          <w:szCs w:val="20"/>
          <w:lang w:val="es-ES_tradnl"/>
        </w:rPr>
        <w:t xml:space="preserve"> que la familia de Álvaro González no realizó gestiones en el marco de la investigación penal hasta después de la presentación de la presente petición; y no han interpuesto recurso alguno para obtener una indemnización por la ocurrencia de los hechos.</w:t>
      </w:r>
    </w:p>
    <w:p w14:paraId="7F56A38A" w14:textId="77777777" w:rsidR="003E0142" w:rsidRPr="00ED5C9A" w:rsidRDefault="003E0142" w:rsidP="003E0142">
      <w:pPr>
        <w:pStyle w:val="ListParagraph"/>
        <w:rPr>
          <w:rFonts w:asciiTheme="majorHAnsi" w:hAnsiTheme="majorHAnsi"/>
          <w:bCs/>
          <w:color w:val="auto"/>
          <w:sz w:val="20"/>
          <w:szCs w:val="20"/>
          <w:lang w:val="es-ES_tradnl"/>
        </w:rPr>
      </w:pPr>
    </w:p>
    <w:p w14:paraId="7FEC1DE0" w14:textId="62A142C1" w:rsidR="003E0142" w:rsidRPr="00ED5C9A" w:rsidRDefault="00A80D5E" w:rsidP="00CB0149">
      <w:pPr>
        <w:pStyle w:val="paragraph"/>
        <w:numPr>
          <w:ilvl w:val="0"/>
          <w:numId w:val="57"/>
        </w:numPr>
        <w:spacing w:before="0" w:beforeAutospacing="0" w:after="0" w:afterAutospacing="0"/>
        <w:ind w:left="0" w:firstLine="720"/>
        <w:jc w:val="both"/>
        <w:textAlignment w:val="baseline"/>
        <w:rPr>
          <w:rFonts w:asciiTheme="majorHAnsi" w:hAnsiTheme="majorHAnsi"/>
          <w:sz w:val="20"/>
          <w:szCs w:val="20"/>
          <w:lang w:val="es-ES_tradnl"/>
        </w:rPr>
      </w:pPr>
      <w:r w:rsidRPr="00ED5C9A">
        <w:rPr>
          <w:rFonts w:asciiTheme="majorHAnsi" w:hAnsiTheme="majorHAnsi"/>
          <w:sz w:val="20"/>
          <w:szCs w:val="20"/>
          <w:lang w:val="es-ES_tradnl"/>
        </w:rPr>
        <w:t>A este respecto, l</w:t>
      </w:r>
      <w:r w:rsidR="0014033B" w:rsidRPr="00ED5C9A">
        <w:rPr>
          <w:rFonts w:asciiTheme="majorHAnsi" w:hAnsiTheme="majorHAnsi"/>
          <w:sz w:val="20"/>
          <w:szCs w:val="20"/>
          <w:lang w:val="es-ES_tradnl"/>
        </w:rPr>
        <w:t xml:space="preserve">a posición uniforme de la </w:t>
      </w:r>
      <w:r w:rsidRPr="00ED5C9A">
        <w:rPr>
          <w:rFonts w:asciiTheme="majorHAnsi" w:hAnsiTheme="majorHAnsi"/>
          <w:sz w:val="20"/>
          <w:szCs w:val="20"/>
          <w:lang w:val="es-ES_tradnl"/>
        </w:rPr>
        <w:t>CIDH</w:t>
      </w:r>
      <w:r w:rsidR="0014033B" w:rsidRPr="00ED5C9A">
        <w:rPr>
          <w:rFonts w:asciiTheme="majorHAnsi" w:hAnsiTheme="majorHAnsi"/>
          <w:sz w:val="20"/>
          <w:szCs w:val="20"/>
          <w:lang w:val="es-ES_tradnl"/>
        </w:rPr>
        <w:t xml:space="preserve">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003E0142" w:rsidRPr="00ED5C9A">
        <w:rPr>
          <w:rStyle w:val="normaltextrun"/>
          <w:rFonts w:asciiTheme="majorHAnsi" w:hAnsiTheme="majorHAnsi"/>
          <w:sz w:val="20"/>
          <w:szCs w:val="20"/>
          <w:vertAlign w:val="superscript"/>
          <w:lang w:val="es-ES_tradnl"/>
        </w:rPr>
        <w:t>5</w:t>
      </w:r>
      <w:r w:rsidR="003E0142" w:rsidRPr="00ED5C9A">
        <w:rPr>
          <w:rStyle w:val="normaltextrun"/>
          <w:rFonts w:asciiTheme="majorHAnsi" w:hAnsiTheme="majorHAnsi"/>
          <w:sz w:val="20"/>
          <w:szCs w:val="20"/>
          <w:lang w:val="es-ES_tradnl"/>
        </w:rPr>
        <w:t xml:space="preserve">. </w:t>
      </w:r>
      <w:r w:rsidR="0014033B" w:rsidRPr="00ED5C9A">
        <w:rPr>
          <w:rFonts w:asciiTheme="majorHAnsi" w:hAnsiTheme="majorHAnsi"/>
          <w:sz w:val="20"/>
          <w:szCs w:val="20"/>
          <w:lang w:val="es-ES_tradnl"/>
        </w:rPr>
        <w:t>La Comisión también ha observado que</w:t>
      </w:r>
      <w:r w:rsidR="00DF6DE3" w:rsidRPr="00ED5C9A">
        <w:rPr>
          <w:rFonts w:asciiTheme="majorHAnsi" w:hAnsiTheme="majorHAnsi"/>
          <w:sz w:val="20"/>
          <w:szCs w:val="20"/>
          <w:lang w:val="es-ES_tradnl"/>
        </w:rPr>
        <w:t>,</w:t>
      </w:r>
      <w:r w:rsidR="0014033B" w:rsidRPr="00ED5C9A">
        <w:rPr>
          <w:rFonts w:asciiTheme="majorHAnsi" w:hAnsiTheme="majorHAnsi"/>
          <w:sz w:val="20"/>
          <w:szCs w:val="20"/>
          <w:lang w:val="es-ES_tradnl"/>
        </w:rPr>
        <w:t xml:space="preserve"> como regla general, un</w:t>
      </w:r>
      <w:r w:rsidR="003E0142" w:rsidRPr="00ED5C9A">
        <w:rPr>
          <w:rFonts w:asciiTheme="majorHAnsi" w:hAnsiTheme="majorHAnsi"/>
          <w:sz w:val="20"/>
          <w:szCs w:val="20"/>
          <w:lang w:val="es-ES_tradnl"/>
        </w:rPr>
        <w:t>a investigación penal, debe realizarse prontamente para proteger los intereses de las víctimas, preservar la prueba e incluso salvaguardar los derechos de toda persona que en el contexto de la investigación sea considerada sospechosa</w:t>
      </w:r>
      <w:r w:rsidR="003E0142" w:rsidRPr="00ED5C9A">
        <w:rPr>
          <w:rStyle w:val="FootnoteReference"/>
          <w:rFonts w:asciiTheme="majorHAnsi" w:hAnsiTheme="majorHAnsi"/>
          <w:sz w:val="20"/>
          <w:szCs w:val="20"/>
          <w:lang w:val="es-ES_tradnl"/>
        </w:rPr>
        <w:footnoteReference w:id="7"/>
      </w:r>
      <w:r w:rsidR="003E0142" w:rsidRPr="00ED5C9A">
        <w:rPr>
          <w:rFonts w:asciiTheme="majorHAnsi" w:hAnsiTheme="majorHAnsi"/>
          <w:sz w:val="20"/>
          <w:szCs w:val="20"/>
          <w:lang w:val="es-ES_tradnl"/>
        </w:rPr>
        <w:t>.</w:t>
      </w:r>
      <w:r w:rsidR="00E6623C" w:rsidRPr="00ED5C9A">
        <w:rPr>
          <w:rFonts w:asciiTheme="majorHAnsi" w:hAnsiTheme="majorHAnsi"/>
          <w:sz w:val="20"/>
          <w:szCs w:val="20"/>
          <w:lang w:val="es-ES_tradnl"/>
        </w:rPr>
        <w:t xml:space="preserve"> </w:t>
      </w:r>
      <w:r w:rsidR="003E0142" w:rsidRPr="00ED5C9A">
        <w:rPr>
          <w:rStyle w:val="normaltextrun"/>
          <w:rFonts w:asciiTheme="majorHAnsi" w:hAnsiTheme="majorHAnsi"/>
          <w:sz w:val="20"/>
          <w:szCs w:val="20"/>
          <w:lang w:val="es-ES_tradnl"/>
        </w:rPr>
        <w:t xml:space="preserve">En atención a los hechos alegados, la Comisión observa que las partes coinciden </w:t>
      </w:r>
      <w:r w:rsidR="0076115F" w:rsidRPr="00ED5C9A">
        <w:rPr>
          <w:rStyle w:val="normaltextrun"/>
          <w:rFonts w:asciiTheme="majorHAnsi" w:hAnsiTheme="majorHAnsi"/>
          <w:sz w:val="20"/>
          <w:szCs w:val="20"/>
          <w:lang w:val="es-ES_tradnl"/>
        </w:rPr>
        <w:t xml:space="preserve">en </w:t>
      </w:r>
      <w:r w:rsidR="003E0142" w:rsidRPr="00ED5C9A">
        <w:rPr>
          <w:rStyle w:val="normaltextrun"/>
          <w:rFonts w:asciiTheme="majorHAnsi" w:hAnsiTheme="majorHAnsi"/>
          <w:sz w:val="20"/>
          <w:szCs w:val="20"/>
          <w:lang w:val="es-ES_tradnl"/>
        </w:rPr>
        <w:t>que se inició investigación penal el</w:t>
      </w:r>
      <w:r w:rsidR="003E0142" w:rsidRPr="00ED5C9A">
        <w:rPr>
          <w:rFonts w:asciiTheme="majorHAnsi" w:hAnsiTheme="majorHAnsi"/>
          <w:bCs/>
          <w:sz w:val="20"/>
          <w:szCs w:val="20"/>
          <w:lang w:val="es-ES_tradnl"/>
        </w:rPr>
        <w:t xml:space="preserve"> 4 de mayo de 1989</w:t>
      </w:r>
      <w:r w:rsidR="003E0142" w:rsidRPr="00ED5C9A">
        <w:rPr>
          <w:rStyle w:val="normaltextrun"/>
          <w:rFonts w:asciiTheme="majorHAnsi" w:hAnsiTheme="majorHAnsi"/>
          <w:sz w:val="20"/>
          <w:szCs w:val="20"/>
          <w:lang w:val="es-ES_tradnl"/>
        </w:rPr>
        <w:t>, día de la muerte del Sr. González</w:t>
      </w:r>
      <w:r w:rsidR="009E2B10" w:rsidRPr="00ED5C9A">
        <w:rPr>
          <w:rStyle w:val="normaltextrun"/>
          <w:rFonts w:asciiTheme="majorHAnsi" w:hAnsiTheme="majorHAnsi"/>
          <w:sz w:val="20"/>
          <w:szCs w:val="20"/>
          <w:lang w:val="es-ES_tradnl"/>
        </w:rPr>
        <w:t>,</w:t>
      </w:r>
      <w:r w:rsidR="003E0142" w:rsidRPr="00ED5C9A">
        <w:rPr>
          <w:rStyle w:val="normaltextrun"/>
          <w:rFonts w:asciiTheme="majorHAnsi" w:hAnsiTheme="majorHAnsi"/>
          <w:sz w:val="20"/>
          <w:szCs w:val="20"/>
          <w:lang w:val="es-ES_tradnl"/>
        </w:rPr>
        <w:t xml:space="preserve"> y que en virtud de esta fueron vinculadas inicialmente varias personas</w:t>
      </w:r>
      <w:r w:rsidR="009E2B10" w:rsidRPr="00ED5C9A">
        <w:rPr>
          <w:rStyle w:val="normaltextrun"/>
          <w:rFonts w:asciiTheme="majorHAnsi" w:hAnsiTheme="majorHAnsi"/>
          <w:sz w:val="20"/>
          <w:szCs w:val="20"/>
          <w:lang w:val="es-ES_tradnl"/>
        </w:rPr>
        <w:t>;</w:t>
      </w:r>
      <w:r w:rsidR="003E0142" w:rsidRPr="00ED5C9A">
        <w:rPr>
          <w:rStyle w:val="normaltextrun"/>
          <w:rFonts w:asciiTheme="majorHAnsi" w:hAnsiTheme="majorHAnsi"/>
          <w:sz w:val="20"/>
          <w:szCs w:val="20"/>
          <w:lang w:val="es-ES_tradnl"/>
        </w:rPr>
        <w:t xml:space="preserve"> sin embargo, al no ser </w:t>
      </w:r>
      <w:r w:rsidR="003E0142" w:rsidRPr="00ED5C9A">
        <w:rPr>
          <w:rFonts w:asciiTheme="majorHAnsi" w:hAnsiTheme="majorHAnsi"/>
          <w:bCs/>
          <w:sz w:val="20"/>
          <w:szCs w:val="20"/>
          <w:lang w:val="es-ES_tradnl"/>
        </w:rPr>
        <w:t xml:space="preserve">posible cumplir con los requisitos sustanciales exigidos se profirió preclusión de la instrucción el 15 de mayo de 1996. Posteriormente, la investigación fue reasumida por la Fiscalía Octava Especializada de la Unidad Nacional de Derechos Humanos y Derecho Internacional Humanitario en el marco del expediente vinculado a los delitos cometidos por el “Brazo Armado del Cartel de Medellín”; y a la fecha se encontraría, de acuerdo con información disponible en el expediente, en etapa preliminar.  </w:t>
      </w:r>
    </w:p>
    <w:p w14:paraId="20430A9F" w14:textId="77777777" w:rsidR="003E0142" w:rsidRPr="00ED5C9A" w:rsidRDefault="003E0142" w:rsidP="003E0142">
      <w:pPr>
        <w:pStyle w:val="ListParagraph"/>
        <w:jc w:val="both"/>
        <w:rPr>
          <w:rFonts w:asciiTheme="majorHAnsi" w:hAnsiTheme="majorHAnsi"/>
          <w:color w:val="auto"/>
          <w:sz w:val="20"/>
          <w:szCs w:val="20"/>
          <w:lang w:val="es-ES_tradnl"/>
        </w:rPr>
      </w:pPr>
    </w:p>
    <w:p w14:paraId="46FB2D22" w14:textId="45DA77D0" w:rsidR="003E0142" w:rsidRPr="00ED5C9A" w:rsidRDefault="003E0142" w:rsidP="000F2943">
      <w:pPr>
        <w:pStyle w:val="paragraph"/>
        <w:numPr>
          <w:ilvl w:val="0"/>
          <w:numId w:val="57"/>
        </w:numPr>
        <w:spacing w:before="0" w:beforeAutospacing="0" w:after="0" w:afterAutospacing="0"/>
        <w:ind w:left="0" w:firstLine="720"/>
        <w:jc w:val="both"/>
        <w:textAlignment w:val="baseline"/>
        <w:rPr>
          <w:rFonts w:asciiTheme="majorHAnsi" w:hAnsiTheme="majorHAnsi"/>
          <w:sz w:val="20"/>
          <w:szCs w:val="20"/>
          <w:lang w:val="es-ES_tradnl"/>
        </w:rPr>
      </w:pPr>
      <w:r w:rsidRPr="00ED5C9A">
        <w:rPr>
          <w:rStyle w:val="normaltextrun"/>
          <w:rFonts w:asciiTheme="majorHAnsi" w:hAnsiTheme="majorHAnsi"/>
          <w:sz w:val="20"/>
          <w:szCs w:val="20"/>
          <w:lang w:val="es-ES_tradnl"/>
        </w:rPr>
        <w:t xml:space="preserve">El Estado </w:t>
      </w:r>
      <w:r w:rsidR="009E2B10" w:rsidRPr="00ED5C9A">
        <w:rPr>
          <w:rStyle w:val="normaltextrun"/>
          <w:rFonts w:asciiTheme="majorHAnsi" w:hAnsiTheme="majorHAnsi"/>
          <w:sz w:val="20"/>
          <w:szCs w:val="20"/>
          <w:lang w:val="es-ES_tradnl"/>
        </w:rPr>
        <w:t>alega</w:t>
      </w:r>
      <w:r w:rsidRPr="00ED5C9A">
        <w:rPr>
          <w:rStyle w:val="normaltextrun"/>
          <w:rFonts w:asciiTheme="majorHAnsi" w:hAnsiTheme="majorHAnsi"/>
          <w:sz w:val="20"/>
          <w:szCs w:val="20"/>
          <w:lang w:val="es-ES_tradnl"/>
        </w:rPr>
        <w:t xml:space="preserve"> la falta de agotamiento de los recursos domésticos, puesto que en su criterio las autoridades de la justicia penal ordinaria han actuado en forma diligente y continúan avanzando en sus investigaciones, sin haber incurrido en un retardo injustificado. En este respecto, </w:t>
      </w:r>
      <w:r w:rsidRPr="00ED5C9A">
        <w:rPr>
          <w:rFonts w:asciiTheme="majorHAnsi" w:hAnsiTheme="majorHAnsi"/>
          <w:sz w:val="20"/>
          <w:szCs w:val="20"/>
          <w:lang w:val="es-ES_tradnl"/>
        </w:rPr>
        <w:t xml:space="preserve">la Comisión toma nota que el Estado ha dado cuenta de distintas diligencias realizadas en el marco de los procesos penales, así como de las complejidades y dificultades que han influido sobre la duración de los procesos. Sin embargo, según la información que consta en expediente, </w:t>
      </w:r>
      <w:r w:rsidR="00FE466D" w:rsidRPr="00ED5C9A">
        <w:rPr>
          <w:rFonts w:asciiTheme="majorHAnsi" w:hAnsiTheme="majorHAnsi"/>
          <w:sz w:val="20"/>
          <w:szCs w:val="20"/>
          <w:lang w:val="es-ES_tradnl"/>
        </w:rPr>
        <w:t xml:space="preserve">la Comisión observa que las investigaciones destinadas al esclarecimiento de los hechos denunciados no han concluido; no se ha identificado ni sancionado a los responsables </w:t>
      </w:r>
      <w:r w:rsidR="0025205D" w:rsidRPr="00ED5C9A">
        <w:rPr>
          <w:rFonts w:asciiTheme="majorHAnsi" w:hAnsiTheme="majorHAnsi"/>
          <w:sz w:val="20"/>
          <w:szCs w:val="20"/>
          <w:lang w:val="es-ES_tradnl"/>
        </w:rPr>
        <w:t>a pesar de que</w:t>
      </w:r>
      <w:r w:rsidR="00FE466D" w:rsidRPr="00ED5C9A">
        <w:rPr>
          <w:rFonts w:asciiTheme="majorHAnsi" w:hAnsiTheme="majorHAnsi"/>
          <w:sz w:val="20"/>
          <w:szCs w:val="20"/>
          <w:lang w:val="es-ES_tradnl"/>
        </w:rPr>
        <w:t xml:space="preserve"> </w:t>
      </w:r>
      <w:r w:rsidRPr="00ED5C9A">
        <w:rPr>
          <w:rFonts w:asciiTheme="majorHAnsi" w:hAnsiTheme="majorHAnsi"/>
          <w:sz w:val="20"/>
          <w:szCs w:val="20"/>
          <w:lang w:val="es-ES_tradnl"/>
        </w:rPr>
        <w:t>han transcurrido más de treinta y cuatro años desde el homicidio de Álvaro González y del inicio de las investigaciones</w:t>
      </w:r>
      <w:r w:rsidR="0014033B" w:rsidRPr="00ED5C9A">
        <w:rPr>
          <w:rFonts w:asciiTheme="majorHAnsi" w:hAnsiTheme="majorHAnsi"/>
          <w:sz w:val="20"/>
          <w:szCs w:val="20"/>
          <w:lang w:val="es-ES_tradnl"/>
        </w:rPr>
        <w:t>.</w:t>
      </w:r>
      <w:r w:rsidR="00FE466D" w:rsidRPr="00ED5C9A">
        <w:rPr>
          <w:rFonts w:asciiTheme="majorHAnsi" w:hAnsiTheme="majorHAnsi"/>
          <w:sz w:val="20"/>
          <w:szCs w:val="20"/>
          <w:lang w:val="es-ES_tradnl"/>
        </w:rPr>
        <w:t xml:space="preserve"> </w:t>
      </w:r>
      <w:r w:rsidR="0014033B" w:rsidRPr="00ED5C9A">
        <w:rPr>
          <w:rFonts w:asciiTheme="majorHAnsi" w:hAnsiTheme="majorHAnsi"/>
          <w:sz w:val="20"/>
          <w:szCs w:val="20"/>
          <w:lang w:val="es-ES_tradnl"/>
        </w:rPr>
        <w:t>En este sentido, la Comisión Interamericana recuerda que el requisito del agotamiento de los recursos internos no puede ser tal que retrase indefinidamente el acceso de las presuntas víctimas al sistema interamericano de protección de los derechos humanos. Por lo tanto, la Comisión considera aplicable, frente al caso bajo examen y sin prejuzgar sobre el fondo, la excepción al deber de agotamiento de los recursos domésticos establecida en el artículo 46.2.c) de la Convención Americana.</w:t>
      </w:r>
    </w:p>
    <w:p w14:paraId="2CFF541C" w14:textId="77777777" w:rsidR="003E0142" w:rsidRPr="00ED5C9A" w:rsidRDefault="003E0142" w:rsidP="003E0142">
      <w:pPr>
        <w:pStyle w:val="paragraph"/>
        <w:spacing w:before="0" w:beforeAutospacing="0" w:after="0" w:afterAutospacing="0"/>
        <w:ind w:firstLine="720"/>
        <w:jc w:val="both"/>
        <w:textAlignment w:val="baseline"/>
        <w:rPr>
          <w:rFonts w:asciiTheme="majorHAnsi" w:hAnsiTheme="majorHAnsi"/>
          <w:sz w:val="20"/>
          <w:szCs w:val="20"/>
          <w:lang w:val="es-ES_tradnl"/>
        </w:rPr>
      </w:pPr>
    </w:p>
    <w:p w14:paraId="5A4A7915" w14:textId="51AEAFF7" w:rsidR="003E0142" w:rsidRPr="00ED5C9A" w:rsidRDefault="003E0142" w:rsidP="00DB677D">
      <w:pPr>
        <w:pStyle w:val="paragraph"/>
        <w:numPr>
          <w:ilvl w:val="0"/>
          <w:numId w:val="57"/>
        </w:numPr>
        <w:spacing w:before="0" w:beforeAutospacing="0" w:after="0" w:afterAutospacing="0"/>
        <w:ind w:left="0" w:firstLine="720"/>
        <w:jc w:val="both"/>
        <w:textAlignment w:val="baseline"/>
        <w:rPr>
          <w:rStyle w:val="normaltextrun"/>
          <w:rFonts w:asciiTheme="majorHAnsi" w:hAnsiTheme="majorHAnsi"/>
          <w:sz w:val="20"/>
          <w:szCs w:val="20"/>
          <w:lang w:val="es-ES_tradnl"/>
        </w:rPr>
      </w:pPr>
      <w:r w:rsidRPr="00ED5C9A">
        <w:rPr>
          <w:rStyle w:val="normaltextrun"/>
          <w:rFonts w:asciiTheme="majorHAnsi" w:hAnsiTheme="majorHAnsi"/>
          <w:sz w:val="20"/>
          <w:szCs w:val="20"/>
          <w:lang w:val="es-ES_tradnl"/>
        </w:rPr>
        <w:t xml:space="preserve">Frente al argumento del Estado sobre la falta de solicitud por parte de la familia del Sr. González de una indemnización, la Comisión </w:t>
      </w:r>
      <w:r w:rsidRPr="00ED5C9A">
        <w:rPr>
          <w:rFonts w:asciiTheme="majorHAnsi" w:hAnsiTheme="majorHAnsi"/>
          <w:sz w:val="20"/>
          <w:szCs w:val="20"/>
          <w:lang w:val="es-ES_tradnl"/>
        </w:rPr>
        <w:t xml:space="preserve">considera pertinente aclarar que para los efectos de determinar la admisibilidad de la presente petición, </w:t>
      </w:r>
      <w:r w:rsidRPr="00ED5C9A">
        <w:rPr>
          <w:rStyle w:val="normaltextrun"/>
          <w:rFonts w:asciiTheme="majorHAnsi" w:hAnsiTheme="majorHAnsi"/>
          <w:sz w:val="20"/>
          <w:szCs w:val="20"/>
          <w:lang w:val="es-ES_tradnl"/>
        </w:rPr>
        <w:t>la determinación de una reparación por la vía administrativa o judicial</w:t>
      </w:r>
      <w:r w:rsidRPr="00ED5C9A">
        <w:rPr>
          <w:rFonts w:asciiTheme="majorHAnsi" w:hAnsiTheme="majorHAnsi"/>
          <w:sz w:val="20"/>
          <w:szCs w:val="20"/>
          <w:lang w:val="es-ES_tradnl"/>
        </w:rPr>
        <w:t xml:space="preserve"> no constituye la vía idónea por cuanto </w:t>
      </w:r>
      <w:r w:rsidRPr="00ED5C9A">
        <w:rPr>
          <w:rStyle w:val="normaltextrun"/>
          <w:rFonts w:asciiTheme="majorHAnsi" w:hAnsiTheme="majorHAnsi"/>
          <w:sz w:val="20"/>
          <w:szCs w:val="20"/>
          <w:lang w:val="es-ES_tradnl"/>
        </w:rPr>
        <w:t xml:space="preserve">no exime al Estado de sus obligaciones relacionadas con el componente </w:t>
      </w:r>
      <w:r w:rsidRPr="00ED5C9A">
        <w:rPr>
          <w:rStyle w:val="normaltextrun"/>
          <w:rFonts w:asciiTheme="majorHAnsi" w:hAnsiTheme="majorHAnsi"/>
          <w:sz w:val="20"/>
          <w:szCs w:val="20"/>
          <w:lang w:val="es-ES_tradnl"/>
        </w:rPr>
        <w:lastRenderedPageBreak/>
        <w:t>de justicia por las presuntas violaciones causadas</w:t>
      </w:r>
      <w:r w:rsidRPr="00ED5C9A">
        <w:rPr>
          <w:rFonts w:asciiTheme="majorHAnsi" w:hAnsiTheme="majorHAnsi"/>
          <w:sz w:val="20"/>
          <w:szCs w:val="20"/>
          <w:lang w:val="es-ES_tradnl"/>
        </w:rPr>
        <w:t>, ni resulta necesario su agotamiento</w:t>
      </w:r>
      <w:r w:rsidRPr="00ED5C9A">
        <w:rPr>
          <w:rStyle w:val="normaltextrun"/>
          <w:rFonts w:asciiTheme="majorHAnsi" w:hAnsiTheme="majorHAnsi"/>
          <w:sz w:val="20"/>
          <w:szCs w:val="20"/>
          <w:lang w:val="es-ES_tradnl"/>
        </w:rPr>
        <w:t>. Asimismo, f</w:t>
      </w:r>
      <w:r w:rsidRPr="00ED5C9A">
        <w:rPr>
          <w:rStyle w:val="eop"/>
          <w:rFonts w:asciiTheme="majorHAnsi" w:hAnsiTheme="majorHAnsi"/>
          <w:sz w:val="20"/>
          <w:szCs w:val="20"/>
          <w:lang w:val="es-ES_tradnl"/>
        </w:rPr>
        <w:t>rente a la alegada ausencia de gestiones por parte de la familia González en el marco de la investigación penal, la Comisión</w:t>
      </w:r>
      <w:r w:rsidR="00DF6DE3" w:rsidRPr="00ED5C9A">
        <w:rPr>
          <w:rStyle w:val="eop"/>
          <w:rFonts w:asciiTheme="majorHAnsi" w:hAnsiTheme="majorHAnsi"/>
          <w:sz w:val="20"/>
          <w:szCs w:val="20"/>
          <w:lang w:val="es-ES_tradnl"/>
        </w:rPr>
        <w:t xml:space="preserve"> recuerda que </w:t>
      </w:r>
      <w:r w:rsidR="00DF6DE3" w:rsidRPr="00ED5C9A">
        <w:rPr>
          <w:rStyle w:val="normaltextrun"/>
          <w:rFonts w:asciiTheme="majorHAnsi" w:hAnsiTheme="majorHAnsi"/>
          <w:sz w:val="20"/>
          <w:szCs w:val="20"/>
          <w:lang w:val="es-ES_tradnl"/>
        </w:rPr>
        <w:t>la carga de realizar de manera oficiosa y diligente la investigación debe ser asumida por el Estado como un deber jurídico propio, y no como una gestión de intereses de particulares o que dependa de la iniciativa de éstos ni de la aportación de pruebas por parte de los mismos</w:t>
      </w:r>
      <w:r w:rsidR="00DF6DE3" w:rsidRPr="00ED5C9A">
        <w:rPr>
          <w:rStyle w:val="normaltextrun"/>
          <w:rFonts w:asciiTheme="majorHAnsi" w:hAnsiTheme="majorHAnsi"/>
          <w:sz w:val="20"/>
          <w:szCs w:val="20"/>
          <w:vertAlign w:val="superscript"/>
          <w:lang w:val="es-ES_tradnl"/>
        </w:rPr>
        <w:t>6</w:t>
      </w:r>
      <w:r w:rsidR="00DF6DE3" w:rsidRPr="00ED5C9A">
        <w:rPr>
          <w:rStyle w:val="normaltextrun"/>
          <w:rFonts w:asciiTheme="majorHAnsi" w:hAnsiTheme="majorHAnsi"/>
          <w:sz w:val="20"/>
          <w:szCs w:val="20"/>
          <w:lang w:val="es-ES_tradnl"/>
        </w:rPr>
        <w:t xml:space="preserve">. Sin perjuicio de lo anterior, la Comisión </w:t>
      </w:r>
      <w:r w:rsidR="008E12D4" w:rsidRPr="00ED5C9A">
        <w:rPr>
          <w:rStyle w:val="normaltextrun"/>
          <w:rFonts w:asciiTheme="majorHAnsi" w:hAnsiTheme="majorHAnsi"/>
          <w:sz w:val="20"/>
          <w:szCs w:val="20"/>
          <w:lang w:val="es-ES_tradnl"/>
        </w:rPr>
        <w:t xml:space="preserve">toma nota de </w:t>
      </w:r>
      <w:r w:rsidR="00DF6DE3" w:rsidRPr="00ED5C9A">
        <w:rPr>
          <w:rStyle w:val="eop"/>
          <w:rFonts w:asciiTheme="majorHAnsi" w:hAnsiTheme="majorHAnsi"/>
          <w:sz w:val="20"/>
          <w:szCs w:val="20"/>
          <w:lang w:val="es-ES_tradnl"/>
        </w:rPr>
        <w:t>la información presentada por los peticionarios respecto a los</w:t>
      </w:r>
      <w:r w:rsidRPr="00ED5C9A">
        <w:rPr>
          <w:rStyle w:val="eop"/>
          <w:rFonts w:asciiTheme="majorHAnsi" w:hAnsiTheme="majorHAnsi"/>
          <w:sz w:val="20"/>
          <w:szCs w:val="20"/>
          <w:lang w:val="es-ES_tradnl"/>
        </w:rPr>
        <w:t xml:space="preserve"> </w:t>
      </w:r>
      <w:r w:rsidR="00DF6DE3" w:rsidRPr="00ED5C9A">
        <w:rPr>
          <w:rFonts w:asciiTheme="majorHAnsi" w:hAnsiTheme="majorHAnsi"/>
          <w:sz w:val="20"/>
          <w:szCs w:val="20"/>
          <w:lang w:val="es-ES_tradnl"/>
        </w:rPr>
        <w:t xml:space="preserve">derechos de petición presentados por Martha González el 7 de junio de 2011, el 24 de julio de 2012 y el 7 de mayo de 2013 solicitando información acerca de la mencionada investigación penal; y la demanda de constitución de parte civil el 18 de noviembre de 2011 ante la Fiscalía Octava especializada de la Unidad Nacional de Derechos Humanos, en virtud de la cual fue reconocida como parte civil el 21 de noviembre del mismo año. </w:t>
      </w:r>
    </w:p>
    <w:p w14:paraId="763277BF" w14:textId="77777777" w:rsidR="003E0142" w:rsidRPr="00ED5C9A" w:rsidRDefault="003E0142" w:rsidP="003E0142">
      <w:pPr>
        <w:pStyle w:val="paragraph"/>
        <w:spacing w:before="0" w:beforeAutospacing="0" w:after="0" w:afterAutospacing="0"/>
        <w:ind w:left="720"/>
        <w:jc w:val="both"/>
        <w:textAlignment w:val="baseline"/>
        <w:rPr>
          <w:rFonts w:asciiTheme="majorHAnsi" w:hAnsiTheme="majorHAnsi"/>
          <w:sz w:val="20"/>
          <w:szCs w:val="20"/>
          <w:lang w:val="es-ES_tradnl"/>
        </w:rPr>
      </w:pPr>
    </w:p>
    <w:p w14:paraId="57CDC15E" w14:textId="2D051462" w:rsidR="005B430D" w:rsidRPr="00ED5C9A" w:rsidRDefault="00B94402" w:rsidP="00360592">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R</w:t>
      </w:r>
      <w:r w:rsidR="00DF6DE3" w:rsidRPr="00ED5C9A">
        <w:rPr>
          <w:rFonts w:asciiTheme="majorHAnsi" w:hAnsiTheme="majorHAnsi"/>
          <w:color w:val="auto"/>
          <w:sz w:val="20"/>
          <w:szCs w:val="20"/>
          <w:lang w:val="es-ES_tradnl"/>
        </w:rPr>
        <w:t>especto al segundo re</w:t>
      </w:r>
      <w:r w:rsidR="00387393" w:rsidRPr="00ED5C9A">
        <w:rPr>
          <w:rFonts w:asciiTheme="majorHAnsi" w:hAnsiTheme="majorHAnsi"/>
          <w:color w:val="auto"/>
          <w:sz w:val="20"/>
          <w:szCs w:val="20"/>
          <w:lang w:val="es-ES_tradnl"/>
        </w:rPr>
        <w:t>clamo</w:t>
      </w:r>
      <w:r w:rsidR="00DF6DE3" w:rsidRPr="00ED5C9A">
        <w:rPr>
          <w:rFonts w:asciiTheme="majorHAnsi" w:hAnsiTheme="majorHAnsi"/>
          <w:color w:val="auto"/>
          <w:sz w:val="20"/>
          <w:szCs w:val="20"/>
          <w:lang w:val="es-ES_tradnl"/>
        </w:rPr>
        <w:t xml:space="preserve">, los peticionarios </w:t>
      </w:r>
      <w:r w:rsidR="00C0522C" w:rsidRPr="00ED5C9A">
        <w:rPr>
          <w:rFonts w:asciiTheme="majorHAnsi" w:hAnsiTheme="majorHAnsi"/>
          <w:color w:val="auto"/>
          <w:sz w:val="20"/>
          <w:szCs w:val="20"/>
          <w:lang w:val="es-ES_tradnl"/>
        </w:rPr>
        <w:t xml:space="preserve">alegan que </w:t>
      </w:r>
      <w:r w:rsidR="00E0080E" w:rsidRPr="00ED5C9A">
        <w:rPr>
          <w:rFonts w:asciiTheme="majorHAnsi" w:hAnsiTheme="majorHAnsi"/>
          <w:color w:val="auto"/>
          <w:sz w:val="20"/>
          <w:szCs w:val="20"/>
          <w:lang w:val="es-ES_tradnl"/>
        </w:rPr>
        <w:t>el Estado no ha iniciado investigación alguna, a pesar de haber tenido conocimiento de dichas amenazas en varias oportunidades.</w:t>
      </w:r>
      <w:r w:rsidR="00C0522C" w:rsidRPr="00ED5C9A">
        <w:rPr>
          <w:rFonts w:asciiTheme="majorHAnsi" w:hAnsiTheme="majorHAnsi"/>
          <w:color w:val="auto"/>
          <w:sz w:val="20"/>
          <w:szCs w:val="20"/>
          <w:lang w:val="es-ES_tradnl"/>
        </w:rPr>
        <w:t xml:space="preserve"> </w:t>
      </w:r>
      <w:r w:rsidR="00FF0003" w:rsidRPr="00ED5C9A">
        <w:rPr>
          <w:rFonts w:asciiTheme="majorHAnsi" w:hAnsiTheme="majorHAnsi"/>
          <w:color w:val="auto"/>
          <w:sz w:val="20"/>
          <w:szCs w:val="20"/>
          <w:lang w:val="es-ES_tradnl"/>
        </w:rPr>
        <w:t xml:space="preserve">Sostienen que Martha González y su familia han interpuesto solicitudes para remediar esta situación y ser incluidos en programas de protección, no obstante, el Estado las ha negado por considerar que no se encontraban en peligro mientras permanezcan en el exterior. </w:t>
      </w:r>
      <w:r w:rsidR="00C0522C" w:rsidRPr="00ED5C9A">
        <w:rPr>
          <w:rFonts w:asciiTheme="majorHAnsi" w:hAnsiTheme="majorHAnsi"/>
          <w:color w:val="auto"/>
          <w:sz w:val="20"/>
          <w:szCs w:val="20"/>
          <w:lang w:val="es-ES_tradnl"/>
        </w:rPr>
        <w:t xml:space="preserve">En tal sentido, los peticionarios alegan que existe </w:t>
      </w:r>
      <w:r w:rsidR="009658A5" w:rsidRPr="00ED5C9A">
        <w:rPr>
          <w:rFonts w:asciiTheme="majorHAnsi" w:hAnsiTheme="majorHAnsi"/>
          <w:color w:val="auto"/>
          <w:sz w:val="20"/>
          <w:szCs w:val="20"/>
          <w:lang w:val="es-ES_tradnl"/>
        </w:rPr>
        <w:t xml:space="preserve">en general </w:t>
      </w:r>
      <w:r w:rsidR="00C0522C" w:rsidRPr="00ED5C9A">
        <w:rPr>
          <w:rFonts w:asciiTheme="majorHAnsi" w:hAnsiTheme="majorHAnsi"/>
          <w:color w:val="auto"/>
          <w:sz w:val="20"/>
          <w:szCs w:val="20"/>
          <w:lang w:val="es-ES_tradnl"/>
        </w:rPr>
        <w:t xml:space="preserve">un retardo injustificado </w:t>
      </w:r>
      <w:r w:rsidR="009658A5" w:rsidRPr="00ED5C9A">
        <w:rPr>
          <w:rFonts w:asciiTheme="majorHAnsi" w:hAnsiTheme="majorHAnsi"/>
          <w:color w:val="auto"/>
          <w:sz w:val="20"/>
          <w:szCs w:val="20"/>
          <w:lang w:val="es-ES_tradnl"/>
        </w:rPr>
        <w:t xml:space="preserve">en resolver los recursos disponibles frente a los hechos alegados </w:t>
      </w:r>
      <w:r w:rsidR="00C0522C" w:rsidRPr="00ED5C9A">
        <w:rPr>
          <w:rFonts w:asciiTheme="majorHAnsi" w:hAnsiTheme="majorHAnsi"/>
          <w:color w:val="auto"/>
          <w:sz w:val="20"/>
          <w:szCs w:val="20"/>
          <w:lang w:val="es-ES_tradnl"/>
        </w:rPr>
        <w:t>por lo cual aplicaría la excepción al agotamiento de los recursos internos.</w:t>
      </w:r>
      <w:r w:rsidR="00A76A0D" w:rsidRPr="00ED5C9A">
        <w:rPr>
          <w:rFonts w:asciiTheme="majorHAnsi" w:hAnsiTheme="majorHAnsi"/>
          <w:color w:val="auto"/>
          <w:sz w:val="20"/>
          <w:szCs w:val="20"/>
          <w:lang w:val="es-ES_tradnl"/>
        </w:rPr>
        <w:t xml:space="preserve"> Por su parte, </w:t>
      </w:r>
      <w:r w:rsidRPr="00ED5C9A">
        <w:rPr>
          <w:rFonts w:asciiTheme="majorHAnsi" w:hAnsiTheme="majorHAnsi"/>
          <w:bCs/>
          <w:color w:val="auto"/>
          <w:sz w:val="20"/>
          <w:szCs w:val="20"/>
          <w:lang w:val="es-ES_tradnl"/>
        </w:rPr>
        <w:t xml:space="preserve">el Estado </w:t>
      </w:r>
      <w:r w:rsidR="00A76A0D" w:rsidRPr="00ED5C9A">
        <w:rPr>
          <w:rFonts w:asciiTheme="majorHAnsi" w:hAnsiTheme="majorHAnsi"/>
          <w:bCs/>
          <w:color w:val="auto"/>
          <w:sz w:val="20"/>
          <w:szCs w:val="20"/>
          <w:lang w:val="es-ES_tradnl"/>
        </w:rPr>
        <w:t xml:space="preserve">no presenta argumentos específicos sobre la falta de agotamiento de recursos internos o el agotamiento indebido, limitándose a sostener </w:t>
      </w:r>
      <w:r w:rsidRPr="00ED5C9A">
        <w:rPr>
          <w:rFonts w:asciiTheme="majorHAnsi" w:hAnsiTheme="majorHAnsi"/>
          <w:bCs/>
          <w:color w:val="auto"/>
          <w:sz w:val="20"/>
          <w:szCs w:val="20"/>
          <w:lang w:val="es-ES_tradnl"/>
        </w:rPr>
        <w:t xml:space="preserve">que </w:t>
      </w:r>
      <w:r w:rsidR="00DF6DE3" w:rsidRPr="00ED5C9A">
        <w:rPr>
          <w:rFonts w:asciiTheme="majorHAnsi" w:hAnsiTheme="majorHAnsi"/>
          <w:color w:val="auto"/>
          <w:sz w:val="20"/>
          <w:szCs w:val="20"/>
          <w:lang w:val="es-ES_tradnl"/>
        </w:rPr>
        <w:t xml:space="preserve">toda decisión relacionada con un riesgo a su vida en caso de retornar debía ser decidida por la Fiscalía General de la Nación, los Ministerios de Defensa Nacional y Relaciones Exteriores y el </w:t>
      </w:r>
      <w:r w:rsidRPr="00ED5C9A">
        <w:rPr>
          <w:rFonts w:asciiTheme="majorHAnsi" w:hAnsiTheme="majorHAnsi"/>
          <w:color w:val="auto"/>
          <w:sz w:val="20"/>
          <w:szCs w:val="20"/>
          <w:lang w:val="es-ES_tradnl"/>
        </w:rPr>
        <w:t xml:space="preserve">DAS. </w:t>
      </w:r>
    </w:p>
    <w:p w14:paraId="4D4237C4" w14:textId="77777777" w:rsidR="005B430D" w:rsidRPr="00ED5C9A" w:rsidRDefault="005B430D" w:rsidP="005B430D">
      <w:pPr>
        <w:pStyle w:val="ListParagraph"/>
        <w:jc w:val="both"/>
        <w:rPr>
          <w:rFonts w:asciiTheme="majorHAnsi" w:hAnsiTheme="majorHAnsi"/>
          <w:bCs/>
          <w:color w:val="auto"/>
          <w:sz w:val="20"/>
          <w:szCs w:val="20"/>
          <w:lang w:val="es-ES_tradnl"/>
        </w:rPr>
      </w:pPr>
    </w:p>
    <w:p w14:paraId="617F8E0B" w14:textId="1BFAF62E" w:rsidR="002338E4" w:rsidRPr="00ED5C9A" w:rsidRDefault="00B94402" w:rsidP="000D6F71">
      <w:pPr>
        <w:pStyle w:val="paragraph"/>
        <w:numPr>
          <w:ilvl w:val="0"/>
          <w:numId w:val="57"/>
        </w:numPr>
        <w:spacing w:before="0" w:beforeAutospacing="0" w:after="0" w:afterAutospacing="0"/>
        <w:ind w:left="0" w:firstLine="720"/>
        <w:jc w:val="both"/>
        <w:textAlignment w:val="baseline"/>
        <w:rPr>
          <w:rFonts w:asciiTheme="majorHAnsi" w:hAnsiTheme="majorHAnsi"/>
          <w:sz w:val="20"/>
          <w:szCs w:val="20"/>
          <w:lang w:val="es-ES_tradnl"/>
        </w:rPr>
      </w:pPr>
      <w:r w:rsidRPr="00ED5C9A">
        <w:rPr>
          <w:rFonts w:asciiTheme="majorHAnsi" w:hAnsiTheme="majorHAnsi"/>
          <w:sz w:val="20"/>
          <w:szCs w:val="20"/>
          <w:lang w:val="es-ES_tradnl"/>
        </w:rPr>
        <w:t>L</w:t>
      </w:r>
      <w:r w:rsidR="00E63458" w:rsidRPr="00ED5C9A">
        <w:rPr>
          <w:rFonts w:asciiTheme="majorHAnsi" w:hAnsiTheme="majorHAnsi"/>
          <w:sz w:val="20"/>
          <w:szCs w:val="20"/>
          <w:lang w:val="es-ES_tradnl"/>
        </w:rPr>
        <w:t xml:space="preserve">a </w:t>
      </w:r>
      <w:r w:rsidR="007B637C" w:rsidRPr="00ED5C9A">
        <w:rPr>
          <w:rFonts w:asciiTheme="majorHAnsi" w:hAnsiTheme="majorHAnsi"/>
          <w:sz w:val="20"/>
          <w:szCs w:val="20"/>
          <w:lang w:val="es-ES_tradnl"/>
        </w:rPr>
        <w:t xml:space="preserve">Comisión </w:t>
      </w:r>
      <w:r w:rsidR="00FA64D8" w:rsidRPr="00ED5C9A">
        <w:rPr>
          <w:rFonts w:asciiTheme="majorHAnsi" w:hAnsiTheme="majorHAnsi"/>
          <w:sz w:val="20"/>
          <w:szCs w:val="20"/>
          <w:lang w:val="es-ES_tradnl"/>
        </w:rPr>
        <w:t>recuerda</w:t>
      </w:r>
      <w:r w:rsidR="00E63458" w:rsidRPr="00ED5C9A">
        <w:rPr>
          <w:rFonts w:asciiTheme="majorHAnsi" w:hAnsiTheme="majorHAnsi"/>
          <w:sz w:val="20"/>
          <w:szCs w:val="20"/>
          <w:lang w:val="es-ES_tradnl"/>
        </w:rPr>
        <w:t>, como lo ha hecho en otras oportunidades</w:t>
      </w:r>
      <w:r w:rsidR="00E63458" w:rsidRPr="00ED5C9A">
        <w:rPr>
          <w:rStyle w:val="FootnoteReference"/>
          <w:rFonts w:asciiTheme="majorHAnsi" w:hAnsiTheme="majorHAnsi"/>
          <w:sz w:val="20"/>
          <w:szCs w:val="20"/>
          <w:lang w:val="es-ES_tradnl"/>
        </w:rPr>
        <w:footnoteReference w:id="8"/>
      </w:r>
      <w:r w:rsidR="00E63458" w:rsidRPr="00ED5C9A">
        <w:rPr>
          <w:rFonts w:asciiTheme="majorHAnsi" w:hAnsiTheme="majorHAnsi"/>
          <w:sz w:val="20"/>
          <w:szCs w:val="20"/>
          <w:lang w:val="es-ES_tradnl"/>
        </w:rPr>
        <w:t>,</w:t>
      </w:r>
      <w:r w:rsidR="002338E4" w:rsidRPr="00ED5C9A">
        <w:rPr>
          <w:rFonts w:asciiTheme="majorHAnsi" w:hAnsiTheme="majorHAnsi"/>
          <w:sz w:val="20"/>
          <w:szCs w:val="20"/>
          <w:lang w:val="es-ES_tradnl"/>
        </w:rPr>
        <w:t xml:space="preserve"> que</w:t>
      </w:r>
      <w:r w:rsidR="00E63458" w:rsidRPr="00ED5C9A">
        <w:rPr>
          <w:rFonts w:asciiTheme="majorHAnsi" w:hAnsiTheme="majorHAnsi"/>
          <w:sz w:val="20"/>
          <w:szCs w:val="20"/>
          <w:lang w:val="es-ES_tradnl"/>
        </w:rPr>
        <w:t xml:space="preserve"> </w:t>
      </w:r>
      <w:r w:rsidR="00FA64D8" w:rsidRPr="00ED5C9A">
        <w:rPr>
          <w:rFonts w:asciiTheme="majorHAnsi" w:hAnsiTheme="majorHAnsi"/>
          <w:sz w:val="20"/>
          <w:szCs w:val="20"/>
          <w:lang w:val="es-ES_tradnl"/>
        </w:rPr>
        <w:t xml:space="preserve">el recurso idóneo a agotar </w:t>
      </w:r>
      <w:r w:rsidRPr="00ED5C9A">
        <w:rPr>
          <w:rFonts w:asciiTheme="majorHAnsi" w:hAnsiTheme="majorHAnsi"/>
          <w:sz w:val="20"/>
          <w:szCs w:val="20"/>
          <w:lang w:val="es-ES_tradnl"/>
        </w:rPr>
        <w:t>co</w:t>
      </w:r>
      <w:r w:rsidR="00FA64D8" w:rsidRPr="00ED5C9A">
        <w:rPr>
          <w:rFonts w:asciiTheme="majorHAnsi" w:hAnsiTheme="majorHAnsi"/>
          <w:sz w:val="20"/>
          <w:szCs w:val="20"/>
          <w:lang w:val="es-ES_tradnl"/>
        </w:rPr>
        <w:t xml:space="preserve">n relación a presuntos ataques o afectaciones a la vida e integridad de una persona, así como </w:t>
      </w:r>
      <w:r w:rsidRPr="00ED5C9A">
        <w:rPr>
          <w:rFonts w:asciiTheme="majorHAnsi" w:hAnsiTheme="majorHAnsi"/>
          <w:sz w:val="20"/>
          <w:szCs w:val="20"/>
          <w:lang w:val="es-ES_tradnl"/>
        </w:rPr>
        <w:t>frente a hechos d</w:t>
      </w:r>
      <w:r w:rsidR="00511993" w:rsidRPr="00ED5C9A">
        <w:rPr>
          <w:rFonts w:asciiTheme="majorHAnsi" w:hAnsiTheme="majorHAnsi" w:cs="Calibri"/>
          <w:sz w:val="20"/>
          <w:szCs w:val="20"/>
          <w:lang w:val="es-ES_tradnl"/>
        </w:rPr>
        <w:t>e desplazamiento forzado</w:t>
      </w:r>
      <w:r w:rsidRPr="00ED5C9A">
        <w:rPr>
          <w:rFonts w:asciiTheme="majorHAnsi" w:hAnsiTheme="majorHAnsi" w:cs="Calibri"/>
          <w:sz w:val="20"/>
          <w:szCs w:val="20"/>
          <w:lang w:val="es-ES_tradnl"/>
        </w:rPr>
        <w:t xml:space="preserve">, </w:t>
      </w:r>
      <w:r w:rsidR="00511993" w:rsidRPr="00ED5C9A">
        <w:rPr>
          <w:rFonts w:asciiTheme="majorHAnsi" w:hAnsiTheme="majorHAnsi" w:cs="Calibri"/>
          <w:sz w:val="20"/>
          <w:szCs w:val="20"/>
          <w:lang w:val="es-ES_tradnl"/>
        </w:rPr>
        <w:t xml:space="preserve">es la acción penal. </w:t>
      </w:r>
      <w:r w:rsidR="00CB4750" w:rsidRPr="00ED5C9A">
        <w:rPr>
          <w:rFonts w:asciiTheme="majorHAnsi" w:hAnsiTheme="majorHAnsi" w:cs="Calibri"/>
          <w:sz w:val="20"/>
          <w:szCs w:val="20"/>
          <w:lang w:val="es-ES_tradnl"/>
        </w:rPr>
        <w:t xml:space="preserve">En particular, reitera </w:t>
      </w:r>
      <w:r w:rsidR="00970475" w:rsidRPr="00ED5C9A">
        <w:rPr>
          <w:rFonts w:asciiTheme="majorHAnsi" w:hAnsiTheme="majorHAnsi" w:cs="Calibri"/>
          <w:sz w:val="20"/>
          <w:szCs w:val="20"/>
          <w:lang w:val="es-ES_tradnl"/>
        </w:rPr>
        <w:t xml:space="preserve">que el Estado </w:t>
      </w:r>
      <w:r w:rsidR="001637EF" w:rsidRPr="00ED5C9A">
        <w:rPr>
          <w:rFonts w:asciiTheme="majorHAnsi" w:hAnsiTheme="majorHAnsi" w:cs="Calibri"/>
          <w:sz w:val="20"/>
          <w:szCs w:val="20"/>
          <w:lang w:val="es-ES_tradnl"/>
        </w:rPr>
        <w:t xml:space="preserve">debe </w:t>
      </w:r>
      <w:r w:rsidR="00970475" w:rsidRPr="00ED5C9A">
        <w:rPr>
          <w:rFonts w:asciiTheme="majorHAnsi" w:hAnsiTheme="majorHAnsi" w:cs="Calibri"/>
          <w:sz w:val="20"/>
          <w:szCs w:val="20"/>
          <w:lang w:val="es-ES_tradnl"/>
        </w:rPr>
        <w:t>asum</w:t>
      </w:r>
      <w:r w:rsidR="001637EF" w:rsidRPr="00ED5C9A">
        <w:rPr>
          <w:rFonts w:asciiTheme="majorHAnsi" w:hAnsiTheme="majorHAnsi" w:cs="Calibri"/>
          <w:sz w:val="20"/>
          <w:szCs w:val="20"/>
          <w:lang w:val="es-ES_tradnl"/>
        </w:rPr>
        <w:t>ir</w:t>
      </w:r>
      <w:r w:rsidR="00970475" w:rsidRPr="00ED5C9A">
        <w:rPr>
          <w:rFonts w:asciiTheme="majorHAnsi" w:hAnsiTheme="majorHAnsi" w:cs="Calibri"/>
          <w:sz w:val="20"/>
          <w:szCs w:val="20"/>
          <w:lang w:val="es-ES_tradnl"/>
        </w:rPr>
        <w:t xml:space="preserve"> </w:t>
      </w:r>
      <w:r w:rsidR="00523AF6" w:rsidRPr="00ED5C9A">
        <w:rPr>
          <w:rFonts w:asciiTheme="majorHAnsi" w:hAnsiTheme="majorHAnsi" w:cs="Calibri"/>
          <w:sz w:val="20"/>
          <w:szCs w:val="20"/>
          <w:lang w:val="es-ES_tradnl"/>
        </w:rPr>
        <w:t xml:space="preserve">las amenazas de muerte contra </w:t>
      </w:r>
      <w:r w:rsidR="00401459" w:rsidRPr="00ED5C9A">
        <w:rPr>
          <w:rFonts w:asciiTheme="majorHAnsi" w:hAnsiTheme="majorHAnsi" w:cs="Calibri"/>
          <w:sz w:val="20"/>
          <w:szCs w:val="20"/>
          <w:lang w:val="es-ES_tradnl"/>
        </w:rPr>
        <w:t>defensores y</w:t>
      </w:r>
      <w:r w:rsidR="00523AF6" w:rsidRPr="00ED5C9A">
        <w:rPr>
          <w:rFonts w:asciiTheme="majorHAnsi" w:hAnsiTheme="majorHAnsi" w:cs="Calibri"/>
          <w:sz w:val="20"/>
          <w:szCs w:val="20"/>
          <w:lang w:val="es-ES_tradnl"/>
        </w:rPr>
        <w:t xml:space="preserve"> defensoras de derechos humanos </w:t>
      </w:r>
      <w:r w:rsidR="00970475" w:rsidRPr="00ED5C9A">
        <w:rPr>
          <w:rFonts w:asciiTheme="majorHAnsi" w:hAnsiTheme="majorHAnsi" w:cs="Calibri"/>
          <w:sz w:val="20"/>
          <w:szCs w:val="20"/>
          <w:lang w:val="es-ES_tradnl"/>
        </w:rPr>
        <w:t>de ma</w:t>
      </w:r>
      <w:r w:rsidR="00CF79CA" w:rsidRPr="00ED5C9A">
        <w:rPr>
          <w:rFonts w:asciiTheme="majorHAnsi" w:hAnsiTheme="majorHAnsi" w:cs="Calibri"/>
          <w:sz w:val="20"/>
          <w:szCs w:val="20"/>
          <w:lang w:val="es-ES_tradnl"/>
        </w:rPr>
        <w:t>nera</w:t>
      </w:r>
      <w:r w:rsidR="00970475" w:rsidRPr="00ED5C9A">
        <w:rPr>
          <w:rFonts w:asciiTheme="majorHAnsi" w:hAnsiTheme="majorHAnsi" w:cs="Calibri"/>
          <w:sz w:val="20"/>
          <w:szCs w:val="20"/>
          <w:lang w:val="es-ES_tradnl"/>
        </w:rPr>
        <w:t xml:space="preserve"> diligente, tanto desde el ámbito preventivo a través de la investigación efectiva sobre la responsabilidad de estos hechos, como en el ámbito reactivo mediante otorgamiento de medidas de protección que sean adecuadas y efectivas</w:t>
      </w:r>
      <w:r w:rsidR="0068056A" w:rsidRPr="00ED5C9A">
        <w:rPr>
          <w:rStyle w:val="FootnoteReference"/>
          <w:rFonts w:asciiTheme="majorHAnsi" w:hAnsiTheme="majorHAnsi" w:cs="Calibri"/>
          <w:sz w:val="20"/>
          <w:szCs w:val="20"/>
          <w:lang w:val="es-ES_tradnl"/>
        </w:rPr>
        <w:footnoteReference w:id="9"/>
      </w:r>
      <w:r w:rsidR="00970475" w:rsidRPr="00ED5C9A">
        <w:rPr>
          <w:rFonts w:asciiTheme="majorHAnsi" w:hAnsiTheme="majorHAnsi" w:cs="Calibri"/>
          <w:sz w:val="20"/>
          <w:szCs w:val="20"/>
          <w:lang w:val="es-ES_tradnl"/>
        </w:rPr>
        <w:t xml:space="preserve">. </w:t>
      </w:r>
      <w:r w:rsidR="00407BBC" w:rsidRPr="00ED5C9A">
        <w:rPr>
          <w:rFonts w:asciiTheme="majorHAnsi" w:hAnsiTheme="majorHAnsi" w:cs="Calibri"/>
          <w:sz w:val="20"/>
          <w:szCs w:val="20"/>
          <w:lang w:val="es-ES_tradnl"/>
        </w:rPr>
        <w:t>A</w:t>
      </w:r>
      <w:r w:rsidR="00CB4750" w:rsidRPr="00ED5C9A">
        <w:rPr>
          <w:rFonts w:asciiTheme="majorHAnsi" w:hAnsiTheme="majorHAnsi" w:cs="Calibri"/>
          <w:sz w:val="20"/>
          <w:szCs w:val="20"/>
          <w:lang w:val="es-ES_tradnl"/>
        </w:rPr>
        <w:t xml:space="preserve"> este</w:t>
      </w:r>
      <w:r w:rsidR="00407BBC" w:rsidRPr="00ED5C9A">
        <w:rPr>
          <w:rFonts w:asciiTheme="majorHAnsi" w:hAnsiTheme="majorHAnsi" w:cs="Calibri"/>
          <w:sz w:val="20"/>
          <w:szCs w:val="20"/>
          <w:lang w:val="es-ES_tradnl"/>
        </w:rPr>
        <w:t xml:space="preserve"> respecto, la Comisión</w:t>
      </w:r>
      <w:r w:rsidR="0076072A" w:rsidRPr="00ED5C9A">
        <w:rPr>
          <w:rFonts w:asciiTheme="majorHAnsi" w:hAnsiTheme="majorHAnsi" w:cs="Calibri"/>
          <w:sz w:val="20"/>
          <w:szCs w:val="20"/>
          <w:lang w:val="es-ES_tradnl"/>
        </w:rPr>
        <w:t xml:space="preserve"> observa de la lectura detenida del expediente y los documentos presentados por las partes, </w:t>
      </w:r>
      <w:r w:rsidR="005D5B30" w:rsidRPr="00ED5C9A">
        <w:rPr>
          <w:rFonts w:asciiTheme="majorHAnsi" w:hAnsiTheme="majorHAnsi" w:cs="Calibri"/>
          <w:sz w:val="20"/>
          <w:szCs w:val="20"/>
          <w:lang w:val="es-ES_tradnl"/>
        </w:rPr>
        <w:t xml:space="preserve">que </w:t>
      </w:r>
      <w:r w:rsidR="0076072A" w:rsidRPr="00ED5C9A">
        <w:rPr>
          <w:rFonts w:asciiTheme="majorHAnsi" w:hAnsiTheme="majorHAnsi" w:cs="Calibri"/>
          <w:sz w:val="20"/>
          <w:szCs w:val="20"/>
          <w:lang w:val="es-ES_tradnl"/>
        </w:rPr>
        <w:t>el desplazamiento de la Sra. Martha González y su familia fuera de Colombia en 1988</w:t>
      </w:r>
      <w:r w:rsidR="005D5B30" w:rsidRPr="00ED5C9A">
        <w:rPr>
          <w:rFonts w:asciiTheme="majorHAnsi" w:hAnsiTheme="majorHAnsi" w:cs="Calibri"/>
          <w:sz w:val="20"/>
          <w:szCs w:val="20"/>
          <w:lang w:val="es-ES_tradnl"/>
        </w:rPr>
        <w:t xml:space="preserve"> y su permanencia en el extranjero</w:t>
      </w:r>
      <w:r w:rsidR="0076072A" w:rsidRPr="00ED5C9A">
        <w:rPr>
          <w:rFonts w:asciiTheme="majorHAnsi" w:hAnsiTheme="majorHAnsi" w:cs="Calibri"/>
          <w:sz w:val="20"/>
          <w:szCs w:val="20"/>
          <w:lang w:val="es-ES_tradnl"/>
        </w:rPr>
        <w:t xml:space="preserve"> se</w:t>
      </w:r>
      <w:r w:rsidR="00354CF2" w:rsidRPr="00ED5C9A">
        <w:rPr>
          <w:rFonts w:asciiTheme="majorHAnsi" w:hAnsiTheme="majorHAnsi" w:cs="Calibri"/>
          <w:sz w:val="20"/>
          <w:szCs w:val="20"/>
          <w:lang w:val="es-ES_tradnl"/>
        </w:rPr>
        <w:t xml:space="preserve"> </w:t>
      </w:r>
      <w:r w:rsidR="00A76A0D" w:rsidRPr="00ED5C9A">
        <w:rPr>
          <w:rFonts w:asciiTheme="majorHAnsi" w:hAnsiTheme="majorHAnsi" w:cs="Calibri"/>
          <w:sz w:val="20"/>
          <w:szCs w:val="20"/>
          <w:lang w:val="es-ES_tradnl"/>
        </w:rPr>
        <w:t xml:space="preserve">dieron </w:t>
      </w:r>
      <w:r w:rsidR="00354CF2" w:rsidRPr="00ED5C9A">
        <w:rPr>
          <w:rFonts w:asciiTheme="majorHAnsi" w:hAnsiTheme="majorHAnsi" w:cs="Calibri"/>
          <w:sz w:val="20"/>
          <w:szCs w:val="20"/>
          <w:lang w:val="es-ES_tradnl"/>
        </w:rPr>
        <w:t>con ocasión y por tanto, se</w:t>
      </w:r>
      <w:r w:rsidR="0076072A" w:rsidRPr="00ED5C9A">
        <w:rPr>
          <w:rFonts w:asciiTheme="majorHAnsi" w:hAnsiTheme="majorHAnsi" w:cs="Calibri"/>
          <w:sz w:val="20"/>
          <w:szCs w:val="20"/>
          <w:lang w:val="es-ES_tradnl"/>
        </w:rPr>
        <w:t xml:space="preserve"> encuentra</w:t>
      </w:r>
      <w:r w:rsidR="00A76A0D" w:rsidRPr="00ED5C9A">
        <w:rPr>
          <w:rFonts w:asciiTheme="majorHAnsi" w:hAnsiTheme="majorHAnsi" w:cs="Calibri"/>
          <w:sz w:val="20"/>
          <w:szCs w:val="20"/>
          <w:lang w:val="es-ES_tradnl"/>
        </w:rPr>
        <w:t>n</w:t>
      </w:r>
      <w:r w:rsidR="0076072A" w:rsidRPr="00ED5C9A">
        <w:rPr>
          <w:rFonts w:asciiTheme="majorHAnsi" w:hAnsiTheme="majorHAnsi" w:cs="Calibri"/>
          <w:sz w:val="20"/>
          <w:szCs w:val="20"/>
          <w:lang w:val="es-ES_tradnl"/>
        </w:rPr>
        <w:t xml:space="preserve"> intrínsecamente relacionado</w:t>
      </w:r>
      <w:r w:rsidR="00A76A0D" w:rsidRPr="00ED5C9A">
        <w:rPr>
          <w:rFonts w:asciiTheme="majorHAnsi" w:hAnsiTheme="majorHAnsi" w:cs="Calibri"/>
          <w:sz w:val="20"/>
          <w:szCs w:val="20"/>
          <w:lang w:val="es-ES_tradnl"/>
        </w:rPr>
        <w:t>s</w:t>
      </w:r>
      <w:r w:rsidR="0076072A" w:rsidRPr="00ED5C9A">
        <w:rPr>
          <w:rFonts w:asciiTheme="majorHAnsi" w:hAnsiTheme="majorHAnsi" w:cs="Calibri"/>
          <w:sz w:val="20"/>
          <w:szCs w:val="20"/>
          <w:lang w:val="es-ES_tradnl"/>
        </w:rPr>
        <w:t xml:space="preserve"> con las </w:t>
      </w:r>
      <w:r w:rsidR="005D5B30" w:rsidRPr="00ED5C9A">
        <w:rPr>
          <w:rFonts w:asciiTheme="majorHAnsi" w:hAnsiTheme="majorHAnsi" w:cs="Calibri"/>
          <w:sz w:val="20"/>
          <w:szCs w:val="20"/>
          <w:lang w:val="es-ES_tradnl"/>
        </w:rPr>
        <w:t xml:space="preserve">distintas amenazas a la integridad personal de la Sra. González y los atendados contra su vida, como consecuencia de su labor como jueza encargada del proceso penal llevado en relación a </w:t>
      </w:r>
      <w:r w:rsidR="005D5B30" w:rsidRPr="00ED5C9A">
        <w:rPr>
          <w:rFonts w:asciiTheme="majorHAnsi" w:hAnsiTheme="majorHAnsi"/>
          <w:bCs/>
          <w:sz w:val="20"/>
          <w:szCs w:val="20"/>
          <w:lang w:val="es-ES_tradnl"/>
        </w:rPr>
        <w:t>las masacres de “Honduras” y “La Negra”</w:t>
      </w:r>
      <w:r w:rsidR="005D5B30" w:rsidRPr="00ED5C9A">
        <w:rPr>
          <w:rFonts w:asciiTheme="majorHAnsi" w:hAnsiTheme="majorHAnsi" w:cs="Calibri"/>
          <w:sz w:val="20"/>
          <w:szCs w:val="20"/>
          <w:lang w:val="es-ES_tradnl"/>
        </w:rPr>
        <w:t xml:space="preserve">. La Comisión nota </w:t>
      </w:r>
      <w:r w:rsidR="009E0DB6" w:rsidRPr="00ED5C9A">
        <w:rPr>
          <w:rFonts w:asciiTheme="majorHAnsi" w:hAnsiTheme="majorHAnsi" w:cs="Calibri"/>
          <w:sz w:val="20"/>
          <w:szCs w:val="20"/>
          <w:lang w:val="es-ES_tradnl"/>
        </w:rPr>
        <w:t xml:space="preserve">en tal sentido </w:t>
      </w:r>
      <w:r w:rsidR="0076072A" w:rsidRPr="00ED5C9A">
        <w:rPr>
          <w:rFonts w:asciiTheme="majorHAnsi" w:hAnsiTheme="majorHAnsi" w:cs="Calibri"/>
          <w:sz w:val="20"/>
          <w:szCs w:val="20"/>
          <w:lang w:val="es-ES_tradnl"/>
        </w:rPr>
        <w:t xml:space="preserve">que </w:t>
      </w:r>
      <w:r w:rsidRPr="00ED5C9A">
        <w:rPr>
          <w:rFonts w:asciiTheme="majorHAnsi" w:hAnsiTheme="majorHAnsi" w:cs="Calibri"/>
          <w:sz w:val="20"/>
          <w:szCs w:val="20"/>
          <w:lang w:val="es-ES_tradnl"/>
        </w:rPr>
        <w:t>de acuerdo con</w:t>
      </w:r>
      <w:r w:rsidR="0076072A" w:rsidRPr="00ED5C9A">
        <w:rPr>
          <w:rFonts w:asciiTheme="majorHAnsi" w:hAnsiTheme="majorHAnsi" w:cs="Calibri"/>
          <w:sz w:val="20"/>
          <w:szCs w:val="20"/>
          <w:lang w:val="es-ES_tradnl"/>
        </w:rPr>
        <w:t xml:space="preserve"> la documentación presente en el expediente </w:t>
      </w:r>
      <w:r w:rsidR="009E0DB6" w:rsidRPr="00ED5C9A">
        <w:rPr>
          <w:rFonts w:asciiTheme="majorHAnsi" w:hAnsiTheme="majorHAnsi" w:cs="Calibri"/>
          <w:sz w:val="20"/>
          <w:szCs w:val="20"/>
          <w:lang w:val="es-ES_tradnl"/>
        </w:rPr>
        <w:t>el Estado tuvo conocimiento de la situación descrita en tanto Martha González</w:t>
      </w:r>
      <w:r w:rsidR="002338E4" w:rsidRPr="00ED5C9A">
        <w:rPr>
          <w:rFonts w:asciiTheme="majorHAnsi" w:hAnsiTheme="majorHAnsi" w:cs="Calibri"/>
          <w:sz w:val="20"/>
          <w:szCs w:val="20"/>
          <w:lang w:val="es-ES_tradnl"/>
        </w:rPr>
        <w:t xml:space="preserve"> habría contado,</w:t>
      </w:r>
      <w:r w:rsidR="009E0DB6" w:rsidRPr="00ED5C9A">
        <w:rPr>
          <w:rFonts w:asciiTheme="majorHAnsi" w:hAnsiTheme="majorHAnsi" w:cs="Calibri"/>
          <w:sz w:val="20"/>
          <w:szCs w:val="20"/>
          <w:lang w:val="es-ES_tradnl"/>
        </w:rPr>
        <w:t xml:space="preserve"> antes de su salida del país</w:t>
      </w:r>
      <w:r w:rsidR="002338E4" w:rsidRPr="00ED5C9A">
        <w:rPr>
          <w:rFonts w:asciiTheme="majorHAnsi" w:hAnsiTheme="majorHAnsi" w:cs="Calibri"/>
          <w:sz w:val="20"/>
          <w:szCs w:val="20"/>
          <w:lang w:val="es-ES_tradnl"/>
        </w:rPr>
        <w:t>,</w:t>
      </w:r>
      <w:r w:rsidR="009E0DB6" w:rsidRPr="00ED5C9A">
        <w:rPr>
          <w:rFonts w:asciiTheme="majorHAnsi" w:hAnsiTheme="majorHAnsi" w:cs="Calibri"/>
          <w:sz w:val="20"/>
          <w:szCs w:val="20"/>
          <w:lang w:val="es-ES_tradnl"/>
        </w:rPr>
        <w:t xml:space="preserve"> con un esquema de escoltas; y su nombramiento como diplomática en Indonesia</w:t>
      </w:r>
      <w:r w:rsidR="002338E4" w:rsidRPr="00ED5C9A">
        <w:rPr>
          <w:rFonts w:asciiTheme="majorHAnsi" w:hAnsiTheme="majorHAnsi" w:cs="Calibri"/>
          <w:sz w:val="20"/>
          <w:szCs w:val="20"/>
          <w:lang w:val="es-ES_tradnl"/>
        </w:rPr>
        <w:t xml:space="preserve"> habría sido adoptado</w:t>
      </w:r>
      <w:r w:rsidR="009E0DB6" w:rsidRPr="00ED5C9A">
        <w:rPr>
          <w:rFonts w:asciiTheme="majorHAnsi" w:hAnsiTheme="majorHAnsi" w:cs="Calibri"/>
          <w:sz w:val="20"/>
          <w:szCs w:val="20"/>
          <w:lang w:val="es-ES_tradnl"/>
        </w:rPr>
        <w:t xml:space="preserve"> como una medida para </w:t>
      </w:r>
      <w:r w:rsidR="00354CF2" w:rsidRPr="00ED5C9A">
        <w:rPr>
          <w:rFonts w:asciiTheme="majorHAnsi" w:hAnsiTheme="majorHAnsi" w:cs="Calibri"/>
          <w:sz w:val="20"/>
          <w:szCs w:val="20"/>
          <w:lang w:val="es-ES_tradnl"/>
        </w:rPr>
        <w:t xml:space="preserve">garantizar </w:t>
      </w:r>
      <w:r w:rsidR="009E0DB6" w:rsidRPr="00ED5C9A">
        <w:rPr>
          <w:rFonts w:asciiTheme="majorHAnsi" w:hAnsiTheme="majorHAnsi" w:cs="Calibri"/>
          <w:sz w:val="20"/>
          <w:szCs w:val="20"/>
          <w:lang w:val="es-ES_tradnl"/>
        </w:rPr>
        <w:t xml:space="preserve">su seguridad. </w:t>
      </w:r>
    </w:p>
    <w:p w14:paraId="4463C097" w14:textId="77777777" w:rsidR="002338E4" w:rsidRPr="00ED5C9A" w:rsidRDefault="002338E4" w:rsidP="002338E4">
      <w:pPr>
        <w:pStyle w:val="paragraph"/>
        <w:spacing w:before="0" w:beforeAutospacing="0" w:after="0" w:afterAutospacing="0"/>
        <w:ind w:left="720"/>
        <w:jc w:val="both"/>
        <w:textAlignment w:val="baseline"/>
        <w:rPr>
          <w:rFonts w:asciiTheme="majorHAnsi" w:hAnsiTheme="majorHAnsi"/>
          <w:sz w:val="20"/>
          <w:szCs w:val="20"/>
          <w:lang w:val="es-ES_tradnl"/>
        </w:rPr>
      </w:pPr>
    </w:p>
    <w:p w14:paraId="765431AC" w14:textId="4FFCF36C" w:rsidR="0019176E" w:rsidRPr="00ED5C9A" w:rsidRDefault="009E0DB6" w:rsidP="00E03ED3">
      <w:pPr>
        <w:pStyle w:val="paragraph"/>
        <w:numPr>
          <w:ilvl w:val="0"/>
          <w:numId w:val="57"/>
        </w:numPr>
        <w:spacing w:before="0" w:beforeAutospacing="0" w:after="0" w:afterAutospacing="0"/>
        <w:ind w:left="0" w:firstLine="720"/>
        <w:jc w:val="both"/>
        <w:textAlignment w:val="baseline"/>
        <w:rPr>
          <w:rFonts w:asciiTheme="majorHAnsi" w:hAnsiTheme="majorHAnsi"/>
          <w:sz w:val="20"/>
          <w:szCs w:val="20"/>
          <w:lang w:val="es-ES_tradnl"/>
        </w:rPr>
      </w:pPr>
      <w:r w:rsidRPr="00ED5C9A">
        <w:rPr>
          <w:rFonts w:asciiTheme="majorHAnsi" w:hAnsiTheme="majorHAnsi" w:cs="Calibri"/>
          <w:sz w:val="20"/>
          <w:szCs w:val="20"/>
          <w:lang w:val="es-ES_tradnl"/>
        </w:rPr>
        <w:t xml:space="preserve">Asimismo, </w:t>
      </w:r>
      <w:r w:rsidR="00354CF2" w:rsidRPr="00ED5C9A">
        <w:rPr>
          <w:rFonts w:asciiTheme="majorHAnsi" w:hAnsiTheme="majorHAnsi" w:cs="Calibri"/>
          <w:sz w:val="20"/>
          <w:szCs w:val="20"/>
          <w:lang w:val="es-ES_tradnl"/>
        </w:rPr>
        <w:t xml:space="preserve">de acuerdo a la información presentada por los peticionarios y no controvertida por el Estado, </w:t>
      </w:r>
      <w:r w:rsidRPr="00ED5C9A">
        <w:rPr>
          <w:rFonts w:asciiTheme="majorHAnsi" w:hAnsiTheme="majorHAnsi" w:cs="Calibri"/>
          <w:sz w:val="20"/>
          <w:szCs w:val="20"/>
          <w:lang w:val="es-ES_tradnl"/>
        </w:rPr>
        <w:t>distintas autoridades</w:t>
      </w:r>
      <w:r w:rsidR="00354CF2" w:rsidRPr="00ED5C9A">
        <w:rPr>
          <w:rFonts w:asciiTheme="majorHAnsi" w:hAnsiTheme="majorHAnsi" w:cs="Calibri"/>
          <w:sz w:val="20"/>
          <w:szCs w:val="20"/>
          <w:lang w:val="es-ES_tradnl"/>
        </w:rPr>
        <w:t xml:space="preserve"> </w:t>
      </w:r>
      <w:r w:rsidRPr="00ED5C9A">
        <w:rPr>
          <w:rFonts w:asciiTheme="majorHAnsi" w:hAnsiTheme="majorHAnsi" w:cs="Calibri"/>
          <w:sz w:val="20"/>
          <w:szCs w:val="20"/>
          <w:lang w:val="es-ES_tradnl"/>
        </w:rPr>
        <w:t xml:space="preserve">como el </w:t>
      </w:r>
      <w:r w:rsidR="00526992" w:rsidRPr="00ED5C9A">
        <w:rPr>
          <w:rFonts w:asciiTheme="majorHAnsi" w:hAnsiTheme="majorHAnsi"/>
          <w:sz w:val="20"/>
          <w:szCs w:val="20"/>
          <w:lang w:val="es-ES_tradnl"/>
        </w:rPr>
        <w:t>DAS</w:t>
      </w:r>
      <w:r w:rsidRPr="00ED5C9A">
        <w:rPr>
          <w:rFonts w:asciiTheme="majorHAnsi" w:hAnsiTheme="majorHAnsi"/>
          <w:sz w:val="20"/>
          <w:szCs w:val="20"/>
          <w:lang w:val="es-ES_tradnl"/>
        </w:rPr>
        <w:t xml:space="preserve"> y la Fiscalía General de la República</w:t>
      </w:r>
      <w:r w:rsidR="00354CF2" w:rsidRPr="00ED5C9A">
        <w:rPr>
          <w:rFonts w:asciiTheme="majorHAnsi" w:hAnsiTheme="majorHAnsi"/>
          <w:sz w:val="20"/>
          <w:szCs w:val="20"/>
          <w:lang w:val="es-ES_tradnl"/>
        </w:rPr>
        <w:t>, han tenido conocimiento en reiteradas oportunidades sobre la</w:t>
      </w:r>
      <w:r w:rsidR="00B94402" w:rsidRPr="00ED5C9A">
        <w:rPr>
          <w:rFonts w:asciiTheme="majorHAnsi" w:hAnsiTheme="majorHAnsi"/>
          <w:sz w:val="20"/>
          <w:szCs w:val="20"/>
          <w:lang w:val="es-ES_tradnl"/>
        </w:rPr>
        <w:t xml:space="preserve">s amenazas </w:t>
      </w:r>
      <w:r w:rsidR="00354CF2" w:rsidRPr="00ED5C9A">
        <w:rPr>
          <w:rFonts w:asciiTheme="majorHAnsi" w:hAnsiTheme="majorHAnsi"/>
          <w:sz w:val="20"/>
          <w:szCs w:val="20"/>
          <w:lang w:val="es-ES_tradnl"/>
        </w:rPr>
        <w:t xml:space="preserve">que habría ocasionado </w:t>
      </w:r>
      <w:r w:rsidR="00B94402" w:rsidRPr="00ED5C9A">
        <w:rPr>
          <w:rFonts w:asciiTheme="majorHAnsi" w:hAnsiTheme="majorHAnsi"/>
          <w:sz w:val="20"/>
          <w:szCs w:val="20"/>
          <w:lang w:val="es-ES_tradnl"/>
        </w:rPr>
        <w:t xml:space="preserve">y mantenido </w:t>
      </w:r>
      <w:r w:rsidR="00354CF2" w:rsidRPr="00ED5C9A">
        <w:rPr>
          <w:rFonts w:asciiTheme="majorHAnsi" w:hAnsiTheme="majorHAnsi"/>
          <w:sz w:val="20"/>
          <w:szCs w:val="20"/>
          <w:lang w:val="es-ES_tradnl"/>
        </w:rPr>
        <w:t>el desplazamiento forzado de Martha González y su familia</w:t>
      </w:r>
      <w:r w:rsidR="00526992" w:rsidRPr="00ED5C9A">
        <w:rPr>
          <w:rFonts w:asciiTheme="majorHAnsi" w:hAnsiTheme="majorHAnsi"/>
          <w:sz w:val="20"/>
          <w:szCs w:val="20"/>
          <w:lang w:val="es-ES_tradnl"/>
        </w:rPr>
        <w:t>;</w:t>
      </w:r>
      <w:r w:rsidR="00354CF2" w:rsidRPr="00ED5C9A">
        <w:rPr>
          <w:rFonts w:asciiTheme="majorHAnsi" w:hAnsiTheme="majorHAnsi"/>
          <w:sz w:val="20"/>
          <w:szCs w:val="20"/>
          <w:lang w:val="es-ES_tradnl"/>
        </w:rPr>
        <w:t xml:space="preserve"> sin embargo, </w:t>
      </w:r>
      <w:r w:rsidR="00A76A0D" w:rsidRPr="00ED5C9A">
        <w:rPr>
          <w:rFonts w:asciiTheme="majorHAnsi" w:hAnsiTheme="majorHAnsi"/>
          <w:sz w:val="20"/>
          <w:szCs w:val="20"/>
          <w:lang w:val="es-ES_tradnl"/>
        </w:rPr>
        <w:t xml:space="preserve">a la fecha, </w:t>
      </w:r>
      <w:r w:rsidR="00354CF2" w:rsidRPr="00ED5C9A">
        <w:rPr>
          <w:rFonts w:asciiTheme="majorHAnsi" w:hAnsiTheme="majorHAnsi"/>
          <w:sz w:val="20"/>
          <w:szCs w:val="20"/>
          <w:lang w:val="es-ES_tradnl"/>
        </w:rPr>
        <w:t xml:space="preserve">la Comisión no </w:t>
      </w:r>
      <w:r w:rsidR="00036257" w:rsidRPr="00ED5C9A">
        <w:rPr>
          <w:rFonts w:asciiTheme="majorHAnsi" w:hAnsiTheme="majorHAnsi"/>
          <w:sz w:val="20"/>
          <w:szCs w:val="20"/>
          <w:lang w:val="es-ES_tradnl"/>
        </w:rPr>
        <w:t xml:space="preserve">cuenta con información específica que permita </w:t>
      </w:r>
      <w:r w:rsidR="00526992" w:rsidRPr="00ED5C9A">
        <w:rPr>
          <w:rFonts w:asciiTheme="majorHAnsi" w:hAnsiTheme="majorHAnsi"/>
          <w:sz w:val="20"/>
          <w:szCs w:val="20"/>
          <w:lang w:val="es-ES_tradnl"/>
        </w:rPr>
        <w:t>ver</w:t>
      </w:r>
      <w:r w:rsidR="00036257" w:rsidRPr="00ED5C9A">
        <w:rPr>
          <w:rFonts w:asciiTheme="majorHAnsi" w:hAnsiTheme="majorHAnsi"/>
          <w:sz w:val="20"/>
          <w:szCs w:val="20"/>
          <w:lang w:val="es-ES_tradnl"/>
        </w:rPr>
        <w:t xml:space="preserve"> que las autoridades judiciales hayan iniciado alguna investigación</w:t>
      </w:r>
      <w:r w:rsidR="00A76A0D" w:rsidRPr="00ED5C9A">
        <w:rPr>
          <w:rFonts w:asciiTheme="majorHAnsi" w:hAnsiTheme="majorHAnsi"/>
          <w:sz w:val="20"/>
          <w:szCs w:val="20"/>
          <w:lang w:val="es-ES_tradnl"/>
        </w:rPr>
        <w:t xml:space="preserve"> respecto al esclarecimiento de los hechos y la identificación, juicio y sanción de los responsables</w:t>
      </w:r>
      <w:r w:rsidR="00036257" w:rsidRPr="00ED5C9A">
        <w:rPr>
          <w:rFonts w:asciiTheme="majorHAnsi" w:hAnsiTheme="majorHAnsi"/>
          <w:sz w:val="20"/>
          <w:szCs w:val="20"/>
          <w:lang w:val="es-ES_tradnl"/>
        </w:rPr>
        <w:t xml:space="preserve">. </w:t>
      </w:r>
      <w:r w:rsidR="00A76A0D" w:rsidRPr="00ED5C9A">
        <w:rPr>
          <w:rFonts w:asciiTheme="majorHAnsi" w:hAnsiTheme="majorHAnsi"/>
          <w:sz w:val="20"/>
          <w:szCs w:val="20"/>
          <w:lang w:val="es-ES_tradnl"/>
        </w:rPr>
        <w:t>Atendiendo lo anterior, la Comisión concluye que</w:t>
      </w:r>
      <w:r w:rsidR="00A42A54" w:rsidRPr="00ED5C9A">
        <w:rPr>
          <w:rFonts w:asciiTheme="majorHAnsi" w:hAnsiTheme="majorHAnsi"/>
          <w:sz w:val="20"/>
          <w:szCs w:val="20"/>
          <w:lang w:val="es-ES_tradnl"/>
        </w:rPr>
        <w:t>,</w:t>
      </w:r>
      <w:r w:rsidR="00A76A0D" w:rsidRPr="00ED5C9A">
        <w:rPr>
          <w:rFonts w:asciiTheme="majorHAnsi" w:hAnsiTheme="majorHAnsi"/>
          <w:sz w:val="20"/>
          <w:szCs w:val="20"/>
          <w:lang w:val="es-ES_tradnl"/>
        </w:rPr>
        <w:t xml:space="preserve"> dadas las características de la petición, procede la excepción al agotamiento de los recursos internos prevista en el artículo 46.2.c</w:t>
      </w:r>
      <w:r w:rsidR="00526992" w:rsidRPr="00ED5C9A">
        <w:rPr>
          <w:rFonts w:asciiTheme="majorHAnsi" w:hAnsiTheme="majorHAnsi"/>
          <w:sz w:val="20"/>
          <w:szCs w:val="20"/>
          <w:lang w:val="es-ES_tradnl"/>
        </w:rPr>
        <w:t>)</w:t>
      </w:r>
      <w:r w:rsidR="00A76A0D" w:rsidRPr="00ED5C9A">
        <w:rPr>
          <w:rFonts w:asciiTheme="majorHAnsi" w:hAnsiTheme="majorHAnsi"/>
          <w:sz w:val="20"/>
          <w:szCs w:val="20"/>
          <w:lang w:val="es-ES_tradnl"/>
        </w:rPr>
        <w:t xml:space="preserve"> de la Convención</w:t>
      </w:r>
      <w:r w:rsidR="00526992" w:rsidRPr="00ED5C9A">
        <w:rPr>
          <w:rFonts w:asciiTheme="majorHAnsi" w:hAnsiTheme="majorHAnsi"/>
          <w:sz w:val="20"/>
          <w:szCs w:val="20"/>
          <w:lang w:val="es-ES_tradnl"/>
        </w:rPr>
        <w:t xml:space="preserve"> Americana</w:t>
      </w:r>
      <w:r w:rsidR="00E03ED3" w:rsidRPr="00ED5C9A">
        <w:rPr>
          <w:rFonts w:asciiTheme="majorHAnsi" w:hAnsiTheme="majorHAnsi"/>
          <w:sz w:val="20"/>
          <w:szCs w:val="20"/>
          <w:lang w:val="es-ES_tradnl"/>
        </w:rPr>
        <w:t xml:space="preserve">. </w:t>
      </w:r>
      <w:r w:rsidR="006064E1" w:rsidRPr="00ED5C9A">
        <w:rPr>
          <w:rFonts w:asciiTheme="majorHAnsi" w:hAnsiTheme="majorHAnsi"/>
          <w:sz w:val="20"/>
          <w:szCs w:val="20"/>
          <w:lang w:val="es-ES_tradnl"/>
        </w:rPr>
        <w:t xml:space="preserve">Cabe aclarar que las causas y los efectos que han impedido el agotamiento de los recursos internos, respecto de los dos reclamos mencionados, en el presente </w:t>
      </w:r>
      <w:r w:rsidR="006064E1" w:rsidRPr="00ED5C9A">
        <w:rPr>
          <w:rFonts w:asciiTheme="majorHAnsi" w:hAnsiTheme="majorHAnsi"/>
          <w:sz w:val="20"/>
          <w:szCs w:val="20"/>
          <w:lang w:val="es-ES_tradnl"/>
        </w:rPr>
        <w:lastRenderedPageBreak/>
        <w:t>caso serán analizados, en lo pertinente, en el informe que adopte la Comisión sobre el fondo de la controversia, a fin de constatar si efectivamente configuran violaciones a la Convención.</w:t>
      </w:r>
    </w:p>
    <w:p w14:paraId="273551F1" w14:textId="77777777" w:rsidR="005B1FBD" w:rsidRPr="00ED5C9A" w:rsidRDefault="005B1FBD" w:rsidP="005B1FBD">
      <w:pPr>
        <w:pStyle w:val="paragraph"/>
        <w:spacing w:before="0" w:beforeAutospacing="0" w:after="0" w:afterAutospacing="0"/>
        <w:ind w:left="720"/>
        <w:jc w:val="both"/>
        <w:textAlignment w:val="baseline"/>
        <w:rPr>
          <w:rFonts w:asciiTheme="majorHAnsi" w:hAnsiTheme="majorHAnsi"/>
          <w:sz w:val="20"/>
          <w:szCs w:val="20"/>
          <w:lang w:val="es-ES_tradnl"/>
        </w:rPr>
      </w:pPr>
    </w:p>
    <w:p w14:paraId="091D71DE" w14:textId="77777777" w:rsidR="00840778" w:rsidRPr="00ED5C9A" w:rsidRDefault="005B1FBD" w:rsidP="005B1FBD">
      <w:pPr>
        <w:pStyle w:val="ListParagraph"/>
        <w:numPr>
          <w:ilvl w:val="0"/>
          <w:numId w:val="57"/>
        </w:numPr>
        <w:ind w:left="0" w:firstLine="720"/>
        <w:jc w:val="both"/>
        <w:rPr>
          <w:rFonts w:asciiTheme="majorHAnsi" w:hAnsiTheme="majorHAnsi"/>
          <w:bCs/>
          <w:color w:val="auto"/>
          <w:sz w:val="20"/>
          <w:szCs w:val="20"/>
          <w:lang w:val="es-ES_tradnl"/>
        </w:rPr>
      </w:pPr>
      <w:r w:rsidRPr="00ED5C9A">
        <w:rPr>
          <w:rFonts w:asciiTheme="majorHAnsi" w:hAnsiTheme="majorHAnsi"/>
          <w:color w:val="auto"/>
          <w:sz w:val="20"/>
          <w:szCs w:val="20"/>
          <w:lang w:val="es-ES_tradnl"/>
        </w:rPr>
        <w:t xml:space="preserve">Sobre el plazo de presentación de la petición, los peticionarios destacan que este lapso debe tenerse en cuenta conforme al proceso penal por el homicidio de Álvaro González y no frente al proceso de la acción de tutela </w:t>
      </w:r>
      <w:r w:rsidR="008E12D4" w:rsidRPr="00ED5C9A">
        <w:rPr>
          <w:rFonts w:asciiTheme="majorHAnsi" w:hAnsiTheme="majorHAnsi"/>
          <w:color w:val="auto"/>
          <w:sz w:val="20"/>
          <w:szCs w:val="20"/>
          <w:lang w:val="es-ES_tradnl"/>
        </w:rPr>
        <w:t>presentada frente a</w:t>
      </w:r>
      <w:r w:rsidRPr="00ED5C9A">
        <w:rPr>
          <w:rFonts w:asciiTheme="majorHAnsi" w:hAnsiTheme="majorHAnsi"/>
          <w:color w:val="auto"/>
          <w:sz w:val="20"/>
          <w:szCs w:val="20"/>
          <w:lang w:val="es-ES_tradnl"/>
        </w:rPr>
        <w:t xml:space="preserve"> la Resolución No. 2619 de 1999.</w:t>
      </w:r>
      <w:r w:rsidRPr="00ED5C9A">
        <w:rPr>
          <w:rFonts w:asciiTheme="majorHAnsi" w:hAnsiTheme="majorHAnsi"/>
          <w:bCs/>
          <w:color w:val="auto"/>
          <w:sz w:val="20"/>
          <w:szCs w:val="20"/>
          <w:lang w:val="es-ES_tradnl"/>
        </w:rPr>
        <w:t xml:space="preserve"> </w:t>
      </w:r>
      <w:r w:rsidR="00526992" w:rsidRPr="00ED5C9A">
        <w:rPr>
          <w:rFonts w:asciiTheme="majorHAnsi" w:hAnsiTheme="majorHAnsi"/>
          <w:bCs/>
          <w:color w:val="auto"/>
          <w:sz w:val="20"/>
          <w:szCs w:val="20"/>
          <w:lang w:val="es-ES_tradnl"/>
        </w:rPr>
        <w:t>Por su parte</w:t>
      </w:r>
      <w:r w:rsidRPr="00ED5C9A">
        <w:rPr>
          <w:rFonts w:asciiTheme="majorHAnsi" w:hAnsiTheme="majorHAnsi"/>
          <w:bCs/>
          <w:color w:val="auto"/>
          <w:sz w:val="20"/>
          <w:szCs w:val="20"/>
          <w:lang w:val="es-ES_tradnl"/>
        </w:rPr>
        <w:t xml:space="preserve">, el Estado argumenta que los peticionarios excedieron el plazo razonable pues han transcurrido aproximadamente </w:t>
      </w:r>
      <w:r w:rsidR="00526992" w:rsidRPr="00ED5C9A">
        <w:rPr>
          <w:rFonts w:asciiTheme="majorHAnsi" w:hAnsiTheme="majorHAnsi"/>
          <w:bCs/>
          <w:color w:val="auto"/>
          <w:sz w:val="20"/>
          <w:szCs w:val="20"/>
          <w:lang w:val="es-ES_tradnl"/>
        </w:rPr>
        <w:t>veintiséis</w:t>
      </w:r>
      <w:r w:rsidRPr="00ED5C9A">
        <w:rPr>
          <w:rFonts w:asciiTheme="majorHAnsi" w:hAnsiTheme="majorHAnsi"/>
          <w:bCs/>
          <w:color w:val="auto"/>
          <w:sz w:val="20"/>
          <w:szCs w:val="20"/>
          <w:lang w:val="es-ES_tradnl"/>
        </w:rPr>
        <w:t xml:space="preserve"> años entre los hechos relacionados con la muerte del Álvaro González y la presentación inicial; y más de </w:t>
      </w:r>
      <w:r w:rsidR="00526992" w:rsidRPr="00ED5C9A">
        <w:rPr>
          <w:rFonts w:asciiTheme="majorHAnsi" w:hAnsiTheme="majorHAnsi"/>
          <w:bCs/>
          <w:color w:val="auto"/>
          <w:sz w:val="20"/>
          <w:szCs w:val="20"/>
          <w:lang w:val="es-ES_tradnl"/>
        </w:rPr>
        <w:t>diez</w:t>
      </w:r>
      <w:r w:rsidRPr="00ED5C9A">
        <w:rPr>
          <w:rFonts w:asciiTheme="majorHAnsi" w:hAnsiTheme="majorHAnsi"/>
          <w:bCs/>
          <w:color w:val="auto"/>
          <w:sz w:val="20"/>
          <w:szCs w:val="20"/>
          <w:lang w:val="es-ES_tradnl"/>
        </w:rPr>
        <w:t xml:space="preserve"> años frente la decisión definitiva a nivel interno relacionada con </w:t>
      </w:r>
      <w:r w:rsidRPr="00ED5C9A">
        <w:rPr>
          <w:rFonts w:asciiTheme="majorHAnsi" w:hAnsiTheme="majorHAnsi"/>
          <w:color w:val="auto"/>
          <w:sz w:val="20"/>
          <w:szCs w:val="20"/>
          <w:lang w:val="es-ES_tradnl"/>
        </w:rPr>
        <w:t>el reintegro al servicio consular a la señora Martha Lucía González</w:t>
      </w:r>
      <w:r w:rsidRPr="00ED5C9A">
        <w:rPr>
          <w:rFonts w:asciiTheme="majorHAnsi" w:hAnsiTheme="majorHAnsi"/>
          <w:bCs/>
          <w:color w:val="auto"/>
          <w:sz w:val="20"/>
          <w:szCs w:val="20"/>
          <w:lang w:val="es-ES_tradnl"/>
        </w:rPr>
        <w:t xml:space="preserve">. </w:t>
      </w:r>
    </w:p>
    <w:p w14:paraId="49A5F550" w14:textId="77777777" w:rsidR="00840778" w:rsidRPr="00ED5C9A" w:rsidRDefault="00840778" w:rsidP="00840778">
      <w:pPr>
        <w:pStyle w:val="ListParagraph"/>
        <w:rPr>
          <w:rStyle w:val="normaltextrun"/>
          <w:rFonts w:asciiTheme="majorHAnsi" w:hAnsiTheme="majorHAnsi"/>
          <w:color w:val="auto"/>
          <w:sz w:val="20"/>
          <w:szCs w:val="20"/>
          <w:shd w:val="clear" w:color="auto" w:fill="FFFFFF"/>
          <w:lang w:val="es-ES_tradnl"/>
        </w:rPr>
      </w:pPr>
    </w:p>
    <w:p w14:paraId="6408EEC0" w14:textId="11390B0A" w:rsidR="005B1FBD" w:rsidRPr="00ED5C9A" w:rsidRDefault="005B1FBD" w:rsidP="005B1FBD">
      <w:pPr>
        <w:pStyle w:val="ListParagraph"/>
        <w:numPr>
          <w:ilvl w:val="0"/>
          <w:numId w:val="57"/>
        </w:numPr>
        <w:ind w:left="0" w:firstLine="720"/>
        <w:jc w:val="both"/>
        <w:rPr>
          <w:rStyle w:val="eop"/>
          <w:rFonts w:asciiTheme="majorHAnsi" w:hAnsiTheme="majorHAnsi"/>
          <w:bCs/>
          <w:color w:val="auto"/>
          <w:sz w:val="20"/>
          <w:szCs w:val="20"/>
          <w:lang w:val="es-ES_tradnl"/>
        </w:rPr>
      </w:pPr>
      <w:r w:rsidRPr="00ED5C9A">
        <w:rPr>
          <w:rStyle w:val="normaltextrun"/>
          <w:rFonts w:asciiTheme="majorHAnsi" w:hAnsiTheme="majorHAnsi"/>
          <w:color w:val="auto"/>
          <w:sz w:val="20"/>
          <w:szCs w:val="20"/>
          <w:shd w:val="clear" w:color="auto" w:fill="FFFFFF"/>
          <w:lang w:val="es-ES_tradnl"/>
        </w:rPr>
        <w:t>La Comisión observa</w:t>
      </w:r>
      <w:r w:rsidR="00840778" w:rsidRPr="00ED5C9A">
        <w:rPr>
          <w:rStyle w:val="normaltextrun"/>
          <w:rFonts w:asciiTheme="majorHAnsi" w:hAnsiTheme="majorHAnsi"/>
          <w:color w:val="auto"/>
          <w:sz w:val="20"/>
          <w:szCs w:val="20"/>
          <w:shd w:val="clear" w:color="auto" w:fill="FFFFFF"/>
          <w:lang w:val="es-ES_tradnl"/>
        </w:rPr>
        <w:t>, por ejemplo,</w:t>
      </w:r>
      <w:r w:rsidRPr="00ED5C9A">
        <w:rPr>
          <w:rStyle w:val="normaltextrun"/>
          <w:rFonts w:asciiTheme="majorHAnsi" w:hAnsiTheme="majorHAnsi"/>
          <w:color w:val="auto"/>
          <w:sz w:val="20"/>
          <w:szCs w:val="20"/>
          <w:shd w:val="clear" w:color="auto" w:fill="FFFFFF"/>
          <w:lang w:val="es-ES_tradnl"/>
        </w:rPr>
        <w:t xml:space="preserve"> que a partir de 1988 </w:t>
      </w:r>
      <w:r w:rsidRPr="00ED5C9A">
        <w:rPr>
          <w:rFonts w:asciiTheme="majorHAnsi" w:hAnsiTheme="majorHAnsi"/>
          <w:color w:val="auto"/>
          <w:sz w:val="20"/>
          <w:szCs w:val="20"/>
          <w:lang w:val="es-ES_tradnl"/>
        </w:rPr>
        <w:t>iniciaron las amenazas y atentados en contra de la vida de Martha González; qu</w:t>
      </w:r>
      <w:r w:rsidR="00840778" w:rsidRPr="00ED5C9A">
        <w:rPr>
          <w:rFonts w:asciiTheme="majorHAnsi" w:hAnsiTheme="majorHAnsi"/>
          <w:color w:val="auto"/>
          <w:sz w:val="20"/>
          <w:szCs w:val="20"/>
          <w:lang w:val="es-ES_tradnl"/>
        </w:rPr>
        <w:t>ien</w:t>
      </w:r>
      <w:r w:rsidRPr="00ED5C9A">
        <w:rPr>
          <w:rFonts w:asciiTheme="majorHAnsi" w:hAnsiTheme="majorHAnsi"/>
          <w:color w:val="auto"/>
          <w:sz w:val="20"/>
          <w:szCs w:val="20"/>
          <w:lang w:val="es-ES_tradnl"/>
        </w:rPr>
        <w:t xml:space="preserve"> </w:t>
      </w:r>
      <w:r w:rsidRPr="00ED5C9A">
        <w:rPr>
          <w:rFonts w:asciiTheme="majorHAnsi" w:hAnsiTheme="majorHAnsi"/>
          <w:bCs/>
          <w:color w:val="auto"/>
          <w:sz w:val="20"/>
          <w:szCs w:val="20"/>
          <w:lang w:val="es-ES_tradnl"/>
        </w:rPr>
        <w:t xml:space="preserve">salió de Colombia junto con su familia </w:t>
      </w:r>
      <w:r w:rsidRPr="00ED5C9A">
        <w:rPr>
          <w:rFonts w:asciiTheme="majorHAnsi" w:hAnsiTheme="majorHAnsi"/>
          <w:color w:val="auto"/>
          <w:sz w:val="20"/>
          <w:szCs w:val="20"/>
          <w:lang w:val="es-ES_tradnl"/>
        </w:rPr>
        <w:t xml:space="preserve">el 2 de septiembre de 1988; </w:t>
      </w:r>
      <w:r w:rsidRPr="00ED5C9A">
        <w:rPr>
          <w:rFonts w:asciiTheme="majorHAnsi" w:hAnsiTheme="majorHAnsi"/>
          <w:bCs/>
          <w:color w:val="auto"/>
          <w:sz w:val="20"/>
          <w:szCs w:val="20"/>
          <w:lang w:val="es-ES_tradnl"/>
        </w:rPr>
        <w:t>que el homicidio de Álvaro González tuvo lugar el 4 de mayo de 1989</w:t>
      </w:r>
      <w:r w:rsidRPr="00ED5C9A">
        <w:rPr>
          <w:rStyle w:val="normaltextrun"/>
          <w:rFonts w:asciiTheme="majorHAnsi" w:hAnsiTheme="majorHAnsi"/>
          <w:color w:val="auto"/>
          <w:sz w:val="20"/>
          <w:szCs w:val="20"/>
          <w:shd w:val="clear" w:color="auto" w:fill="FFFFFF"/>
          <w:lang w:val="es-ES_tradnl"/>
        </w:rPr>
        <w:t xml:space="preserve">; que se inició investigación penal el mismo día; y que </w:t>
      </w:r>
      <w:r w:rsidRPr="00ED5C9A">
        <w:rPr>
          <w:rFonts w:asciiTheme="majorHAnsi" w:hAnsiTheme="majorHAnsi"/>
          <w:color w:val="auto"/>
          <w:sz w:val="20"/>
          <w:szCs w:val="20"/>
          <w:lang w:val="es-ES_tradnl"/>
        </w:rPr>
        <w:t xml:space="preserve">la Fiscalía Regional de Santa Fe de Bogotá concluyó la preclusión de la investigación el 15 de mayo de 1996 la cual fue reasumida por el Despacho Octavo de la Fiscalía Especializada de la Unidad Nacional de Derechos Humanos. </w:t>
      </w:r>
      <w:r w:rsidR="00840778" w:rsidRPr="00ED5C9A">
        <w:rPr>
          <w:rFonts w:asciiTheme="majorHAnsi" w:hAnsiTheme="majorHAnsi"/>
          <w:color w:val="auto"/>
          <w:sz w:val="20"/>
          <w:szCs w:val="20"/>
          <w:lang w:val="es-ES_tradnl"/>
        </w:rPr>
        <w:t xml:space="preserve">Además, como se ha recogido en el presente informe, la presunta víctima ha seguido intentando otras acciones judiciales posteriores, y aún estaría pendiente de resolución el proceso relativo al homicidio del Sr. </w:t>
      </w:r>
      <w:r w:rsidR="00840778" w:rsidRPr="00ED5C9A">
        <w:rPr>
          <w:rFonts w:asciiTheme="majorHAnsi" w:hAnsiTheme="majorHAnsi"/>
          <w:bCs/>
          <w:color w:val="auto"/>
          <w:sz w:val="20"/>
          <w:szCs w:val="20"/>
          <w:lang w:val="es-ES_tradnl"/>
        </w:rPr>
        <w:t>Álvaro González.</w:t>
      </w:r>
      <w:r w:rsidR="00840778" w:rsidRPr="00ED5C9A">
        <w:rPr>
          <w:rFonts w:asciiTheme="majorHAnsi" w:hAnsiTheme="majorHAnsi"/>
          <w:color w:val="auto"/>
          <w:sz w:val="20"/>
          <w:szCs w:val="20"/>
          <w:lang w:val="es-ES_tradnl"/>
        </w:rPr>
        <w:t xml:space="preserve"> </w:t>
      </w:r>
      <w:r w:rsidRPr="00ED5C9A">
        <w:rPr>
          <w:rFonts w:asciiTheme="majorHAnsi" w:hAnsiTheme="majorHAnsi"/>
          <w:color w:val="auto"/>
          <w:sz w:val="20"/>
          <w:szCs w:val="20"/>
          <w:lang w:val="es-ES_tradnl"/>
        </w:rPr>
        <w:t xml:space="preserve">En tal sentido, nota que </w:t>
      </w:r>
      <w:r w:rsidRPr="00ED5C9A">
        <w:rPr>
          <w:rStyle w:val="normaltextrun"/>
          <w:rFonts w:asciiTheme="majorHAnsi" w:hAnsiTheme="majorHAnsi"/>
          <w:color w:val="auto"/>
          <w:sz w:val="20"/>
          <w:szCs w:val="20"/>
          <w:shd w:val="clear" w:color="auto" w:fill="FFFFFF"/>
          <w:lang w:val="es-ES_tradnl"/>
        </w:rPr>
        <w:t xml:space="preserve">la presente petición fue recibida por la Comisión Interamericana el </w:t>
      </w:r>
      <w:r w:rsidRPr="00ED5C9A">
        <w:rPr>
          <w:rFonts w:asciiTheme="majorHAnsi" w:hAnsiTheme="majorHAnsi"/>
          <w:bCs/>
          <w:color w:val="auto"/>
          <w:sz w:val="20"/>
          <w:szCs w:val="20"/>
          <w:shd w:val="clear" w:color="auto" w:fill="FFFFFF"/>
          <w:lang w:val="es-ES_tradnl"/>
        </w:rPr>
        <w:t>27 de mayo de 2014</w:t>
      </w:r>
      <w:r w:rsidRPr="00ED5C9A">
        <w:rPr>
          <w:rStyle w:val="normaltextrun"/>
          <w:rFonts w:asciiTheme="majorHAnsi" w:hAnsiTheme="majorHAnsi"/>
          <w:color w:val="auto"/>
          <w:sz w:val="20"/>
          <w:szCs w:val="20"/>
          <w:shd w:val="clear" w:color="auto" w:fill="FFFFFF"/>
          <w:lang w:val="es-ES_tradnl"/>
        </w:rPr>
        <w:t xml:space="preserve">; y que sus efectos en términos de la alegada impunidad en la que se mantienen los hechos </w:t>
      </w:r>
      <w:r w:rsidR="0058163B" w:rsidRPr="00ED5C9A">
        <w:rPr>
          <w:rStyle w:val="normaltextrun"/>
          <w:rFonts w:asciiTheme="majorHAnsi" w:hAnsiTheme="majorHAnsi"/>
          <w:color w:val="auto"/>
          <w:sz w:val="20"/>
          <w:szCs w:val="20"/>
          <w:shd w:val="clear" w:color="auto" w:fill="FFFFFF"/>
          <w:lang w:val="es-ES_tradnl"/>
        </w:rPr>
        <w:t>alegados</w:t>
      </w:r>
      <w:r w:rsidRPr="00ED5C9A">
        <w:rPr>
          <w:rStyle w:val="normaltextrun"/>
          <w:rFonts w:asciiTheme="majorHAnsi" w:hAnsiTheme="majorHAnsi"/>
          <w:color w:val="auto"/>
          <w:sz w:val="20"/>
          <w:szCs w:val="20"/>
          <w:shd w:val="clear" w:color="auto" w:fill="FFFFFF"/>
          <w:lang w:val="es-ES_tradnl"/>
        </w:rPr>
        <w:t xml:space="preserve"> permanecen hasta hoy, la Comisión considera que la petición fue presentada dentro de plazo razonable en los términos del artículo 32.2 de su Reglamento. </w:t>
      </w:r>
      <w:r w:rsidRPr="00ED5C9A">
        <w:rPr>
          <w:rStyle w:val="eop"/>
          <w:rFonts w:asciiTheme="majorHAnsi" w:hAnsiTheme="majorHAnsi"/>
          <w:color w:val="auto"/>
          <w:sz w:val="20"/>
          <w:szCs w:val="20"/>
          <w:lang w:val="es-ES_tradnl"/>
        </w:rPr>
        <w:t> </w:t>
      </w:r>
    </w:p>
    <w:p w14:paraId="673598AF" w14:textId="4AB7EF73" w:rsidR="003239B8" w:rsidRPr="00ED5C9A" w:rsidRDefault="004A6A54" w:rsidP="00C2554E">
      <w:pPr>
        <w:pStyle w:val="ListParagraph"/>
        <w:numPr>
          <w:ilvl w:val="0"/>
          <w:numId w:val="60"/>
        </w:numPr>
        <w:spacing w:before="240" w:after="240"/>
        <w:ind w:left="0" w:firstLine="720"/>
        <w:jc w:val="both"/>
        <w:rPr>
          <w:rFonts w:asciiTheme="majorHAnsi" w:hAnsiTheme="majorHAnsi"/>
          <w:b/>
          <w:color w:val="auto"/>
          <w:sz w:val="20"/>
          <w:szCs w:val="20"/>
          <w:lang w:val="es-ES_tradnl"/>
        </w:rPr>
      </w:pPr>
      <w:r w:rsidRPr="00ED5C9A">
        <w:rPr>
          <w:rFonts w:asciiTheme="majorHAnsi" w:hAnsiTheme="majorHAnsi"/>
          <w:b/>
          <w:bCs/>
          <w:color w:val="auto"/>
          <w:sz w:val="20"/>
          <w:szCs w:val="20"/>
          <w:lang w:val="es-ES_tradnl"/>
        </w:rPr>
        <w:t xml:space="preserve">ANÁLISIS DE </w:t>
      </w:r>
      <w:r w:rsidR="00C21FEF" w:rsidRPr="00ED5C9A">
        <w:rPr>
          <w:rFonts w:asciiTheme="majorHAnsi" w:hAnsiTheme="majorHAnsi"/>
          <w:b/>
          <w:bCs/>
          <w:color w:val="auto"/>
          <w:sz w:val="20"/>
          <w:szCs w:val="20"/>
          <w:lang w:val="es-ES_tradnl"/>
        </w:rPr>
        <w:t>CARACTERIZACIÓN DE LOS HECHOS ALEGADOS</w:t>
      </w:r>
    </w:p>
    <w:p w14:paraId="19A8FB99" w14:textId="02C8CF63" w:rsidR="00957799" w:rsidRPr="00ED5C9A" w:rsidRDefault="00394073" w:rsidP="0058163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 xml:space="preserve"> </w:t>
      </w:r>
      <w:r w:rsidR="004B421C" w:rsidRPr="00ED5C9A">
        <w:rPr>
          <w:rFonts w:asciiTheme="majorHAnsi" w:hAnsiTheme="majorHAnsi"/>
          <w:color w:val="auto"/>
          <w:sz w:val="20"/>
          <w:szCs w:val="20"/>
          <w:lang w:val="es-ES_tradnl"/>
        </w:rPr>
        <w:t xml:space="preserve"> </w:t>
      </w:r>
      <w:r w:rsidR="00E93538" w:rsidRPr="00ED5C9A">
        <w:rPr>
          <w:rFonts w:asciiTheme="majorHAnsi" w:hAnsiTheme="majorHAnsi"/>
          <w:color w:val="auto"/>
          <w:sz w:val="20"/>
          <w:szCs w:val="20"/>
          <w:bdr w:val="none" w:sz="0" w:space="0" w:color="auto" w:frame="1"/>
          <w:lang w:val="es-ES_tradnl"/>
        </w:rPr>
        <w:t>La Comisión observa que la presente petición incluye alegaciones con respecto al homicidio de Álvaro González y la subsistente falta de investigación de los hechos y sanción de los responsables materiales e intelectuales; así como el desplazamiento forzado</w:t>
      </w:r>
      <w:r w:rsidR="00353389" w:rsidRPr="00ED5C9A">
        <w:rPr>
          <w:rFonts w:asciiTheme="majorHAnsi" w:hAnsiTheme="majorHAnsi"/>
          <w:color w:val="auto"/>
          <w:sz w:val="20"/>
          <w:szCs w:val="20"/>
          <w:bdr w:val="none" w:sz="0" w:space="0" w:color="auto" w:frame="1"/>
          <w:lang w:val="es-ES_tradnl"/>
        </w:rPr>
        <w:t xml:space="preserve"> </w:t>
      </w:r>
      <w:r w:rsidR="00353389" w:rsidRPr="00ED5C9A">
        <w:rPr>
          <w:rFonts w:asciiTheme="majorHAnsi" w:hAnsiTheme="majorHAnsi"/>
          <w:color w:val="auto"/>
          <w:sz w:val="20"/>
          <w:szCs w:val="20"/>
          <w:lang w:val="es-ES_tradnl"/>
        </w:rPr>
        <w:t>en el marco de distintas amenazas y atentados en contra de su vida, y la omisión del Estado de realizar las gestiones suficientes para garantizar su regreso seguro a Colombia</w:t>
      </w:r>
      <w:r w:rsidR="00E93538" w:rsidRPr="00ED5C9A">
        <w:rPr>
          <w:rFonts w:asciiTheme="majorHAnsi" w:hAnsiTheme="majorHAnsi"/>
          <w:color w:val="auto"/>
          <w:sz w:val="20"/>
          <w:szCs w:val="20"/>
          <w:bdr w:val="none" w:sz="0" w:space="0" w:color="auto" w:frame="1"/>
          <w:lang w:val="es-ES_tradnl"/>
        </w:rPr>
        <w:t>.</w:t>
      </w:r>
      <w:r w:rsidR="00E93538" w:rsidRPr="00ED5C9A">
        <w:rPr>
          <w:rFonts w:asciiTheme="majorHAnsi" w:hAnsiTheme="majorHAnsi" w:cs="Calibri"/>
          <w:color w:val="auto"/>
          <w:sz w:val="20"/>
          <w:szCs w:val="20"/>
          <w:bdr w:val="none" w:sz="0" w:space="0" w:color="auto" w:frame="1"/>
          <w:lang w:val="es-ES_tradnl"/>
        </w:rPr>
        <w:t xml:space="preserve"> </w:t>
      </w:r>
      <w:r w:rsidR="0058163B" w:rsidRPr="00ED5C9A">
        <w:rPr>
          <w:rFonts w:asciiTheme="majorHAnsi" w:hAnsiTheme="majorHAnsi"/>
          <w:color w:val="auto"/>
          <w:sz w:val="20"/>
          <w:szCs w:val="20"/>
          <w:lang w:val="es-ES_tradnl"/>
        </w:rPr>
        <w:t>Respecto a los alegatos sobre la llamada “fórmula de la cuarta instancia” frente a este respecto, a efectos de la admisibilidad, la Comisión debe decidir si los hechos alegados caracterizan una posible violación de derechos, según lo estipulado en el artículo 47(b) de la Convención Americana; o si la petición es manifiestamente infundada o es evidente su total improcedencia conforme al inciso (c) de dicho artículo.</w:t>
      </w:r>
    </w:p>
    <w:p w14:paraId="6CC8C248" w14:textId="77777777" w:rsidR="00957799" w:rsidRPr="00ED5C9A" w:rsidRDefault="00957799" w:rsidP="0095779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color w:val="auto"/>
          <w:sz w:val="20"/>
          <w:szCs w:val="20"/>
          <w:lang w:val="es-ES_tradnl"/>
        </w:rPr>
      </w:pPr>
    </w:p>
    <w:p w14:paraId="6EE2851A" w14:textId="6B29F9DD" w:rsidR="0058163B" w:rsidRPr="00ED5C9A" w:rsidRDefault="0058163B" w:rsidP="0058163B">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color w:val="auto"/>
          <w:sz w:val="20"/>
          <w:szCs w:val="20"/>
          <w:lang w:val="es-ES_tradnl"/>
        </w:rPr>
      </w:pPr>
      <w:r w:rsidRPr="00ED5C9A">
        <w:rPr>
          <w:rFonts w:asciiTheme="majorHAnsi" w:hAnsiTheme="majorHAnsi"/>
          <w:color w:val="auto"/>
          <w:sz w:val="20"/>
          <w:szCs w:val="20"/>
          <w:lang w:val="es-ES_tradnl"/>
        </w:rPr>
        <w:t>El criterio de evaluación de dichos requisitos difiere del que se utiliza para pronunciarse sobre el fondo de una petición. Asimismo, en el marco de su mandato la Comisión Interamericana es competente para declarar admisible una petición cuando se refiere a procesos internos que podrían ser violatorios de derechos garantizados por la Convención Americana. De acuerdo con las normas convencionales citadas, y en concordancia con el artículo 34 de su Reglamento, el análisis de admisibilidad se centra en la verificación de tales requisitos</w:t>
      </w:r>
      <w:r w:rsidR="00957799" w:rsidRPr="00ED5C9A">
        <w:rPr>
          <w:rFonts w:asciiTheme="majorHAnsi" w:hAnsiTheme="majorHAnsi"/>
          <w:color w:val="auto"/>
          <w:sz w:val="20"/>
          <w:szCs w:val="20"/>
          <w:lang w:val="es-ES_tradnl"/>
        </w:rPr>
        <w:t>.</w:t>
      </w:r>
    </w:p>
    <w:p w14:paraId="38A2B0D0" w14:textId="77777777" w:rsidR="00957799" w:rsidRPr="00ED5C9A" w:rsidRDefault="00957799" w:rsidP="00957799">
      <w:pPr>
        <w:pStyle w:val="ListParagraph"/>
        <w:rPr>
          <w:rFonts w:asciiTheme="majorHAnsi" w:hAnsiTheme="majorHAnsi"/>
          <w:color w:val="auto"/>
          <w:sz w:val="20"/>
          <w:szCs w:val="20"/>
          <w:lang w:val="es-ES_tradnl"/>
        </w:rPr>
      </w:pPr>
    </w:p>
    <w:p w14:paraId="7492A0A2" w14:textId="1EEE3DBD" w:rsidR="000D6605" w:rsidRPr="00ED5C9A" w:rsidRDefault="005A6905">
      <w:pPr>
        <w:pStyle w:val="paragraph"/>
        <w:numPr>
          <w:ilvl w:val="0"/>
          <w:numId w:val="58"/>
        </w:numPr>
        <w:tabs>
          <w:tab w:val="clear" w:pos="720"/>
        </w:tabs>
        <w:spacing w:before="0" w:beforeAutospacing="0" w:after="0" w:afterAutospacing="0"/>
        <w:ind w:left="0" w:firstLine="720"/>
        <w:jc w:val="both"/>
        <w:textAlignment w:val="baseline"/>
        <w:rPr>
          <w:rFonts w:asciiTheme="majorHAnsi" w:hAnsiTheme="majorHAnsi"/>
          <w:sz w:val="20"/>
          <w:szCs w:val="20"/>
          <w:lang w:val="es-ES_tradnl"/>
        </w:rPr>
      </w:pPr>
      <w:r w:rsidRPr="00ED5C9A">
        <w:rPr>
          <w:rFonts w:asciiTheme="majorHAnsi" w:hAnsiTheme="majorHAnsi"/>
          <w:sz w:val="20"/>
          <w:szCs w:val="20"/>
          <w:lang w:val="es-ES_tradnl"/>
        </w:rPr>
        <w:t xml:space="preserve">La </w:t>
      </w:r>
      <w:r w:rsidR="00DC61D3" w:rsidRPr="00ED5C9A">
        <w:rPr>
          <w:rFonts w:asciiTheme="majorHAnsi" w:hAnsiTheme="majorHAnsi"/>
          <w:sz w:val="20"/>
          <w:szCs w:val="20"/>
          <w:lang w:val="es-ES_tradnl"/>
        </w:rPr>
        <w:t xml:space="preserve">Comisión recuerda que la </w:t>
      </w:r>
      <w:r w:rsidRPr="00ED5C9A">
        <w:rPr>
          <w:rFonts w:asciiTheme="majorHAnsi" w:hAnsiTheme="majorHAnsi"/>
          <w:sz w:val="20"/>
          <w:szCs w:val="20"/>
          <w:lang w:val="es-ES_tradnl"/>
        </w:rPr>
        <w:t xml:space="preserve">falta de investigación sobre los ataques cometidos contra </w:t>
      </w:r>
      <w:r w:rsidR="00840778" w:rsidRPr="00ED5C9A">
        <w:rPr>
          <w:rFonts w:asciiTheme="majorHAnsi" w:hAnsiTheme="majorHAnsi"/>
          <w:sz w:val="20"/>
          <w:szCs w:val="20"/>
          <w:lang w:val="es-ES_tradnl"/>
        </w:rPr>
        <w:t>defensores y</w:t>
      </w:r>
      <w:r w:rsidRPr="00ED5C9A">
        <w:rPr>
          <w:rFonts w:asciiTheme="majorHAnsi" w:hAnsiTheme="majorHAnsi"/>
          <w:sz w:val="20"/>
          <w:szCs w:val="20"/>
          <w:lang w:val="es-ES_tradnl"/>
        </w:rPr>
        <w:t xml:space="preserve"> defensoras de derechos humanos</w:t>
      </w:r>
      <w:r w:rsidR="002B6BF0" w:rsidRPr="00ED5C9A">
        <w:rPr>
          <w:rFonts w:asciiTheme="majorHAnsi" w:hAnsiTheme="majorHAnsi"/>
          <w:sz w:val="20"/>
          <w:szCs w:val="20"/>
          <w:lang w:val="es-ES_tradnl"/>
        </w:rPr>
        <w:t xml:space="preserve"> y funcionarios judiciales</w:t>
      </w:r>
      <w:r w:rsidRPr="00ED5C9A">
        <w:rPr>
          <w:rFonts w:asciiTheme="majorHAnsi" w:hAnsiTheme="majorHAnsi"/>
          <w:sz w:val="20"/>
          <w:szCs w:val="20"/>
          <w:lang w:val="es-ES_tradnl"/>
        </w:rPr>
        <w:t xml:space="preserve"> representa uno de los grandes impedimentos </w:t>
      </w:r>
      <w:r w:rsidR="00840778" w:rsidRPr="00ED5C9A">
        <w:rPr>
          <w:rFonts w:asciiTheme="majorHAnsi" w:hAnsiTheme="majorHAnsi"/>
          <w:sz w:val="20"/>
          <w:szCs w:val="20"/>
          <w:lang w:val="es-ES_tradnl"/>
        </w:rPr>
        <w:t>al</w:t>
      </w:r>
      <w:r w:rsidRPr="00ED5C9A">
        <w:rPr>
          <w:rFonts w:asciiTheme="majorHAnsi" w:hAnsiTheme="majorHAnsi"/>
          <w:sz w:val="20"/>
          <w:szCs w:val="20"/>
          <w:lang w:val="es-ES_tradnl"/>
        </w:rPr>
        <w:t xml:space="preserve"> libre ejercicio de sus actividades, al ser la investigación un medio fundamental para prevenir la ocurrencia de estos delitos</w:t>
      </w:r>
      <w:r w:rsidRPr="00ED5C9A">
        <w:rPr>
          <w:rStyle w:val="FootnoteReference"/>
          <w:rFonts w:asciiTheme="majorHAnsi" w:hAnsiTheme="majorHAnsi"/>
          <w:sz w:val="20"/>
          <w:szCs w:val="20"/>
          <w:lang w:val="es-ES_tradnl"/>
        </w:rPr>
        <w:footnoteReference w:id="10"/>
      </w:r>
      <w:r w:rsidRPr="00ED5C9A">
        <w:rPr>
          <w:rFonts w:asciiTheme="majorHAnsi" w:hAnsiTheme="majorHAnsi"/>
          <w:sz w:val="20"/>
          <w:szCs w:val="20"/>
          <w:lang w:val="es-ES_tradnl"/>
        </w:rPr>
        <w:t xml:space="preserve">. </w:t>
      </w:r>
      <w:r w:rsidR="000451AF" w:rsidRPr="00ED5C9A">
        <w:rPr>
          <w:rFonts w:asciiTheme="majorHAnsi" w:hAnsiTheme="majorHAnsi"/>
          <w:sz w:val="20"/>
          <w:szCs w:val="20"/>
          <w:lang w:val="es-ES_tradnl"/>
        </w:rPr>
        <w:t>En esa medida, la CIDH estudiará en etapa de fondo si el Estado ha cumplido con el deber de prevención y protección bajo los estándares de debida diligencia en la investigación de las denuncias y en la determinación de las medidas de seguridad asignadas a favor de la presunta ví</w:t>
      </w:r>
      <w:r w:rsidR="00DC61D3" w:rsidRPr="00ED5C9A">
        <w:rPr>
          <w:rFonts w:asciiTheme="majorHAnsi" w:hAnsiTheme="majorHAnsi"/>
          <w:sz w:val="20"/>
          <w:szCs w:val="20"/>
          <w:lang w:val="es-ES_tradnl"/>
        </w:rPr>
        <w:t>ctima</w:t>
      </w:r>
      <w:r w:rsidR="000D6605" w:rsidRPr="00ED5C9A">
        <w:rPr>
          <w:rFonts w:asciiTheme="majorHAnsi" w:hAnsiTheme="majorHAnsi"/>
          <w:sz w:val="20"/>
          <w:szCs w:val="20"/>
          <w:lang w:val="es-ES_tradnl"/>
        </w:rPr>
        <w:t xml:space="preserve"> y de su familia</w:t>
      </w:r>
      <w:r w:rsidR="000451AF" w:rsidRPr="00ED5C9A">
        <w:rPr>
          <w:rFonts w:asciiTheme="majorHAnsi" w:hAnsiTheme="majorHAnsi"/>
          <w:sz w:val="20"/>
          <w:szCs w:val="20"/>
          <w:lang w:val="es-ES_tradnl"/>
        </w:rPr>
        <w:t xml:space="preserve">. </w:t>
      </w:r>
      <w:r w:rsidR="00840778" w:rsidRPr="00ED5C9A">
        <w:rPr>
          <w:rFonts w:asciiTheme="majorHAnsi" w:hAnsiTheme="majorHAnsi"/>
          <w:sz w:val="20"/>
          <w:szCs w:val="20"/>
          <w:lang w:val="es-ES_tradnl"/>
        </w:rPr>
        <w:t>Asimismo, la CIDH tomará</w:t>
      </w:r>
      <w:r w:rsidR="000D6605" w:rsidRPr="00ED5C9A">
        <w:rPr>
          <w:rFonts w:asciiTheme="majorHAnsi" w:hAnsiTheme="majorHAnsi"/>
          <w:sz w:val="20"/>
          <w:szCs w:val="20"/>
          <w:lang w:val="es-ES_tradnl"/>
        </w:rPr>
        <w:t xml:space="preserve"> en consideración</w:t>
      </w:r>
      <w:r w:rsidR="00795FB6" w:rsidRPr="00ED5C9A">
        <w:rPr>
          <w:rFonts w:asciiTheme="majorHAnsi" w:hAnsiTheme="majorHAnsi"/>
          <w:sz w:val="20"/>
          <w:szCs w:val="20"/>
          <w:lang w:val="es-ES_tradnl"/>
        </w:rPr>
        <w:t xml:space="preserve"> en la etapa de fondo</w:t>
      </w:r>
      <w:r w:rsidR="000D6605" w:rsidRPr="00ED5C9A">
        <w:rPr>
          <w:rFonts w:asciiTheme="majorHAnsi" w:hAnsiTheme="majorHAnsi"/>
          <w:sz w:val="20"/>
          <w:szCs w:val="20"/>
          <w:lang w:val="es-ES_tradnl"/>
        </w:rPr>
        <w:t xml:space="preserve"> los alegatos presentados por el Estado relativos a la imposibilidad </w:t>
      </w:r>
      <w:r w:rsidR="00370B2B" w:rsidRPr="00ED5C9A">
        <w:rPr>
          <w:rFonts w:asciiTheme="majorHAnsi" w:hAnsiTheme="majorHAnsi"/>
          <w:sz w:val="20"/>
          <w:szCs w:val="20"/>
          <w:lang w:val="es-ES_tradnl"/>
        </w:rPr>
        <w:t xml:space="preserve">de realizar un estudio de riesgo actualizado de la situación de la peticionaria por </w:t>
      </w:r>
      <w:r w:rsidR="00795FB6" w:rsidRPr="00ED5C9A">
        <w:rPr>
          <w:rFonts w:asciiTheme="majorHAnsi" w:hAnsiTheme="majorHAnsi"/>
          <w:sz w:val="20"/>
          <w:szCs w:val="20"/>
          <w:lang w:val="es-ES_tradnl"/>
        </w:rPr>
        <w:t>encontrarse fuera del país.</w:t>
      </w:r>
    </w:p>
    <w:p w14:paraId="382951C6" w14:textId="77777777" w:rsidR="000D6605" w:rsidRPr="00ED5C9A" w:rsidRDefault="000D6605" w:rsidP="000D6605">
      <w:pPr>
        <w:pStyle w:val="ListParagraph"/>
        <w:rPr>
          <w:rFonts w:asciiTheme="majorHAnsi" w:hAnsiTheme="majorHAnsi"/>
          <w:color w:val="auto"/>
          <w:sz w:val="20"/>
          <w:szCs w:val="20"/>
          <w:lang w:val="es-ES_tradnl"/>
        </w:rPr>
      </w:pPr>
    </w:p>
    <w:p w14:paraId="59D1793B" w14:textId="6E86DFB3" w:rsidR="001E4941" w:rsidRPr="00ED5C9A" w:rsidRDefault="001E4941">
      <w:pPr>
        <w:pStyle w:val="paragraph"/>
        <w:numPr>
          <w:ilvl w:val="0"/>
          <w:numId w:val="58"/>
        </w:numPr>
        <w:tabs>
          <w:tab w:val="clear" w:pos="720"/>
        </w:tabs>
        <w:spacing w:before="0" w:beforeAutospacing="0" w:after="0" w:afterAutospacing="0"/>
        <w:ind w:left="0" w:firstLine="720"/>
        <w:jc w:val="both"/>
        <w:textAlignment w:val="baseline"/>
        <w:rPr>
          <w:rStyle w:val="normaltextrun"/>
          <w:rFonts w:asciiTheme="majorHAnsi" w:hAnsiTheme="majorHAnsi"/>
          <w:sz w:val="20"/>
          <w:szCs w:val="20"/>
          <w:lang w:val="es-ES_tradnl"/>
        </w:rPr>
      </w:pPr>
      <w:r w:rsidRPr="00ED5C9A">
        <w:rPr>
          <w:rFonts w:asciiTheme="majorHAnsi" w:hAnsiTheme="majorHAnsi"/>
          <w:sz w:val="20"/>
          <w:szCs w:val="20"/>
          <w:lang w:val="es-ES_tradnl"/>
        </w:rPr>
        <w:lastRenderedPageBreak/>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en primer lugar violaciones a los derechos establecidos en los artículos </w:t>
      </w:r>
      <w:r w:rsidR="00E93538" w:rsidRPr="00ED5C9A">
        <w:rPr>
          <w:rFonts w:asciiTheme="majorHAnsi" w:hAnsiTheme="majorHAnsi"/>
          <w:bCs/>
          <w:sz w:val="20"/>
          <w:szCs w:val="20"/>
          <w:bdr w:val="none" w:sz="0" w:space="0" w:color="auto" w:frame="1"/>
          <w:lang w:val="es-ES_tradnl"/>
        </w:rPr>
        <w:t xml:space="preserve">4 (vida), 5 (integridad personal), 8 (garantías judiciales), </w:t>
      </w:r>
      <w:r w:rsidRPr="00ED5C9A">
        <w:rPr>
          <w:rFonts w:asciiTheme="majorHAnsi" w:hAnsiTheme="majorHAnsi"/>
          <w:bCs/>
          <w:sz w:val="20"/>
          <w:szCs w:val="20"/>
          <w:lang w:val="es-ES_tradnl"/>
        </w:rPr>
        <w:t>17 (protección a la familia)</w:t>
      </w:r>
      <w:r w:rsidR="00840778" w:rsidRPr="00ED5C9A">
        <w:rPr>
          <w:rFonts w:asciiTheme="majorHAnsi" w:hAnsiTheme="majorHAnsi"/>
          <w:bCs/>
          <w:sz w:val="20"/>
          <w:szCs w:val="20"/>
          <w:lang w:val="es-ES_tradnl"/>
        </w:rPr>
        <w:t>, 19 (derechos del niño)</w:t>
      </w:r>
      <w:r w:rsidRPr="00ED5C9A">
        <w:rPr>
          <w:rFonts w:asciiTheme="majorHAnsi" w:hAnsiTheme="majorHAnsi"/>
          <w:bCs/>
          <w:sz w:val="20"/>
          <w:szCs w:val="20"/>
          <w:lang w:val="es-ES_tradnl"/>
        </w:rPr>
        <w:t xml:space="preserve"> </w:t>
      </w:r>
      <w:r w:rsidR="00E93538" w:rsidRPr="00ED5C9A">
        <w:rPr>
          <w:rFonts w:asciiTheme="majorHAnsi" w:hAnsiTheme="majorHAnsi"/>
          <w:bCs/>
          <w:sz w:val="20"/>
          <w:szCs w:val="20"/>
          <w:bdr w:val="none" w:sz="0" w:space="0" w:color="auto" w:frame="1"/>
          <w:lang w:val="es-ES_tradnl"/>
        </w:rPr>
        <w:t xml:space="preserve">y 25 (protección judicial) de la Convención Americana, en conexión con </w:t>
      </w:r>
      <w:r w:rsidR="00840778" w:rsidRPr="00ED5C9A">
        <w:rPr>
          <w:rFonts w:asciiTheme="majorHAnsi" w:hAnsiTheme="majorHAnsi"/>
          <w:bCs/>
          <w:sz w:val="20"/>
          <w:szCs w:val="20"/>
          <w:bdr w:val="none" w:sz="0" w:space="0" w:color="auto" w:frame="1"/>
          <w:lang w:val="es-ES_tradnl"/>
        </w:rPr>
        <w:t>su</w:t>
      </w:r>
      <w:r w:rsidR="00E93538" w:rsidRPr="00ED5C9A">
        <w:rPr>
          <w:rFonts w:asciiTheme="majorHAnsi" w:hAnsiTheme="majorHAnsi"/>
          <w:bCs/>
          <w:sz w:val="20"/>
          <w:szCs w:val="20"/>
          <w:bdr w:val="none" w:sz="0" w:space="0" w:color="auto" w:frame="1"/>
          <w:lang w:val="es-ES_tradnl"/>
        </w:rPr>
        <w:t xml:space="preserve"> artículo 1.1 (obligación de respetar los derechos)</w:t>
      </w:r>
      <w:r w:rsidRPr="00ED5C9A">
        <w:rPr>
          <w:rFonts w:asciiTheme="majorHAnsi" w:hAnsiTheme="majorHAnsi"/>
          <w:bCs/>
          <w:sz w:val="20"/>
          <w:szCs w:val="20"/>
          <w:lang w:val="es-ES_tradnl"/>
        </w:rPr>
        <w:t xml:space="preserve"> </w:t>
      </w:r>
      <w:r w:rsidR="00E93538" w:rsidRPr="00ED5C9A">
        <w:rPr>
          <w:rFonts w:asciiTheme="majorHAnsi" w:hAnsiTheme="majorHAnsi"/>
          <w:bCs/>
          <w:sz w:val="20"/>
          <w:szCs w:val="20"/>
          <w:bdr w:val="none" w:sz="0" w:space="0" w:color="auto" w:frame="1"/>
          <w:lang w:val="es-ES_tradnl"/>
        </w:rPr>
        <w:t xml:space="preserve">en perjuicio de </w:t>
      </w:r>
      <w:r w:rsidR="00D340CD" w:rsidRPr="00ED5C9A">
        <w:rPr>
          <w:rFonts w:asciiTheme="majorHAnsi" w:hAnsiTheme="majorHAnsi"/>
          <w:bCs/>
          <w:sz w:val="20"/>
          <w:szCs w:val="20"/>
          <w:bdr w:val="none" w:sz="0" w:space="0" w:color="auto" w:frame="1"/>
          <w:lang w:val="es-ES_tradnl"/>
        </w:rPr>
        <w:t xml:space="preserve">Martha González Rodríguez, Álvaro González </w:t>
      </w:r>
      <w:r w:rsidR="00F81C45" w:rsidRPr="00ED5C9A">
        <w:rPr>
          <w:rFonts w:asciiTheme="majorHAnsi" w:hAnsiTheme="majorHAnsi"/>
          <w:bCs/>
          <w:sz w:val="20"/>
          <w:szCs w:val="20"/>
          <w:bdr w:val="none" w:sz="0" w:space="0" w:color="auto" w:frame="1"/>
          <w:lang w:val="es-ES_tradnl"/>
        </w:rPr>
        <w:t>Santana y</w:t>
      </w:r>
      <w:r w:rsidR="00840778" w:rsidRPr="00ED5C9A">
        <w:rPr>
          <w:rFonts w:asciiTheme="majorHAnsi" w:hAnsiTheme="majorHAnsi"/>
          <w:bCs/>
          <w:sz w:val="20"/>
          <w:szCs w:val="20"/>
          <w:bdr w:val="none" w:sz="0" w:space="0" w:color="auto" w:frame="1"/>
          <w:lang w:val="es-ES_tradnl"/>
        </w:rPr>
        <w:t xml:space="preserve"> su</w:t>
      </w:r>
      <w:r w:rsidR="00F81C45" w:rsidRPr="00ED5C9A">
        <w:rPr>
          <w:rFonts w:asciiTheme="majorHAnsi" w:hAnsiTheme="majorHAnsi"/>
          <w:bCs/>
          <w:sz w:val="20"/>
          <w:szCs w:val="20"/>
          <w:bdr w:val="none" w:sz="0" w:space="0" w:color="auto" w:frame="1"/>
          <w:lang w:val="es-ES_tradnl"/>
        </w:rPr>
        <w:t xml:space="preserve"> familia</w:t>
      </w:r>
      <w:r w:rsidRPr="00ED5C9A">
        <w:rPr>
          <w:rFonts w:asciiTheme="majorHAnsi" w:hAnsiTheme="majorHAnsi"/>
          <w:sz w:val="20"/>
          <w:szCs w:val="20"/>
          <w:bdr w:val="none" w:sz="0" w:space="0" w:color="auto" w:frame="1"/>
          <w:lang w:val="es-ES_tradnl"/>
        </w:rPr>
        <w:t xml:space="preserve">. </w:t>
      </w:r>
    </w:p>
    <w:p w14:paraId="7165DD3B" w14:textId="77777777" w:rsidR="001E4941" w:rsidRPr="00ED5C9A" w:rsidRDefault="001E4941" w:rsidP="001E4941">
      <w:pPr>
        <w:pStyle w:val="paragraph"/>
        <w:spacing w:before="0" w:beforeAutospacing="0" w:after="0" w:afterAutospacing="0"/>
        <w:ind w:left="720"/>
        <w:jc w:val="both"/>
        <w:textAlignment w:val="baseline"/>
        <w:rPr>
          <w:rFonts w:asciiTheme="majorHAnsi" w:hAnsiTheme="majorHAnsi"/>
          <w:sz w:val="20"/>
          <w:szCs w:val="20"/>
          <w:lang w:val="es-ES_tradnl"/>
        </w:rPr>
      </w:pPr>
    </w:p>
    <w:p w14:paraId="4CFAE4B2" w14:textId="2099BE39" w:rsidR="001E4941" w:rsidRPr="00ED5C9A" w:rsidRDefault="00857070" w:rsidP="00840778">
      <w:pPr>
        <w:pStyle w:val="paragraph"/>
        <w:numPr>
          <w:ilvl w:val="0"/>
          <w:numId w:val="58"/>
        </w:numPr>
        <w:tabs>
          <w:tab w:val="clear" w:pos="720"/>
        </w:tabs>
        <w:spacing w:before="0" w:beforeAutospacing="0" w:after="0" w:afterAutospacing="0"/>
        <w:ind w:left="0" w:firstLine="720"/>
        <w:jc w:val="both"/>
        <w:textAlignment w:val="baseline"/>
        <w:rPr>
          <w:rFonts w:asciiTheme="majorHAnsi" w:hAnsiTheme="majorHAnsi"/>
          <w:sz w:val="20"/>
          <w:szCs w:val="20"/>
          <w:lang w:val="es-ES_tradnl"/>
        </w:rPr>
      </w:pPr>
      <w:r w:rsidRPr="00ED5C9A">
        <w:rPr>
          <w:rFonts w:asciiTheme="majorHAnsi" w:hAnsiTheme="majorHAnsi"/>
          <w:sz w:val="20"/>
          <w:szCs w:val="20"/>
          <w:lang w:val="es-ES_tradnl"/>
        </w:rPr>
        <w:t>Adicionalmente, teniendo en cuenta la naturaleza múltiple, compleja y continua del desplazamiento de personas, en particular aquella relacionada a las afectaciones directas que de ella se derivan sobre los derechos a la libre circulación y residencia, vivienda e integridad personal así como del desarraigo que en términos sociales y culturales se puede presentar, la Comisión considera que los alegatos relativos a este fenómeno podrían caracterizar posibles violaciones de los artículos 5</w:t>
      </w:r>
      <w:r w:rsidR="00D340CD" w:rsidRPr="00ED5C9A">
        <w:rPr>
          <w:rFonts w:asciiTheme="majorHAnsi" w:hAnsiTheme="majorHAnsi"/>
          <w:sz w:val="20"/>
          <w:szCs w:val="20"/>
          <w:lang w:val="es-ES_tradnl"/>
        </w:rPr>
        <w:t xml:space="preserve"> (integridad personal)</w:t>
      </w:r>
      <w:r w:rsidRPr="00ED5C9A">
        <w:rPr>
          <w:rFonts w:asciiTheme="majorHAnsi" w:hAnsiTheme="majorHAnsi"/>
          <w:sz w:val="20"/>
          <w:szCs w:val="20"/>
          <w:lang w:val="es-ES_tradnl"/>
        </w:rPr>
        <w:t>, 22</w:t>
      </w:r>
      <w:r w:rsidR="00D340CD" w:rsidRPr="00ED5C9A">
        <w:rPr>
          <w:rFonts w:asciiTheme="majorHAnsi" w:hAnsiTheme="majorHAnsi"/>
          <w:sz w:val="20"/>
          <w:szCs w:val="20"/>
          <w:lang w:val="es-ES_tradnl"/>
        </w:rPr>
        <w:t xml:space="preserve"> (</w:t>
      </w:r>
      <w:r w:rsidR="00D340CD" w:rsidRPr="00ED5C9A">
        <w:rPr>
          <w:rFonts w:asciiTheme="majorHAnsi" w:hAnsiTheme="majorHAnsi" w:cs="Calibri"/>
          <w:sz w:val="20"/>
          <w:szCs w:val="20"/>
          <w:lang w:val="es-ES_tradnl"/>
        </w:rPr>
        <w:t>circulación y residencia)</w:t>
      </w:r>
      <w:r w:rsidRPr="00ED5C9A">
        <w:rPr>
          <w:rFonts w:asciiTheme="majorHAnsi" w:hAnsiTheme="majorHAnsi"/>
          <w:sz w:val="20"/>
          <w:szCs w:val="20"/>
          <w:lang w:val="es-ES_tradnl"/>
        </w:rPr>
        <w:t xml:space="preserve"> y 26</w:t>
      </w:r>
      <w:r w:rsidR="00D340CD" w:rsidRPr="00ED5C9A">
        <w:rPr>
          <w:rFonts w:asciiTheme="majorHAnsi" w:hAnsiTheme="majorHAnsi"/>
          <w:sz w:val="20"/>
          <w:szCs w:val="20"/>
          <w:lang w:val="es-ES_tradnl"/>
        </w:rPr>
        <w:t xml:space="preserve"> (derechos económicos, sociales y culturales)</w:t>
      </w:r>
      <w:r w:rsidRPr="00ED5C9A">
        <w:rPr>
          <w:rFonts w:asciiTheme="majorHAnsi" w:hAnsiTheme="majorHAnsi"/>
          <w:sz w:val="20"/>
          <w:szCs w:val="20"/>
          <w:lang w:val="es-ES_tradnl"/>
        </w:rPr>
        <w:t xml:space="preserve"> de la Convención Americana de manera conjunta e interconectada</w:t>
      </w:r>
      <w:r w:rsidR="00D340CD" w:rsidRPr="00ED5C9A">
        <w:rPr>
          <w:rStyle w:val="FootnoteReference"/>
          <w:rFonts w:asciiTheme="majorHAnsi" w:hAnsiTheme="majorHAnsi" w:cs="Calibri"/>
          <w:sz w:val="20"/>
          <w:szCs w:val="20"/>
          <w:lang w:val="es-ES_tradnl"/>
        </w:rPr>
        <w:footnoteReference w:id="11"/>
      </w:r>
      <w:r w:rsidRPr="00ED5C9A">
        <w:rPr>
          <w:rFonts w:asciiTheme="majorHAnsi" w:hAnsiTheme="majorHAnsi"/>
          <w:sz w:val="20"/>
          <w:szCs w:val="20"/>
          <w:lang w:val="es-ES_tradnl"/>
        </w:rPr>
        <w:t>.</w:t>
      </w:r>
    </w:p>
    <w:p w14:paraId="445BF42E" w14:textId="2A2CACB4" w:rsidR="003239B8" w:rsidRPr="00ED5C9A" w:rsidRDefault="003239B8" w:rsidP="00C2554E">
      <w:pPr>
        <w:pStyle w:val="ListParagraph"/>
        <w:numPr>
          <w:ilvl w:val="0"/>
          <w:numId w:val="60"/>
        </w:numPr>
        <w:spacing w:before="240" w:after="240"/>
        <w:ind w:left="0" w:firstLine="720"/>
        <w:jc w:val="both"/>
        <w:rPr>
          <w:rFonts w:asciiTheme="majorHAnsi" w:hAnsiTheme="majorHAnsi"/>
          <w:b/>
          <w:bCs/>
          <w:color w:val="auto"/>
          <w:sz w:val="20"/>
          <w:szCs w:val="20"/>
          <w:lang w:val="es-ES_tradnl"/>
        </w:rPr>
      </w:pPr>
      <w:r w:rsidRPr="00ED5C9A">
        <w:rPr>
          <w:rFonts w:asciiTheme="majorHAnsi" w:hAnsiTheme="majorHAnsi"/>
          <w:b/>
          <w:bCs/>
          <w:color w:val="auto"/>
          <w:sz w:val="20"/>
          <w:szCs w:val="20"/>
          <w:lang w:val="es-ES_tradnl"/>
        </w:rPr>
        <w:t>DECISIÓN</w:t>
      </w:r>
    </w:p>
    <w:p w14:paraId="547DFF8E" w14:textId="19646926" w:rsidR="000419AD" w:rsidRPr="00ED5C9A"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D5C9A">
        <w:rPr>
          <w:rFonts w:asciiTheme="majorHAnsi" w:hAnsiTheme="majorHAnsi"/>
          <w:sz w:val="20"/>
          <w:szCs w:val="20"/>
          <w:lang w:val="es-ES_tradnl"/>
        </w:rPr>
        <w:t>Declarar admisible la presente petición en relación con</w:t>
      </w:r>
      <w:r w:rsidR="00F81C45" w:rsidRPr="00ED5C9A">
        <w:rPr>
          <w:rFonts w:asciiTheme="majorHAnsi" w:hAnsiTheme="majorHAnsi"/>
          <w:sz w:val="20"/>
          <w:szCs w:val="20"/>
          <w:lang w:val="es-ES_tradnl"/>
        </w:rPr>
        <w:t xml:space="preserve"> los artículos 4, 5, 8, 17,</w:t>
      </w:r>
      <w:r w:rsidR="00840778" w:rsidRPr="00ED5C9A">
        <w:rPr>
          <w:rFonts w:asciiTheme="majorHAnsi" w:hAnsiTheme="majorHAnsi"/>
          <w:sz w:val="20"/>
          <w:szCs w:val="20"/>
          <w:lang w:val="es-ES_tradnl"/>
        </w:rPr>
        <w:t xml:space="preserve"> 19,</w:t>
      </w:r>
      <w:r w:rsidR="00F81C45" w:rsidRPr="00ED5C9A">
        <w:rPr>
          <w:rFonts w:asciiTheme="majorHAnsi" w:hAnsiTheme="majorHAnsi"/>
          <w:sz w:val="20"/>
          <w:szCs w:val="20"/>
          <w:lang w:val="es-ES_tradnl"/>
        </w:rPr>
        <w:t xml:space="preserve"> 22, 25 y 26 de la Convención Americana</w:t>
      </w:r>
      <w:r w:rsidR="00840778" w:rsidRPr="00ED5C9A">
        <w:rPr>
          <w:rFonts w:asciiTheme="majorHAnsi" w:hAnsiTheme="majorHAnsi"/>
          <w:sz w:val="20"/>
          <w:szCs w:val="20"/>
          <w:lang w:val="es-ES_tradnl"/>
        </w:rPr>
        <w:t>,</w:t>
      </w:r>
      <w:r w:rsidR="00F81C45" w:rsidRPr="00ED5C9A">
        <w:rPr>
          <w:rFonts w:asciiTheme="majorHAnsi" w:hAnsiTheme="majorHAnsi"/>
          <w:sz w:val="20"/>
          <w:szCs w:val="20"/>
          <w:lang w:val="es-ES_tradnl"/>
        </w:rPr>
        <w:t xml:space="preserve"> en relación con </w:t>
      </w:r>
      <w:r w:rsidR="00840778" w:rsidRPr="00ED5C9A">
        <w:rPr>
          <w:rFonts w:asciiTheme="majorHAnsi" w:hAnsiTheme="majorHAnsi"/>
          <w:sz w:val="20"/>
          <w:szCs w:val="20"/>
          <w:lang w:val="es-ES_tradnl"/>
        </w:rPr>
        <w:t>su</w:t>
      </w:r>
      <w:r w:rsidR="00F81C45" w:rsidRPr="00ED5C9A">
        <w:rPr>
          <w:rFonts w:asciiTheme="majorHAnsi" w:hAnsiTheme="majorHAnsi"/>
          <w:sz w:val="20"/>
          <w:szCs w:val="20"/>
          <w:lang w:val="es-ES_tradnl"/>
        </w:rPr>
        <w:t xml:space="preserve"> artículo 1.1</w:t>
      </w:r>
      <w:r w:rsidR="00A758AA" w:rsidRPr="00ED5C9A">
        <w:rPr>
          <w:rFonts w:asciiTheme="majorHAnsi" w:hAnsiTheme="majorHAnsi"/>
          <w:sz w:val="20"/>
          <w:szCs w:val="20"/>
          <w:lang w:val="es-ES_tradnl"/>
        </w:rPr>
        <w:t>;</w:t>
      </w:r>
    </w:p>
    <w:p w14:paraId="02C904B2" w14:textId="2CAAFD61" w:rsidR="009A56CE" w:rsidRDefault="004A6A54" w:rsidP="006706B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ED5C9A">
        <w:rPr>
          <w:rFonts w:asciiTheme="majorHAnsi" w:hAnsiTheme="majorHAnsi"/>
          <w:sz w:val="20"/>
          <w:szCs w:val="20"/>
          <w:lang w:val="es-ES_tradnl"/>
        </w:rPr>
        <w:t>Notificar a las partes la presente decisión; continuar con el análisis del fondo de la cuestión</w:t>
      </w:r>
      <w:r w:rsidR="00CA29CE" w:rsidRPr="00ED5C9A">
        <w:rPr>
          <w:rFonts w:asciiTheme="majorHAnsi" w:hAnsiTheme="majorHAnsi"/>
          <w:sz w:val="20"/>
          <w:szCs w:val="20"/>
          <w:lang w:val="es-ES_tradnl"/>
        </w:rPr>
        <w:t xml:space="preserve">; </w:t>
      </w:r>
      <w:r w:rsidRPr="00ED5C9A">
        <w:rPr>
          <w:rFonts w:asciiTheme="majorHAnsi" w:hAnsiTheme="majorHAnsi"/>
          <w:sz w:val="20"/>
          <w:szCs w:val="20"/>
          <w:lang w:val="es-ES_tradnl"/>
        </w:rPr>
        <w:t>y publicar esta decisión e incluirla en su Informe Anual a la Asamblea General de la Organización de los Estados Americanos</w:t>
      </w:r>
      <w:r w:rsidR="006706B9" w:rsidRPr="00ED5C9A">
        <w:rPr>
          <w:rFonts w:asciiTheme="majorHAnsi" w:hAnsiTheme="majorHAnsi"/>
          <w:sz w:val="20"/>
          <w:szCs w:val="20"/>
          <w:lang w:val="es-ES_tradnl"/>
        </w:rPr>
        <w:t>.</w:t>
      </w:r>
    </w:p>
    <w:p w14:paraId="75B1F72A" w14:textId="0B63D910" w:rsidR="006D071B" w:rsidRPr="00094311" w:rsidRDefault="006D071B" w:rsidP="00094311">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19 días del mes de diciembre de 2022.</w:t>
      </w:r>
      <w:r w:rsidR="00094311">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Julissa Mantilla Falcón, Presidenta; Stuardo Ralón Orellana, Primer Vicepresidente; Esmeralda E. Arosemena Bernal de Troitiño y Joel Hernández, </w:t>
      </w:r>
      <w:r w:rsidR="00094311">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FF84699" w14:textId="77777777" w:rsidR="006D071B" w:rsidRPr="00ED5C9A" w:rsidRDefault="006D071B" w:rsidP="006D07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sectPr w:rsidR="006D071B" w:rsidRPr="00ED5C9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1CA4" w14:textId="77777777" w:rsidR="00614488" w:rsidRDefault="00614488">
      <w:r>
        <w:separator/>
      </w:r>
    </w:p>
  </w:endnote>
  <w:endnote w:type="continuationSeparator" w:id="0">
    <w:p w14:paraId="14D98546" w14:textId="77777777" w:rsidR="00614488" w:rsidRDefault="0061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FFF4" w14:textId="77777777" w:rsidR="00614488" w:rsidRPr="000F35ED" w:rsidRDefault="0061448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FF4931" w14:textId="77777777" w:rsidR="00614488" w:rsidRPr="000F35ED" w:rsidRDefault="00614488" w:rsidP="000F35ED">
      <w:pPr>
        <w:rPr>
          <w:rFonts w:asciiTheme="majorHAnsi" w:hAnsiTheme="majorHAnsi"/>
          <w:sz w:val="16"/>
          <w:szCs w:val="16"/>
        </w:rPr>
      </w:pPr>
      <w:r w:rsidRPr="000F35ED">
        <w:rPr>
          <w:rFonts w:asciiTheme="majorHAnsi" w:hAnsiTheme="majorHAnsi"/>
          <w:sz w:val="16"/>
          <w:szCs w:val="16"/>
        </w:rPr>
        <w:separator/>
      </w:r>
    </w:p>
    <w:p w14:paraId="40A7A5C8" w14:textId="77777777" w:rsidR="00614488" w:rsidRPr="000F35ED" w:rsidRDefault="0061448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7D2F63D" w14:textId="77777777" w:rsidR="00614488" w:rsidRPr="000F35ED" w:rsidRDefault="0061448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0B6BC2C" w14:textId="774B29C8" w:rsidR="00DC2237" w:rsidRPr="00C2554E" w:rsidRDefault="00DC2237" w:rsidP="006D397C">
      <w:pPr>
        <w:pStyle w:val="FootnoteText"/>
        <w:ind w:firstLine="720"/>
        <w:jc w:val="both"/>
        <w:rPr>
          <w:rFonts w:ascii="Cambria" w:hAnsi="Cambria"/>
          <w:color w:val="auto"/>
          <w:sz w:val="16"/>
          <w:szCs w:val="16"/>
          <w:lang w:val="es-VE"/>
        </w:rPr>
      </w:pPr>
      <w:r w:rsidRPr="00C2554E">
        <w:rPr>
          <w:rStyle w:val="FootnoteReference"/>
          <w:rFonts w:ascii="Cambria" w:hAnsi="Cambria"/>
          <w:color w:val="auto"/>
          <w:sz w:val="16"/>
          <w:szCs w:val="16"/>
        </w:rPr>
        <w:footnoteRef/>
      </w:r>
      <w:r w:rsidRPr="00C2554E">
        <w:rPr>
          <w:rFonts w:ascii="Cambria" w:hAnsi="Cambria"/>
          <w:color w:val="auto"/>
          <w:sz w:val="16"/>
          <w:szCs w:val="16"/>
          <w:lang w:val="es-VE"/>
        </w:rPr>
        <w:t xml:space="preserve"> La petición identifica a </w:t>
      </w:r>
      <w:r w:rsidR="006D397C" w:rsidRPr="00C2554E">
        <w:rPr>
          <w:rFonts w:ascii="Cambria" w:hAnsi="Cambria"/>
          <w:color w:val="auto"/>
          <w:sz w:val="16"/>
          <w:szCs w:val="16"/>
          <w:lang w:val="es-VE"/>
        </w:rPr>
        <w:t>Martha Lucía González Rodríguez</w:t>
      </w:r>
      <w:r w:rsidR="002F3220" w:rsidRPr="00C2554E">
        <w:rPr>
          <w:rFonts w:ascii="Cambria" w:hAnsi="Cambria"/>
          <w:color w:val="auto"/>
          <w:sz w:val="16"/>
          <w:szCs w:val="16"/>
          <w:lang w:val="es-VE"/>
        </w:rPr>
        <w:t xml:space="preserve">; </w:t>
      </w:r>
      <w:r w:rsidR="006D397C" w:rsidRPr="00C2554E">
        <w:rPr>
          <w:rFonts w:ascii="Cambria" w:hAnsi="Cambria"/>
          <w:color w:val="auto"/>
          <w:sz w:val="16"/>
          <w:szCs w:val="16"/>
          <w:lang w:val="es-VE"/>
        </w:rPr>
        <w:t>Álvaro Augusto González Rodríguez</w:t>
      </w:r>
      <w:r w:rsidR="002F3220" w:rsidRPr="00C2554E">
        <w:rPr>
          <w:rFonts w:ascii="Cambria" w:hAnsi="Cambria"/>
          <w:color w:val="auto"/>
          <w:sz w:val="16"/>
          <w:szCs w:val="16"/>
          <w:lang w:val="es-VE"/>
        </w:rPr>
        <w:t xml:space="preserve">; </w:t>
      </w:r>
      <w:r w:rsidR="006D397C" w:rsidRPr="00C2554E">
        <w:rPr>
          <w:rFonts w:ascii="Cambria" w:hAnsi="Cambria"/>
          <w:color w:val="auto"/>
          <w:sz w:val="16"/>
          <w:szCs w:val="16"/>
          <w:lang w:val="es-VE"/>
        </w:rPr>
        <w:t>Ligia Constanza González Rodríguez</w:t>
      </w:r>
      <w:r w:rsidR="002F3220" w:rsidRPr="00C2554E">
        <w:rPr>
          <w:rFonts w:ascii="Cambria" w:hAnsi="Cambria"/>
          <w:color w:val="auto"/>
          <w:sz w:val="16"/>
          <w:szCs w:val="16"/>
          <w:lang w:val="es-VE"/>
        </w:rPr>
        <w:t xml:space="preserve">; </w:t>
      </w:r>
      <w:r w:rsidR="006D397C" w:rsidRPr="00C2554E">
        <w:rPr>
          <w:rFonts w:ascii="Cambria" w:hAnsi="Cambria"/>
          <w:color w:val="auto"/>
          <w:sz w:val="16"/>
          <w:szCs w:val="16"/>
          <w:lang w:val="es-VE"/>
        </w:rPr>
        <w:t>Claudia María González Rodríguez</w:t>
      </w:r>
      <w:r w:rsidR="002F3220" w:rsidRPr="00C2554E">
        <w:rPr>
          <w:rFonts w:ascii="Cambria" w:hAnsi="Cambria"/>
          <w:color w:val="auto"/>
          <w:sz w:val="16"/>
          <w:szCs w:val="16"/>
          <w:lang w:val="es-VE"/>
        </w:rPr>
        <w:t>;</w:t>
      </w:r>
      <w:r w:rsidR="006D397C" w:rsidRPr="00C2554E">
        <w:rPr>
          <w:rFonts w:ascii="Cambria" w:hAnsi="Cambria"/>
          <w:color w:val="auto"/>
          <w:sz w:val="16"/>
          <w:szCs w:val="16"/>
          <w:lang w:val="es-VE"/>
        </w:rPr>
        <w:t xml:space="preserve"> Martha Rodríguez de</w:t>
      </w:r>
      <w:r w:rsidR="002F3220" w:rsidRPr="00C2554E">
        <w:rPr>
          <w:rFonts w:ascii="Cambria" w:hAnsi="Cambria"/>
          <w:color w:val="auto"/>
          <w:sz w:val="16"/>
          <w:szCs w:val="16"/>
          <w:lang w:val="es-VE"/>
        </w:rPr>
        <w:t xml:space="preserve"> </w:t>
      </w:r>
      <w:r w:rsidR="006D397C" w:rsidRPr="00C2554E">
        <w:rPr>
          <w:rFonts w:ascii="Cambria" w:hAnsi="Cambria"/>
          <w:color w:val="auto"/>
          <w:sz w:val="16"/>
          <w:szCs w:val="16"/>
          <w:lang w:val="es-VE"/>
        </w:rPr>
        <w:t>González</w:t>
      </w:r>
      <w:r w:rsidR="002F3220" w:rsidRPr="00C2554E">
        <w:rPr>
          <w:rFonts w:ascii="Cambria" w:hAnsi="Cambria"/>
          <w:color w:val="auto"/>
          <w:sz w:val="16"/>
          <w:szCs w:val="16"/>
          <w:lang w:val="es-VE"/>
        </w:rPr>
        <w:t xml:space="preserve">; y </w:t>
      </w:r>
      <w:r w:rsidR="006D397C" w:rsidRPr="00C2554E">
        <w:rPr>
          <w:rFonts w:ascii="Cambria" w:hAnsi="Cambria"/>
          <w:color w:val="auto"/>
          <w:sz w:val="16"/>
          <w:szCs w:val="16"/>
          <w:lang w:val="es-VE"/>
        </w:rPr>
        <w:t xml:space="preserve">Consuelo Gutiérrez </w:t>
      </w:r>
      <w:r w:rsidR="00C2554E" w:rsidRPr="00C2554E">
        <w:rPr>
          <w:rFonts w:ascii="Cambria" w:hAnsi="Cambria"/>
          <w:color w:val="auto"/>
          <w:sz w:val="16"/>
          <w:szCs w:val="16"/>
          <w:lang w:val="es-VE"/>
        </w:rPr>
        <w:t>Chavarría</w:t>
      </w:r>
      <w:r w:rsidR="002F3220" w:rsidRPr="00C2554E">
        <w:rPr>
          <w:rFonts w:ascii="Cambria" w:hAnsi="Cambria"/>
          <w:color w:val="auto"/>
          <w:sz w:val="16"/>
          <w:szCs w:val="16"/>
          <w:lang w:val="es-VE"/>
        </w:rPr>
        <w:t xml:space="preserve">. </w:t>
      </w:r>
    </w:p>
  </w:footnote>
  <w:footnote w:id="3">
    <w:p w14:paraId="66E930B8" w14:textId="48AA6542" w:rsidR="004A6A54" w:rsidRPr="00C2554E" w:rsidRDefault="004A6A54" w:rsidP="00A02768">
      <w:pPr>
        <w:pStyle w:val="FootnoteText"/>
        <w:ind w:firstLine="720"/>
        <w:jc w:val="both"/>
        <w:rPr>
          <w:rFonts w:ascii="Cambria" w:hAnsi="Cambria"/>
          <w:color w:val="auto"/>
          <w:sz w:val="16"/>
          <w:szCs w:val="16"/>
          <w:lang w:val="es-ES"/>
        </w:rPr>
      </w:pPr>
      <w:r w:rsidRPr="00C2554E">
        <w:rPr>
          <w:rStyle w:val="FootnoteReference"/>
          <w:rFonts w:ascii="Cambria" w:hAnsi="Cambria"/>
          <w:color w:val="auto"/>
          <w:sz w:val="16"/>
          <w:szCs w:val="16"/>
          <w:lang w:val="es-VE"/>
        </w:rPr>
        <w:footnoteRef/>
      </w:r>
      <w:r w:rsidRPr="00C2554E">
        <w:rPr>
          <w:rFonts w:ascii="Cambria" w:hAnsi="Cambria"/>
          <w:color w:val="auto"/>
          <w:sz w:val="16"/>
          <w:szCs w:val="16"/>
          <w:lang w:val="es-VE"/>
        </w:rPr>
        <w:t xml:space="preserve"> Conforme a lo dispuesto en el artículo 17.2.a del Reglamento de la Comisión, el Comisionado </w:t>
      </w:r>
      <w:r w:rsidR="00A02768" w:rsidRPr="00C2554E">
        <w:rPr>
          <w:rFonts w:ascii="Cambria" w:hAnsi="Cambria"/>
          <w:color w:val="auto"/>
          <w:sz w:val="16"/>
          <w:szCs w:val="16"/>
          <w:lang w:val="es-VE"/>
        </w:rPr>
        <w:t>Carlos Bernal Pulido</w:t>
      </w:r>
      <w:r w:rsidRPr="00C2554E">
        <w:rPr>
          <w:rFonts w:ascii="Cambria" w:hAnsi="Cambria"/>
          <w:color w:val="auto"/>
          <w:sz w:val="16"/>
          <w:szCs w:val="16"/>
          <w:lang w:val="es-VE"/>
        </w:rPr>
        <w:t>, de nacionalidad</w:t>
      </w:r>
      <w:r w:rsidRPr="00C2554E">
        <w:rPr>
          <w:rFonts w:ascii="Cambria" w:hAnsi="Cambria"/>
          <w:color w:val="auto"/>
          <w:sz w:val="16"/>
          <w:szCs w:val="16"/>
          <w:lang w:val="es-ES"/>
        </w:rPr>
        <w:t xml:space="preserve"> </w:t>
      </w:r>
      <w:r w:rsidR="00A02768" w:rsidRPr="00C2554E">
        <w:rPr>
          <w:rFonts w:ascii="Cambria" w:hAnsi="Cambria"/>
          <w:color w:val="auto"/>
          <w:sz w:val="16"/>
          <w:szCs w:val="16"/>
          <w:lang w:val="es-ES"/>
        </w:rPr>
        <w:t>colombiana</w:t>
      </w:r>
      <w:r w:rsidRPr="00C2554E">
        <w:rPr>
          <w:rFonts w:ascii="Cambria" w:hAnsi="Cambria"/>
          <w:color w:val="auto"/>
          <w:sz w:val="16"/>
          <w:szCs w:val="16"/>
          <w:lang w:val="es-ES"/>
        </w:rPr>
        <w:t>, no participó en el debate ni en la decisión del presente asunto.</w:t>
      </w:r>
    </w:p>
  </w:footnote>
  <w:footnote w:id="4">
    <w:p w14:paraId="46B26141" w14:textId="77777777" w:rsidR="00DC2237" w:rsidRPr="00854B39" w:rsidRDefault="00DC2237" w:rsidP="002F3220">
      <w:pPr>
        <w:pStyle w:val="FootnoteText"/>
        <w:ind w:firstLine="720"/>
        <w:jc w:val="both"/>
        <w:rPr>
          <w:rFonts w:ascii="Cambria" w:hAnsi="Cambria"/>
          <w:color w:val="auto"/>
          <w:sz w:val="16"/>
          <w:szCs w:val="16"/>
          <w:lang w:val="es-VE"/>
        </w:rPr>
      </w:pPr>
      <w:r w:rsidRPr="00854B39">
        <w:rPr>
          <w:rStyle w:val="FootnoteReference"/>
          <w:rFonts w:ascii="Cambria" w:hAnsi="Cambria"/>
          <w:color w:val="auto"/>
          <w:sz w:val="16"/>
          <w:szCs w:val="16"/>
        </w:rPr>
        <w:footnoteRef/>
      </w:r>
      <w:r w:rsidRPr="00854B39">
        <w:rPr>
          <w:rFonts w:ascii="Cambria" w:hAnsi="Cambria"/>
          <w:color w:val="auto"/>
          <w:sz w:val="16"/>
          <w:szCs w:val="16"/>
          <w:lang w:val="es-VE"/>
        </w:rPr>
        <w:t xml:space="preserve"> En adelante, “la Convención Americana” o “la Convención”. </w:t>
      </w:r>
    </w:p>
  </w:footnote>
  <w:footnote w:id="5">
    <w:p w14:paraId="1AFEF3B0" w14:textId="328B57FF" w:rsidR="008E3BFE" w:rsidRPr="00C2554E" w:rsidRDefault="008E3BFE" w:rsidP="002F3220">
      <w:pPr>
        <w:pStyle w:val="FootnoteText"/>
        <w:ind w:firstLine="720"/>
        <w:jc w:val="both"/>
        <w:rPr>
          <w:rFonts w:ascii="Cambria" w:hAnsi="Cambria"/>
          <w:color w:val="auto"/>
          <w:sz w:val="16"/>
          <w:szCs w:val="16"/>
          <w:lang w:val="es-ES"/>
        </w:rPr>
      </w:pPr>
      <w:r w:rsidRPr="00854B39">
        <w:rPr>
          <w:rStyle w:val="FootnoteReference"/>
          <w:rFonts w:ascii="Cambria" w:hAnsi="Cambria"/>
          <w:color w:val="auto"/>
          <w:sz w:val="16"/>
          <w:szCs w:val="16"/>
        </w:rPr>
        <w:footnoteRef/>
      </w:r>
      <w:r w:rsidRPr="00854B39">
        <w:rPr>
          <w:rFonts w:ascii="Cambria" w:hAnsi="Cambria"/>
          <w:color w:val="auto"/>
          <w:sz w:val="16"/>
          <w:szCs w:val="16"/>
          <w:lang w:val="es-ES"/>
        </w:rPr>
        <w:t xml:space="preserve"> Las observaciones de cada parte fueron debidamente trasladadas a la parte contraria</w:t>
      </w:r>
      <w:r w:rsidR="009A56CE" w:rsidRPr="00854B39">
        <w:rPr>
          <w:rFonts w:ascii="Cambria" w:hAnsi="Cambria"/>
          <w:color w:val="auto"/>
          <w:sz w:val="16"/>
          <w:szCs w:val="16"/>
          <w:lang w:val="es-ES"/>
        </w:rPr>
        <w:t xml:space="preserve">. </w:t>
      </w:r>
      <w:r w:rsidR="00F57A73" w:rsidRPr="00854B39">
        <w:rPr>
          <w:rFonts w:ascii="Cambria" w:hAnsi="Cambria"/>
          <w:color w:val="auto"/>
          <w:sz w:val="16"/>
          <w:szCs w:val="16"/>
          <w:lang w:val="es-ES"/>
        </w:rPr>
        <w:t>El</w:t>
      </w:r>
      <w:r w:rsidR="00F57A73" w:rsidRPr="00854B39">
        <w:rPr>
          <w:rFonts w:ascii="Cambria" w:hAnsi="Cambria"/>
          <w:bCs/>
          <w:color w:val="auto"/>
          <w:sz w:val="16"/>
          <w:szCs w:val="16"/>
          <w:lang w:val="es-VE"/>
        </w:rPr>
        <w:t xml:space="preserve"> 27 de enero y 28 de octubre de 2021 y el 11 de mayo de 2022, la parte peticionaria solicitó información a la CIDH sobre el estado procesal de la presente petición.</w:t>
      </w:r>
      <w:r w:rsidR="00F57A73">
        <w:rPr>
          <w:rFonts w:ascii="Cambria" w:hAnsi="Cambria"/>
          <w:bCs/>
          <w:color w:val="auto"/>
          <w:sz w:val="16"/>
          <w:szCs w:val="16"/>
          <w:lang w:val="es-VE"/>
        </w:rPr>
        <w:t xml:space="preserve"> </w:t>
      </w:r>
    </w:p>
  </w:footnote>
  <w:footnote w:id="6">
    <w:p w14:paraId="7E91CBA3" w14:textId="74D98A32" w:rsidR="00541676" w:rsidRPr="00541676" w:rsidRDefault="00541676" w:rsidP="00541676">
      <w:pPr>
        <w:pStyle w:val="FootnoteText"/>
        <w:ind w:firstLine="720"/>
        <w:jc w:val="both"/>
        <w:rPr>
          <w:rFonts w:ascii="Cambria" w:hAnsi="Cambria"/>
          <w:lang w:val="es-419"/>
        </w:rPr>
      </w:pPr>
      <w:r w:rsidRPr="00541676">
        <w:rPr>
          <w:rStyle w:val="FootnoteReference"/>
          <w:rFonts w:ascii="Cambria" w:hAnsi="Cambria"/>
          <w:sz w:val="16"/>
          <w:szCs w:val="16"/>
        </w:rPr>
        <w:footnoteRef/>
      </w:r>
      <w:r w:rsidRPr="00541676">
        <w:rPr>
          <w:rFonts w:ascii="Cambria" w:hAnsi="Cambria"/>
          <w:sz w:val="16"/>
          <w:szCs w:val="16"/>
          <w:lang w:val="es-419"/>
        </w:rPr>
        <w:t xml:space="preserve"> </w:t>
      </w:r>
      <w:r w:rsidR="0014033B" w:rsidRPr="0014033B">
        <w:rPr>
          <w:rFonts w:ascii="Cambria" w:hAnsi="Cambria"/>
          <w:sz w:val="16"/>
          <w:szCs w:val="16"/>
          <w:lang w:val="es-419"/>
        </w:rPr>
        <w:t>CIDH, Informe No. 8/22. Petición 1889-10. Admisibilidad. Jairo Rocha González y familia. Colombia. Jairo Rocha González y familia. 9 de febrero de 2022</w:t>
      </w:r>
      <w:r w:rsidR="0014033B">
        <w:rPr>
          <w:rFonts w:ascii="Cambria" w:hAnsi="Cambria"/>
          <w:sz w:val="16"/>
          <w:szCs w:val="16"/>
          <w:lang w:val="es-419"/>
        </w:rPr>
        <w:t xml:space="preserve">, párr. 13; y </w:t>
      </w:r>
      <w:r w:rsidRPr="00541676">
        <w:rPr>
          <w:rFonts w:ascii="Cambria" w:hAnsi="Cambria"/>
          <w:sz w:val="16"/>
          <w:szCs w:val="16"/>
          <w:lang w:val="es-419"/>
        </w:rPr>
        <w:t xml:space="preserve">CIDH, Informe No. 56/08, Petición 11.602. Admisibilidad. Trabajadores despedidos de Petróleos Del Perú (Petroperú) Zona Noroeste – Talara. </w:t>
      </w:r>
      <w:r w:rsidRPr="0069194D">
        <w:rPr>
          <w:rFonts w:ascii="Cambria" w:hAnsi="Cambria"/>
          <w:sz w:val="16"/>
          <w:szCs w:val="16"/>
          <w:lang w:val="es-419"/>
        </w:rPr>
        <w:t>Perú. 24 de julio de 2008, párr. 58.</w:t>
      </w:r>
    </w:p>
  </w:footnote>
  <w:footnote w:id="7">
    <w:p w14:paraId="2EF4FCBC" w14:textId="77777777" w:rsidR="003E0142" w:rsidRPr="00C2554E" w:rsidRDefault="003E0142" w:rsidP="003E0142">
      <w:pPr>
        <w:pStyle w:val="FootnoteText"/>
        <w:ind w:firstLine="720"/>
        <w:jc w:val="both"/>
        <w:rPr>
          <w:rFonts w:ascii="Cambria" w:hAnsi="Cambria"/>
          <w:color w:val="auto"/>
          <w:lang w:val="es-VE"/>
        </w:rPr>
      </w:pPr>
      <w:r w:rsidRPr="00C2554E">
        <w:rPr>
          <w:rStyle w:val="FootnoteReference"/>
          <w:rFonts w:ascii="Cambria" w:hAnsi="Cambria"/>
          <w:color w:val="auto"/>
          <w:sz w:val="16"/>
          <w:szCs w:val="16"/>
        </w:rPr>
        <w:footnoteRef/>
      </w:r>
      <w:r w:rsidRPr="00C2554E">
        <w:rPr>
          <w:rFonts w:ascii="Cambria" w:hAnsi="Cambria"/>
          <w:color w:val="auto"/>
          <w:sz w:val="16"/>
          <w:szCs w:val="16"/>
          <w:lang w:val="es-VE"/>
        </w:rPr>
        <w:t xml:space="preserve"> CIDH, Informe No. 137/111. Caso 10.738. Admisibilidad y Fondo. Carlos Augusto Rodríguez Vera y Otros (“Palacio de Justicia”). Colombia. 31 de octubre de 2011, párr. 121.</w:t>
      </w:r>
    </w:p>
  </w:footnote>
  <w:footnote w:id="8">
    <w:p w14:paraId="21796738" w14:textId="4EA9C75D" w:rsidR="00E63458" w:rsidRPr="00C2554E" w:rsidRDefault="00E63458" w:rsidP="00E63458">
      <w:pPr>
        <w:pStyle w:val="FootnoteText"/>
        <w:ind w:firstLine="720"/>
        <w:jc w:val="both"/>
        <w:rPr>
          <w:rFonts w:ascii="Cambria" w:hAnsi="Cambria"/>
          <w:color w:val="auto"/>
          <w:lang w:val="es-VE"/>
        </w:rPr>
      </w:pPr>
      <w:r w:rsidRPr="00C2554E">
        <w:rPr>
          <w:rStyle w:val="FootnoteReference"/>
          <w:rFonts w:ascii="Cambria" w:hAnsi="Cambria"/>
          <w:color w:val="auto"/>
          <w:sz w:val="16"/>
          <w:szCs w:val="16"/>
        </w:rPr>
        <w:footnoteRef/>
      </w:r>
      <w:r w:rsidRPr="00C2554E">
        <w:rPr>
          <w:rFonts w:ascii="Cambria" w:hAnsi="Cambria"/>
          <w:color w:val="auto"/>
          <w:sz w:val="16"/>
          <w:szCs w:val="16"/>
          <w:lang w:val="es-VE"/>
        </w:rPr>
        <w:t xml:space="preserve"> CIDH, Informe No. 89/18. Petición 1110-07. Admisibilidad. Juan Simón Cantillo Raigoza, Keyla Sandrith Cantillo Vides y Familia. Colombia. 27 de julio de 2018, párr. 10; CIDH, Informe No. 44/18. Admisibilidad. Masacre de Pijiguay. Colombia. 4 de mayo de 2018, párr. 11</w:t>
      </w:r>
      <w:r w:rsidR="00511993" w:rsidRPr="00C2554E">
        <w:rPr>
          <w:rFonts w:ascii="Cambria" w:hAnsi="Cambria"/>
          <w:color w:val="auto"/>
          <w:sz w:val="16"/>
          <w:szCs w:val="16"/>
          <w:lang w:val="es-VE"/>
        </w:rPr>
        <w:t xml:space="preserve">; </w:t>
      </w:r>
      <w:r w:rsidR="00511993" w:rsidRPr="00C2554E">
        <w:rPr>
          <w:rFonts w:ascii="Cambria" w:hAnsi="Cambria"/>
          <w:color w:val="auto"/>
          <w:sz w:val="16"/>
          <w:szCs w:val="16"/>
          <w:lang w:val="es-ES"/>
        </w:rPr>
        <w:t xml:space="preserve">CIDH, Informe No. 27/17, Petición 1653-07. Admisibilidad. Desplazamiento Forzado en Nueva Venecia, Caño El Clarín y Buena Vista. Colombia. 18 de marzo de 2017, párr.10; y </w:t>
      </w:r>
      <w:r w:rsidR="00511993" w:rsidRPr="00C2554E">
        <w:rPr>
          <w:rFonts w:ascii="Cambria" w:hAnsi="Cambria"/>
          <w:color w:val="auto"/>
          <w:sz w:val="16"/>
          <w:szCs w:val="16"/>
          <w:lang w:val="es-VE"/>
        </w:rPr>
        <w:t>CIDH, Informe No. 11/17. Admisibilidad. María Hilaria González Sierra y otros. Colombia. 27 de enero de 2017, párr. 4.</w:t>
      </w:r>
    </w:p>
  </w:footnote>
  <w:footnote w:id="9">
    <w:p w14:paraId="36529140" w14:textId="089063C1" w:rsidR="0068056A" w:rsidRPr="00BF59D2" w:rsidRDefault="0068056A" w:rsidP="00BF59D2">
      <w:pPr>
        <w:pStyle w:val="FootnoteText"/>
        <w:ind w:firstLine="720"/>
        <w:jc w:val="both"/>
        <w:rPr>
          <w:rFonts w:asciiTheme="majorHAnsi" w:hAnsiTheme="majorHAnsi"/>
          <w:lang w:val="es-CO"/>
        </w:rPr>
      </w:pPr>
      <w:r w:rsidRPr="000A2352">
        <w:rPr>
          <w:rStyle w:val="FootnoteReference"/>
          <w:rFonts w:asciiTheme="majorHAnsi" w:hAnsiTheme="majorHAnsi"/>
          <w:sz w:val="16"/>
          <w:szCs w:val="16"/>
        </w:rPr>
        <w:footnoteRef/>
      </w:r>
      <w:r w:rsidRPr="000D6605">
        <w:rPr>
          <w:rFonts w:asciiTheme="majorHAnsi" w:hAnsiTheme="majorHAnsi"/>
          <w:sz w:val="16"/>
          <w:szCs w:val="16"/>
          <w:lang w:val="es-CO"/>
        </w:rPr>
        <w:t xml:space="preserve"> </w:t>
      </w:r>
      <w:r w:rsidR="00BF59D2" w:rsidRPr="000D6605">
        <w:rPr>
          <w:rFonts w:asciiTheme="majorHAnsi" w:hAnsiTheme="majorHAnsi"/>
          <w:sz w:val="16"/>
          <w:szCs w:val="16"/>
          <w:lang w:val="es-CO"/>
        </w:rPr>
        <w:t xml:space="preserve">CIDH, Informe No. 235/22. Petición. 991-10. Admisibilidad. Fabián Andrés Cáceres </w:t>
      </w:r>
      <w:r w:rsidR="00BF59D2" w:rsidRPr="00BF59D2">
        <w:rPr>
          <w:rFonts w:asciiTheme="majorHAnsi" w:hAnsiTheme="majorHAnsi"/>
          <w:sz w:val="16"/>
          <w:szCs w:val="16"/>
          <w:lang w:val="es-CO"/>
        </w:rPr>
        <w:t>Palencia. Colombia. 15 de septiembre de 2022</w:t>
      </w:r>
      <w:r w:rsidR="00BF59D2">
        <w:rPr>
          <w:rFonts w:asciiTheme="majorHAnsi" w:hAnsiTheme="majorHAnsi"/>
          <w:sz w:val="16"/>
          <w:szCs w:val="16"/>
          <w:lang w:val="es-CO"/>
        </w:rPr>
        <w:t>, párr. 28.</w:t>
      </w:r>
    </w:p>
  </w:footnote>
  <w:footnote w:id="10">
    <w:p w14:paraId="681A383B" w14:textId="77777777" w:rsidR="005A6905" w:rsidRPr="00F92122" w:rsidRDefault="005A6905" w:rsidP="005A6905">
      <w:pPr>
        <w:pStyle w:val="FootnoteText"/>
        <w:ind w:firstLine="720"/>
        <w:jc w:val="both"/>
        <w:rPr>
          <w:rFonts w:asciiTheme="majorHAnsi" w:hAnsiTheme="majorHAnsi"/>
          <w:lang w:val="es-CO"/>
        </w:rPr>
      </w:pPr>
      <w:r w:rsidRPr="00F92122">
        <w:rPr>
          <w:rStyle w:val="FootnoteReference"/>
          <w:rFonts w:asciiTheme="majorHAnsi" w:hAnsiTheme="majorHAnsi"/>
          <w:sz w:val="16"/>
          <w:szCs w:val="16"/>
        </w:rPr>
        <w:footnoteRef/>
      </w:r>
      <w:r w:rsidRPr="00692802">
        <w:rPr>
          <w:rFonts w:asciiTheme="majorHAnsi" w:hAnsiTheme="majorHAnsi"/>
          <w:sz w:val="16"/>
          <w:szCs w:val="16"/>
          <w:lang w:val="es-CO"/>
        </w:rPr>
        <w:t xml:space="preserve"> </w:t>
      </w:r>
      <w:r>
        <w:rPr>
          <w:rFonts w:asciiTheme="majorHAnsi" w:hAnsiTheme="majorHAnsi"/>
          <w:sz w:val="16"/>
          <w:szCs w:val="16"/>
          <w:lang w:val="es-CO"/>
        </w:rPr>
        <w:t xml:space="preserve">CIDH, </w:t>
      </w:r>
      <w:r w:rsidRPr="004F6B8D">
        <w:rPr>
          <w:rFonts w:asciiTheme="majorHAnsi" w:hAnsiTheme="majorHAnsi"/>
          <w:sz w:val="16"/>
          <w:szCs w:val="16"/>
          <w:lang w:val="es-CO"/>
        </w:rPr>
        <w:t>Informe sobre la situación de personas defensoras de derechos humanos y líderes sociales en Colombi</w:t>
      </w:r>
      <w:r>
        <w:rPr>
          <w:rFonts w:asciiTheme="majorHAnsi" w:hAnsiTheme="majorHAnsi"/>
          <w:sz w:val="16"/>
          <w:szCs w:val="16"/>
          <w:lang w:val="es-CO"/>
        </w:rPr>
        <w:t xml:space="preserve">a, </w:t>
      </w:r>
      <w:r w:rsidRPr="0057654B">
        <w:rPr>
          <w:rFonts w:asciiTheme="majorHAnsi" w:hAnsiTheme="majorHAnsi"/>
          <w:sz w:val="16"/>
          <w:szCs w:val="16"/>
          <w:lang w:val="es-CO"/>
        </w:rPr>
        <w:t>OEA/Ser.L/V/II. Doc.262/19</w:t>
      </w:r>
      <w:r>
        <w:rPr>
          <w:rFonts w:asciiTheme="majorHAnsi" w:hAnsiTheme="majorHAnsi"/>
          <w:sz w:val="16"/>
          <w:szCs w:val="16"/>
          <w:lang w:val="es-CO"/>
        </w:rPr>
        <w:t>, 6 de diciembre de 2019, párr. 95, p</w:t>
      </w:r>
      <w:r w:rsidRPr="00692802">
        <w:rPr>
          <w:rFonts w:asciiTheme="majorHAnsi" w:hAnsiTheme="majorHAnsi"/>
          <w:sz w:val="16"/>
          <w:szCs w:val="16"/>
          <w:lang w:val="es-CO"/>
        </w:rPr>
        <w:t>árr. 155, citando</w:t>
      </w:r>
      <w:r>
        <w:rPr>
          <w:rFonts w:asciiTheme="majorHAnsi" w:hAnsiTheme="majorHAnsi"/>
          <w:sz w:val="16"/>
          <w:szCs w:val="16"/>
          <w:lang w:val="es-CO"/>
        </w:rPr>
        <w:t>:</w:t>
      </w:r>
      <w:r w:rsidRPr="00692802">
        <w:rPr>
          <w:rFonts w:asciiTheme="majorHAnsi" w:hAnsiTheme="majorHAnsi"/>
          <w:sz w:val="16"/>
          <w:szCs w:val="16"/>
          <w:lang w:val="es-CO"/>
        </w:rPr>
        <w:t xml:space="preserve"> CIDH, Informe sobre la situación de las defensoras y defensores de los derechos humanos en las Américas, OEA/Ser.L/V/II.124, 7 marzo 2006, párr. </w:t>
      </w:r>
      <w:r w:rsidRPr="00C84BF5">
        <w:rPr>
          <w:rFonts w:asciiTheme="majorHAnsi" w:hAnsiTheme="majorHAnsi"/>
          <w:sz w:val="16"/>
          <w:szCs w:val="16"/>
          <w:lang w:val="es-CO"/>
        </w:rPr>
        <w:t>202 y 203.</w:t>
      </w:r>
    </w:p>
  </w:footnote>
  <w:footnote w:id="11">
    <w:p w14:paraId="4189EF0D" w14:textId="04707861" w:rsidR="00D340CD" w:rsidRPr="00C2554E" w:rsidRDefault="00D340CD" w:rsidP="00D340CD">
      <w:pPr>
        <w:pStyle w:val="FootnoteText"/>
        <w:ind w:firstLine="720"/>
        <w:jc w:val="both"/>
        <w:rPr>
          <w:rFonts w:ascii="Cambria" w:hAnsi="Cambria"/>
          <w:color w:val="auto"/>
          <w:sz w:val="16"/>
          <w:szCs w:val="16"/>
          <w:lang w:val="es-ES"/>
        </w:rPr>
      </w:pPr>
      <w:r w:rsidRPr="00C2554E">
        <w:rPr>
          <w:rStyle w:val="FootnoteReference"/>
          <w:rFonts w:ascii="Cambria" w:hAnsi="Cambria"/>
          <w:color w:val="auto"/>
          <w:sz w:val="16"/>
          <w:szCs w:val="16"/>
        </w:rPr>
        <w:footnoteRef/>
      </w:r>
      <w:r w:rsidRPr="00C2554E">
        <w:rPr>
          <w:rFonts w:ascii="Cambria" w:hAnsi="Cambria"/>
          <w:color w:val="auto"/>
          <w:sz w:val="16"/>
          <w:szCs w:val="16"/>
          <w:lang w:val="es-ES"/>
        </w:rPr>
        <w:t xml:space="preserve"> CIDH, Informe No. 7/19. Petición 18-07. Admisibilidad. Masacre de Bocas de Aracataca. Colombia. 3 de febrero de 2019,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A77E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072BF6"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A4602C3"/>
    <w:multiLevelType w:val="multilevel"/>
    <w:tmpl w:val="663EB2F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646065"/>
    <w:multiLevelType w:val="hybridMultilevel"/>
    <w:tmpl w:val="35EACD20"/>
    <w:lvl w:ilvl="0" w:tplc="C4BE26A6">
      <w:start w:val="1"/>
      <w:numFmt w:val="upperRoman"/>
      <w:lvlText w:val="%1."/>
      <w:lvlJc w:val="left"/>
      <w:pPr>
        <w:ind w:left="135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7D2FB9"/>
    <w:multiLevelType w:val="hybridMultilevel"/>
    <w:tmpl w:val="4E9061D6"/>
    <w:lvl w:ilvl="0" w:tplc="C35297EA">
      <w:start w:val="1"/>
      <w:numFmt w:val="decimal"/>
      <w:lvlText w:val="%1."/>
      <w:lvlJc w:val="left"/>
      <w:pPr>
        <w:ind w:left="1440" w:hanging="720"/>
      </w:pPr>
      <w:rPr>
        <w:rFonts w:ascii="Cambria" w:hAnsi="Cambria" w:hint="default"/>
        <w:b w:val="0"/>
        <w:bCs w:val="0"/>
        <w:color w:val="auto"/>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78774D"/>
    <w:multiLevelType w:val="hybridMultilevel"/>
    <w:tmpl w:val="A77E170A"/>
    <w:lvl w:ilvl="0" w:tplc="CF129A88">
      <w:start w:val="1"/>
      <w:numFmt w:val="upperRoman"/>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6CC3363"/>
    <w:multiLevelType w:val="multilevel"/>
    <w:tmpl w:val="094030E4"/>
    <w:lvl w:ilvl="0">
      <w:start w:val="30"/>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23813702">
    <w:abstractNumId w:val="3"/>
  </w:num>
  <w:num w:numId="2" w16cid:durableId="1041251165">
    <w:abstractNumId w:val="4"/>
  </w:num>
  <w:num w:numId="3" w16cid:durableId="1463304228">
    <w:abstractNumId w:val="54"/>
  </w:num>
  <w:num w:numId="4" w16cid:durableId="1678534880">
    <w:abstractNumId w:val="20"/>
  </w:num>
  <w:num w:numId="5" w16cid:durableId="1308826846">
    <w:abstractNumId w:val="47"/>
  </w:num>
  <w:num w:numId="6" w16cid:durableId="306594849">
    <w:abstractNumId w:val="25"/>
  </w:num>
  <w:num w:numId="7" w16cid:durableId="823007222">
    <w:abstractNumId w:val="5"/>
  </w:num>
  <w:num w:numId="8" w16cid:durableId="1127628334">
    <w:abstractNumId w:val="16"/>
  </w:num>
  <w:num w:numId="9" w16cid:durableId="81724257">
    <w:abstractNumId w:val="41"/>
  </w:num>
  <w:num w:numId="10" w16cid:durableId="1257323148">
    <w:abstractNumId w:val="0"/>
  </w:num>
  <w:num w:numId="11" w16cid:durableId="97988431">
    <w:abstractNumId w:val="35"/>
  </w:num>
  <w:num w:numId="12" w16cid:durableId="612322228">
    <w:abstractNumId w:val="37"/>
  </w:num>
  <w:num w:numId="13" w16cid:durableId="379207487">
    <w:abstractNumId w:val="44"/>
  </w:num>
  <w:num w:numId="14" w16cid:durableId="2077508499">
    <w:abstractNumId w:val="1"/>
  </w:num>
  <w:num w:numId="15" w16cid:durableId="11802859">
    <w:abstractNumId w:val="2"/>
  </w:num>
  <w:num w:numId="16" w16cid:durableId="1261991648">
    <w:abstractNumId w:val="6"/>
  </w:num>
  <w:num w:numId="17" w16cid:durableId="1588690073">
    <w:abstractNumId w:val="7"/>
  </w:num>
  <w:num w:numId="18" w16cid:durableId="1269502830">
    <w:abstractNumId w:val="8"/>
  </w:num>
  <w:num w:numId="19" w16cid:durableId="1337732346">
    <w:abstractNumId w:val="9"/>
  </w:num>
  <w:num w:numId="20" w16cid:durableId="624626586">
    <w:abstractNumId w:val="10"/>
  </w:num>
  <w:num w:numId="21" w16cid:durableId="1696031108">
    <w:abstractNumId w:val="11"/>
  </w:num>
  <w:num w:numId="22" w16cid:durableId="948856316">
    <w:abstractNumId w:val="12"/>
  </w:num>
  <w:num w:numId="23" w16cid:durableId="1030296753">
    <w:abstractNumId w:val="13"/>
  </w:num>
  <w:num w:numId="24" w16cid:durableId="2064213607">
    <w:abstractNumId w:val="14"/>
  </w:num>
  <w:num w:numId="25" w16cid:durableId="1882399492">
    <w:abstractNumId w:val="17"/>
  </w:num>
  <w:num w:numId="26" w16cid:durableId="392432149">
    <w:abstractNumId w:val="18"/>
  </w:num>
  <w:num w:numId="27" w16cid:durableId="774716359">
    <w:abstractNumId w:val="21"/>
  </w:num>
  <w:num w:numId="28" w16cid:durableId="695427465">
    <w:abstractNumId w:val="22"/>
  </w:num>
  <w:num w:numId="29" w16cid:durableId="523910484">
    <w:abstractNumId w:val="23"/>
  </w:num>
  <w:num w:numId="30" w16cid:durableId="1376807356">
    <w:abstractNumId w:val="24"/>
  </w:num>
  <w:num w:numId="31" w16cid:durableId="513571197">
    <w:abstractNumId w:val="26"/>
  </w:num>
  <w:num w:numId="32" w16cid:durableId="1396126308">
    <w:abstractNumId w:val="27"/>
  </w:num>
  <w:num w:numId="33" w16cid:durableId="1430662293">
    <w:abstractNumId w:val="28"/>
  </w:num>
  <w:num w:numId="34" w16cid:durableId="1719430098">
    <w:abstractNumId w:val="29"/>
  </w:num>
  <w:num w:numId="35" w16cid:durableId="268900534">
    <w:abstractNumId w:val="30"/>
  </w:num>
  <w:num w:numId="36" w16cid:durableId="517160256">
    <w:abstractNumId w:val="31"/>
  </w:num>
  <w:num w:numId="37" w16cid:durableId="1914318041">
    <w:abstractNumId w:val="32"/>
  </w:num>
  <w:num w:numId="38" w16cid:durableId="1840077315">
    <w:abstractNumId w:val="33"/>
  </w:num>
  <w:num w:numId="39" w16cid:durableId="1881935224">
    <w:abstractNumId w:val="38"/>
  </w:num>
  <w:num w:numId="40" w16cid:durableId="1802260231">
    <w:abstractNumId w:val="39"/>
  </w:num>
  <w:num w:numId="41" w16cid:durableId="686248161">
    <w:abstractNumId w:val="46"/>
  </w:num>
  <w:num w:numId="42" w16cid:durableId="1045838044">
    <w:abstractNumId w:val="48"/>
  </w:num>
  <w:num w:numId="43" w16cid:durableId="827793502">
    <w:abstractNumId w:val="49"/>
  </w:num>
  <w:num w:numId="44" w16cid:durableId="1154493233">
    <w:abstractNumId w:val="51"/>
  </w:num>
  <w:num w:numId="45" w16cid:durableId="367990263">
    <w:abstractNumId w:val="53"/>
  </w:num>
  <w:num w:numId="46" w16cid:durableId="300383131">
    <w:abstractNumId w:val="55"/>
  </w:num>
  <w:num w:numId="47" w16cid:durableId="1980727129">
    <w:abstractNumId w:val="56"/>
  </w:num>
  <w:num w:numId="48" w16cid:durableId="542256022">
    <w:abstractNumId w:val="57"/>
  </w:num>
  <w:num w:numId="49" w16cid:durableId="1093432574">
    <w:abstractNumId w:val="58"/>
  </w:num>
  <w:num w:numId="50" w16cid:durableId="291205209">
    <w:abstractNumId w:val="59"/>
  </w:num>
  <w:num w:numId="51" w16cid:durableId="242187519">
    <w:abstractNumId w:val="19"/>
  </w:num>
  <w:num w:numId="52" w16cid:durableId="1544900261">
    <w:abstractNumId w:val="40"/>
  </w:num>
  <w:num w:numId="53" w16cid:durableId="2065711224">
    <w:abstractNumId w:val="50"/>
  </w:num>
  <w:num w:numId="54" w16cid:durableId="1151484789">
    <w:abstractNumId w:val="45"/>
  </w:num>
  <w:num w:numId="55" w16cid:durableId="1791438756">
    <w:abstractNumId w:val="42"/>
  </w:num>
  <w:num w:numId="56" w16cid:durableId="972097111">
    <w:abstractNumId w:val="43"/>
  </w:num>
  <w:num w:numId="57" w16cid:durableId="842743688">
    <w:abstractNumId w:val="36"/>
  </w:num>
  <w:num w:numId="58" w16cid:durableId="2021421225">
    <w:abstractNumId w:val="52"/>
  </w:num>
  <w:num w:numId="59" w16cid:durableId="854539770">
    <w:abstractNumId w:val="15"/>
  </w:num>
  <w:num w:numId="60" w16cid:durableId="1242447335">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sjA0MzExMjA3NTFQ0lEKTi0uzszPAykwrwUAZUBqdywAAAA="/>
  </w:docVars>
  <w:rsids>
    <w:rsidRoot w:val="006B2D5C"/>
    <w:rsid w:val="0000036F"/>
    <w:rsid w:val="00000CDA"/>
    <w:rsid w:val="00005667"/>
    <w:rsid w:val="00006E1F"/>
    <w:rsid w:val="000070D7"/>
    <w:rsid w:val="00010A7C"/>
    <w:rsid w:val="000147AC"/>
    <w:rsid w:val="0001788C"/>
    <w:rsid w:val="00023791"/>
    <w:rsid w:val="0002644B"/>
    <w:rsid w:val="000337EF"/>
    <w:rsid w:val="00036257"/>
    <w:rsid w:val="00037147"/>
    <w:rsid w:val="00040C3A"/>
    <w:rsid w:val="000419AD"/>
    <w:rsid w:val="000433C9"/>
    <w:rsid w:val="000451AF"/>
    <w:rsid w:val="00065AFF"/>
    <w:rsid w:val="000665FD"/>
    <w:rsid w:val="0006664B"/>
    <w:rsid w:val="00071174"/>
    <w:rsid w:val="000716C5"/>
    <w:rsid w:val="00072BF6"/>
    <w:rsid w:val="00075E23"/>
    <w:rsid w:val="00076487"/>
    <w:rsid w:val="00090DBB"/>
    <w:rsid w:val="0009344A"/>
    <w:rsid w:val="00094311"/>
    <w:rsid w:val="000A05D7"/>
    <w:rsid w:val="000A2352"/>
    <w:rsid w:val="000A392E"/>
    <w:rsid w:val="000A460B"/>
    <w:rsid w:val="000A575F"/>
    <w:rsid w:val="000A70AE"/>
    <w:rsid w:val="000B03C1"/>
    <w:rsid w:val="000B1635"/>
    <w:rsid w:val="000B6E70"/>
    <w:rsid w:val="000C5783"/>
    <w:rsid w:val="000C71CB"/>
    <w:rsid w:val="000D05CB"/>
    <w:rsid w:val="000D10DB"/>
    <w:rsid w:val="000D22DC"/>
    <w:rsid w:val="000D573E"/>
    <w:rsid w:val="000D6605"/>
    <w:rsid w:val="000D6F71"/>
    <w:rsid w:val="000E5EB5"/>
    <w:rsid w:val="000E7A3D"/>
    <w:rsid w:val="000F24A0"/>
    <w:rsid w:val="000F35ED"/>
    <w:rsid w:val="001004FE"/>
    <w:rsid w:val="00106262"/>
    <w:rsid w:val="00106EB5"/>
    <w:rsid w:val="00107131"/>
    <w:rsid w:val="0010736F"/>
    <w:rsid w:val="00113F73"/>
    <w:rsid w:val="00121CC2"/>
    <w:rsid w:val="0012483A"/>
    <w:rsid w:val="00125BCA"/>
    <w:rsid w:val="00131425"/>
    <w:rsid w:val="00133EE5"/>
    <w:rsid w:val="0014033B"/>
    <w:rsid w:val="00144E8E"/>
    <w:rsid w:val="0014507C"/>
    <w:rsid w:val="001637EF"/>
    <w:rsid w:val="00167A34"/>
    <w:rsid w:val="00182EAB"/>
    <w:rsid w:val="0019176E"/>
    <w:rsid w:val="00193745"/>
    <w:rsid w:val="001946A7"/>
    <w:rsid w:val="001978B5"/>
    <w:rsid w:val="001A1963"/>
    <w:rsid w:val="001A2788"/>
    <w:rsid w:val="001A520D"/>
    <w:rsid w:val="001A6B48"/>
    <w:rsid w:val="001A7870"/>
    <w:rsid w:val="001B3A00"/>
    <w:rsid w:val="001B478B"/>
    <w:rsid w:val="001B6E08"/>
    <w:rsid w:val="001C1B41"/>
    <w:rsid w:val="001D0926"/>
    <w:rsid w:val="001D504A"/>
    <w:rsid w:val="001D57DD"/>
    <w:rsid w:val="001D65EF"/>
    <w:rsid w:val="001D7F96"/>
    <w:rsid w:val="001E4941"/>
    <w:rsid w:val="001E49E7"/>
    <w:rsid w:val="001F7201"/>
    <w:rsid w:val="001F729F"/>
    <w:rsid w:val="002022AA"/>
    <w:rsid w:val="002179D2"/>
    <w:rsid w:val="00223A29"/>
    <w:rsid w:val="002250A3"/>
    <w:rsid w:val="0022728F"/>
    <w:rsid w:val="00232C25"/>
    <w:rsid w:val="002338E4"/>
    <w:rsid w:val="00235217"/>
    <w:rsid w:val="00235F1C"/>
    <w:rsid w:val="00245F9C"/>
    <w:rsid w:val="00246D1F"/>
    <w:rsid w:val="00247403"/>
    <w:rsid w:val="00247542"/>
    <w:rsid w:val="0025205D"/>
    <w:rsid w:val="00254005"/>
    <w:rsid w:val="00257251"/>
    <w:rsid w:val="00266B61"/>
    <w:rsid w:val="0026712A"/>
    <w:rsid w:val="002704DB"/>
    <w:rsid w:val="002966A3"/>
    <w:rsid w:val="002A0AAE"/>
    <w:rsid w:val="002A4B48"/>
    <w:rsid w:val="002A5820"/>
    <w:rsid w:val="002A610D"/>
    <w:rsid w:val="002B637C"/>
    <w:rsid w:val="002B6BF0"/>
    <w:rsid w:val="002C5AFC"/>
    <w:rsid w:val="002C7E2E"/>
    <w:rsid w:val="002D11B8"/>
    <w:rsid w:val="002D2B26"/>
    <w:rsid w:val="002D73A0"/>
    <w:rsid w:val="002D7EA2"/>
    <w:rsid w:val="002E187C"/>
    <w:rsid w:val="002E4647"/>
    <w:rsid w:val="002F12C9"/>
    <w:rsid w:val="002F2E74"/>
    <w:rsid w:val="002F3220"/>
    <w:rsid w:val="003021C2"/>
    <w:rsid w:val="00302733"/>
    <w:rsid w:val="00305835"/>
    <w:rsid w:val="00306F33"/>
    <w:rsid w:val="0031035B"/>
    <w:rsid w:val="00314078"/>
    <w:rsid w:val="0031535D"/>
    <w:rsid w:val="00320DBA"/>
    <w:rsid w:val="00320FF5"/>
    <w:rsid w:val="003239B8"/>
    <w:rsid w:val="0033169F"/>
    <w:rsid w:val="003338BD"/>
    <w:rsid w:val="0033716B"/>
    <w:rsid w:val="00344977"/>
    <w:rsid w:val="00346C95"/>
    <w:rsid w:val="00353389"/>
    <w:rsid w:val="00354CF2"/>
    <w:rsid w:val="00356185"/>
    <w:rsid w:val="00360380"/>
    <w:rsid w:val="00362EA1"/>
    <w:rsid w:val="00367D13"/>
    <w:rsid w:val="00370B2B"/>
    <w:rsid w:val="0037519E"/>
    <w:rsid w:val="003770CE"/>
    <w:rsid w:val="00377EA7"/>
    <w:rsid w:val="00383B30"/>
    <w:rsid w:val="00386CF0"/>
    <w:rsid w:val="00387393"/>
    <w:rsid w:val="00392858"/>
    <w:rsid w:val="00394073"/>
    <w:rsid w:val="003A021B"/>
    <w:rsid w:val="003B2D07"/>
    <w:rsid w:val="003B70FB"/>
    <w:rsid w:val="003C1101"/>
    <w:rsid w:val="003C5B9E"/>
    <w:rsid w:val="003C676B"/>
    <w:rsid w:val="003D0C32"/>
    <w:rsid w:val="003D1811"/>
    <w:rsid w:val="003D3BC2"/>
    <w:rsid w:val="003D6591"/>
    <w:rsid w:val="003E0142"/>
    <w:rsid w:val="003E2E34"/>
    <w:rsid w:val="003E3FF5"/>
    <w:rsid w:val="003E6CA1"/>
    <w:rsid w:val="003F1AF7"/>
    <w:rsid w:val="003F5154"/>
    <w:rsid w:val="00401459"/>
    <w:rsid w:val="0040257C"/>
    <w:rsid w:val="00405F9C"/>
    <w:rsid w:val="004065A8"/>
    <w:rsid w:val="00407BBC"/>
    <w:rsid w:val="0041104D"/>
    <w:rsid w:val="004165C2"/>
    <w:rsid w:val="004241A0"/>
    <w:rsid w:val="00441ECB"/>
    <w:rsid w:val="00445193"/>
    <w:rsid w:val="0044747B"/>
    <w:rsid w:val="00453FB1"/>
    <w:rsid w:val="00454302"/>
    <w:rsid w:val="004613D5"/>
    <w:rsid w:val="00462C1B"/>
    <w:rsid w:val="00467B7E"/>
    <w:rsid w:val="004720EC"/>
    <w:rsid w:val="00472D5C"/>
    <w:rsid w:val="00473BB4"/>
    <w:rsid w:val="00477592"/>
    <w:rsid w:val="00477AE2"/>
    <w:rsid w:val="0048521A"/>
    <w:rsid w:val="0048587B"/>
    <w:rsid w:val="00486F1C"/>
    <w:rsid w:val="0049419D"/>
    <w:rsid w:val="004A057B"/>
    <w:rsid w:val="004A2134"/>
    <w:rsid w:val="004A6A54"/>
    <w:rsid w:val="004B421C"/>
    <w:rsid w:val="004B4490"/>
    <w:rsid w:val="004B4638"/>
    <w:rsid w:val="004C20D2"/>
    <w:rsid w:val="004C2312"/>
    <w:rsid w:val="004C4B62"/>
    <w:rsid w:val="004C54C9"/>
    <w:rsid w:val="004D4ABA"/>
    <w:rsid w:val="004D6025"/>
    <w:rsid w:val="004E2649"/>
    <w:rsid w:val="004E75DB"/>
    <w:rsid w:val="004F626F"/>
    <w:rsid w:val="00501399"/>
    <w:rsid w:val="005047ED"/>
    <w:rsid w:val="0050633D"/>
    <w:rsid w:val="0050693A"/>
    <w:rsid w:val="00507BC4"/>
    <w:rsid w:val="00511993"/>
    <w:rsid w:val="00511CE1"/>
    <w:rsid w:val="005128E4"/>
    <w:rsid w:val="005133DB"/>
    <w:rsid w:val="00514504"/>
    <w:rsid w:val="00521E1F"/>
    <w:rsid w:val="00523AF6"/>
    <w:rsid w:val="00524D35"/>
    <w:rsid w:val="00525560"/>
    <w:rsid w:val="00526992"/>
    <w:rsid w:val="0052756F"/>
    <w:rsid w:val="00541676"/>
    <w:rsid w:val="00542C16"/>
    <w:rsid w:val="00543A1B"/>
    <w:rsid w:val="00544C49"/>
    <w:rsid w:val="00546C97"/>
    <w:rsid w:val="005516A1"/>
    <w:rsid w:val="005559EF"/>
    <w:rsid w:val="00560A82"/>
    <w:rsid w:val="00563557"/>
    <w:rsid w:val="0057402A"/>
    <w:rsid w:val="005771D0"/>
    <w:rsid w:val="0058163B"/>
    <w:rsid w:val="005853A8"/>
    <w:rsid w:val="00587D46"/>
    <w:rsid w:val="0059191A"/>
    <w:rsid w:val="005921FF"/>
    <w:rsid w:val="005973E4"/>
    <w:rsid w:val="005A24ED"/>
    <w:rsid w:val="005A3C33"/>
    <w:rsid w:val="005A6905"/>
    <w:rsid w:val="005A6D0E"/>
    <w:rsid w:val="005B0535"/>
    <w:rsid w:val="005B1FBD"/>
    <w:rsid w:val="005B430D"/>
    <w:rsid w:val="005B43DA"/>
    <w:rsid w:val="005B52B0"/>
    <w:rsid w:val="005B6806"/>
    <w:rsid w:val="005C4225"/>
    <w:rsid w:val="005D4C9D"/>
    <w:rsid w:val="005D5B30"/>
    <w:rsid w:val="005E1B7B"/>
    <w:rsid w:val="005F0DAD"/>
    <w:rsid w:val="005F0F33"/>
    <w:rsid w:val="00600DEB"/>
    <w:rsid w:val="006064E1"/>
    <w:rsid w:val="0061102F"/>
    <w:rsid w:val="00614488"/>
    <w:rsid w:val="00616114"/>
    <w:rsid w:val="006230B8"/>
    <w:rsid w:val="00627C9F"/>
    <w:rsid w:val="006311E9"/>
    <w:rsid w:val="00632354"/>
    <w:rsid w:val="00634C59"/>
    <w:rsid w:val="00635421"/>
    <w:rsid w:val="00642810"/>
    <w:rsid w:val="00652333"/>
    <w:rsid w:val="006630E7"/>
    <w:rsid w:val="00664297"/>
    <w:rsid w:val="006678FC"/>
    <w:rsid w:val="006706B9"/>
    <w:rsid w:val="006778D3"/>
    <w:rsid w:val="0068009E"/>
    <w:rsid w:val="0068056A"/>
    <w:rsid w:val="006836D6"/>
    <w:rsid w:val="00690B03"/>
    <w:rsid w:val="0069194D"/>
    <w:rsid w:val="00692219"/>
    <w:rsid w:val="00697032"/>
    <w:rsid w:val="006A17D2"/>
    <w:rsid w:val="006A73E6"/>
    <w:rsid w:val="006B2D5C"/>
    <w:rsid w:val="006C0542"/>
    <w:rsid w:val="006C0ECF"/>
    <w:rsid w:val="006C4EB1"/>
    <w:rsid w:val="006D071B"/>
    <w:rsid w:val="006D397C"/>
    <w:rsid w:val="006E0166"/>
    <w:rsid w:val="006E2FFB"/>
    <w:rsid w:val="006E3621"/>
    <w:rsid w:val="006E3EAB"/>
    <w:rsid w:val="006E7B34"/>
    <w:rsid w:val="006F081A"/>
    <w:rsid w:val="006F4353"/>
    <w:rsid w:val="006F68D1"/>
    <w:rsid w:val="00701BFA"/>
    <w:rsid w:val="0070697F"/>
    <w:rsid w:val="007103C4"/>
    <w:rsid w:val="007129C2"/>
    <w:rsid w:val="00714167"/>
    <w:rsid w:val="00721835"/>
    <w:rsid w:val="0072199C"/>
    <w:rsid w:val="00722C9F"/>
    <w:rsid w:val="007251A6"/>
    <w:rsid w:val="007253B8"/>
    <w:rsid w:val="00730EA7"/>
    <w:rsid w:val="00735B62"/>
    <w:rsid w:val="0073741F"/>
    <w:rsid w:val="0076072A"/>
    <w:rsid w:val="0076115F"/>
    <w:rsid w:val="007622A9"/>
    <w:rsid w:val="007650BE"/>
    <w:rsid w:val="00766179"/>
    <w:rsid w:val="0076643F"/>
    <w:rsid w:val="00766839"/>
    <w:rsid w:val="007743CE"/>
    <w:rsid w:val="00776F8C"/>
    <w:rsid w:val="00777F63"/>
    <w:rsid w:val="007815CE"/>
    <w:rsid w:val="007916E7"/>
    <w:rsid w:val="00792B43"/>
    <w:rsid w:val="00795FB6"/>
    <w:rsid w:val="007971F1"/>
    <w:rsid w:val="00797EED"/>
    <w:rsid w:val="007A3B13"/>
    <w:rsid w:val="007A5817"/>
    <w:rsid w:val="007B05C4"/>
    <w:rsid w:val="007B0B86"/>
    <w:rsid w:val="007B60E9"/>
    <w:rsid w:val="007B637C"/>
    <w:rsid w:val="007B6CC3"/>
    <w:rsid w:val="007B76D3"/>
    <w:rsid w:val="007C3334"/>
    <w:rsid w:val="007D2B98"/>
    <w:rsid w:val="007E0C63"/>
    <w:rsid w:val="007E21BC"/>
    <w:rsid w:val="007E785F"/>
    <w:rsid w:val="007E7C82"/>
    <w:rsid w:val="007F2AA1"/>
    <w:rsid w:val="007F588D"/>
    <w:rsid w:val="00801C0F"/>
    <w:rsid w:val="00803F1C"/>
    <w:rsid w:val="0080600E"/>
    <w:rsid w:val="00806E22"/>
    <w:rsid w:val="00814688"/>
    <w:rsid w:val="0081700E"/>
    <w:rsid w:val="00817612"/>
    <w:rsid w:val="00823D54"/>
    <w:rsid w:val="008338A4"/>
    <w:rsid w:val="00834D49"/>
    <w:rsid w:val="00837C45"/>
    <w:rsid w:val="00840778"/>
    <w:rsid w:val="008407BE"/>
    <w:rsid w:val="0084156A"/>
    <w:rsid w:val="00842092"/>
    <w:rsid w:val="00844730"/>
    <w:rsid w:val="008457C2"/>
    <w:rsid w:val="00846DFD"/>
    <w:rsid w:val="00850E19"/>
    <w:rsid w:val="008545C3"/>
    <w:rsid w:val="00854B39"/>
    <w:rsid w:val="00857070"/>
    <w:rsid w:val="00857A82"/>
    <w:rsid w:val="00871FD1"/>
    <w:rsid w:val="00873836"/>
    <w:rsid w:val="00881FAF"/>
    <w:rsid w:val="00885737"/>
    <w:rsid w:val="00890650"/>
    <w:rsid w:val="0089270C"/>
    <w:rsid w:val="008944DC"/>
    <w:rsid w:val="00895149"/>
    <w:rsid w:val="00895ADB"/>
    <w:rsid w:val="00897E12"/>
    <w:rsid w:val="008A11C3"/>
    <w:rsid w:val="008A5851"/>
    <w:rsid w:val="008A7BE9"/>
    <w:rsid w:val="008A7E0F"/>
    <w:rsid w:val="008B12F5"/>
    <w:rsid w:val="008C0C37"/>
    <w:rsid w:val="008C30CB"/>
    <w:rsid w:val="008C4539"/>
    <w:rsid w:val="008C5926"/>
    <w:rsid w:val="008C5E2D"/>
    <w:rsid w:val="008D0E80"/>
    <w:rsid w:val="008D2F92"/>
    <w:rsid w:val="008D5D09"/>
    <w:rsid w:val="008D64D5"/>
    <w:rsid w:val="008D768D"/>
    <w:rsid w:val="008E12D4"/>
    <w:rsid w:val="008E3759"/>
    <w:rsid w:val="008E3BFE"/>
    <w:rsid w:val="008F0C33"/>
    <w:rsid w:val="008F1912"/>
    <w:rsid w:val="008F2DB9"/>
    <w:rsid w:val="0090270B"/>
    <w:rsid w:val="009041DC"/>
    <w:rsid w:val="00910CD6"/>
    <w:rsid w:val="00910DE2"/>
    <w:rsid w:val="00917B5A"/>
    <w:rsid w:val="00917E71"/>
    <w:rsid w:val="00920A58"/>
    <w:rsid w:val="00920A8C"/>
    <w:rsid w:val="00926DCA"/>
    <w:rsid w:val="00930389"/>
    <w:rsid w:val="00930836"/>
    <w:rsid w:val="00934A2C"/>
    <w:rsid w:val="00941A59"/>
    <w:rsid w:val="0094411C"/>
    <w:rsid w:val="009445C6"/>
    <w:rsid w:val="00954D86"/>
    <w:rsid w:val="00957799"/>
    <w:rsid w:val="00957DF1"/>
    <w:rsid w:val="009658A5"/>
    <w:rsid w:val="00966EFD"/>
    <w:rsid w:val="0096706E"/>
    <w:rsid w:val="0097044D"/>
    <w:rsid w:val="00970475"/>
    <w:rsid w:val="00974491"/>
    <w:rsid w:val="009746BC"/>
    <w:rsid w:val="00975C4E"/>
    <w:rsid w:val="00980C26"/>
    <w:rsid w:val="00981FBA"/>
    <w:rsid w:val="00986BEE"/>
    <w:rsid w:val="00997A2E"/>
    <w:rsid w:val="00997BC5"/>
    <w:rsid w:val="009A4F41"/>
    <w:rsid w:val="009A56CE"/>
    <w:rsid w:val="009A7D3B"/>
    <w:rsid w:val="009B0D1D"/>
    <w:rsid w:val="009B1A37"/>
    <w:rsid w:val="009B381B"/>
    <w:rsid w:val="009B765F"/>
    <w:rsid w:val="009C0AEF"/>
    <w:rsid w:val="009C75EB"/>
    <w:rsid w:val="009D1753"/>
    <w:rsid w:val="009D7611"/>
    <w:rsid w:val="009E0B61"/>
    <w:rsid w:val="009E0DB6"/>
    <w:rsid w:val="009E2284"/>
    <w:rsid w:val="009E2B10"/>
    <w:rsid w:val="009E454A"/>
    <w:rsid w:val="009E53DE"/>
    <w:rsid w:val="009E56CC"/>
    <w:rsid w:val="009F5246"/>
    <w:rsid w:val="00A0157B"/>
    <w:rsid w:val="00A02665"/>
    <w:rsid w:val="00A02768"/>
    <w:rsid w:val="00A11212"/>
    <w:rsid w:val="00A11E44"/>
    <w:rsid w:val="00A12048"/>
    <w:rsid w:val="00A1217B"/>
    <w:rsid w:val="00A15562"/>
    <w:rsid w:val="00A30100"/>
    <w:rsid w:val="00A328B3"/>
    <w:rsid w:val="00A4134F"/>
    <w:rsid w:val="00A42A54"/>
    <w:rsid w:val="00A45DB2"/>
    <w:rsid w:val="00A4734E"/>
    <w:rsid w:val="00A50FCF"/>
    <w:rsid w:val="00A528D1"/>
    <w:rsid w:val="00A610CD"/>
    <w:rsid w:val="00A678EE"/>
    <w:rsid w:val="00A71D96"/>
    <w:rsid w:val="00A758AA"/>
    <w:rsid w:val="00A76A0D"/>
    <w:rsid w:val="00A77E85"/>
    <w:rsid w:val="00A80D5E"/>
    <w:rsid w:val="00AA09A2"/>
    <w:rsid w:val="00AA1A96"/>
    <w:rsid w:val="00AA5D49"/>
    <w:rsid w:val="00AA7996"/>
    <w:rsid w:val="00AA7D77"/>
    <w:rsid w:val="00AB5CC9"/>
    <w:rsid w:val="00AC19CB"/>
    <w:rsid w:val="00AD20C7"/>
    <w:rsid w:val="00AE180D"/>
    <w:rsid w:val="00AE5488"/>
    <w:rsid w:val="00AE6F91"/>
    <w:rsid w:val="00AF4E7F"/>
    <w:rsid w:val="00AF5571"/>
    <w:rsid w:val="00B01F18"/>
    <w:rsid w:val="00B04818"/>
    <w:rsid w:val="00B07341"/>
    <w:rsid w:val="00B25229"/>
    <w:rsid w:val="00B25735"/>
    <w:rsid w:val="00B30539"/>
    <w:rsid w:val="00B314DB"/>
    <w:rsid w:val="00B35293"/>
    <w:rsid w:val="00B361F2"/>
    <w:rsid w:val="00B36CFA"/>
    <w:rsid w:val="00B3718B"/>
    <w:rsid w:val="00B3745F"/>
    <w:rsid w:val="00B4632A"/>
    <w:rsid w:val="00B50157"/>
    <w:rsid w:val="00B50360"/>
    <w:rsid w:val="00B5177B"/>
    <w:rsid w:val="00B530F1"/>
    <w:rsid w:val="00B53500"/>
    <w:rsid w:val="00B66EDD"/>
    <w:rsid w:val="00B71E60"/>
    <w:rsid w:val="00B81AC6"/>
    <w:rsid w:val="00B8277F"/>
    <w:rsid w:val="00B93D7F"/>
    <w:rsid w:val="00B94402"/>
    <w:rsid w:val="00B962CB"/>
    <w:rsid w:val="00B97760"/>
    <w:rsid w:val="00BA276C"/>
    <w:rsid w:val="00BB019D"/>
    <w:rsid w:val="00BB306F"/>
    <w:rsid w:val="00BC00CC"/>
    <w:rsid w:val="00BC2A4E"/>
    <w:rsid w:val="00BD0BCE"/>
    <w:rsid w:val="00BD0FF5"/>
    <w:rsid w:val="00BD4B89"/>
    <w:rsid w:val="00BD5922"/>
    <w:rsid w:val="00BD690C"/>
    <w:rsid w:val="00BD72EF"/>
    <w:rsid w:val="00BE19DB"/>
    <w:rsid w:val="00BE3E29"/>
    <w:rsid w:val="00BE5F7B"/>
    <w:rsid w:val="00BF02CB"/>
    <w:rsid w:val="00BF59D2"/>
    <w:rsid w:val="00BF5A43"/>
    <w:rsid w:val="00BF6FD8"/>
    <w:rsid w:val="00C017D7"/>
    <w:rsid w:val="00C03680"/>
    <w:rsid w:val="00C0522C"/>
    <w:rsid w:val="00C054DF"/>
    <w:rsid w:val="00C05CF3"/>
    <w:rsid w:val="00C15355"/>
    <w:rsid w:val="00C21762"/>
    <w:rsid w:val="00C21FEF"/>
    <w:rsid w:val="00C23BA4"/>
    <w:rsid w:val="00C23F3E"/>
    <w:rsid w:val="00C24543"/>
    <w:rsid w:val="00C2554E"/>
    <w:rsid w:val="00C2563A"/>
    <w:rsid w:val="00C256A2"/>
    <w:rsid w:val="00C25ADB"/>
    <w:rsid w:val="00C27ADB"/>
    <w:rsid w:val="00C358D7"/>
    <w:rsid w:val="00C36A78"/>
    <w:rsid w:val="00C422A4"/>
    <w:rsid w:val="00C458C3"/>
    <w:rsid w:val="00C47C14"/>
    <w:rsid w:val="00C51515"/>
    <w:rsid w:val="00C5660B"/>
    <w:rsid w:val="00C66B72"/>
    <w:rsid w:val="00C7135C"/>
    <w:rsid w:val="00C87AB1"/>
    <w:rsid w:val="00C87AC4"/>
    <w:rsid w:val="00C9567A"/>
    <w:rsid w:val="00CA29CE"/>
    <w:rsid w:val="00CA6C7B"/>
    <w:rsid w:val="00CB212D"/>
    <w:rsid w:val="00CB2660"/>
    <w:rsid w:val="00CB4750"/>
    <w:rsid w:val="00CC47FA"/>
    <w:rsid w:val="00CC4FCE"/>
    <w:rsid w:val="00CC5E90"/>
    <w:rsid w:val="00CD046C"/>
    <w:rsid w:val="00CD2909"/>
    <w:rsid w:val="00CD519E"/>
    <w:rsid w:val="00CE076C"/>
    <w:rsid w:val="00CE5199"/>
    <w:rsid w:val="00CE6044"/>
    <w:rsid w:val="00CE644C"/>
    <w:rsid w:val="00CE66D5"/>
    <w:rsid w:val="00CF55EE"/>
    <w:rsid w:val="00CF637A"/>
    <w:rsid w:val="00CF79CA"/>
    <w:rsid w:val="00D059DE"/>
    <w:rsid w:val="00D05ABD"/>
    <w:rsid w:val="00D13FCE"/>
    <w:rsid w:val="00D21C5C"/>
    <w:rsid w:val="00D306D1"/>
    <w:rsid w:val="00D30800"/>
    <w:rsid w:val="00D340CD"/>
    <w:rsid w:val="00D34786"/>
    <w:rsid w:val="00D35736"/>
    <w:rsid w:val="00D37BFC"/>
    <w:rsid w:val="00D47A8E"/>
    <w:rsid w:val="00D50217"/>
    <w:rsid w:val="00D52D14"/>
    <w:rsid w:val="00D632D7"/>
    <w:rsid w:val="00D704D6"/>
    <w:rsid w:val="00D712D3"/>
    <w:rsid w:val="00D71422"/>
    <w:rsid w:val="00D72DC6"/>
    <w:rsid w:val="00D74F98"/>
    <w:rsid w:val="00D7558D"/>
    <w:rsid w:val="00D7687F"/>
    <w:rsid w:val="00D80F6C"/>
    <w:rsid w:val="00D81D92"/>
    <w:rsid w:val="00D84FF7"/>
    <w:rsid w:val="00D876F9"/>
    <w:rsid w:val="00DA25C7"/>
    <w:rsid w:val="00DA34B1"/>
    <w:rsid w:val="00DA7B5F"/>
    <w:rsid w:val="00DB15B4"/>
    <w:rsid w:val="00DB5E10"/>
    <w:rsid w:val="00DB696D"/>
    <w:rsid w:val="00DC11E7"/>
    <w:rsid w:val="00DC2237"/>
    <w:rsid w:val="00DC24E3"/>
    <w:rsid w:val="00DC5602"/>
    <w:rsid w:val="00DC61D3"/>
    <w:rsid w:val="00DC7023"/>
    <w:rsid w:val="00DC769A"/>
    <w:rsid w:val="00DD3D86"/>
    <w:rsid w:val="00DD4AD2"/>
    <w:rsid w:val="00DD6137"/>
    <w:rsid w:val="00DD7909"/>
    <w:rsid w:val="00DE2862"/>
    <w:rsid w:val="00DF1EC4"/>
    <w:rsid w:val="00DF3E87"/>
    <w:rsid w:val="00DF6914"/>
    <w:rsid w:val="00DF6DE3"/>
    <w:rsid w:val="00E0080E"/>
    <w:rsid w:val="00E0340B"/>
    <w:rsid w:val="00E03ED3"/>
    <w:rsid w:val="00E04A90"/>
    <w:rsid w:val="00E0551F"/>
    <w:rsid w:val="00E219C7"/>
    <w:rsid w:val="00E23192"/>
    <w:rsid w:val="00E2552E"/>
    <w:rsid w:val="00E37332"/>
    <w:rsid w:val="00E4118C"/>
    <w:rsid w:val="00E43157"/>
    <w:rsid w:val="00E461CE"/>
    <w:rsid w:val="00E52FC5"/>
    <w:rsid w:val="00E573E4"/>
    <w:rsid w:val="00E57EE0"/>
    <w:rsid w:val="00E63458"/>
    <w:rsid w:val="00E64C3D"/>
    <w:rsid w:val="00E6623C"/>
    <w:rsid w:val="00E665EE"/>
    <w:rsid w:val="00E720CA"/>
    <w:rsid w:val="00E7653D"/>
    <w:rsid w:val="00E843AC"/>
    <w:rsid w:val="00E84EB5"/>
    <w:rsid w:val="00E85662"/>
    <w:rsid w:val="00E8789F"/>
    <w:rsid w:val="00E90D3C"/>
    <w:rsid w:val="00E93538"/>
    <w:rsid w:val="00E97B71"/>
    <w:rsid w:val="00EA3D34"/>
    <w:rsid w:val="00EB2F6D"/>
    <w:rsid w:val="00EB3E2F"/>
    <w:rsid w:val="00EB454D"/>
    <w:rsid w:val="00EB500D"/>
    <w:rsid w:val="00EC559F"/>
    <w:rsid w:val="00EC6647"/>
    <w:rsid w:val="00EC6955"/>
    <w:rsid w:val="00EC7D1F"/>
    <w:rsid w:val="00ED549D"/>
    <w:rsid w:val="00ED5C9A"/>
    <w:rsid w:val="00ED5E10"/>
    <w:rsid w:val="00ED711A"/>
    <w:rsid w:val="00ED76BE"/>
    <w:rsid w:val="00EE00E9"/>
    <w:rsid w:val="00EE5B05"/>
    <w:rsid w:val="00EF1AAA"/>
    <w:rsid w:val="00EF619B"/>
    <w:rsid w:val="00F00B55"/>
    <w:rsid w:val="00F02AD1"/>
    <w:rsid w:val="00F07DE6"/>
    <w:rsid w:val="00F1054D"/>
    <w:rsid w:val="00F17792"/>
    <w:rsid w:val="00F253CC"/>
    <w:rsid w:val="00F2617E"/>
    <w:rsid w:val="00F3381B"/>
    <w:rsid w:val="00F37106"/>
    <w:rsid w:val="00F40711"/>
    <w:rsid w:val="00F440F2"/>
    <w:rsid w:val="00F44E25"/>
    <w:rsid w:val="00F44FBB"/>
    <w:rsid w:val="00F519CF"/>
    <w:rsid w:val="00F54F85"/>
    <w:rsid w:val="00F56BA5"/>
    <w:rsid w:val="00F56ECB"/>
    <w:rsid w:val="00F57A73"/>
    <w:rsid w:val="00F60813"/>
    <w:rsid w:val="00F60E22"/>
    <w:rsid w:val="00F61B9D"/>
    <w:rsid w:val="00F74C39"/>
    <w:rsid w:val="00F81395"/>
    <w:rsid w:val="00F81BB8"/>
    <w:rsid w:val="00F81C45"/>
    <w:rsid w:val="00F879C4"/>
    <w:rsid w:val="00F90A87"/>
    <w:rsid w:val="00F90C64"/>
    <w:rsid w:val="00F917D1"/>
    <w:rsid w:val="00F9653B"/>
    <w:rsid w:val="00FA625C"/>
    <w:rsid w:val="00FA64D8"/>
    <w:rsid w:val="00FB0155"/>
    <w:rsid w:val="00FB0692"/>
    <w:rsid w:val="00FB383A"/>
    <w:rsid w:val="00FB4A2D"/>
    <w:rsid w:val="00FB613D"/>
    <w:rsid w:val="00FB62CF"/>
    <w:rsid w:val="00FB749D"/>
    <w:rsid w:val="00FC1EA0"/>
    <w:rsid w:val="00FC24E3"/>
    <w:rsid w:val="00FC6C50"/>
    <w:rsid w:val="00FD3C3B"/>
    <w:rsid w:val="00FE07DD"/>
    <w:rsid w:val="00FE466D"/>
    <w:rsid w:val="00FE601F"/>
    <w:rsid w:val="00FE6B45"/>
    <w:rsid w:val="00FF0003"/>
    <w:rsid w:val="00FF55F3"/>
    <w:rsid w:val="00FF5851"/>
    <w:rsid w:val="00FF7B79"/>
    <w:rsid w:val="00FF7C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05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F1054D"/>
  </w:style>
  <w:style w:type="character" w:customStyle="1" w:styleId="eop">
    <w:name w:val="eop"/>
    <w:basedOn w:val="DefaultParagraphFont"/>
    <w:rsid w:val="00F1054D"/>
  </w:style>
  <w:style w:type="character" w:customStyle="1" w:styleId="superscript">
    <w:name w:val="superscript"/>
    <w:basedOn w:val="DefaultParagraphFont"/>
    <w:rsid w:val="00F1054D"/>
  </w:style>
  <w:style w:type="character" w:styleId="FollowedHyperlink">
    <w:name w:val="FollowedHyperlink"/>
    <w:basedOn w:val="DefaultParagraphFont"/>
    <w:uiPriority w:val="99"/>
    <w:semiHidden/>
    <w:unhideWhenUsed/>
    <w:rsid w:val="00257251"/>
    <w:rPr>
      <w:color w:val="800080" w:themeColor="followedHyperlink"/>
      <w:u w:val="single"/>
    </w:rPr>
  </w:style>
  <w:style w:type="character" w:styleId="UnresolvedMention">
    <w:name w:val="Unresolved Mention"/>
    <w:basedOn w:val="DefaultParagraphFont"/>
    <w:uiPriority w:val="99"/>
    <w:semiHidden/>
    <w:unhideWhenUsed/>
    <w:rsid w:val="00511993"/>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353389"/>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AD20C7"/>
    <w:rPr>
      <w:sz w:val="16"/>
      <w:szCs w:val="16"/>
    </w:rPr>
  </w:style>
  <w:style w:type="paragraph" w:styleId="CommentText">
    <w:name w:val="annotation text"/>
    <w:basedOn w:val="Normal"/>
    <w:link w:val="CommentTextChar"/>
    <w:uiPriority w:val="99"/>
    <w:unhideWhenUsed/>
    <w:rsid w:val="00AD20C7"/>
    <w:rPr>
      <w:sz w:val="20"/>
      <w:szCs w:val="20"/>
    </w:rPr>
  </w:style>
  <w:style w:type="character" w:customStyle="1" w:styleId="CommentTextChar">
    <w:name w:val="Comment Text Char"/>
    <w:basedOn w:val="DefaultParagraphFont"/>
    <w:link w:val="CommentText"/>
    <w:uiPriority w:val="99"/>
    <w:rsid w:val="00AD20C7"/>
    <w:rPr>
      <w:lang w:val="en-US" w:eastAsia="en-US"/>
    </w:rPr>
  </w:style>
  <w:style w:type="paragraph" w:styleId="CommentSubject">
    <w:name w:val="annotation subject"/>
    <w:basedOn w:val="CommentText"/>
    <w:next w:val="CommentText"/>
    <w:link w:val="CommentSubjectChar"/>
    <w:uiPriority w:val="99"/>
    <w:semiHidden/>
    <w:unhideWhenUsed/>
    <w:rsid w:val="00AD20C7"/>
    <w:rPr>
      <w:b/>
      <w:bCs/>
    </w:rPr>
  </w:style>
  <w:style w:type="character" w:customStyle="1" w:styleId="CommentSubjectChar">
    <w:name w:val="Comment Subject Char"/>
    <w:basedOn w:val="CommentTextChar"/>
    <w:link w:val="CommentSubject"/>
    <w:uiPriority w:val="99"/>
    <w:semiHidden/>
    <w:rsid w:val="00AD20C7"/>
    <w:rPr>
      <w:b/>
      <w:bCs/>
      <w:lang w:val="en-US" w:eastAsia="en-US"/>
    </w:rPr>
  </w:style>
  <w:style w:type="paragraph" w:customStyle="1" w:styleId="Char2">
    <w:name w:val="Char2"/>
    <w:basedOn w:val="Normal"/>
    <w:uiPriority w:val="99"/>
    <w:rsid w:val="005A690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5926">
      <w:bodyDiv w:val="1"/>
      <w:marLeft w:val="0"/>
      <w:marRight w:val="0"/>
      <w:marTop w:val="0"/>
      <w:marBottom w:val="0"/>
      <w:divBdr>
        <w:top w:val="none" w:sz="0" w:space="0" w:color="auto"/>
        <w:left w:val="none" w:sz="0" w:space="0" w:color="auto"/>
        <w:bottom w:val="none" w:sz="0" w:space="0" w:color="auto"/>
        <w:right w:val="none" w:sz="0" w:space="0" w:color="auto"/>
      </w:divBdr>
    </w:div>
    <w:div w:id="496652591">
      <w:bodyDiv w:val="1"/>
      <w:marLeft w:val="0"/>
      <w:marRight w:val="0"/>
      <w:marTop w:val="0"/>
      <w:marBottom w:val="0"/>
      <w:divBdr>
        <w:top w:val="none" w:sz="0" w:space="0" w:color="auto"/>
        <w:left w:val="none" w:sz="0" w:space="0" w:color="auto"/>
        <w:bottom w:val="none" w:sz="0" w:space="0" w:color="auto"/>
        <w:right w:val="none" w:sz="0" w:space="0" w:color="auto"/>
      </w:divBdr>
    </w:div>
    <w:div w:id="534317341">
      <w:bodyDiv w:val="1"/>
      <w:marLeft w:val="0"/>
      <w:marRight w:val="0"/>
      <w:marTop w:val="0"/>
      <w:marBottom w:val="0"/>
      <w:divBdr>
        <w:top w:val="none" w:sz="0" w:space="0" w:color="auto"/>
        <w:left w:val="none" w:sz="0" w:space="0" w:color="auto"/>
        <w:bottom w:val="none" w:sz="0" w:space="0" w:color="auto"/>
        <w:right w:val="none" w:sz="0" w:space="0" w:color="auto"/>
      </w:divBdr>
      <w:divsChild>
        <w:div w:id="80294934">
          <w:marLeft w:val="0"/>
          <w:marRight w:val="0"/>
          <w:marTop w:val="0"/>
          <w:marBottom w:val="0"/>
          <w:divBdr>
            <w:top w:val="none" w:sz="0" w:space="0" w:color="auto"/>
            <w:left w:val="none" w:sz="0" w:space="0" w:color="auto"/>
            <w:bottom w:val="none" w:sz="0" w:space="0" w:color="auto"/>
            <w:right w:val="none" w:sz="0" w:space="0" w:color="auto"/>
          </w:divBdr>
        </w:div>
        <w:div w:id="646321788">
          <w:marLeft w:val="0"/>
          <w:marRight w:val="0"/>
          <w:marTop w:val="0"/>
          <w:marBottom w:val="0"/>
          <w:divBdr>
            <w:top w:val="none" w:sz="0" w:space="0" w:color="auto"/>
            <w:left w:val="none" w:sz="0" w:space="0" w:color="auto"/>
            <w:bottom w:val="none" w:sz="0" w:space="0" w:color="auto"/>
            <w:right w:val="none" w:sz="0" w:space="0" w:color="auto"/>
          </w:divBdr>
        </w:div>
        <w:div w:id="793409170">
          <w:marLeft w:val="0"/>
          <w:marRight w:val="0"/>
          <w:marTop w:val="0"/>
          <w:marBottom w:val="0"/>
          <w:divBdr>
            <w:top w:val="none" w:sz="0" w:space="0" w:color="auto"/>
            <w:left w:val="none" w:sz="0" w:space="0" w:color="auto"/>
            <w:bottom w:val="none" w:sz="0" w:space="0" w:color="auto"/>
            <w:right w:val="none" w:sz="0" w:space="0" w:color="auto"/>
          </w:divBdr>
        </w:div>
        <w:div w:id="837575072">
          <w:marLeft w:val="0"/>
          <w:marRight w:val="0"/>
          <w:marTop w:val="0"/>
          <w:marBottom w:val="0"/>
          <w:divBdr>
            <w:top w:val="none" w:sz="0" w:space="0" w:color="auto"/>
            <w:left w:val="none" w:sz="0" w:space="0" w:color="auto"/>
            <w:bottom w:val="none" w:sz="0" w:space="0" w:color="auto"/>
            <w:right w:val="none" w:sz="0" w:space="0" w:color="auto"/>
          </w:divBdr>
        </w:div>
        <w:div w:id="882402949">
          <w:marLeft w:val="0"/>
          <w:marRight w:val="0"/>
          <w:marTop w:val="0"/>
          <w:marBottom w:val="0"/>
          <w:divBdr>
            <w:top w:val="none" w:sz="0" w:space="0" w:color="auto"/>
            <w:left w:val="none" w:sz="0" w:space="0" w:color="auto"/>
            <w:bottom w:val="none" w:sz="0" w:space="0" w:color="auto"/>
            <w:right w:val="none" w:sz="0" w:space="0" w:color="auto"/>
          </w:divBdr>
        </w:div>
        <w:div w:id="1028868014">
          <w:marLeft w:val="0"/>
          <w:marRight w:val="0"/>
          <w:marTop w:val="0"/>
          <w:marBottom w:val="0"/>
          <w:divBdr>
            <w:top w:val="none" w:sz="0" w:space="0" w:color="auto"/>
            <w:left w:val="none" w:sz="0" w:space="0" w:color="auto"/>
            <w:bottom w:val="none" w:sz="0" w:space="0" w:color="auto"/>
            <w:right w:val="none" w:sz="0" w:space="0" w:color="auto"/>
          </w:divBdr>
        </w:div>
        <w:div w:id="1084108379">
          <w:marLeft w:val="0"/>
          <w:marRight w:val="0"/>
          <w:marTop w:val="0"/>
          <w:marBottom w:val="0"/>
          <w:divBdr>
            <w:top w:val="none" w:sz="0" w:space="0" w:color="auto"/>
            <w:left w:val="none" w:sz="0" w:space="0" w:color="auto"/>
            <w:bottom w:val="none" w:sz="0" w:space="0" w:color="auto"/>
            <w:right w:val="none" w:sz="0" w:space="0" w:color="auto"/>
          </w:divBdr>
        </w:div>
        <w:div w:id="1481727591">
          <w:marLeft w:val="0"/>
          <w:marRight w:val="0"/>
          <w:marTop w:val="0"/>
          <w:marBottom w:val="0"/>
          <w:divBdr>
            <w:top w:val="none" w:sz="0" w:space="0" w:color="auto"/>
            <w:left w:val="none" w:sz="0" w:space="0" w:color="auto"/>
            <w:bottom w:val="none" w:sz="0" w:space="0" w:color="auto"/>
            <w:right w:val="none" w:sz="0" w:space="0" w:color="auto"/>
          </w:divBdr>
        </w:div>
        <w:div w:id="1517424024">
          <w:marLeft w:val="0"/>
          <w:marRight w:val="0"/>
          <w:marTop w:val="0"/>
          <w:marBottom w:val="0"/>
          <w:divBdr>
            <w:top w:val="none" w:sz="0" w:space="0" w:color="auto"/>
            <w:left w:val="none" w:sz="0" w:space="0" w:color="auto"/>
            <w:bottom w:val="none" w:sz="0" w:space="0" w:color="auto"/>
            <w:right w:val="none" w:sz="0" w:space="0" w:color="auto"/>
          </w:divBdr>
        </w:div>
        <w:div w:id="1521433522">
          <w:marLeft w:val="0"/>
          <w:marRight w:val="0"/>
          <w:marTop w:val="0"/>
          <w:marBottom w:val="0"/>
          <w:divBdr>
            <w:top w:val="none" w:sz="0" w:space="0" w:color="auto"/>
            <w:left w:val="none" w:sz="0" w:space="0" w:color="auto"/>
            <w:bottom w:val="none" w:sz="0" w:space="0" w:color="auto"/>
            <w:right w:val="none" w:sz="0" w:space="0" w:color="auto"/>
          </w:divBdr>
        </w:div>
        <w:div w:id="1775129011">
          <w:marLeft w:val="0"/>
          <w:marRight w:val="0"/>
          <w:marTop w:val="0"/>
          <w:marBottom w:val="0"/>
          <w:divBdr>
            <w:top w:val="none" w:sz="0" w:space="0" w:color="auto"/>
            <w:left w:val="none" w:sz="0" w:space="0" w:color="auto"/>
            <w:bottom w:val="none" w:sz="0" w:space="0" w:color="auto"/>
            <w:right w:val="none" w:sz="0" w:space="0" w:color="auto"/>
          </w:divBdr>
        </w:div>
      </w:divsChild>
    </w:div>
    <w:div w:id="577909984">
      <w:bodyDiv w:val="1"/>
      <w:marLeft w:val="0"/>
      <w:marRight w:val="0"/>
      <w:marTop w:val="0"/>
      <w:marBottom w:val="0"/>
      <w:divBdr>
        <w:top w:val="none" w:sz="0" w:space="0" w:color="auto"/>
        <w:left w:val="none" w:sz="0" w:space="0" w:color="auto"/>
        <w:bottom w:val="none" w:sz="0" w:space="0" w:color="auto"/>
        <w:right w:val="none" w:sz="0" w:space="0" w:color="auto"/>
      </w:divBdr>
    </w:div>
    <w:div w:id="679353774">
      <w:bodyDiv w:val="1"/>
      <w:marLeft w:val="0"/>
      <w:marRight w:val="0"/>
      <w:marTop w:val="0"/>
      <w:marBottom w:val="0"/>
      <w:divBdr>
        <w:top w:val="none" w:sz="0" w:space="0" w:color="auto"/>
        <w:left w:val="none" w:sz="0" w:space="0" w:color="auto"/>
        <w:bottom w:val="none" w:sz="0" w:space="0" w:color="auto"/>
        <w:right w:val="none" w:sz="0" w:space="0" w:color="auto"/>
      </w:divBdr>
    </w:div>
    <w:div w:id="118895620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12968354">
      <w:bodyDiv w:val="1"/>
      <w:marLeft w:val="0"/>
      <w:marRight w:val="0"/>
      <w:marTop w:val="0"/>
      <w:marBottom w:val="0"/>
      <w:divBdr>
        <w:top w:val="none" w:sz="0" w:space="0" w:color="auto"/>
        <w:left w:val="none" w:sz="0" w:space="0" w:color="auto"/>
        <w:bottom w:val="none" w:sz="0" w:space="0" w:color="auto"/>
        <w:right w:val="none" w:sz="0" w:space="0" w:color="auto"/>
      </w:divBdr>
    </w:div>
    <w:div w:id="154641173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35623</Characters>
  <Application>Microsoft Office Word</Application>
  <DocSecurity>0</DocSecurity>
  <Lines>296</Lines>
  <Paragraphs>83</Paragraphs>
  <ScaleCrop>false</ScaleCrop>
  <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2023-02-03T14:41:00Z</dcterms:created>
  <dcterms:modified xsi:type="dcterms:W3CDTF">2023-02-03T14:41:00Z</dcterms:modified>
</cp:coreProperties>
</file>