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817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F26218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525B4">
                              <w:rPr>
                                <w:rFonts w:asciiTheme="majorHAnsi" w:hAnsiTheme="majorHAnsi" w:cs="Arial"/>
                                <w:b/>
                                <w:bCs/>
                                <w:color w:val="0D0D0D" w:themeColor="text1" w:themeTint="F2"/>
                                <w:sz w:val="36"/>
                                <w:szCs w:val="22"/>
                                <w:lang w:val="es-ES_tradnl"/>
                              </w:rPr>
                              <w:t>299</w:t>
                            </w:r>
                            <w:r w:rsidR="000629A4">
                              <w:rPr>
                                <w:rFonts w:asciiTheme="majorHAnsi" w:hAnsiTheme="majorHAnsi" w:cs="Arial"/>
                                <w:b/>
                                <w:bCs/>
                                <w:color w:val="0D0D0D" w:themeColor="text1" w:themeTint="F2"/>
                                <w:sz w:val="36"/>
                                <w:szCs w:val="22"/>
                                <w:lang w:val="es-ES_tradnl"/>
                              </w:rPr>
                              <w:t>/22</w:t>
                            </w:r>
                          </w:p>
                          <w:p w14:paraId="45F30ECA" w14:textId="16EDE18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46615">
                              <w:rPr>
                                <w:rFonts w:asciiTheme="majorHAnsi" w:hAnsiTheme="majorHAnsi" w:cs="Arial"/>
                                <w:b/>
                                <w:color w:val="0D0D0D" w:themeColor="text1" w:themeTint="F2"/>
                                <w:sz w:val="36"/>
                                <w:szCs w:val="22"/>
                                <w:lang w:val="es-ES_tradnl"/>
                              </w:rPr>
                              <w:t>194</w:t>
                            </w:r>
                            <w:r w:rsidR="009A0C43">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w:t>
                            </w:r>
                            <w:r w:rsidR="00846615">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3D8BC1C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755535">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1968596" w14:textId="77777777" w:rsidR="008F1912" w:rsidRPr="00E35DF1" w:rsidRDefault="008F1912" w:rsidP="00997BC5">
                            <w:pPr>
                              <w:spacing w:line="276" w:lineRule="auto"/>
                              <w:rPr>
                                <w:rFonts w:asciiTheme="majorHAnsi" w:hAnsiTheme="majorHAnsi" w:cs="Arial"/>
                                <w:szCs w:val="22"/>
                                <w:lang w:val="es-ES_tradnl"/>
                              </w:rPr>
                            </w:pPr>
                            <w:bookmarkStart w:id="0" w:name="_ftnref1"/>
                          </w:p>
                          <w:p w14:paraId="768F8782" w14:textId="777A4445" w:rsidR="005B52B0" w:rsidRPr="00E35DF1" w:rsidRDefault="00846615" w:rsidP="00997BC5">
                            <w:pPr>
                              <w:spacing w:line="276" w:lineRule="auto"/>
                              <w:rPr>
                                <w:rFonts w:asciiTheme="majorHAnsi" w:hAnsiTheme="majorHAnsi" w:cs="Arial"/>
                                <w:szCs w:val="22"/>
                                <w:lang w:val="es-VE"/>
                              </w:rPr>
                            </w:pPr>
                            <w:r w:rsidRPr="00E35DF1">
                              <w:rPr>
                                <w:rFonts w:asciiTheme="majorHAnsi" w:hAnsiTheme="majorHAnsi" w:cs="Arial"/>
                                <w:szCs w:val="22"/>
                                <w:lang w:val="es-ES_tradnl"/>
                              </w:rPr>
                              <w:t>IV</w:t>
                            </w:r>
                            <w:r w:rsidRPr="00E35DF1">
                              <w:rPr>
                                <w:rFonts w:asciiTheme="majorHAnsi" w:hAnsiTheme="majorHAnsi" w:cs="Arial"/>
                                <w:szCs w:val="22"/>
                                <w:lang w:val="es-VE"/>
                              </w:rPr>
                              <w:t>ÁN DAR</w:t>
                            </w:r>
                            <w:r w:rsidR="009A0C43">
                              <w:rPr>
                                <w:rFonts w:asciiTheme="majorHAnsi" w:hAnsiTheme="majorHAnsi" w:cs="Arial"/>
                                <w:szCs w:val="22"/>
                                <w:lang w:val="es-VE"/>
                              </w:rPr>
                              <w:t>Í</w:t>
                            </w:r>
                            <w:r w:rsidRPr="00E35DF1">
                              <w:rPr>
                                <w:rFonts w:asciiTheme="majorHAnsi" w:hAnsiTheme="majorHAnsi" w:cs="Arial"/>
                                <w:szCs w:val="22"/>
                                <w:lang w:val="es-VE"/>
                              </w:rPr>
                              <w:t xml:space="preserve">O HENAO </w:t>
                            </w:r>
                            <w:r w:rsidRPr="00E35DF1">
                              <w:rPr>
                                <w:rFonts w:asciiTheme="majorHAnsi" w:hAnsiTheme="majorHAnsi" w:cs="Arial"/>
                                <w:szCs w:val="22"/>
                                <w:lang w:val="es-VE"/>
                              </w:rPr>
                              <w:tab/>
                              <w:t>SANABRIA</w:t>
                            </w:r>
                            <w:r w:rsidR="0033719F">
                              <w:rPr>
                                <w:rFonts w:asciiTheme="majorHAnsi" w:hAnsiTheme="majorHAnsi" w:cs="Arial"/>
                                <w:szCs w:val="22"/>
                                <w:lang w:val="es-VE"/>
                              </w:rPr>
                              <w:t xml:space="preserve"> </w:t>
                            </w:r>
                            <w:r w:rsidRPr="00E35DF1">
                              <w:rPr>
                                <w:rFonts w:asciiTheme="majorHAnsi" w:hAnsiTheme="majorHAnsi" w:cs="Arial"/>
                                <w:szCs w:val="22"/>
                                <w:lang w:val="es-VE"/>
                              </w:rPr>
                              <w:t>Y FAMILIA</w:t>
                            </w:r>
                            <w:r w:rsidR="004F260C">
                              <w:rPr>
                                <w:rFonts w:asciiTheme="majorHAnsi" w:hAnsiTheme="majorHAnsi" w:cs="Arial"/>
                                <w:szCs w:val="22"/>
                                <w:lang w:val="es-VE"/>
                              </w:rPr>
                              <w:t>RES</w:t>
                            </w:r>
                          </w:p>
                          <w:bookmarkEnd w:id="0"/>
                          <w:p w14:paraId="0B9F7D22" w14:textId="5B91A5C6" w:rsidR="005B52B0" w:rsidRPr="00F56ECB" w:rsidRDefault="00846615"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F26218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525B4">
                        <w:rPr>
                          <w:rFonts w:asciiTheme="majorHAnsi" w:hAnsiTheme="majorHAnsi" w:cs="Arial"/>
                          <w:b/>
                          <w:bCs/>
                          <w:color w:val="0D0D0D" w:themeColor="text1" w:themeTint="F2"/>
                          <w:sz w:val="36"/>
                          <w:szCs w:val="22"/>
                          <w:lang w:val="es-ES_tradnl"/>
                        </w:rPr>
                        <w:t>299</w:t>
                      </w:r>
                      <w:r w:rsidR="000629A4">
                        <w:rPr>
                          <w:rFonts w:asciiTheme="majorHAnsi" w:hAnsiTheme="majorHAnsi" w:cs="Arial"/>
                          <w:b/>
                          <w:bCs/>
                          <w:color w:val="0D0D0D" w:themeColor="text1" w:themeTint="F2"/>
                          <w:sz w:val="36"/>
                          <w:szCs w:val="22"/>
                          <w:lang w:val="es-ES_tradnl"/>
                        </w:rPr>
                        <w:t>/22</w:t>
                      </w:r>
                    </w:p>
                    <w:p w14:paraId="45F30ECA" w14:textId="16EDE18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46615">
                        <w:rPr>
                          <w:rFonts w:asciiTheme="majorHAnsi" w:hAnsiTheme="majorHAnsi" w:cs="Arial"/>
                          <w:b/>
                          <w:color w:val="0D0D0D" w:themeColor="text1" w:themeTint="F2"/>
                          <w:sz w:val="36"/>
                          <w:szCs w:val="22"/>
                          <w:lang w:val="es-ES_tradnl"/>
                        </w:rPr>
                        <w:t>194</w:t>
                      </w:r>
                      <w:r w:rsidR="009A0C43">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w:t>
                      </w:r>
                      <w:r w:rsidR="00846615">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3D8BC1C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755535">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1968596" w14:textId="77777777" w:rsidR="008F1912" w:rsidRPr="00E35DF1" w:rsidRDefault="008F1912" w:rsidP="00997BC5">
                      <w:pPr>
                        <w:spacing w:line="276" w:lineRule="auto"/>
                        <w:rPr>
                          <w:rFonts w:asciiTheme="majorHAnsi" w:hAnsiTheme="majorHAnsi" w:cs="Arial"/>
                          <w:szCs w:val="22"/>
                          <w:lang w:val="es-ES_tradnl"/>
                        </w:rPr>
                      </w:pPr>
                      <w:bookmarkStart w:id="1" w:name="_ftnref1"/>
                    </w:p>
                    <w:p w14:paraId="768F8782" w14:textId="777A4445" w:rsidR="005B52B0" w:rsidRPr="00E35DF1" w:rsidRDefault="00846615" w:rsidP="00997BC5">
                      <w:pPr>
                        <w:spacing w:line="276" w:lineRule="auto"/>
                        <w:rPr>
                          <w:rFonts w:asciiTheme="majorHAnsi" w:hAnsiTheme="majorHAnsi" w:cs="Arial"/>
                          <w:szCs w:val="22"/>
                          <w:lang w:val="es-VE"/>
                        </w:rPr>
                      </w:pPr>
                      <w:r w:rsidRPr="00E35DF1">
                        <w:rPr>
                          <w:rFonts w:asciiTheme="majorHAnsi" w:hAnsiTheme="majorHAnsi" w:cs="Arial"/>
                          <w:szCs w:val="22"/>
                          <w:lang w:val="es-ES_tradnl"/>
                        </w:rPr>
                        <w:t>IV</w:t>
                      </w:r>
                      <w:r w:rsidRPr="00E35DF1">
                        <w:rPr>
                          <w:rFonts w:asciiTheme="majorHAnsi" w:hAnsiTheme="majorHAnsi" w:cs="Arial"/>
                          <w:szCs w:val="22"/>
                          <w:lang w:val="es-VE"/>
                        </w:rPr>
                        <w:t>ÁN DAR</w:t>
                      </w:r>
                      <w:r w:rsidR="009A0C43">
                        <w:rPr>
                          <w:rFonts w:asciiTheme="majorHAnsi" w:hAnsiTheme="majorHAnsi" w:cs="Arial"/>
                          <w:szCs w:val="22"/>
                          <w:lang w:val="es-VE"/>
                        </w:rPr>
                        <w:t>Í</w:t>
                      </w:r>
                      <w:r w:rsidRPr="00E35DF1">
                        <w:rPr>
                          <w:rFonts w:asciiTheme="majorHAnsi" w:hAnsiTheme="majorHAnsi" w:cs="Arial"/>
                          <w:szCs w:val="22"/>
                          <w:lang w:val="es-VE"/>
                        </w:rPr>
                        <w:t xml:space="preserve">O HENAO </w:t>
                      </w:r>
                      <w:r w:rsidRPr="00E35DF1">
                        <w:rPr>
                          <w:rFonts w:asciiTheme="majorHAnsi" w:hAnsiTheme="majorHAnsi" w:cs="Arial"/>
                          <w:szCs w:val="22"/>
                          <w:lang w:val="es-VE"/>
                        </w:rPr>
                        <w:tab/>
                        <w:t>SANABRIA</w:t>
                      </w:r>
                      <w:r w:rsidR="0033719F">
                        <w:rPr>
                          <w:rFonts w:asciiTheme="majorHAnsi" w:hAnsiTheme="majorHAnsi" w:cs="Arial"/>
                          <w:szCs w:val="22"/>
                          <w:lang w:val="es-VE"/>
                        </w:rPr>
                        <w:t xml:space="preserve"> </w:t>
                      </w:r>
                      <w:r w:rsidRPr="00E35DF1">
                        <w:rPr>
                          <w:rFonts w:asciiTheme="majorHAnsi" w:hAnsiTheme="majorHAnsi" w:cs="Arial"/>
                          <w:szCs w:val="22"/>
                          <w:lang w:val="es-VE"/>
                        </w:rPr>
                        <w:t>Y FAMILIA</w:t>
                      </w:r>
                      <w:r w:rsidR="004F260C">
                        <w:rPr>
                          <w:rFonts w:asciiTheme="majorHAnsi" w:hAnsiTheme="majorHAnsi" w:cs="Arial"/>
                          <w:szCs w:val="22"/>
                          <w:lang w:val="es-VE"/>
                        </w:rPr>
                        <w:t>RES</w:t>
                      </w:r>
                    </w:p>
                    <w:bookmarkEnd w:id="1"/>
                    <w:p w14:paraId="0B9F7D22" w14:textId="5B91A5C6" w:rsidR="005B52B0" w:rsidRPr="00F56ECB" w:rsidRDefault="00846615"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4E05A62" w:rsidR="00627C9F" w:rsidRPr="00991533" w:rsidRDefault="00834D49" w:rsidP="007A5817">
                            <w:pPr>
                              <w:spacing w:line="276" w:lineRule="auto"/>
                              <w:jc w:val="right"/>
                              <w:rPr>
                                <w:rFonts w:asciiTheme="minorHAnsi" w:hAnsiTheme="minorHAnsi"/>
                                <w:color w:val="FFFFFF" w:themeColor="background1"/>
                                <w:sz w:val="22"/>
                                <w:lang w:val="es-US"/>
                              </w:rPr>
                            </w:pPr>
                            <w:r w:rsidRPr="00991533">
                              <w:rPr>
                                <w:rFonts w:asciiTheme="minorHAnsi" w:hAnsiTheme="minorHAnsi"/>
                                <w:color w:val="FFFFFF" w:themeColor="background1"/>
                                <w:sz w:val="22"/>
                                <w:lang w:val="es-US"/>
                              </w:rPr>
                              <w:t>OEA/Ser.L/V/II</w:t>
                            </w:r>
                          </w:p>
                          <w:p w14:paraId="71D2D5D2" w14:textId="2A344D3B" w:rsidR="00627C9F" w:rsidRPr="00991533" w:rsidRDefault="00627C9F" w:rsidP="007A5817">
                            <w:pPr>
                              <w:spacing w:line="276" w:lineRule="auto"/>
                              <w:jc w:val="right"/>
                              <w:rPr>
                                <w:rFonts w:asciiTheme="minorHAnsi" w:hAnsiTheme="minorHAnsi"/>
                                <w:color w:val="FFFFFF" w:themeColor="background1"/>
                                <w:sz w:val="22"/>
                                <w:lang w:val="es-US"/>
                              </w:rPr>
                            </w:pPr>
                            <w:r w:rsidRPr="00991533">
                              <w:rPr>
                                <w:rFonts w:asciiTheme="minorHAnsi" w:hAnsiTheme="minorHAnsi"/>
                                <w:color w:val="FFFFFF" w:themeColor="background1"/>
                                <w:sz w:val="22"/>
                                <w:lang w:val="es-US"/>
                              </w:rPr>
                              <w:t xml:space="preserve">Doc. </w:t>
                            </w:r>
                            <w:r w:rsidR="000525B4" w:rsidRPr="00991533">
                              <w:rPr>
                                <w:rFonts w:asciiTheme="minorHAnsi" w:hAnsiTheme="minorHAnsi"/>
                                <w:color w:val="FFFFFF" w:themeColor="background1"/>
                                <w:sz w:val="22"/>
                                <w:lang w:val="es-US"/>
                              </w:rPr>
                              <w:t>304</w:t>
                            </w:r>
                          </w:p>
                          <w:p w14:paraId="4061DBBD" w14:textId="7C284C00" w:rsidR="00627C9F" w:rsidRPr="00C25ADB" w:rsidRDefault="008D357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0629A4">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4E05A62" w:rsidR="00627C9F" w:rsidRPr="00991533" w:rsidRDefault="00834D49" w:rsidP="007A5817">
                      <w:pPr>
                        <w:spacing w:line="276" w:lineRule="auto"/>
                        <w:jc w:val="right"/>
                        <w:rPr>
                          <w:rFonts w:asciiTheme="minorHAnsi" w:hAnsiTheme="minorHAnsi"/>
                          <w:color w:val="FFFFFF" w:themeColor="background1"/>
                          <w:sz w:val="22"/>
                          <w:lang w:val="es-US"/>
                        </w:rPr>
                      </w:pPr>
                      <w:r w:rsidRPr="00991533">
                        <w:rPr>
                          <w:rFonts w:asciiTheme="minorHAnsi" w:hAnsiTheme="minorHAnsi"/>
                          <w:color w:val="FFFFFF" w:themeColor="background1"/>
                          <w:sz w:val="22"/>
                          <w:lang w:val="es-US"/>
                        </w:rPr>
                        <w:t>OEA/Ser.L/V/II</w:t>
                      </w:r>
                    </w:p>
                    <w:p w14:paraId="71D2D5D2" w14:textId="2A344D3B" w:rsidR="00627C9F" w:rsidRPr="00991533" w:rsidRDefault="00627C9F" w:rsidP="007A5817">
                      <w:pPr>
                        <w:spacing w:line="276" w:lineRule="auto"/>
                        <w:jc w:val="right"/>
                        <w:rPr>
                          <w:rFonts w:asciiTheme="minorHAnsi" w:hAnsiTheme="minorHAnsi"/>
                          <w:color w:val="FFFFFF" w:themeColor="background1"/>
                          <w:sz w:val="22"/>
                          <w:lang w:val="es-US"/>
                        </w:rPr>
                      </w:pPr>
                      <w:r w:rsidRPr="00991533">
                        <w:rPr>
                          <w:rFonts w:asciiTheme="minorHAnsi" w:hAnsiTheme="minorHAnsi"/>
                          <w:color w:val="FFFFFF" w:themeColor="background1"/>
                          <w:sz w:val="22"/>
                          <w:lang w:val="es-US"/>
                        </w:rPr>
                        <w:t xml:space="preserve">Doc. </w:t>
                      </w:r>
                      <w:r w:rsidR="000525B4" w:rsidRPr="00991533">
                        <w:rPr>
                          <w:rFonts w:asciiTheme="minorHAnsi" w:hAnsiTheme="minorHAnsi"/>
                          <w:color w:val="FFFFFF" w:themeColor="background1"/>
                          <w:sz w:val="22"/>
                          <w:lang w:val="es-US"/>
                        </w:rPr>
                        <w:t>304</w:t>
                      </w:r>
                    </w:p>
                    <w:p w14:paraId="4061DBBD" w14:textId="7C284C00" w:rsidR="00627C9F" w:rsidRPr="00C25ADB" w:rsidRDefault="008D357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0629A4">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2ED4F7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46615">
                              <w:rPr>
                                <w:rFonts w:asciiTheme="majorHAnsi" w:hAnsiTheme="majorHAnsi"/>
                                <w:color w:val="0D0D0D" w:themeColor="text1" w:themeTint="F2"/>
                                <w:sz w:val="18"/>
                                <w:szCs w:val="22"/>
                                <w:lang w:val="es-VE"/>
                              </w:rPr>
                              <w:t>Aprobado electrónicamente por la Comisión</w:t>
                            </w:r>
                            <w:r w:rsidRPr="00890650">
                              <w:rPr>
                                <w:rFonts w:asciiTheme="majorHAnsi" w:hAnsiTheme="majorHAnsi"/>
                                <w:color w:val="0D0D0D" w:themeColor="text1" w:themeTint="F2"/>
                                <w:sz w:val="18"/>
                                <w:szCs w:val="22"/>
                                <w:lang w:val="es-ES"/>
                              </w:rPr>
                              <w:t xml:space="preserve"> el </w:t>
                            </w:r>
                            <w:r w:rsidR="008D357C">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8D357C">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008D357C">
                              <w:rPr>
                                <w:rFonts w:asciiTheme="majorHAnsi" w:hAnsiTheme="majorHAnsi"/>
                                <w:color w:val="0D0D0D" w:themeColor="text1" w:themeTint="F2"/>
                                <w:sz w:val="18"/>
                                <w:szCs w:val="22"/>
                                <w:lang w:val="es-ES"/>
                              </w:rPr>
                              <w:t xml:space="preserve">de </w:t>
                            </w:r>
                            <w:r w:rsidRPr="00890650">
                              <w:rPr>
                                <w:rFonts w:asciiTheme="majorHAnsi" w:hAnsiTheme="majorHAnsi"/>
                                <w:color w:val="0D0D0D" w:themeColor="text1" w:themeTint="F2"/>
                                <w:sz w:val="18"/>
                                <w:szCs w:val="22"/>
                                <w:lang w:val="es-ES"/>
                              </w:rPr>
                              <w:t>20</w:t>
                            </w:r>
                            <w:r w:rsidR="00C23BA4">
                              <w:rPr>
                                <w:rFonts w:asciiTheme="majorHAnsi" w:hAnsiTheme="majorHAnsi"/>
                                <w:color w:val="0D0D0D" w:themeColor="text1" w:themeTint="F2"/>
                                <w:sz w:val="18"/>
                                <w:szCs w:val="22"/>
                                <w:lang w:val="es-ES"/>
                              </w:rPr>
                              <w:t>2</w:t>
                            </w:r>
                            <w:r w:rsidR="00846615">
                              <w:rPr>
                                <w:rFonts w:asciiTheme="majorHAnsi" w:hAnsiTheme="majorHAnsi"/>
                                <w:color w:val="0D0D0D" w:themeColor="text1" w:themeTint="F2"/>
                                <w:sz w:val="18"/>
                                <w:szCs w:val="22"/>
                                <w:lang w:val="es-ES"/>
                              </w:rPr>
                              <w:t>2</w:t>
                            </w:r>
                            <w:r w:rsidR="008D357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2ED4F7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46615">
                        <w:rPr>
                          <w:rFonts w:asciiTheme="majorHAnsi" w:hAnsiTheme="majorHAnsi"/>
                          <w:color w:val="0D0D0D" w:themeColor="text1" w:themeTint="F2"/>
                          <w:sz w:val="18"/>
                          <w:szCs w:val="22"/>
                          <w:lang w:val="es-VE"/>
                        </w:rPr>
                        <w:t>Aprobado electrónicamente por la Comisión</w:t>
                      </w:r>
                      <w:r w:rsidRPr="00890650">
                        <w:rPr>
                          <w:rFonts w:asciiTheme="majorHAnsi" w:hAnsiTheme="majorHAnsi"/>
                          <w:color w:val="0D0D0D" w:themeColor="text1" w:themeTint="F2"/>
                          <w:sz w:val="18"/>
                          <w:szCs w:val="22"/>
                          <w:lang w:val="es-ES"/>
                        </w:rPr>
                        <w:t xml:space="preserve"> el </w:t>
                      </w:r>
                      <w:r w:rsidR="008D357C">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8D357C">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008D357C">
                        <w:rPr>
                          <w:rFonts w:asciiTheme="majorHAnsi" w:hAnsiTheme="majorHAnsi"/>
                          <w:color w:val="0D0D0D" w:themeColor="text1" w:themeTint="F2"/>
                          <w:sz w:val="18"/>
                          <w:szCs w:val="22"/>
                          <w:lang w:val="es-ES"/>
                        </w:rPr>
                        <w:t xml:space="preserve">de </w:t>
                      </w:r>
                      <w:r w:rsidRPr="00890650">
                        <w:rPr>
                          <w:rFonts w:asciiTheme="majorHAnsi" w:hAnsiTheme="majorHAnsi"/>
                          <w:color w:val="0D0D0D" w:themeColor="text1" w:themeTint="F2"/>
                          <w:sz w:val="18"/>
                          <w:szCs w:val="22"/>
                          <w:lang w:val="es-ES"/>
                        </w:rPr>
                        <w:t>20</w:t>
                      </w:r>
                      <w:r w:rsidR="00C23BA4">
                        <w:rPr>
                          <w:rFonts w:asciiTheme="majorHAnsi" w:hAnsiTheme="majorHAnsi"/>
                          <w:color w:val="0D0D0D" w:themeColor="text1" w:themeTint="F2"/>
                          <w:sz w:val="18"/>
                          <w:szCs w:val="22"/>
                          <w:lang w:val="es-ES"/>
                        </w:rPr>
                        <w:t>2</w:t>
                      </w:r>
                      <w:r w:rsidR="00846615">
                        <w:rPr>
                          <w:rFonts w:asciiTheme="majorHAnsi" w:hAnsiTheme="majorHAnsi"/>
                          <w:color w:val="0D0D0D" w:themeColor="text1" w:themeTint="F2"/>
                          <w:sz w:val="18"/>
                          <w:szCs w:val="22"/>
                          <w:lang w:val="es-ES"/>
                        </w:rPr>
                        <w:t>2</w:t>
                      </w:r>
                      <w:r w:rsidR="008D357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611AF" w14:textId="77777777" w:rsidR="002C6AE0" w:rsidRDefault="00113F73" w:rsidP="00113F73">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D357C" w:rsidRPr="008D357C">
                              <w:rPr>
                                <w:rFonts w:asciiTheme="majorHAnsi" w:hAnsiTheme="majorHAnsi"/>
                                <w:color w:val="595959" w:themeColor="text1" w:themeTint="A6"/>
                                <w:sz w:val="18"/>
                                <w:szCs w:val="18"/>
                                <w:lang w:val="pt-BR"/>
                              </w:rPr>
                              <w:t>299</w:t>
                            </w:r>
                            <w:r w:rsidR="007B05C4" w:rsidRPr="008D357C">
                              <w:rPr>
                                <w:rFonts w:asciiTheme="majorHAnsi" w:hAnsiTheme="majorHAnsi"/>
                                <w:color w:val="595959" w:themeColor="text1" w:themeTint="A6"/>
                                <w:sz w:val="18"/>
                                <w:szCs w:val="18"/>
                                <w:lang w:val="pt-BR"/>
                              </w:rPr>
                              <w:t>/</w:t>
                            </w:r>
                            <w:r w:rsidR="008D357C" w:rsidRPr="008D357C">
                              <w:rPr>
                                <w:rFonts w:asciiTheme="majorHAnsi" w:hAnsiTheme="majorHAnsi"/>
                                <w:color w:val="595959" w:themeColor="text1" w:themeTint="A6"/>
                                <w:sz w:val="18"/>
                                <w:szCs w:val="18"/>
                                <w:lang w:val="pt-BR"/>
                              </w:rPr>
                              <w:t>22</w:t>
                            </w:r>
                            <w:r w:rsidRPr="008D357C">
                              <w:rPr>
                                <w:rFonts w:asciiTheme="majorHAnsi" w:hAnsiTheme="majorHAnsi"/>
                                <w:color w:val="595959" w:themeColor="text1" w:themeTint="A6"/>
                                <w:sz w:val="18"/>
                                <w:szCs w:val="18"/>
                                <w:lang w:val="pt-BR"/>
                              </w:rPr>
                              <w:t xml:space="preserve">. </w:t>
                            </w:r>
                            <w:r w:rsidR="000433C9" w:rsidRPr="00BE4B03">
                              <w:rPr>
                                <w:rFonts w:asciiTheme="majorHAnsi" w:hAnsiTheme="majorHAnsi"/>
                                <w:color w:val="595959" w:themeColor="text1" w:themeTint="A6"/>
                                <w:sz w:val="18"/>
                                <w:szCs w:val="18"/>
                                <w:lang w:val="es-VE"/>
                              </w:rPr>
                              <w:t xml:space="preserve">Petición </w:t>
                            </w:r>
                            <w:r w:rsidR="00846615" w:rsidRPr="00BE4B03">
                              <w:rPr>
                                <w:rFonts w:asciiTheme="majorHAnsi" w:hAnsiTheme="majorHAnsi"/>
                                <w:color w:val="595959" w:themeColor="text1" w:themeTint="A6"/>
                                <w:sz w:val="18"/>
                                <w:szCs w:val="18"/>
                                <w:lang w:val="es-VE"/>
                              </w:rPr>
                              <w:t>194</w:t>
                            </w:r>
                            <w:r w:rsidR="008D357C">
                              <w:rPr>
                                <w:rFonts w:asciiTheme="majorHAnsi" w:hAnsiTheme="majorHAnsi"/>
                                <w:color w:val="595959" w:themeColor="text1" w:themeTint="A6"/>
                                <w:sz w:val="18"/>
                                <w:szCs w:val="18"/>
                                <w:lang w:val="es-VE"/>
                              </w:rPr>
                              <w:t>3</w:t>
                            </w:r>
                            <w:r w:rsidR="000433C9" w:rsidRPr="00BE4B03">
                              <w:rPr>
                                <w:rFonts w:asciiTheme="majorHAnsi" w:hAnsiTheme="majorHAnsi"/>
                                <w:color w:val="595959" w:themeColor="text1" w:themeTint="A6"/>
                                <w:sz w:val="18"/>
                                <w:szCs w:val="18"/>
                                <w:lang w:val="es-VE"/>
                              </w:rPr>
                              <w:t>-</w:t>
                            </w:r>
                            <w:r w:rsidR="00846615" w:rsidRPr="00BE4B03">
                              <w:rPr>
                                <w:rFonts w:asciiTheme="majorHAnsi" w:hAnsiTheme="majorHAnsi"/>
                                <w:color w:val="595959" w:themeColor="text1" w:themeTint="A6"/>
                                <w:sz w:val="18"/>
                                <w:szCs w:val="18"/>
                                <w:lang w:val="es-VE"/>
                              </w:rPr>
                              <w:t>12</w:t>
                            </w:r>
                            <w:r w:rsidR="000433C9" w:rsidRPr="00BE4B03">
                              <w:rPr>
                                <w:rFonts w:asciiTheme="majorHAnsi" w:hAnsiTheme="majorHAnsi"/>
                                <w:color w:val="595959" w:themeColor="text1" w:themeTint="A6"/>
                                <w:sz w:val="18"/>
                                <w:szCs w:val="18"/>
                                <w:lang w:val="es-VE"/>
                              </w:rPr>
                              <w:t xml:space="preserve">. </w:t>
                            </w:r>
                            <w:r w:rsidR="00755535">
                              <w:rPr>
                                <w:rFonts w:asciiTheme="majorHAnsi" w:hAnsiTheme="majorHAnsi"/>
                                <w:color w:val="595959" w:themeColor="text1" w:themeTint="A6"/>
                                <w:sz w:val="18"/>
                                <w:szCs w:val="18"/>
                                <w:lang w:val="es-VE"/>
                              </w:rPr>
                              <w:t>Inad</w:t>
                            </w:r>
                            <w:r w:rsidRPr="00BE4B03">
                              <w:rPr>
                                <w:rFonts w:asciiTheme="majorHAnsi" w:hAnsiTheme="majorHAnsi"/>
                                <w:color w:val="595959" w:themeColor="text1" w:themeTint="A6"/>
                                <w:sz w:val="18"/>
                                <w:szCs w:val="18"/>
                                <w:lang w:val="es-VE"/>
                              </w:rPr>
                              <w:t xml:space="preserve">misibilidad. </w:t>
                            </w:r>
                          </w:p>
                          <w:p w14:paraId="7FD77785" w14:textId="6231909F" w:rsidR="00113F73" w:rsidRPr="007B05C4" w:rsidRDefault="00846615" w:rsidP="00113F73">
                            <w:pPr>
                              <w:spacing w:line="276" w:lineRule="auto"/>
                              <w:rPr>
                                <w:rFonts w:asciiTheme="majorHAnsi" w:hAnsiTheme="majorHAnsi"/>
                                <w:color w:val="595959" w:themeColor="text1" w:themeTint="A6"/>
                                <w:sz w:val="18"/>
                                <w:szCs w:val="18"/>
                                <w:lang w:val="es-ES"/>
                              </w:rPr>
                            </w:pPr>
                            <w:r w:rsidRPr="00BE4B03">
                              <w:rPr>
                                <w:rFonts w:asciiTheme="majorHAnsi" w:hAnsiTheme="majorHAnsi"/>
                                <w:color w:val="595959" w:themeColor="text1" w:themeTint="A6"/>
                                <w:sz w:val="18"/>
                                <w:szCs w:val="18"/>
                                <w:lang w:val="es-VE"/>
                              </w:rPr>
                              <w:t xml:space="preserve">Iván </w:t>
                            </w:r>
                            <w:r w:rsidR="00E35DF1" w:rsidRPr="00BE4B03">
                              <w:rPr>
                                <w:rFonts w:asciiTheme="majorHAnsi" w:hAnsiTheme="majorHAnsi"/>
                                <w:color w:val="595959" w:themeColor="text1" w:themeTint="A6"/>
                                <w:sz w:val="18"/>
                                <w:szCs w:val="18"/>
                                <w:lang w:val="es-VE"/>
                              </w:rPr>
                              <w:t>Darío</w:t>
                            </w:r>
                            <w:r w:rsidRPr="00BE4B03">
                              <w:rPr>
                                <w:rFonts w:asciiTheme="majorHAnsi" w:hAnsiTheme="majorHAnsi"/>
                                <w:color w:val="595959" w:themeColor="text1" w:themeTint="A6"/>
                                <w:sz w:val="18"/>
                                <w:szCs w:val="18"/>
                                <w:lang w:val="es-VE"/>
                              </w:rPr>
                              <w:t xml:space="preserve"> Henao Sanabria</w:t>
                            </w:r>
                            <w:r w:rsidR="00A60467">
                              <w:rPr>
                                <w:rFonts w:asciiTheme="majorHAnsi" w:hAnsiTheme="majorHAnsi"/>
                                <w:color w:val="595959" w:themeColor="text1" w:themeTint="A6"/>
                                <w:sz w:val="18"/>
                                <w:szCs w:val="18"/>
                                <w:lang w:val="es-VE"/>
                              </w:rPr>
                              <w:t xml:space="preserve"> </w:t>
                            </w:r>
                            <w:r w:rsidRPr="00BE4B03">
                              <w:rPr>
                                <w:rFonts w:asciiTheme="majorHAnsi" w:hAnsiTheme="majorHAnsi"/>
                                <w:color w:val="595959" w:themeColor="text1" w:themeTint="A6"/>
                                <w:sz w:val="18"/>
                                <w:szCs w:val="18"/>
                                <w:lang w:val="es-VE"/>
                              </w:rPr>
                              <w:t>y familia</w:t>
                            </w:r>
                            <w:r w:rsidR="00A60467">
                              <w:rPr>
                                <w:rFonts w:asciiTheme="majorHAnsi" w:hAnsiTheme="majorHAnsi"/>
                                <w:color w:val="595959" w:themeColor="text1" w:themeTint="A6"/>
                                <w:sz w:val="18"/>
                                <w:szCs w:val="18"/>
                                <w:lang w:val="es-VE"/>
                              </w:rPr>
                              <w:t>res</w:t>
                            </w:r>
                            <w:r w:rsidR="00113F73" w:rsidRPr="00BE4B03">
                              <w:rPr>
                                <w:rFonts w:asciiTheme="majorHAnsi" w:hAnsiTheme="majorHAnsi"/>
                                <w:color w:val="595959" w:themeColor="text1" w:themeTint="A6"/>
                                <w:sz w:val="18"/>
                                <w:szCs w:val="18"/>
                                <w:lang w:val="es-VE"/>
                              </w:rPr>
                              <w:t xml:space="preserve">. </w:t>
                            </w:r>
                            <w:r w:rsidRPr="00BE4B03">
                              <w:rPr>
                                <w:rFonts w:asciiTheme="majorHAnsi" w:hAnsiTheme="majorHAnsi"/>
                                <w:color w:val="595959" w:themeColor="text1" w:themeTint="A6"/>
                                <w:sz w:val="18"/>
                                <w:szCs w:val="18"/>
                                <w:lang w:val="es-VE"/>
                              </w:rPr>
                              <w:t>Colombia</w:t>
                            </w:r>
                            <w:r w:rsidR="00113F73" w:rsidRPr="00BE4B03">
                              <w:rPr>
                                <w:rFonts w:asciiTheme="majorHAnsi" w:hAnsiTheme="majorHAnsi"/>
                                <w:color w:val="595959" w:themeColor="text1" w:themeTint="A6"/>
                                <w:sz w:val="18"/>
                                <w:szCs w:val="18"/>
                                <w:lang w:val="es-VE"/>
                              </w:rPr>
                              <w:t xml:space="preserve">. </w:t>
                            </w:r>
                            <w:r w:rsidR="00A60467">
                              <w:rPr>
                                <w:rFonts w:asciiTheme="majorHAnsi" w:hAnsiTheme="majorHAnsi"/>
                                <w:color w:val="595959" w:themeColor="text1" w:themeTint="A6"/>
                                <w:sz w:val="18"/>
                                <w:szCs w:val="18"/>
                                <w:lang w:val="es-VE"/>
                              </w:rPr>
                              <w:t>21</w:t>
                            </w:r>
                            <w:r w:rsidR="002C6AE0">
                              <w:rPr>
                                <w:rFonts w:asciiTheme="majorHAnsi" w:hAnsiTheme="majorHAnsi"/>
                                <w:color w:val="595959" w:themeColor="text1" w:themeTint="A6"/>
                                <w:sz w:val="18"/>
                                <w:szCs w:val="18"/>
                                <w:lang w:val="es-VE"/>
                              </w:rPr>
                              <w:t xml:space="preserve"> de octubre de 2022</w:t>
                            </w:r>
                            <w:r w:rsidR="00113F73" w:rsidRPr="00846615">
                              <w:rPr>
                                <w:rFonts w:asciiTheme="majorHAnsi" w:hAnsiTheme="majorHAnsi"/>
                                <w:color w:val="595959" w:themeColor="text1" w:themeTint="A6"/>
                                <w:sz w:val="18"/>
                                <w:szCs w:val="18"/>
                                <w:lang w:val="es-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28611AF" w14:textId="77777777" w:rsidR="002C6AE0" w:rsidRDefault="00113F73" w:rsidP="00113F73">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D357C" w:rsidRPr="008D357C">
                        <w:rPr>
                          <w:rFonts w:asciiTheme="majorHAnsi" w:hAnsiTheme="majorHAnsi"/>
                          <w:color w:val="595959" w:themeColor="text1" w:themeTint="A6"/>
                          <w:sz w:val="18"/>
                          <w:szCs w:val="18"/>
                          <w:lang w:val="pt-BR"/>
                        </w:rPr>
                        <w:t>299</w:t>
                      </w:r>
                      <w:r w:rsidR="007B05C4" w:rsidRPr="008D357C">
                        <w:rPr>
                          <w:rFonts w:asciiTheme="majorHAnsi" w:hAnsiTheme="majorHAnsi"/>
                          <w:color w:val="595959" w:themeColor="text1" w:themeTint="A6"/>
                          <w:sz w:val="18"/>
                          <w:szCs w:val="18"/>
                          <w:lang w:val="pt-BR"/>
                        </w:rPr>
                        <w:t>/</w:t>
                      </w:r>
                      <w:r w:rsidR="008D357C" w:rsidRPr="008D357C">
                        <w:rPr>
                          <w:rFonts w:asciiTheme="majorHAnsi" w:hAnsiTheme="majorHAnsi"/>
                          <w:color w:val="595959" w:themeColor="text1" w:themeTint="A6"/>
                          <w:sz w:val="18"/>
                          <w:szCs w:val="18"/>
                          <w:lang w:val="pt-BR"/>
                        </w:rPr>
                        <w:t>22</w:t>
                      </w:r>
                      <w:r w:rsidRPr="008D357C">
                        <w:rPr>
                          <w:rFonts w:asciiTheme="majorHAnsi" w:hAnsiTheme="majorHAnsi"/>
                          <w:color w:val="595959" w:themeColor="text1" w:themeTint="A6"/>
                          <w:sz w:val="18"/>
                          <w:szCs w:val="18"/>
                          <w:lang w:val="pt-BR"/>
                        </w:rPr>
                        <w:t xml:space="preserve">. </w:t>
                      </w:r>
                      <w:r w:rsidR="000433C9" w:rsidRPr="00BE4B03">
                        <w:rPr>
                          <w:rFonts w:asciiTheme="majorHAnsi" w:hAnsiTheme="majorHAnsi"/>
                          <w:color w:val="595959" w:themeColor="text1" w:themeTint="A6"/>
                          <w:sz w:val="18"/>
                          <w:szCs w:val="18"/>
                          <w:lang w:val="es-VE"/>
                        </w:rPr>
                        <w:t xml:space="preserve">Petición </w:t>
                      </w:r>
                      <w:r w:rsidR="00846615" w:rsidRPr="00BE4B03">
                        <w:rPr>
                          <w:rFonts w:asciiTheme="majorHAnsi" w:hAnsiTheme="majorHAnsi"/>
                          <w:color w:val="595959" w:themeColor="text1" w:themeTint="A6"/>
                          <w:sz w:val="18"/>
                          <w:szCs w:val="18"/>
                          <w:lang w:val="es-VE"/>
                        </w:rPr>
                        <w:t>194</w:t>
                      </w:r>
                      <w:r w:rsidR="008D357C">
                        <w:rPr>
                          <w:rFonts w:asciiTheme="majorHAnsi" w:hAnsiTheme="majorHAnsi"/>
                          <w:color w:val="595959" w:themeColor="text1" w:themeTint="A6"/>
                          <w:sz w:val="18"/>
                          <w:szCs w:val="18"/>
                          <w:lang w:val="es-VE"/>
                        </w:rPr>
                        <w:t>3</w:t>
                      </w:r>
                      <w:r w:rsidR="000433C9" w:rsidRPr="00BE4B03">
                        <w:rPr>
                          <w:rFonts w:asciiTheme="majorHAnsi" w:hAnsiTheme="majorHAnsi"/>
                          <w:color w:val="595959" w:themeColor="text1" w:themeTint="A6"/>
                          <w:sz w:val="18"/>
                          <w:szCs w:val="18"/>
                          <w:lang w:val="es-VE"/>
                        </w:rPr>
                        <w:t>-</w:t>
                      </w:r>
                      <w:r w:rsidR="00846615" w:rsidRPr="00BE4B03">
                        <w:rPr>
                          <w:rFonts w:asciiTheme="majorHAnsi" w:hAnsiTheme="majorHAnsi"/>
                          <w:color w:val="595959" w:themeColor="text1" w:themeTint="A6"/>
                          <w:sz w:val="18"/>
                          <w:szCs w:val="18"/>
                          <w:lang w:val="es-VE"/>
                        </w:rPr>
                        <w:t>12</w:t>
                      </w:r>
                      <w:r w:rsidR="000433C9" w:rsidRPr="00BE4B03">
                        <w:rPr>
                          <w:rFonts w:asciiTheme="majorHAnsi" w:hAnsiTheme="majorHAnsi"/>
                          <w:color w:val="595959" w:themeColor="text1" w:themeTint="A6"/>
                          <w:sz w:val="18"/>
                          <w:szCs w:val="18"/>
                          <w:lang w:val="es-VE"/>
                        </w:rPr>
                        <w:t xml:space="preserve">. </w:t>
                      </w:r>
                      <w:r w:rsidR="00755535">
                        <w:rPr>
                          <w:rFonts w:asciiTheme="majorHAnsi" w:hAnsiTheme="majorHAnsi"/>
                          <w:color w:val="595959" w:themeColor="text1" w:themeTint="A6"/>
                          <w:sz w:val="18"/>
                          <w:szCs w:val="18"/>
                          <w:lang w:val="es-VE"/>
                        </w:rPr>
                        <w:t>Inad</w:t>
                      </w:r>
                      <w:r w:rsidRPr="00BE4B03">
                        <w:rPr>
                          <w:rFonts w:asciiTheme="majorHAnsi" w:hAnsiTheme="majorHAnsi"/>
                          <w:color w:val="595959" w:themeColor="text1" w:themeTint="A6"/>
                          <w:sz w:val="18"/>
                          <w:szCs w:val="18"/>
                          <w:lang w:val="es-VE"/>
                        </w:rPr>
                        <w:t xml:space="preserve">misibilidad. </w:t>
                      </w:r>
                    </w:p>
                    <w:p w14:paraId="7FD77785" w14:textId="6231909F" w:rsidR="00113F73" w:rsidRPr="007B05C4" w:rsidRDefault="00846615" w:rsidP="00113F73">
                      <w:pPr>
                        <w:spacing w:line="276" w:lineRule="auto"/>
                        <w:rPr>
                          <w:rFonts w:asciiTheme="majorHAnsi" w:hAnsiTheme="majorHAnsi"/>
                          <w:color w:val="595959" w:themeColor="text1" w:themeTint="A6"/>
                          <w:sz w:val="18"/>
                          <w:szCs w:val="18"/>
                          <w:lang w:val="es-ES"/>
                        </w:rPr>
                      </w:pPr>
                      <w:r w:rsidRPr="00BE4B03">
                        <w:rPr>
                          <w:rFonts w:asciiTheme="majorHAnsi" w:hAnsiTheme="majorHAnsi"/>
                          <w:color w:val="595959" w:themeColor="text1" w:themeTint="A6"/>
                          <w:sz w:val="18"/>
                          <w:szCs w:val="18"/>
                          <w:lang w:val="es-VE"/>
                        </w:rPr>
                        <w:t xml:space="preserve">Iván </w:t>
                      </w:r>
                      <w:r w:rsidR="00E35DF1" w:rsidRPr="00BE4B03">
                        <w:rPr>
                          <w:rFonts w:asciiTheme="majorHAnsi" w:hAnsiTheme="majorHAnsi"/>
                          <w:color w:val="595959" w:themeColor="text1" w:themeTint="A6"/>
                          <w:sz w:val="18"/>
                          <w:szCs w:val="18"/>
                          <w:lang w:val="es-VE"/>
                        </w:rPr>
                        <w:t>Darío</w:t>
                      </w:r>
                      <w:r w:rsidRPr="00BE4B03">
                        <w:rPr>
                          <w:rFonts w:asciiTheme="majorHAnsi" w:hAnsiTheme="majorHAnsi"/>
                          <w:color w:val="595959" w:themeColor="text1" w:themeTint="A6"/>
                          <w:sz w:val="18"/>
                          <w:szCs w:val="18"/>
                          <w:lang w:val="es-VE"/>
                        </w:rPr>
                        <w:t xml:space="preserve"> Henao Sanabria</w:t>
                      </w:r>
                      <w:r w:rsidR="00A60467">
                        <w:rPr>
                          <w:rFonts w:asciiTheme="majorHAnsi" w:hAnsiTheme="majorHAnsi"/>
                          <w:color w:val="595959" w:themeColor="text1" w:themeTint="A6"/>
                          <w:sz w:val="18"/>
                          <w:szCs w:val="18"/>
                          <w:lang w:val="es-VE"/>
                        </w:rPr>
                        <w:t xml:space="preserve"> </w:t>
                      </w:r>
                      <w:r w:rsidRPr="00BE4B03">
                        <w:rPr>
                          <w:rFonts w:asciiTheme="majorHAnsi" w:hAnsiTheme="majorHAnsi"/>
                          <w:color w:val="595959" w:themeColor="text1" w:themeTint="A6"/>
                          <w:sz w:val="18"/>
                          <w:szCs w:val="18"/>
                          <w:lang w:val="es-VE"/>
                        </w:rPr>
                        <w:t>y familia</w:t>
                      </w:r>
                      <w:r w:rsidR="00A60467">
                        <w:rPr>
                          <w:rFonts w:asciiTheme="majorHAnsi" w:hAnsiTheme="majorHAnsi"/>
                          <w:color w:val="595959" w:themeColor="text1" w:themeTint="A6"/>
                          <w:sz w:val="18"/>
                          <w:szCs w:val="18"/>
                          <w:lang w:val="es-VE"/>
                        </w:rPr>
                        <w:t>res</w:t>
                      </w:r>
                      <w:r w:rsidR="00113F73" w:rsidRPr="00BE4B03">
                        <w:rPr>
                          <w:rFonts w:asciiTheme="majorHAnsi" w:hAnsiTheme="majorHAnsi"/>
                          <w:color w:val="595959" w:themeColor="text1" w:themeTint="A6"/>
                          <w:sz w:val="18"/>
                          <w:szCs w:val="18"/>
                          <w:lang w:val="es-VE"/>
                        </w:rPr>
                        <w:t xml:space="preserve">. </w:t>
                      </w:r>
                      <w:r w:rsidRPr="00BE4B03">
                        <w:rPr>
                          <w:rFonts w:asciiTheme="majorHAnsi" w:hAnsiTheme="majorHAnsi"/>
                          <w:color w:val="595959" w:themeColor="text1" w:themeTint="A6"/>
                          <w:sz w:val="18"/>
                          <w:szCs w:val="18"/>
                          <w:lang w:val="es-VE"/>
                        </w:rPr>
                        <w:t>Colombia</w:t>
                      </w:r>
                      <w:r w:rsidR="00113F73" w:rsidRPr="00BE4B03">
                        <w:rPr>
                          <w:rFonts w:asciiTheme="majorHAnsi" w:hAnsiTheme="majorHAnsi"/>
                          <w:color w:val="595959" w:themeColor="text1" w:themeTint="A6"/>
                          <w:sz w:val="18"/>
                          <w:szCs w:val="18"/>
                          <w:lang w:val="es-VE"/>
                        </w:rPr>
                        <w:t xml:space="preserve">. </w:t>
                      </w:r>
                      <w:r w:rsidR="00A60467">
                        <w:rPr>
                          <w:rFonts w:asciiTheme="majorHAnsi" w:hAnsiTheme="majorHAnsi"/>
                          <w:color w:val="595959" w:themeColor="text1" w:themeTint="A6"/>
                          <w:sz w:val="18"/>
                          <w:szCs w:val="18"/>
                          <w:lang w:val="es-VE"/>
                        </w:rPr>
                        <w:t>21</w:t>
                      </w:r>
                      <w:r w:rsidR="002C6AE0">
                        <w:rPr>
                          <w:rFonts w:asciiTheme="majorHAnsi" w:hAnsiTheme="majorHAnsi"/>
                          <w:color w:val="595959" w:themeColor="text1" w:themeTint="A6"/>
                          <w:sz w:val="18"/>
                          <w:szCs w:val="18"/>
                          <w:lang w:val="es-VE"/>
                        </w:rPr>
                        <w:t xml:space="preserve"> de octubre de 2022</w:t>
                      </w:r>
                      <w:r w:rsidR="00113F73" w:rsidRPr="00846615">
                        <w:rPr>
                          <w:rFonts w:asciiTheme="majorHAnsi" w:hAnsiTheme="majorHAnsi"/>
                          <w:color w:val="595959" w:themeColor="text1" w:themeTint="A6"/>
                          <w:sz w:val="18"/>
                          <w:szCs w:val="18"/>
                          <w:lang w:val="es-VE"/>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28B6F5C5"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18F169A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DFF5F23" w:rsidR="0070697F" w:rsidRDefault="002C6AE0"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0E796558">
                <wp:simplePos x="0" y="0"/>
                <wp:positionH relativeFrom="column">
                  <wp:posOffset>1306830</wp:posOffset>
                </wp:positionH>
                <wp:positionV relativeFrom="paragraph">
                  <wp:posOffset>545828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9pt;margin-top:4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pVHmW+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264E179B" w:rsidR="003239B8" w:rsidRPr="000E57FC" w:rsidRDefault="003239B8" w:rsidP="000E57FC">
      <w:pPr>
        <w:pStyle w:val="ListParagraph"/>
        <w:numPr>
          <w:ilvl w:val="0"/>
          <w:numId w:val="67"/>
        </w:numPr>
        <w:spacing w:after="240"/>
        <w:jc w:val="both"/>
        <w:rPr>
          <w:rFonts w:asciiTheme="majorHAnsi" w:hAnsiTheme="majorHAnsi"/>
          <w:b/>
          <w:bCs/>
          <w:sz w:val="20"/>
          <w:szCs w:val="20"/>
          <w:lang w:val="es-ES"/>
        </w:rPr>
      </w:pPr>
      <w:r w:rsidRPr="000E57FC">
        <w:rPr>
          <w:rFonts w:asciiTheme="majorHAnsi" w:hAnsiTheme="majorHAnsi"/>
          <w:b/>
          <w:bCs/>
          <w:sz w:val="20"/>
          <w:szCs w:val="20"/>
          <w:lang w:val="es-ES"/>
        </w:rPr>
        <w:lastRenderedPageBreak/>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6A6E26"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D2909" w:rsidRDefault="003239B8" w:rsidP="008D2290">
            <w:pPr>
              <w:jc w:val="center"/>
              <w:rPr>
                <w:rFonts w:ascii="Cambria" w:hAnsi="Cambria"/>
                <w:b/>
                <w:bCs/>
                <w:color w:val="FFFFFF" w:themeColor="background1"/>
                <w:sz w:val="20"/>
                <w:szCs w:val="20"/>
                <w:lang w:val="es-VE"/>
              </w:rPr>
            </w:pPr>
            <w:r w:rsidRPr="00CD2909">
              <w:rPr>
                <w:rFonts w:ascii="Cambria" w:hAnsi="Cambria"/>
                <w:b/>
                <w:bCs/>
                <w:color w:val="FFFFFF" w:themeColor="background1"/>
                <w:sz w:val="20"/>
                <w:szCs w:val="20"/>
                <w:lang w:val="es-VE"/>
              </w:rPr>
              <w:t>Parte peticionaria:</w:t>
            </w:r>
          </w:p>
        </w:tc>
        <w:tc>
          <w:tcPr>
            <w:tcW w:w="5647" w:type="dxa"/>
            <w:vAlign w:val="center"/>
          </w:tcPr>
          <w:p w14:paraId="07DAAE2E" w14:textId="654B0AD3" w:rsidR="003239B8" w:rsidRPr="00CD2909" w:rsidRDefault="00991533" w:rsidP="008D2290">
            <w:pPr>
              <w:jc w:val="both"/>
              <w:rPr>
                <w:rFonts w:ascii="Cambria" w:hAnsi="Cambria"/>
                <w:bCs/>
                <w:sz w:val="20"/>
                <w:szCs w:val="20"/>
                <w:lang w:val="es-VE"/>
              </w:rPr>
            </w:pPr>
            <w:r>
              <w:rPr>
                <w:rFonts w:ascii="Cambria" w:hAnsi="Cambria"/>
                <w:bCs/>
                <w:sz w:val="20"/>
                <w:szCs w:val="20"/>
                <w:lang w:val="es-VE"/>
              </w:rPr>
              <w:t>Bajo reserva de identidad (art. 28 del Reglamento de la CIDH)</w:t>
            </w:r>
          </w:p>
        </w:tc>
      </w:tr>
      <w:tr w:rsidR="003239B8" w:rsidRPr="006A6E2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2FD683B4" w:rsidR="003239B8" w:rsidRPr="00CD2909" w:rsidRDefault="003239B8" w:rsidP="008D2290">
            <w:pPr>
              <w:jc w:val="center"/>
              <w:rPr>
                <w:rFonts w:ascii="Cambria" w:hAnsi="Cambria"/>
                <w:b/>
                <w:bCs/>
                <w:color w:val="FFFFFF" w:themeColor="background1"/>
                <w:sz w:val="20"/>
                <w:szCs w:val="20"/>
                <w:lang w:val="es-VE"/>
              </w:rPr>
            </w:pPr>
            <w:r w:rsidRPr="00CD2909">
              <w:rPr>
                <w:rFonts w:ascii="Cambria" w:hAnsi="Cambria"/>
                <w:b/>
                <w:bCs/>
                <w:color w:val="FFFFFF" w:themeColor="background1"/>
                <w:sz w:val="20"/>
                <w:szCs w:val="20"/>
                <w:lang w:val="es-VE"/>
              </w:rPr>
              <w:t>Presunta víctima</w:t>
            </w:r>
            <w:r w:rsidR="00CD2909">
              <w:rPr>
                <w:rFonts w:ascii="Cambria" w:hAnsi="Cambria"/>
                <w:b/>
                <w:bCs/>
                <w:color w:val="FFFFFF" w:themeColor="background1"/>
                <w:sz w:val="20"/>
                <w:szCs w:val="20"/>
                <w:lang w:val="es-VE"/>
              </w:rPr>
              <w:t>:</w:t>
            </w:r>
          </w:p>
        </w:tc>
        <w:tc>
          <w:tcPr>
            <w:tcW w:w="5647" w:type="dxa"/>
            <w:vAlign w:val="center"/>
          </w:tcPr>
          <w:p w14:paraId="143D44A8" w14:textId="55BCB8C8" w:rsidR="001F7025" w:rsidRPr="008E4D75" w:rsidRDefault="00846615" w:rsidP="008D2290">
            <w:pPr>
              <w:jc w:val="both"/>
              <w:rPr>
                <w:rFonts w:asciiTheme="majorHAnsi" w:hAnsiTheme="majorHAnsi"/>
                <w:sz w:val="20"/>
                <w:szCs w:val="20"/>
                <w:lang w:val="es-VE"/>
              </w:rPr>
            </w:pPr>
            <w:r w:rsidRPr="008E4D75">
              <w:rPr>
                <w:rFonts w:asciiTheme="majorHAnsi" w:hAnsiTheme="majorHAnsi"/>
                <w:sz w:val="20"/>
                <w:szCs w:val="20"/>
                <w:lang w:val="es-VE"/>
              </w:rPr>
              <w:t>Iván Dar</w:t>
            </w:r>
            <w:r w:rsidR="008E4D75">
              <w:rPr>
                <w:rFonts w:asciiTheme="majorHAnsi" w:hAnsiTheme="majorHAnsi"/>
                <w:sz w:val="20"/>
                <w:szCs w:val="20"/>
                <w:lang w:val="es-VE"/>
              </w:rPr>
              <w:t>í</w:t>
            </w:r>
            <w:r w:rsidRPr="008E4D75">
              <w:rPr>
                <w:rFonts w:asciiTheme="majorHAnsi" w:hAnsiTheme="majorHAnsi"/>
                <w:sz w:val="20"/>
                <w:szCs w:val="20"/>
                <w:lang w:val="es-VE"/>
              </w:rPr>
              <w:t>o Henao Sanabria, Elcia González de Ávila y familia</w:t>
            </w:r>
            <w:r w:rsidR="004F260C">
              <w:rPr>
                <w:rFonts w:asciiTheme="majorHAnsi" w:hAnsiTheme="majorHAnsi"/>
                <w:sz w:val="20"/>
                <w:szCs w:val="20"/>
                <w:lang w:val="es-VE"/>
              </w:rPr>
              <w:t>res</w:t>
            </w:r>
            <w:r w:rsidR="00040D45" w:rsidRPr="008E4D75">
              <w:rPr>
                <w:rStyle w:val="FootnoteReference"/>
                <w:rFonts w:asciiTheme="majorHAnsi" w:hAnsiTheme="majorHAnsi"/>
                <w:sz w:val="20"/>
                <w:szCs w:val="20"/>
                <w:lang w:val="es-VE"/>
              </w:rPr>
              <w:footnoteReference w:id="2"/>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D2909" w:rsidRDefault="003239B8" w:rsidP="008D2290">
            <w:pPr>
              <w:jc w:val="center"/>
              <w:rPr>
                <w:rFonts w:ascii="Cambria" w:hAnsi="Cambria"/>
                <w:b/>
                <w:bCs/>
                <w:color w:val="FFFFFF" w:themeColor="background1"/>
                <w:sz w:val="20"/>
                <w:szCs w:val="20"/>
                <w:lang w:val="es-VE"/>
              </w:rPr>
            </w:pPr>
            <w:r w:rsidRPr="00CD2909">
              <w:rPr>
                <w:rFonts w:ascii="Cambria" w:hAnsi="Cambria"/>
                <w:b/>
                <w:bCs/>
                <w:color w:val="FFFFFF" w:themeColor="background1"/>
                <w:sz w:val="20"/>
                <w:szCs w:val="20"/>
                <w:lang w:val="es-VE"/>
              </w:rPr>
              <w:t>Estado denunciado:</w:t>
            </w:r>
          </w:p>
        </w:tc>
        <w:tc>
          <w:tcPr>
            <w:tcW w:w="5647" w:type="dxa"/>
            <w:vAlign w:val="center"/>
          </w:tcPr>
          <w:p w14:paraId="5D0EC05D" w14:textId="0A937923" w:rsidR="003239B8" w:rsidRPr="008E4D75" w:rsidRDefault="00846615" w:rsidP="008D2290">
            <w:pPr>
              <w:jc w:val="both"/>
              <w:rPr>
                <w:rFonts w:ascii="Cambria" w:hAnsi="Cambria"/>
                <w:bCs/>
                <w:sz w:val="20"/>
                <w:szCs w:val="20"/>
                <w:lang w:val="es-VE"/>
              </w:rPr>
            </w:pPr>
            <w:r w:rsidRPr="008E4D75">
              <w:rPr>
                <w:rFonts w:ascii="Cambria" w:hAnsi="Cambria"/>
                <w:bCs/>
                <w:sz w:val="20"/>
                <w:szCs w:val="20"/>
                <w:lang w:val="es-VE"/>
              </w:rPr>
              <w:t>Colombia</w:t>
            </w:r>
            <w:r w:rsidR="004A6A54" w:rsidRPr="008E4D75">
              <w:rPr>
                <w:rStyle w:val="FootnoteReference"/>
                <w:rFonts w:ascii="Cambria" w:hAnsi="Cambria"/>
                <w:bCs/>
                <w:sz w:val="20"/>
                <w:szCs w:val="20"/>
                <w:lang w:val="es-VE"/>
              </w:rPr>
              <w:footnoteReference w:id="3"/>
            </w:r>
          </w:p>
        </w:tc>
      </w:tr>
      <w:tr w:rsidR="00223A29" w:rsidRPr="006A6E2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CD2909" w:rsidRDefault="001B3A00" w:rsidP="00E4118C">
            <w:pPr>
              <w:jc w:val="center"/>
              <w:rPr>
                <w:rFonts w:ascii="Cambria" w:hAnsi="Cambria"/>
                <w:b/>
                <w:bCs/>
                <w:color w:val="FFFFFF" w:themeColor="background1"/>
                <w:sz w:val="20"/>
                <w:szCs w:val="20"/>
                <w:lang w:val="es-VE"/>
              </w:rPr>
            </w:pPr>
            <w:r w:rsidRPr="00CD2909">
              <w:rPr>
                <w:rFonts w:ascii="Cambria" w:hAnsi="Cambria"/>
                <w:b/>
                <w:bCs/>
                <w:color w:val="FFFFFF" w:themeColor="background1"/>
                <w:sz w:val="20"/>
                <w:szCs w:val="20"/>
                <w:lang w:val="es-VE"/>
              </w:rPr>
              <w:t xml:space="preserve">Derechos </w:t>
            </w:r>
            <w:r w:rsidR="00E4118C" w:rsidRPr="00CD2909">
              <w:rPr>
                <w:rFonts w:ascii="Cambria" w:hAnsi="Cambria"/>
                <w:b/>
                <w:bCs/>
                <w:color w:val="FFFFFF" w:themeColor="background1"/>
                <w:sz w:val="20"/>
                <w:szCs w:val="20"/>
                <w:lang w:val="es-VE"/>
              </w:rPr>
              <w:t>invocados</w:t>
            </w:r>
            <w:r w:rsidRPr="00CD2909">
              <w:rPr>
                <w:rFonts w:ascii="Cambria" w:hAnsi="Cambria"/>
                <w:b/>
                <w:bCs/>
                <w:color w:val="FFFFFF" w:themeColor="background1"/>
                <w:sz w:val="20"/>
                <w:szCs w:val="20"/>
                <w:lang w:val="es-VE"/>
              </w:rPr>
              <w:t>:</w:t>
            </w:r>
          </w:p>
        </w:tc>
        <w:tc>
          <w:tcPr>
            <w:tcW w:w="5647" w:type="dxa"/>
            <w:vAlign w:val="center"/>
          </w:tcPr>
          <w:p w14:paraId="52B28392" w14:textId="06FE8550" w:rsidR="00223A29" w:rsidRPr="008E4D75" w:rsidRDefault="00D21E93" w:rsidP="008D2290">
            <w:pPr>
              <w:jc w:val="both"/>
              <w:rPr>
                <w:rFonts w:ascii="Cambria" w:hAnsi="Cambria"/>
                <w:bCs/>
                <w:sz w:val="20"/>
                <w:szCs w:val="20"/>
                <w:lang w:val="es-VE"/>
              </w:rPr>
            </w:pPr>
            <w:r w:rsidRPr="008E4D75">
              <w:rPr>
                <w:rFonts w:ascii="Cambria" w:hAnsi="Cambria"/>
                <w:bCs/>
                <w:sz w:val="20"/>
                <w:szCs w:val="20"/>
                <w:lang w:val="es-VE"/>
              </w:rPr>
              <w:t xml:space="preserve">Artículo 4 </w:t>
            </w:r>
            <w:r w:rsidR="002B3A51">
              <w:rPr>
                <w:rFonts w:ascii="Cambria" w:hAnsi="Cambria"/>
                <w:bCs/>
                <w:sz w:val="20"/>
                <w:szCs w:val="20"/>
                <w:lang w:val="es-VE"/>
              </w:rPr>
              <w:t xml:space="preserve">(vida) </w:t>
            </w:r>
            <w:r w:rsidRPr="008E4D75">
              <w:rPr>
                <w:rFonts w:ascii="Cambria" w:hAnsi="Cambria"/>
                <w:bCs/>
                <w:sz w:val="20"/>
                <w:szCs w:val="20"/>
                <w:lang w:val="es-VE"/>
              </w:rPr>
              <w:t>de la Convención Americana sobre Derechos Humanos</w:t>
            </w:r>
            <w:r w:rsidR="00B71E60" w:rsidRPr="008E4D75">
              <w:rPr>
                <w:rStyle w:val="FootnoteReference"/>
                <w:rFonts w:ascii="Cambria" w:hAnsi="Cambria"/>
                <w:bCs/>
                <w:sz w:val="20"/>
                <w:szCs w:val="20"/>
                <w:lang w:val="es-VE"/>
              </w:rPr>
              <w:footnoteReference w:id="4"/>
            </w:r>
            <w:r w:rsidR="00C80F81">
              <w:rPr>
                <w:rFonts w:ascii="Cambria" w:hAnsi="Cambria"/>
                <w:bCs/>
                <w:sz w:val="20"/>
                <w:szCs w:val="20"/>
                <w:lang w:val="es-VE"/>
              </w:rPr>
              <w:t>,</w:t>
            </w:r>
            <w:r w:rsidRPr="008E4D75">
              <w:rPr>
                <w:rFonts w:ascii="Cambria" w:hAnsi="Cambria"/>
                <w:bCs/>
                <w:sz w:val="20"/>
                <w:szCs w:val="20"/>
                <w:lang w:val="es-VE"/>
              </w:rPr>
              <w:t xml:space="preserve"> en relación </w:t>
            </w:r>
            <w:r w:rsidR="00C80F81">
              <w:rPr>
                <w:rFonts w:ascii="Cambria" w:hAnsi="Cambria"/>
                <w:bCs/>
                <w:sz w:val="20"/>
                <w:szCs w:val="20"/>
                <w:lang w:val="es-VE"/>
              </w:rPr>
              <w:t>con su</w:t>
            </w:r>
            <w:r w:rsidRPr="008E4D75">
              <w:rPr>
                <w:rFonts w:ascii="Cambria" w:hAnsi="Cambria"/>
                <w:bCs/>
                <w:sz w:val="20"/>
                <w:szCs w:val="20"/>
                <w:lang w:val="es-VE"/>
              </w:rPr>
              <w:t xml:space="preserve"> artículo 1.1 </w:t>
            </w:r>
          </w:p>
        </w:tc>
      </w:tr>
    </w:tbl>
    <w:p w14:paraId="176FB213" w14:textId="004F8143" w:rsidR="003239B8" w:rsidRPr="000E57FC" w:rsidRDefault="003239B8" w:rsidP="000E57FC">
      <w:pPr>
        <w:pStyle w:val="ListParagraph"/>
        <w:numPr>
          <w:ilvl w:val="0"/>
          <w:numId w:val="67"/>
        </w:numPr>
        <w:spacing w:before="240" w:after="240"/>
        <w:jc w:val="both"/>
        <w:rPr>
          <w:rFonts w:asciiTheme="majorHAnsi" w:hAnsiTheme="majorHAnsi"/>
          <w:b/>
          <w:bCs/>
          <w:sz w:val="20"/>
          <w:szCs w:val="20"/>
          <w:lang w:val="es-ES"/>
        </w:rPr>
      </w:pPr>
      <w:r w:rsidRPr="000E57FC">
        <w:rPr>
          <w:rFonts w:asciiTheme="majorHAnsi" w:hAnsiTheme="majorHAnsi"/>
          <w:b/>
          <w:bCs/>
          <w:sz w:val="20"/>
          <w:szCs w:val="20"/>
          <w:lang w:val="es-ES"/>
        </w:rPr>
        <w:t>TRÁMITE ANTE LA CIDH</w:t>
      </w:r>
      <w:r w:rsidR="008E3BFE" w:rsidRPr="008E3BFE">
        <w:rPr>
          <w:rStyle w:val="FootnoteReference"/>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CD2909" w:rsidRDefault="004A6A54" w:rsidP="004A6A54">
            <w:pPr>
              <w:jc w:val="center"/>
              <w:rPr>
                <w:rFonts w:ascii="Cambria" w:hAnsi="Cambria"/>
                <w:b/>
                <w:bCs/>
                <w:color w:val="FFFFFF" w:themeColor="background1"/>
                <w:sz w:val="20"/>
                <w:szCs w:val="20"/>
                <w:lang w:val="es-VE"/>
              </w:rPr>
            </w:pPr>
            <w:r w:rsidRPr="00CD2909">
              <w:rPr>
                <w:rFonts w:ascii="Cambria" w:hAnsi="Cambria"/>
                <w:b/>
                <w:bCs/>
                <w:color w:val="FFFFFF" w:themeColor="background1"/>
                <w:sz w:val="20"/>
                <w:szCs w:val="20"/>
                <w:lang w:val="es-VE"/>
              </w:rPr>
              <w:t>P</w:t>
            </w:r>
            <w:r w:rsidR="004C2312" w:rsidRPr="00CD2909">
              <w:rPr>
                <w:rFonts w:ascii="Cambria" w:hAnsi="Cambria"/>
                <w:b/>
                <w:bCs/>
                <w:color w:val="FFFFFF" w:themeColor="background1"/>
                <w:sz w:val="20"/>
                <w:szCs w:val="20"/>
                <w:lang w:val="es-VE"/>
              </w:rPr>
              <w:t>resentación de la petición:</w:t>
            </w:r>
          </w:p>
        </w:tc>
        <w:tc>
          <w:tcPr>
            <w:tcW w:w="5647" w:type="dxa"/>
            <w:vAlign w:val="center"/>
          </w:tcPr>
          <w:p w14:paraId="6883A5F8" w14:textId="4FE84909" w:rsidR="004C2312" w:rsidRPr="003239B8" w:rsidRDefault="00846615" w:rsidP="002625EA">
            <w:pPr>
              <w:jc w:val="both"/>
              <w:rPr>
                <w:rFonts w:ascii="Cambria" w:hAnsi="Cambria"/>
                <w:bCs/>
                <w:sz w:val="20"/>
                <w:szCs w:val="20"/>
                <w:lang w:val="es-ES"/>
              </w:rPr>
            </w:pPr>
            <w:r>
              <w:rPr>
                <w:rFonts w:ascii="Cambria" w:hAnsi="Cambria"/>
                <w:bCs/>
                <w:sz w:val="20"/>
                <w:szCs w:val="20"/>
                <w:lang w:val="es-ES"/>
              </w:rPr>
              <w:t>18 de octubre de 2012</w:t>
            </w:r>
          </w:p>
        </w:tc>
      </w:tr>
      <w:tr w:rsidR="00131425" w:rsidRPr="00CD2909"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CD2909" w:rsidRDefault="00131425" w:rsidP="004A6A54">
            <w:pPr>
              <w:jc w:val="center"/>
              <w:rPr>
                <w:rFonts w:ascii="Cambria" w:hAnsi="Cambria"/>
                <w:b/>
                <w:bCs/>
                <w:color w:val="FFFFFF" w:themeColor="background1"/>
                <w:sz w:val="20"/>
                <w:szCs w:val="20"/>
                <w:lang w:val="es-VE"/>
              </w:rPr>
            </w:pPr>
            <w:r w:rsidRPr="00CD2909">
              <w:rPr>
                <w:rFonts w:ascii="Cambria" w:hAnsi="Cambria"/>
                <w:b/>
                <w:bCs/>
                <w:color w:val="FFFFFF" w:themeColor="background1"/>
                <w:sz w:val="20"/>
                <w:szCs w:val="20"/>
                <w:lang w:val="es-VE"/>
              </w:rPr>
              <w:t>Información adicional recibida durante la etapa de estudio:</w:t>
            </w:r>
          </w:p>
        </w:tc>
        <w:tc>
          <w:tcPr>
            <w:tcW w:w="5647" w:type="dxa"/>
            <w:vAlign w:val="center"/>
          </w:tcPr>
          <w:p w14:paraId="65CBC29E" w14:textId="46B0DE81" w:rsidR="00131425" w:rsidRPr="003239B8" w:rsidRDefault="002B4EE3" w:rsidP="002625EA">
            <w:pPr>
              <w:jc w:val="both"/>
              <w:rPr>
                <w:rFonts w:ascii="Cambria" w:hAnsi="Cambria"/>
                <w:bCs/>
                <w:sz w:val="20"/>
                <w:szCs w:val="20"/>
                <w:lang w:val="es-ES"/>
              </w:rPr>
            </w:pPr>
            <w:r>
              <w:rPr>
                <w:rFonts w:ascii="Cambria" w:hAnsi="Cambria"/>
                <w:bCs/>
                <w:sz w:val="20"/>
                <w:szCs w:val="20"/>
                <w:lang w:val="es-ES"/>
              </w:rPr>
              <w:t>27 de abril de</w:t>
            </w:r>
            <w:r w:rsidR="00502265">
              <w:rPr>
                <w:rFonts w:ascii="Cambria" w:hAnsi="Cambria"/>
                <w:bCs/>
                <w:sz w:val="20"/>
                <w:szCs w:val="20"/>
                <w:lang w:val="es-ES"/>
              </w:rPr>
              <w:t xml:space="preserve"> 2017</w:t>
            </w:r>
            <w:r>
              <w:rPr>
                <w:rFonts w:ascii="Cambria" w:hAnsi="Cambria"/>
                <w:bCs/>
                <w:sz w:val="20"/>
                <w:szCs w:val="20"/>
                <w:lang w:val="es-ES"/>
              </w:rPr>
              <w:t xml:space="preserve"> </w:t>
            </w:r>
          </w:p>
        </w:tc>
      </w:tr>
      <w:tr w:rsidR="004C2312" w:rsidRPr="00CD2909"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CD2909" w:rsidRDefault="004A6A54" w:rsidP="004A6A54">
            <w:pPr>
              <w:jc w:val="center"/>
              <w:rPr>
                <w:rFonts w:ascii="Cambria" w:hAnsi="Cambria"/>
                <w:b/>
                <w:bCs/>
                <w:color w:val="FFFFFF" w:themeColor="background1"/>
                <w:sz w:val="20"/>
                <w:szCs w:val="20"/>
                <w:lang w:val="es-VE"/>
              </w:rPr>
            </w:pPr>
            <w:r w:rsidRPr="00CD2909">
              <w:rPr>
                <w:rFonts w:ascii="Cambria" w:hAnsi="Cambria"/>
                <w:b/>
                <w:color w:val="FFFFFF" w:themeColor="background1"/>
                <w:sz w:val="20"/>
                <w:szCs w:val="20"/>
                <w:lang w:val="es-VE"/>
              </w:rPr>
              <w:t>N</w:t>
            </w:r>
            <w:r w:rsidR="004C2312" w:rsidRPr="00CD2909">
              <w:rPr>
                <w:rFonts w:ascii="Cambria" w:hAnsi="Cambria"/>
                <w:b/>
                <w:color w:val="FFFFFF" w:themeColor="background1"/>
                <w:sz w:val="20"/>
                <w:szCs w:val="20"/>
                <w:lang w:val="es-VE"/>
              </w:rPr>
              <w:t>otificación de la petición al Estado:</w:t>
            </w:r>
          </w:p>
        </w:tc>
        <w:tc>
          <w:tcPr>
            <w:tcW w:w="5647" w:type="dxa"/>
            <w:vAlign w:val="center"/>
          </w:tcPr>
          <w:p w14:paraId="58485921" w14:textId="6D5FDD9E" w:rsidR="004C2312" w:rsidRPr="003239B8" w:rsidRDefault="002B4EE3" w:rsidP="008D2290">
            <w:pPr>
              <w:jc w:val="both"/>
              <w:rPr>
                <w:rFonts w:ascii="Cambria" w:hAnsi="Cambria"/>
                <w:bCs/>
                <w:sz w:val="20"/>
                <w:szCs w:val="20"/>
                <w:lang w:val="es-ES"/>
              </w:rPr>
            </w:pPr>
            <w:r>
              <w:rPr>
                <w:rFonts w:ascii="Cambria" w:hAnsi="Cambria"/>
                <w:bCs/>
                <w:sz w:val="20"/>
                <w:szCs w:val="20"/>
                <w:lang w:val="es-ES"/>
              </w:rPr>
              <w:t>23 de julio de 2018</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CD2909" w:rsidRDefault="004A6A54" w:rsidP="004A6A54">
            <w:pPr>
              <w:jc w:val="center"/>
              <w:rPr>
                <w:rFonts w:ascii="Cambria" w:hAnsi="Cambria"/>
                <w:b/>
                <w:bCs/>
                <w:color w:val="FFFFFF" w:themeColor="background1"/>
                <w:sz w:val="20"/>
                <w:szCs w:val="20"/>
                <w:lang w:val="es-VE"/>
              </w:rPr>
            </w:pPr>
            <w:r w:rsidRPr="00CD2909">
              <w:rPr>
                <w:rFonts w:ascii="Cambria" w:hAnsi="Cambria"/>
                <w:b/>
                <w:color w:val="FFFFFF" w:themeColor="background1"/>
                <w:sz w:val="20"/>
                <w:szCs w:val="20"/>
                <w:lang w:val="es-VE"/>
              </w:rPr>
              <w:t>P</w:t>
            </w:r>
            <w:r w:rsidR="004C2312" w:rsidRPr="00CD2909">
              <w:rPr>
                <w:rFonts w:ascii="Cambria" w:hAnsi="Cambria"/>
                <w:b/>
                <w:color w:val="FFFFFF" w:themeColor="background1"/>
                <w:sz w:val="20"/>
                <w:szCs w:val="20"/>
                <w:lang w:val="es-VE"/>
              </w:rPr>
              <w:t>rimera respuesta del Estado:</w:t>
            </w:r>
          </w:p>
        </w:tc>
        <w:tc>
          <w:tcPr>
            <w:tcW w:w="5647" w:type="dxa"/>
            <w:vAlign w:val="center"/>
          </w:tcPr>
          <w:p w14:paraId="6B47064C" w14:textId="32C0EC14" w:rsidR="004C2312" w:rsidRPr="003239B8" w:rsidRDefault="002B4EE3" w:rsidP="008D2290">
            <w:pPr>
              <w:jc w:val="both"/>
              <w:rPr>
                <w:rFonts w:ascii="Cambria" w:hAnsi="Cambria"/>
                <w:bCs/>
                <w:sz w:val="20"/>
                <w:szCs w:val="20"/>
                <w:lang w:val="es-ES"/>
              </w:rPr>
            </w:pPr>
            <w:r>
              <w:rPr>
                <w:rFonts w:ascii="Cambria" w:hAnsi="Cambria"/>
                <w:bCs/>
                <w:sz w:val="20"/>
                <w:szCs w:val="20"/>
                <w:lang w:val="es-ES"/>
              </w:rPr>
              <w:t>3 de diciembre de 2018</w:t>
            </w:r>
          </w:p>
        </w:tc>
      </w:tr>
    </w:tbl>
    <w:p w14:paraId="0FC6E9E8" w14:textId="4302B710" w:rsidR="003239B8" w:rsidRPr="00B71E60" w:rsidRDefault="003239B8" w:rsidP="000E57FC">
      <w:pPr>
        <w:pStyle w:val="ListParagraph"/>
        <w:numPr>
          <w:ilvl w:val="0"/>
          <w:numId w:val="67"/>
        </w:numPr>
        <w:spacing w:before="240" w:after="240"/>
        <w:ind w:left="0" w:firstLine="720"/>
        <w:jc w:val="both"/>
        <w:rPr>
          <w:rFonts w:asciiTheme="majorHAnsi" w:hAnsiTheme="majorHAnsi"/>
          <w:b/>
          <w:bCs/>
          <w:sz w:val="20"/>
          <w:szCs w:val="20"/>
          <w:lang w:val="es-ES"/>
        </w:rPr>
      </w:pPr>
      <w:r w:rsidRPr="00B71E60">
        <w:rPr>
          <w:rFonts w:asciiTheme="majorHAnsi" w:hAnsiTheme="majorHAnsi"/>
          <w:b/>
          <w:bCs/>
          <w:sz w:val="20"/>
          <w:szCs w:val="20"/>
          <w:lang w:val="es-ES"/>
        </w:rPr>
        <w:t>COMPETENCIA</w:t>
      </w:r>
      <w:r w:rsidR="00EE00E9" w:rsidRPr="00B71E6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2B4EE3" w:rsidRDefault="003239B8" w:rsidP="008D2290">
            <w:pPr>
              <w:jc w:val="center"/>
              <w:rPr>
                <w:rFonts w:ascii="Cambria" w:hAnsi="Cambria"/>
                <w:b/>
                <w:bCs/>
                <w:i/>
                <w:color w:val="FFFFFF" w:themeColor="background1"/>
                <w:sz w:val="20"/>
                <w:szCs w:val="20"/>
                <w:lang w:val="es-VE"/>
              </w:rPr>
            </w:pPr>
            <w:r w:rsidRPr="002B4EE3">
              <w:rPr>
                <w:rFonts w:ascii="Cambria" w:hAnsi="Cambria"/>
                <w:b/>
                <w:bCs/>
                <w:color w:val="FFFFFF" w:themeColor="background1"/>
                <w:sz w:val="20"/>
                <w:szCs w:val="20"/>
                <w:lang w:val="es-VE"/>
              </w:rPr>
              <w:t>Competencia</w:t>
            </w:r>
            <w:r w:rsidRPr="002B4EE3">
              <w:rPr>
                <w:rFonts w:ascii="Cambria" w:hAnsi="Cambria"/>
                <w:b/>
                <w:bCs/>
                <w:i/>
                <w:color w:val="FFFFFF" w:themeColor="background1"/>
                <w:sz w:val="20"/>
                <w:szCs w:val="20"/>
                <w:lang w:val="es-VE"/>
              </w:rPr>
              <w:t xml:space="preserve"> Ratione personae:</w:t>
            </w:r>
          </w:p>
        </w:tc>
        <w:tc>
          <w:tcPr>
            <w:tcW w:w="5760" w:type="dxa"/>
            <w:vAlign w:val="center"/>
          </w:tcPr>
          <w:p w14:paraId="1E494D5D" w14:textId="4050C648" w:rsidR="003239B8" w:rsidRPr="002B4EE3" w:rsidRDefault="002B4EE3" w:rsidP="008D2290">
            <w:pPr>
              <w:rPr>
                <w:rFonts w:ascii="Cambria" w:hAnsi="Cambria"/>
                <w:bCs/>
                <w:sz w:val="20"/>
                <w:szCs w:val="20"/>
                <w:lang w:val="es-VE"/>
              </w:rPr>
            </w:pPr>
            <w:r w:rsidRPr="002B4EE3">
              <w:rPr>
                <w:rFonts w:ascii="Cambria" w:hAnsi="Cambria"/>
                <w:bCs/>
                <w:sz w:val="20"/>
                <w:szCs w:val="20"/>
                <w:lang w:val="es-VE"/>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2B4EE3" w:rsidRDefault="003239B8" w:rsidP="008D2290">
            <w:pPr>
              <w:jc w:val="center"/>
              <w:rPr>
                <w:rFonts w:ascii="Cambria" w:hAnsi="Cambria"/>
                <w:b/>
                <w:bCs/>
                <w:color w:val="FFFFFF" w:themeColor="background1"/>
                <w:sz w:val="20"/>
                <w:szCs w:val="20"/>
                <w:lang w:val="es-VE"/>
              </w:rPr>
            </w:pPr>
            <w:r w:rsidRPr="002B4EE3">
              <w:rPr>
                <w:rFonts w:ascii="Cambria" w:hAnsi="Cambria"/>
                <w:b/>
                <w:bCs/>
                <w:color w:val="FFFFFF" w:themeColor="background1"/>
                <w:sz w:val="20"/>
                <w:szCs w:val="20"/>
                <w:lang w:val="es-VE"/>
              </w:rPr>
              <w:t>Competencia</w:t>
            </w:r>
            <w:r w:rsidRPr="002B4EE3">
              <w:rPr>
                <w:rFonts w:ascii="Cambria" w:hAnsi="Cambria"/>
                <w:b/>
                <w:bCs/>
                <w:i/>
                <w:color w:val="FFFFFF" w:themeColor="background1"/>
                <w:sz w:val="20"/>
                <w:szCs w:val="20"/>
                <w:lang w:val="es-VE"/>
              </w:rPr>
              <w:t xml:space="preserve"> Ratione loci</w:t>
            </w:r>
            <w:r w:rsidRPr="002B4EE3">
              <w:rPr>
                <w:rFonts w:ascii="Cambria" w:hAnsi="Cambria"/>
                <w:b/>
                <w:bCs/>
                <w:color w:val="FFFFFF" w:themeColor="background1"/>
                <w:sz w:val="20"/>
                <w:szCs w:val="20"/>
                <w:lang w:val="es-VE"/>
              </w:rPr>
              <w:t>:</w:t>
            </w:r>
          </w:p>
        </w:tc>
        <w:tc>
          <w:tcPr>
            <w:tcW w:w="5760" w:type="dxa"/>
            <w:vAlign w:val="center"/>
          </w:tcPr>
          <w:p w14:paraId="77C8256A" w14:textId="524C8185" w:rsidR="003239B8" w:rsidRPr="002B4EE3" w:rsidRDefault="002B4EE3" w:rsidP="008D2290">
            <w:pPr>
              <w:rPr>
                <w:rFonts w:ascii="Cambria" w:hAnsi="Cambria"/>
                <w:bCs/>
                <w:sz w:val="20"/>
                <w:szCs w:val="20"/>
                <w:lang w:val="es-VE"/>
              </w:rPr>
            </w:pPr>
            <w:r w:rsidRPr="002B4EE3">
              <w:rPr>
                <w:rFonts w:ascii="Cambria" w:hAnsi="Cambria"/>
                <w:bCs/>
                <w:sz w:val="20"/>
                <w:szCs w:val="20"/>
                <w:lang w:val="es-VE"/>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2B4EE3" w:rsidRDefault="003239B8" w:rsidP="008D2290">
            <w:pPr>
              <w:jc w:val="center"/>
              <w:rPr>
                <w:rFonts w:ascii="Cambria" w:hAnsi="Cambria"/>
                <w:b/>
                <w:bCs/>
                <w:color w:val="FFFFFF" w:themeColor="background1"/>
                <w:sz w:val="20"/>
                <w:szCs w:val="20"/>
                <w:lang w:val="es-VE"/>
              </w:rPr>
            </w:pPr>
            <w:r w:rsidRPr="002B4EE3">
              <w:rPr>
                <w:rFonts w:ascii="Cambria" w:hAnsi="Cambria"/>
                <w:b/>
                <w:bCs/>
                <w:color w:val="FFFFFF" w:themeColor="background1"/>
                <w:sz w:val="20"/>
                <w:szCs w:val="20"/>
                <w:lang w:val="es-VE"/>
              </w:rPr>
              <w:t>Competencia</w:t>
            </w:r>
            <w:r w:rsidRPr="002B4EE3">
              <w:rPr>
                <w:rFonts w:ascii="Cambria" w:hAnsi="Cambria"/>
                <w:b/>
                <w:bCs/>
                <w:i/>
                <w:color w:val="FFFFFF" w:themeColor="background1"/>
                <w:sz w:val="20"/>
                <w:szCs w:val="20"/>
                <w:lang w:val="es-VE"/>
              </w:rPr>
              <w:t xml:space="preserve"> Ratione temporis</w:t>
            </w:r>
            <w:r w:rsidRPr="002B4EE3">
              <w:rPr>
                <w:rFonts w:ascii="Cambria" w:hAnsi="Cambria"/>
                <w:b/>
                <w:bCs/>
                <w:color w:val="FFFFFF" w:themeColor="background1"/>
                <w:sz w:val="20"/>
                <w:szCs w:val="20"/>
                <w:lang w:val="es-VE"/>
              </w:rPr>
              <w:t>:</w:t>
            </w:r>
          </w:p>
        </w:tc>
        <w:tc>
          <w:tcPr>
            <w:tcW w:w="5760" w:type="dxa"/>
            <w:vAlign w:val="center"/>
          </w:tcPr>
          <w:p w14:paraId="523F6BD6" w14:textId="0274512B" w:rsidR="003239B8" w:rsidRPr="002B4EE3" w:rsidRDefault="002B4EE3" w:rsidP="008D2290">
            <w:pPr>
              <w:rPr>
                <w:rFonts w:ascii="Cambria" w:hAnsi="Cambria"/>
                <w:bCs/>
                <w:sz w:val="20"/>
                <w:szCs w:val="20"/>
                <w:lang w:val="es-VE"/>
              </w:rPr>
            </w:pPr>
            <w:r w:rsidRPr="002B4EE3">
              <w:rPr>
                <w:rFonts w:ascii="Cambria" w:hAnsi="Cambria"/>
                <w:bCs/>
                <w:sz w:val="20"/>
                <w:szCs w:val="20"/>
                <w:lang w:val="es-VE"/>
              </w:rPr>
              <w:t>Sí</w:t>
            </w:r>
          </w:p>
        </w:tc>
      </w:tr>
      <w:tr w:rsidR="003239B8" w:rsidRPr="006A6E2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2B4EE3" w:rsidRDefault="003239B8" w:rsidP="008D2290">
            <w:pPr>
              <w:jc w:val="center"/>
              <w:rPr>
                <w:rFonts w:ascii="Cambria" w:hAnsi="Cambria"/>
                <w:b/>
                <w:bCs/>
                <w:color w:val="FFFFFF" w:themeColor="background1"/>
                <w:sz w:val="20"/>
                <w:szCs w:val="20"/>
                <w:lang w:val="es-VE"/>
              </w:rPr>
            </w:pPr>
            <w:r w:rsidRPr="002B4EE3">
              <w:rPr>
                <w:rFonts w:ascii="Cambria" w:hAnsi="Cambria"/>
                <w:b/>
                <w:bCs/>
                <w:color w:val="FFFFFF" w:themeColor="background1"/>
                <w:sz w:val="20"/>
                <w:szCs w:val="20"/>
                <w:lang w:val="es-VE"/>
              </w:rPr>
              <w:t>Competencia</w:t>
            </w:r>
            <w:r w:rsidRPr="002B4EE3">
              <w:rPr>
                <w:rFonts w:ascii="Cambria" w:hAnsi="Cambria"/>
                <w:b/>
                <w:bCs/>
                <w:i/>
                <w:color w:val="FFFFFF" w:themeColor="background1"/>
                <w:sz w:val="20"/>
                <w:szCs w:val="20"/>
                <w:lang w:val="es-VE"/>
              </w:rPr>
              <w:t xml:space="preserve"> Ratione materia</w:t>
            </w:r>
            <w:r w:rsidR="00EE00E9" w:rsidRPr="002B4EE3">
              <w:rPr>
                <w:rFonts w:ascii="Cambria" w:hAnsi="Cambria"/>
                <w:b/>
                <w:bCs/>
                <w:i/>
                <w:color w:val="FFFFFF" w:themeColor="background1"/>
                <w:sz w:val="20"/>
                <w:szCs w:val="20"/>
                <w:lang w:val="es-VE"/>
              </w:rPr>
              <w:t>e</w:t>
            </w:r>
            <w:r w:rsidRPr="002B4EE3">
              <w:rPr>
                <w:rFonts w:ascii="Cambria" w:hAnsi="Cambria"/>
                <w:b/>
                <w:bCs/>
                <w:color w:val="FFFFFF" w:themeColor="background1"/>
                <w:sz w:val="20"/>
                <w:szCs w:val="20"/>
                <w:lang w:val="es-VE"/>
              </w:rPr>
              <w:t>:</w:t>
            </w:r>
          </w:p>
        </w:tc>
        <w:tc>
          <w:tcPr>
            <w:tcW w:w="5760" w:type="dxa"/>
            <w:vAlign w:val="center"/>
          </w:tcPr>
          <w:p w14:paraId="257C8337" w14:textId="34C3E00E" w:rsidR="003239B8" w:rsidRPr="002B4EE3" w:rsidRDefault="002B4EE3" w:rsidP="008D2290">
            <w:pPr>
              <w:jc w:val="both"/>
              <w:rPr>
                <w:rFonts w:ascii="Cambria" w:hAnsi="Cambria"/>
                <w:bCs/>
                <w:sz w:val="20"/>
                <w:szCs w:val="20"/>
                <w:lang w:val="es-VE"/>
              </w:rPr>
            </w:pPr>
            <w:r w:rsidRPr="002B4EE3">
              <w:rPr>
                <w:rFonts w:ascii="Cambria" w:hAnsi="Cambria"/>
                <w:bCs/>
                <w:sz w:val="20"/>
                <w:szCs w:val="20"/>
                <w:lang w:val="es-VE"/>
              </w:rPr>
              <w:t>Sí, Convención Americana (depósito de instrumento de ratificación realizado el 3</w:t>
            </w:r>
            <w:r w:rsidR="00FD285B">
              <w:rPr>
                <w:rFonts w:ascii="Cambria" w:hAnsi="Cambria"/>
                <w:bCs/>
                <w:sz w:val="20"/>
                <w:szCs w:val="20"/>
                <w:lang w:val="es-VE"/>
              </w:rPr>
              <w:t>1</w:t>
            </w:r>
            <w:r w:rsidRPr="002B4EE3">
              <w:rPr>
                <w:rFonts w:ascii="Cambria" w:hAnsi="Cambria"/>
                <w:bCs/>
                <w:sz w:val="20"/>
                <w:szCs w:val="20"/>
                <w:lang w:val="es-VE"/>
              </w:rPr>
              <w:t xml:space="preserve"> de julio de 1973)</w:t>
            </w:r>
          </w:p>
        </w:tc>
      </w:tr>
    </w:tbl>
    <w:p w14:paraId="299A3868" w14:textId="248D9811" w:rsidR="003239B8" w:rsidRPr="00B71E60" w:rsidRDefault="00EE00E9" w:rsidP="000E57FC">
      <w:pPr>
        <w:pStyle w:val="ListParagraph"/>
        <w:numPr>
          <w:ilvl w:val="0"/>
          <w:numId w:val="67"/>
        </w:numPr>
        <w:spacing w:before="240" w:after="240"/>
        <w:ind w:left="0" w:firstLine="720"/>
        <w:jc w:val="both"/>
        <w:rPr>
          <w:rFonts w:asciiTheme="majorHAnsi" w:hAnsiTheme="majorHAnsi"/>
          <w:b/>
          <w:bCs/>
          <w:sz w:val="20"/>
          <w:szCs w:val="20"/>
          <w:lang w:val="es-ES"/>
        </w:rPr>
      </w:pPr>
      <w:r w:rsidRPr="00B71E60">
        <w:rPr>
          <w:rFonts w:asciiTheme="majorHAnsi" w:hAnsiTheme="majorHAnsi"/>
          <w:b/>
          <w:bCs/>
          <w:sz w:val="20"/>
          <w:szCs w:val="20"/>
          <w:lang w:val="es-ES"/>
        </w:rPr>
        <w:t>DUPLICACIÓN</w:t>
      </w:r>
      <w:r w:rsidRPr="00B71E60">
        <w:rPr>
          <w:rFonts w:asciiTheme="majorHAnsi" w:hAnsiTheme="majorHAnsi"/>
          <w:b/>
          <w:bCs/>
          <w:color w:val="FFFFFF" w:themeColor="background1"/>
          <w:sz w:val="20"/>
          <w:szCs w:val="20"/>
          <w:lang w:val="es-ES"/>
        </w:rPr>
        <w:t xml:space="preserve"> </w:t>
      </w:r>
      <w:r w:rsidRPr="00B71E60">
        <w:rPr>
          <w:rFonts w:asciiTheme="majorHAnsi" w:hAnsiTheme="majorHAnsi"/>
          <w:b/>
          <w:bCs/>
          <w:sz w:val="20"/>
          <w:szCs w:val="20"/>
          <w:lang w:val="es-ES"/>
        </w:rPr>
        <w:t>DE PROCEDIMIENTOS Y COSA JUZGADA</w:t>
      </w:r>
      <w:r w:rsidRPr="00B71E60">
        <w:rPr>
          <w:rFonts w:asciiTheme="majorHAnsi" w:hAnsiTheme="majorHAnsi"/>
          <w:b/>
          <w:bCs/>
          <w:i/>
          <w:sz w:val="20"/>
          <w:szCs w:val="20"/>
          <w:lang w:val="es-ES"/>
        </w:rPr>
        <w:t xml:space="preserve"> </w:t>
      </w:r>
      <w:r w:rsidRPr="00B71E60">
        <w:rPr>
          <w:rFonts w:asciiTheme="majorHAnsi" w:hAnsiTheme="majorHAnsi"/>
          <w:b/>
          <w:bCs/>
          <w:sz w:val="20"/>
          <w:szCs w:val="20"/>
          <w:lang w:val="es-ES"/>
        </w:rPr>
        <w:t xml:space="preserve">INTERNACIONAL, </w:t>
      </w:r>
      <w:r w:rsidR="003239B8" w:rsidRPr="00B71E60">
        <w:rPr>
          <w:rFonts w:asciiTheme="majorHAnsi" w:hAnsiTheme="majorHAnsi"/>
          <w:b/>
          <w:bCs/>
          <w:sz w:val="20"/>
          <w:szCs w:val="20"/>
          <w:lang w:val="es-ES"/>
        </w:rPr>
        <w:t xml:space="preserve">CARACTERIZACIÓN, </w:t>
      </w:r>
      <w:r w:rsidR="003239B8" w:rsidRPr="00B71E6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CD2909" w14:paraId="161C8568" w14:textId="77777777" w:rsidTr="002B4EE3">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2B4EE3" w:rsidRDefault="00EE00E9" w:rsidP="008D2290">
            <w:pPr>
              <w:jc w:val="center"/>
              <w:rPr>
                <w:rFonts w:ascii="Cambria" w:hAnsi="Cambria"/>
                <w:b/>
                <w:bCs/>
                <w:color w:val="FFFFFF" w:themeColor="background1"/>
                <w:sz w:val="20"/>
                <w:szCs w:val="20"/>
                <w:lang w:val="es-VE"/>
              </w:rPr>
            </w:pPr>
            <w:r w:rsidRPr="002B4EE3">
              <w:rPr>
                <w:rFonts w:ascii="Cambria" w:hAnsi="Cambria"/>
                <w:b/>
                <w:bCs/>
                <w:color w:val="FFFFFF" w:themeColor="background1"/>
                <w:sz w:val="20"/>
                <w:szCs w:val="20"/>
                <w:lang w:val="es-VE"/>
              </w:rPr>
              <w:t>Duplicación de procedimientos y cosa juzgada internacional:</w:t>
            </w:r>
          </w:p>
        </w:tc>
        <w:tc>
          <w:tcPr>
            <w:tcW w:w="5676" w:type="dxa"/>
            <w:vAlign w:val="center"/>
          </w:tcPr>
          <w:p w14:paraId="764D7F60" w14:textId="6BD67588" w:rsidR="00EE00E9" w:rsidRPr="002B4EE3" w:rsidRDefault="002B4EE3" w:rsidP="008D2290">
            <w:pPr>
              <w:jc w:val="both"/>
              <w:rPr>
                <w:rFonts w:ascii="Cambria" w:hAnsi="Cambria"/>
                <w:bCs/>
                <w:sz w:val="20"/>
                <w:szCs w:val="20"/>
                <w:lang w:val="es-VE"/>
              </w:rPr>
            </w:pPr>
            <w:r w:rsidRPr="002B4EE3">
              <w:rPr>
                <w:rFonts w:ascii="Cambria" w:hAnsi="Cambria"/>
                <w:bCs/>
                <w:sz w:val="20"/>
                <w:szCs w:val="20"/>
                <w:lang w:val="es-VE"/>
              </w:rPr>
              <w:t>No</w:t>
            </w:r>
          </w:p>
        </w:tc>
      </w:tr>
      <w:tr w:rsidR="002B4EE3" w:rsidRPr="00BE4B03" w14:paraId="3ED57BF3" w14:textId="77777777" w:rsidTr="002B4EE3">
        <w:trPr>
          <w:cantSplit/>
        </w:trPr>
        <w:tc>
          <w:tcPr>
            <w:tcW w:w="3566" w:type="dxa"/>
            <w:tcBorders>
              <w:top w:val="single" w:sz="4" w:space="0" w:color="auto"/>
              <w:bottom w:val="single" w:sz="6" w:space="0" w:color="auto"/>
            </w:tcBorders>
            <w:shd w:val="clear" w:color="auto" w:fill="386294"/>
            <w:vAlign w:val="center"/>
          </w:tcPr>
          <w:p w14:paraId="5F36A040" w14:textId="77777777" w:rsidR="002B4EE3" w:rsidRPr="002B4EE3" w:rsidRDefault="002B4EE3" w:rsidP="002B4EE3">
            <w:pPr>
              <w:jc w:val="center"/>
              <w:rPr>
                <w:rFonts w:ascii="Cambria" w:hAnsi="Cambria"/>
                <w:b/>
                <w:bCs/>
                <w:i/>
                <w:color w:val="FFFFFF" w:themeColor="background1"/>
                <w:sz w:val="20"/>
                <w:szCs w:val="20"/>
                <w:lang w:val="es-VE"/>
              </w:rPr>
            </w:pPr>
            <w:r w:rsidRPr="002B4EE3">
              <w:rPr>
                <w:rFonts w:ascii="Cambria" w:hAnsi="Cambria"/>
                <w:b/>
                <w:bCs/>
                <w:color w:val="FFFFFF" w:themeColor="background1"/>
                <w:sz w:val="20"/>
                <w:szCs w:val="20"/>
                <w:lang w:val="es-VE"/>
              </w:rPr>
              <w:t>Derechos declarados admisibles</w:t>
            </w:r>
            <w:r w:rsidRPr="002B4EE3">
              <w:rPr>
                <w:rFonts w:ascii="Cambria" w:hAnsi="Cambria"/>
                <w:b/>
                <w:bCs/>
                <w:i/>
                <w:color w:val="FFFFFF" w:themeColor="background1"/>
                <w:sz w:val="20"/>
                <w:szCs w:val="20"/>
                <w:lang w:val="es-VE"/>
              </w:rPr>
              <w:t>:</w:t>
            </w:r>
          </w:p>
        </w:tc>
        <w:tc>
          <w:tcPr>
            <w:tcW w:w="5676" w:type="dxa"/>
            <w:vAlign w:val="center"/>
          </w:tcPr>
          <w:p w14:paraId="4DAE9D4D" w14:textId="76BE584B" w:rsidR="002B4EE3" w:rsidRPr="000E57FC" w:rsidRDefault="00755535" w:rsidP="002B4EE3">
            <w:pPr>
              <w:jc w:val="both"/>
              <w:rPr>
                <w:rFonts w:ascii="Cambria" w:hAnsi="Cambria"/>
                <w:bCs/>
                <w:sz w:val="20"/>
                <w:szCs w:val="20"/>
                <w:lang w:val="es-VE"/>
              </w:rPr>
            </w:pPr>
            <w:r w:rsidRPr="000E57FC">
              <w:rPr>
                <w:rFonts w:ascii="Cambria" w:hAnsi="Cambria"/>
                <w:bCs/>
                <w:sz w:val="20"/>
                <w:szCs w:val="20"/>
                <w:lang w:val="es-VE"/>
              </w:rPr>
              <w:t>Ninguno</w:t>
            </w:r>
          </w:p>
        </w:tc>
      </w:tr>
      <w:tr w:rsidR="002B4EE3" w:rsidRPr="006A6E26" w14:paraId="5702249F" w14:textId="77777777" w:rsidTr="002B4EE3">
        <w:trPr>
          <w:cantSplit/>
        </w:trPr>
        <w:tc>
          <w:tcPr>
            <w:tcW w:w="3566" w:type="dxa"/>
            <w:tcBorders>
              <w:top w:val="single" w:sz="6" w:space="0" w:color="auto"/>
              <w:bottom w:val="single" w:sz="6" w:space="0" w:color="auto"/>
            </w:tcBorders>
            <w:shd w:val="clear" w:color="auto" w:fill="386294"/>
            <w:vAlign w:val="center"/>
          </w:tcPr>
          <w:p w14:paraId="1F00DF1D" w14:textId="77777777" w:rsidR="002B4EE3" w:rsidRPr="002B4EE3" w:rsidRDefault="002B4EE3" w:rsidP="002B4EE3">
            <w:pPr>
              <w:jc w:val="center"/>
              <w:rPr>
                <w:rFonts w:ascii="Cambria" w:hAnsi="Cambria"/>
                <w:b/>
                <w:bCs/>
                <w:color w:val="FFFFFF" w:themeColor="background1"/>
                <w:sz w:val="20"/>
                <w:szCs w:val="20"/>
                <w:lang w:val="es-VE"/>
              </w:rPr>
            </w:pPr>
            <w:r w:rsidRPr="002B4EE3">
              <w:rPr>
                <w:rFonts w:ascii="Cambria" w:hAnsi="Cambria"/>
                <w:b/>
                <w:bCs/>
                <w:color w:val="FFFFFF" w:themeColor="background1"/>
                <w:sz w:val="20"/>
                <w:szCs w:val="20"/>
                <w:lang w:val="es-VE"/>
              </w:rPr>
              <w:t>Agotamiento de recursos internos o procedencia de una excepción:</w:t>
            </w:r>
          </w:p>
        </w:tc>
        <w:tc>
          <w:tcPr>
            <w:tcW w:w="5676" w:type="dxa"/>
            <w:vAlign w:val="center"/>
          </w:tcPr>
          <w:p w14:paraId="7F7C1A19" w14:textId="5D72FD3B" w:rsidR="002B4EE3" w:rsidRPr="000E57FC" w:rsidRDefault="002B4EE3" w:rsidP="002B4EE3">
            <w:pPr>
              <w:rPr>
                <w:rFonts w:ascii="Cambria" w:hAnsi="Cambria"/>
                <w:bCs/>
                <w:sz w:val="20"/>
                <w:szCs w:val="20"/>
                <w:lang w:val="es-VE"/>
              </w:rPr>
            </w:pPr>
            <w:r w:rsidRPr="000E57FC">
              <w:rPr>
                <w:rFonts w:ascii="Cambria" w:hAnsi="Cambria"/>
                <w:bCs/>
                <w:sz w:val="20"/>
                <w:szCs w:val="20"/>
                <w:lang w:val="es-VE"/>
              </w:rPr>
              <w:t>Sí,</w:t>
            </w:r>
            <w:r w:rsidR="00755535" w:rsidRPr="000E57FC">
              <w:rPr>
                <w:rFonts w:ascii="Cambria" w:hAnsi="Cambria"/>
                <w:bCs/>
                <w:sz w:val="20"/>
                <w:szCs w:val="20"/>
                <w:lang w:val="es-VE"/>
              </w:rPr>
              <w:t xml:space="preserve"> parcialmente</w:t>
            </w:r>
            <w:r w:rsidRPr="000E57FC">
              <w:rPr>
                <w:rFonts w:ascii="Cambria" w:hAnsi="Cambria"/>
                <w:bCs/>
                <w:sz w:val="20"/>
                <w:szCs w:val="20"/>
                <w:lang w:val="es-VE"/>
              </w:rPr>
              <w:t xml:space="preserve"> en los términos de la Sección VI</w:t>
            </w:r>
          </w:p>
        </w:tc>
      </w:tr>
      <w:tr w:rsidR="002B4EE3" w:rsidRPr="006A6E26" w14:paraId="7A101B89" w14:textId="77777777" w:rsidTr="002B4EE3">
        <w:trPr>
          <w:cantSplit/>
        </w:trPr>
        <w:tc>
          <w:tcPr>
            <w:tcW w:w="3566" w:type="dxa"/>
            <w:tcBorders>
              <w:top w:val="single" w:sz="6" w:space="0" w:color="auto"/>
              <w:bottom w:val="single" w:sz="6" w:space="0" w:color="auto"/>
            </w:tcBorders>
            <w:shd w:val="clear" w:color="auto" w:fill="386294"/>
            <w:vAlign w:val="center"/>
          </w:tcPr>
          <w:p w14:paraId="0843C533" w14:textId="77777777" w:rsidR="002B4EE3" w:rsidRPr="002B4EE3" w:rsidRDefault="002B4EE3" w:rsidP="002B4EE3">
            <w:pPr>
              <w:jc w:val="center"/>
              <w:rPr>
                <w:rFonts w:ascii="Cambria" w:hAnsi="Cambria"/>
                <w:b/>
                <w:bCs/>
                <w:color w:val="FFFFFF" w:themeColor="background1"/>
                <w:sz w:val="20"/>
                <w:szCs w:val="20"/>
                <w:lang w:val="es-VE"/>
              </w:rPr>
            </w:pPr>
            <w:r w:rsidRPr="002B4EE3">
              <w:rPr>
                <w:rFonts w:ascii="Cambria" w:hAnsi="Cambria"/>
                <w:b/>
                <w:bCs/>
                <w:color w:val="FFFFFF" w:themeColor="background1"/>
                <w:sz w:val="20"/>
                <w:szCs w:val="20"/>
                <w:lang w:val="es-VE"/>
              </w:rPr>
              <w:t>Presentación dentro de plazo:</w:t>
            </w:r>
          </w:p>
        </w:tc>
        <w:tc>
          <w:tcPr>
            <w:tcW w:w="5676" w:type="dxa"/>
            <w:vAlign w:val="center"/>
          </w:tcPr>
          <w:p w14:paraId="2AF0FC69" w14:textId="0425BF15" w:rsidR="002B4EE3" w:rsidRPr="000E57FC" w:rsidRDefault="002B4EE3" w:rsidP="002B4EE3">
            <w:pPr>
              <w:rPr>
                <w:rFonts w:ascii="Cambria" w:hAnsi="Cambria"/>
                <w:bCs/>
                <w:sz w:val="20"/>
                <w:szCs w:val="20"/>
                <w:lang w:val="es-VE"/>
              </w:rPr>
            </w:pPr>
            <w:r w:rsidRPr="000E57FC">
              <w:rPr>
                <w:rFonts w:ascii="Cambria" w:hAnsi="Cambria"/>
                <w:bCs/>
                <w:sz w:val="20"/>
                <w:szCs w:val="20"/>
                <w:lang w:val="es-VE"/>
              </w:rPr>
              <w:t>Sí,</w:t>
            </w:r>
            <w:r w:rsidR="00755535" w:rsidRPr="000E57FC">
              <w:rPr>
                <w:rFonts w:ascii="Cambria" w:hAnsi="Cambria"/>
                <w:bCs/>
                <w:sz w:val="20"/>
                <w:szCs w:val="20"/>
                <w:lang w:val="es-VE"/>
              </w:rPr>
              <w:t xml:space="preserve"> parcialmente</w:t>
            </w:r>
            <w:r w:rsidRPr="000E57FC">
              <w:rPr>
                <w:rFonts w:ascii="Cambria" w:hAnsi="Cambria"/>
                <w:bCs/>
                <w:sz w:val="20"/>
                <w:szCs w:val="20"/>
                <w:lang w:val="es-VE"/>
              </w:rPr>
              <w:t xml:space="preserve"> en los términos de la Sección VI</w:t>
            </w:r>
          </w:p>
        </w:tc>
      </w:tr>
    </w:tbl>
    <w:p w14:paraId="0270FA96" w14:textId="530222DA" w:rsidR="001B478B" w:rsidRPr="00A073BE" w:rsidRDefault="004241A0" w:rsidP="000E57FC">
      <w:pPr>
        <w:pStyle w:val="ListParagraph"/>
        <w:numPr>
          <w:ilvl w:val="0"/>
          <w:numId w:val="67"/>
        </w:numPr>
        <w:spacing w:before="240" w:after="240"/>
        <w:ind w:left="0" w:firstLine="720"/>
        <w:jc w:val="both"/>
        <w:rPr>
          <w:rFonts w:asciiTheme="majorHAnsi" w:hAnsiTheme="majorHAnsi"/>
          <w:b/>
          <w:color w:val="auto"/>
          <w:sz w:val="20"/>
          <w:szCs w:val="20"/>
          <w:lang w:val="es-ES_tradnl"/>
        </w:rPr>
      </w:pPr>
      <w:r w:rsidRPr="00A073BE">
        <w:rPr>
          <w:rFonts w:asciiTheme="majorHAnsi" w:hAnsiTheme="majorHAnsi"/>
          <w:b/>
          <w:color w:val="auto"/>
          <w:sz w:val="20"/>
          <w:szCs w:val="20"/>
          <w:lang w:val="es-ES_tradnl"/>
        </w:rPr>
        <w:t>POSICIÓN DE LAS PARTES</w:t>
      </w:r>
      <w:r w:rsidR="003239B8" w:rsidRPr="00A073BE">
        <w:rPr>
          <w:rFonts w:asciiTheme="majorHAnsi" w:hAnsiTheme="majorHAnsi"/>
          <w:b/>
          <w:color w:val="auto"/>
          <w:sz w:val="20"/>
          <w:szCs w:val="20"/>
          <w:lang w:val="es-ES_tradnl"/>
        </w:rPr>
        <w:t xml:space="preserve"> </w:t>
      </w:r>
    </w:p>
    <w:p w14:paraId="2F0F98D7" w14:textId="72F5AA9F" w:rsidR="00B71E60" w:rsidRPr="00A073BE" w:rsidRDefault="006F49AB" w:rsidP="00B71E60">
      <w:pPr>
        <w:pStyle w:val="ListParagraph"/>
        <w:numPr>
          <w:ilvl w:val="0"/>
          <w:numId w:val="63"/>
        </w:numPr>
        <w:ind w:left="0" w:firstLine="720"/>
        <w:jc w:val="both"/>
        <w:rPr>
          <w:bCs/>
          <w:color w:val="auto"/>
          <w:sz w:val="20"/>
          <w:szCs w:val="20"/>
          <w:lang w:val="es-ES_tradnl"/>
        </w:rPr>
      </w:pPr>
      <w:r w:rsidRPr="00A073BE">
        <w:rPr>
          <w:bCs/>
          <w:color w:val="auto"/>
          <w:sz w:val="20"/>
          <w:szCs w:val="20"/>
          <w:lang w:val="es-ES_tradnl"/>
        </w:rPr>
        <w:t xml:space="preserve">La parte peticionaria </w:t>
      </w:r>
      <w:r w:rsidR="00C80F81" w:rsidRPr="00A073BE">
        <w:rPr>
          <w:bCs/>
          <w:color w:val="auto"/>
          <w:sz w:val="20"/>
          <w:szCs w:val="20"/>
          <w:lang w:val="es-ES_tradnl"/>
        </w:rPr>
        <w:t>alega</w:t>
      </w:r>
      <w:r w:rsidRPr="00A073BE">
        <w:rPr>
          <w:bCs/>
          <w:color w:val="auto"/>
          <w:sz w:val="20"/>
          <w:szCs w:val="20"/>
          <w:lang w:val="es-ES_tradnl"/>
        </w:rPr>
        <w:t xml:space="preserve"> la ejecución extrajudicial de Iván Darío Henao Sanabria</w:t>
      </w:r>
      <w:r w:rsidR="000C22D4" w:rsidRPr="00A073BE">
        <w:rPr>
          <w:bCs/>
          <w:color w:val="auto"/>
          <w:sz w:val="20"/>
          <w:szCs w:val="20"/>
          <w:lang w:val="es-ES_tradnl"/>
        </w:rPr>
        <w:t xml:space="preserve"> por</w:t>
      </w:r>
      <w:r w:rsidRPr="00A073BE">
        <w:rPr>
          <w:bCs/>
          <w:color w:val="auto"/>
          <w:sz w:val="20"/>
          <w:szCs w:val="20"/>
          <w:lang w:val="es-ES_tradnl"/>
        </w:rPr>
        <w:t xml:space="preserve"> </w:t>
      </w:r>
      <w:r w:rsidR="000C22D4" w:rsidRPr="00A073BE">
        <w:rPr>
          <w:bCs/>
          <w:color w:val="auto"/>
          <w:sz w:val="20"/>
          <w:szCs w:val="20"/>
          <w:lang w:val="es-ES_tradnl"/>
        </w:rPr>
        <w:t>miembros del Ejército Nacional</w:t>
      </w:r>
      <w:r w:rsidR="000B2EC9" w:rsidRPr="00A073BE">
        <w:rPr>
          <w:bCs/>
          <w:color w:val="auto"/>
          <w:sz w:val="20"/>
          <w:szCs w:val="20"/>
          <w:lang w:val="es-ES_tradnl"/>
        </w:rPr>
        <w:t xml:space="preserve"> y el homicidio de </w:t>
      </w:r>
      <w:r w:rsidR="00757B6D" w:rsidRPr="00A073BE">
        <w:rPr>
          <w:bCs/>
          <w:color w:val="auto"/>
          <w:sz w:val="20"/>
          <w:szCs w:val="20"/>
          <w:lang w:val="es-ES_tradnl"/>
        </w:rPr>
        <w:t xml:space="preserve">Elcia González de </w:t>
      </w:r>
      <w:r w:rsidR="00171270" w:rsidRPr="00A073BE">
        <w:rPr>
          <w:bCs/>
          <w:color w:val="auto"/>
          <w:sz w:val="20"/>
          <w:szCs w:val="20"/>
          <w:lang w:val="es-ES_tradnl"/>
        </w:rPr>
        <w:t xml:space="preserve">Ávila en el marco de la </w:t>
      </w:r>
      <w:r w:rsidR="000B2EC9" w:rsidRPr="00A073BE">
        <w:rPr>
          <w:bCs/>
          <w:color w:val="auto"/>
          <w:sz w:val="20"/>
          <w:szCs w:val="20"/>
          <w:lang w:val="es-ES_tradnl"/>
        </w:rPr>
        <w:t xml:space="preserve">investigación penal por la </w:t>
      </w:r>
      <w:r w:rsidR="00171270" w:rsidRPr="00A073BE">
        <w:rPr>
          <w:bCs/>
          <w:color w:val="auto"/>
          <w:sz w:val="20"/>
          <w:szCs w:val="20"/>
          <w:lang w:val="es-ES_tradnl"/>
        </w:rPr>
        <w:t xml:space="preserve">mencionada </w:t>
      </w:r>
      <w:r w:rsidR="000B2EC9" w:rsidRPr="00A073BE">
        <w:rPr>
          <w:bCs/>
          <w:color w:val="auto"/>
          <w:sz w:val="20"/>
          <w:szCs w:val="20"/>
          <w:lang w:val="es-ES_tradnl"/>
        </w:rPr>
        <w:t>ejecución extrajudicia</w:t>
      </w:r>
      <w:r w:rsidR="00171270" w:rsidRPr="00A073BE">
        <w:rPr>
          <w:bCs/>
          <w:color w:val="auto"/>
          <w:sz w:val="20"/>
          <w:szCs w:val="20"/>
          <w:lang w:val="es-ES_tradnl"/>
        </w:rPr>
        <w:t xml:space="preserve">l. Asimismo, sostiene que </w:t>
      </w:r>
      <w:r w:rsidR="00343AB8" w:rsidRPr="00A073BE">
        <w:rPr>
          <w:bCs/>
          <w:color w:val="auto"/>
          <w:sz w:val="20"/>
          <w:szCs w:val="20"/>
          <w:lang w:val="es-ES_tradnl"/>
        </w:rPr>
        <w:t xml:space="preserve">ambas muertes se mantienen en impunidad. </w:t>
      </w:r>
    </w:p>
    <w:p w14:paraId="0C93FD69" w14:textId="77777777" w:rsidR="00B71E60" w:rsidRPr="00A073BE" w:rsidRDefault="00B71E60" w:rsidP="00B71E60">
      <w:pPr>
        <w:pStyle w:val="ListParagraph"/>
        <w:jc w:val="both"/>
        <w:rPr>
          <w:bCs/>
          <w:sz w:val="20"/>
          <w:szCs w:val="20"/>
          <w:lang w:val="es-ES_tradnl"/>
        </w:rPr>
      </w:pPr>
    </w:p>
    <w:p w14:paraId="0EC41C49" w14:textId="6E317C29" w:rsidR="003F348D" w:rsidRPr="00A073BE" w:rsidRDefault="005615C3" w:rsidP="008156A8">
      <w:pPr>
        <w:pStyle w:val="ListParagraph"/>
        <w:numPr>
          <w:ilvl w:val="0"/>
          <w:numId w:val="63"/>
        </w:numPr>
        <w:ind w:left="0" w:firstLine="720"/>
        <w:jc w:val="both"/>
        <w:rPr>
          <w:bCs/>
          <w:sz w:val="20"/>
          <w:szCs w:val="20"/>
          <w:lang w:val="es-ES_tradnl"/>
        </w:rPr>
      </w:pPr>
      <w:r w:rsidRPr="00A073BE">
        <w:rPr>
          <w:bCs/>
          <w:sz w:val="20"/>
          <w:szCs w:val="20"/>
          <w:lang w:val="es-ES_tradnl"/>
        </w:rPr>
        <w:t>La peticionaria indica que</w:t>
      </w:r>
      <w:r w:rsidR="001B355F" w:rsidRPr="00A073BE">
        <w:rPr>
          <w:bCs/>
          <w:sz w:val="20"/>
          <w:szCs w:val="20"/>
          <w:lang w:val="es-ES_tradnl"/>
        </w:rPr>
        <w:t xml:space="preserve"> </w:t>
      </w:r>
      <w:r w:rsidR="008525AE" w:rsidRPr="00A073BE">
        <w:rPr>
          <w:bCs/>
          <w:sz w:val="20"/>
          <w:szCs w:val="20"/>
          <w:lang w:val="es-ES_tradnl"/>
        </w:rPr>
        <w:t xml:space="preserve">el 25 de mayo de 2000 </w:t>
      </w:r>
      <w:r w:rsidR="001F7025" w:rsidRPr="00A073BE">
        <w:rPr>
          <w:bCs/>
          <w:sz w:val="20"/>
          <w:szCs w:val="20"/>
          <w:lang w:val="es-ES_tradnl"/>
        </w:rPr>
        <w:t>Iván Dar</w:t>
      </w:r>
      <w:r w:rsidR="000C22D4" w:rsidRPr="00A073BE">
        <w:rPr>
          <w:bCs/>
          <w:sz w:val="20"/>
          <w:szCs w:val="20"/>
          <w:lang w:val="es-ES_tradnl"/>
        </w:rPr>
        <w:t>í</w:t>
      </w:r>
      <w:r w:rsidR="001F7025" w:rsidRPr="00A073BE">
        <w:rPr>
          <w:bCs/>
          <w:sz w:val="20"/>
          <w:szCs w:val="20"/>
          <w:lang w:val="es-ES_tradnl"/>
        </w:rPr>
        <w:t>o Henao Sanabria</w:t>
      </w:r>
      <w:r w:rsidR="003074C5" w:rsidRPr="00A073BE">
        <w:rPr>
          <w:bCs/>
          <w:sz w:val="20"/>
          <w:szCs w:val="20"/>
          <w:lang w:val="es-ES_tradnl"/>
        </w:rPr>
        <w:t>, de 17 años de edad,</w:t>
      </w:r>
      <w:r w:rsidR="001F7025" w:rsidRPr="00A073BE">
        <w:rPr>
          <w:bCs/>
          <w:sz w:val="20"/>
          <w:szCs w:val="20"/>
          <w:lang w:val="es-ES_tradnl"/>
        </w:rPr>
        <w:t xml:space="preserve"> </w:t>
      </w:r>
      <w:r w:rsidR="0063091D" w:rsidRPr="00A073BE">
        <w:rPr>
          <w:bCs/>
          <w:sz w:val="20"/>
          <w:szCs w:val="20"/>
          <w:lang w:val="es-ES_tradnl"/>
        </w:rPr>
        <w:t>se trasladaba en su motocicleta</w:t>
      </w:r>
      <w:r w:rsidR="001B355F" w:rsidRPr="00A073BE">
        <w:rPr>
          <w:bCs/>
          <w:sz w:val="20"/>
          <w:szCs w:val="20"/>
          <w:lang w:val="es-ES_tradnl"/>
        </w:rPr>
        <w:t xml:space="preserve"> </w:t>
      </w:r>
      <w:r w:rsidR="003074C5" w:rsidRPr="00A073BE">
        <w:rPr>
          <w:bCs/>
          <w:sz w:val="20"/>
          <w:szCs w:val="20"/>
          <w:lang w:val="es-ES_tradnl"/>
        </w:rPr>
        <w:t xml:space="preserve">con </w:t>
      </w:r>
      <w:r w:rsidR="00312EF4" w:rsidRPr="00A073BE">
        <w:rPr>
          <w:bCs/>
          <w:sz w:val="20"/>
          <w:szCs w:val="20"/>
          <w:lang w:val="es-ES_tradnl"/>
        </w:rPr>
        <w:t xml:space="preserve">dinero destinado para </w:t>
      </w:r>
      <w:r w:rsidR="003074C5" w:rsidRPr="00A073BE">
        <w:rPr>
          <w:bCs/>
          <w:sz w:val="20"/>
          <w:szCs w:val="20"/>
          <w:lang w:val="es-ES_tradnl"/>
        </w:rPr>
        <w:t xml:space="preserve">su </w:t>
      </w:r>
      <w:r w:rsidR="00312EF4" w:rsidRPr="00A073BE">
        <w:rPr>
          <w:bCs/>
          <w:sz w:val="20"/>
          <w:szCs w:val="20"/>
          <w:lang w:val="es-ES_tradnl"/>
        </w:rPr>
        <w:t xml:space="preserve">negocio </w:t>
      </w:r>
      <w:r w:rsidR="003074C5" w:rsidRPr="00A073BE">
        <w:rPr>
          <w:bCs/>
          <w:sz w:val="20"/>
          <w:szCs w:val="20"/>
          <w:lang w:val="es-ES_tradnl"/>
        </w:rPr>
        <w:t>cuando</w:t>
      </w:r>
      <w:r w:rsidR="00757B6D" w:rsidRPr="00A073BE">
        <w:rPr>
          <w:bCs/>
          <w:sz w:val="20"/>
          <w:szCs w:val="20"/>
          <w:lang w:val="es-ES_tradnl"/>
        </w:rPr>
        <w:t xml:space="preserve"> </w:t>
      </w:r>
      <w:r w:rsidR="002154B7" w:rsidRPr="00A073BE">
        <w:rPr>
          <w:bCs/>
          <w:sz w:val="20"/>
          <w:szCs w:val="20"/>
          <w:lang w:val="es-ES_tradnl"/>
        </w:rPr>
        <w:t xml:space="preserve">pasó por </w:t>
      </w:r>
      <w:r w:rsidR="00312EF4" w:rsidRPr="00A073BE">
        <w:rPr>
          <w:bCs/>
          <w:sz w:val="20"/>
          <w:szCs w:val="20"/>
          <w:lang w:val="es-ES_tradnl"/>
        </w:rPr>
        <w:t xml:space="preserve">un retén militar </w:t>
      </w:r>
      <w:r w:rsidR="00FC1751" w:rsidRPr="00A073BE">
        <w:rPr>
          <w:bCs/>
          <w:sz w:val="20"/>
          <w:szCs w:val="20"/>
          <w:lang w:val="es-ES_tradnl"/>
        </w:rPr>
        <w:t>en el paraje de Puerto Nuevo-Caño Rayado</w:t>
      </w:r>
      <w:r w:rsidR="00AB0609" w:rsidRPr="00A073BE">
        <w:rPr>
          <w:bCs/>
          <w:sz w:val="20"/>
          <w:szCs w:val="20"/>
          <w:lang w:val="es-ES_tradnl"/>
        </w:rPr>
        <w:t>, en Puerto Lleras</w:t>
      </w:r>
      <w:r w:rsidR="003074C5" w:rsidRPr="00A073BE">
        <w:rPr>
          <w:bCs/>
          <w:sz w:val="20"/>
          <w:szCs w:val="20"/>
          <w:lang w:val="es-ES_tradnl"/>
        </w:rPr>
        <w:t xml:space="preserve">. </w:t>
      </w:r>
      <w:r w:rsidR="002154B7" w:rsidRPr="00A073BE">
        <w:rPr>
          <w:bCs/>
          <w:sz w:val="20"/>
          <w:szCs w:val="20"/>
          <w:lang w:val="es-ES_tradnl"/>
        </w:rPr>
        <w:t xml:space="preserve">Ahí, Iván Henao </w:t>
      </w:r>
      <w:r w:rsidRPr="00A073BE">
        <w:rPr>
          <w:bCs/>
          <w:sz w:val="20"/>
          <w:szCs w:val="20"/>
          <w:lang w:val="es-ES_tradnl"/>
        </w:rPr>
        <w:t>habría sido</w:t>
      </w:r>
      <w:r w:rsidR="002154B7" w:rsidRPr="00A073BE">
        <w:rPr>
          <w:bCs/>
          <w:sz w:val="20"/>
          <w:szCs w:val="20"/>
          <w:lang w:val="es-ES_tradnl"/>
        </w:rPr>
        <w:t xml:space="preserve"> requisado, retenido </w:t>
      </w:r>
      <w:r w:rsidR="003074C5" w:rsidRPr="00A073BE">
        <w:rPr>
          <w:bCs/>
          <w:sz w:val="20"/>
          <w:szCs w:val="20"/>
          <w:lang w:val="es-ES_tradnl"/>
        </w:rPr>
        <w:t xml:space="preserve">y </w:t>
      </w:r>
      <w:r w:rsidR="002154B7" w:rsidRPr="00A073BE">
        <w:rPr>
          <w:bCs/>
          <w:sz w:val="20"/>
          <w:szCs w:val="20"/>
          <w:lang w:val="es-ES_tradnl"/>
        </w:rPr>
        <w:t>ejecutado</w:t>
      </w:r>
      <w:r w:rsidR="008525AE" w:rsidRPr="00A073BE">
        <w:rPr>
          <w:bCs/>
          <w:sz w:val="20"/>
          <w:szCs w:val="20"/>
          <w:lang w:val="es-ES_tradnl"/>
        </w:rPr>
        <w:t xml:space="preserve"> extrajudicialmente</w:t>
      </w:r>
      <w:r w:rsidR="002154B7" w:rsidRPr="00A073BE">
        <w:rPr>
          <w:bCs/>
          <w:sz w:val="20"/>
          <w:szCs w:val="20"/>
          <w:lang w:val="es-ES_tradnl"/>
        </w:rPr>
        <w:t xml:space="preserve"> por miembros del Batallón 21 Vargas del Ejército Nacional </w:t>
      </w:r>
      <w:r w:rsidR="00C134CC" w:rsidRPr="00A073BE">
        <w:rPr>
          <w:bCs/>
          <w:sz w:val="20"/>
          <w:szCs w:val="20"/>
          <w:lang w:val="es-ES_tradnl"/>
        </w:rPr>
        <w:t>c</w:t>
      </w:r>
      <w:r w:rsidR="008525AE" w:rsidRPr="00A073BE">
        <w:rPr>
          <w:bCs/>
          <w:sz w:val="20"/>
          <w:szCs w:val="20"/>
          <w:lang w:val="es-ES_tradnl"/>
        </w:rPr>
        <w:t>on</w:t>
      </w:r>
      <w:r w:rsidR="00C134CC" w:rsidRPr="00A073BE">
        <w:rPr>
          <w:bCs/>
          <w:sz w:val="20"/>
          <w:szCs w:val="20"/>
          <w:lang w:val="es-ES_tradnl"/>
        </w:rPr>
        <w:t xml:space="preserve"> varios </w:t>
      </w:r>
      <w:r w:rsidR="00312EF4" w:rsidRPr="00A073BE">
        <w:rPr>
          <w:bCs/>
          <w:sz w:val="20"/>
          <w:szCs w:val="20"/>
          <w:lang w:val="es-ES_tradnl"/>
        </w:rPr>
        <w:t>disparos en la cabeza</w:t>
      </w:r>
      <w:r w:rsidR="008156A8" w:rsidRPr="00A073BE">
        <w:rPr>
          <w:bCs/>
          <w:sz w:val="20"/>
          <w:szCs w:val="20"/>
          <w:lang w:val="es-ES_tradnl"/>
        </w:rPr>
        <w:t>,</w:t>
      </w:r>
      <w:r w:rsidR="00312EF4" w:rsidRPr="00A073BE">
        <w:rPr>
          <w:bCs/>
          <w:sz w:val="20"/>
          <w:szCs w:val="20"/>
          <w:lang w:val="es-ES_tradnl"/>
        </w:rPr>
        <w:t xml:space="preserve"> y heridas letales en las </w:t>
      </w:r>
      <w:r w:rsidR="003074C5" w:rsidRPr="00A073BE">
        <w:rPr>
          <w:bCs/>
          <w:sz w:val="20"/>
          <w:szCs w:val="20"/>
          <w:lang w:val="es-ES_tradnl"/>
        </w:rPr>
        <w:t>extremidades</w:t>
      </w:r>
      <w:r w:rsidR="00312EF4" w:rsidRPr="00A073BE">
        <w:rPr>
          <w:bCs/>
          <w:sz w:val="20"/>
          <w:szCs w:val="20"/>
          <w:lang w:val="es-ES_tradnl"/>
        </w:rPr>
        <w:t xml:space="preserve"> y en la espalda con un arma blanca. </w:t>
      </w:r>
      <w:r w:rsidR="008156A8" w:rsidRPr="00A073BE">
        <w:rPr>
          <w:bCs/>
          <w:sz w:val="20"/>
          <w:szCs w:val="20"/>
          <w:lang w:val="es-ES_tradnl"/>
        </w:rPr>
        <w:t xml:space="preserve">Posteriormente, su cuerpo fue trasladado hasta la ciudad de Nueva Granada en helicóptero militar para su entierro.  </w:t>
      </w:r>
      <w:r w:rsidR="002154B7" w:rsidRPr="00A073BE">
        <w:rPr>
          <w:bCs/>
          <w:sz w:val="20"/>
          <w:szCs w:val="20"/>
          <w:lang w:val="es-ES_tradnl"/>
        </w:rPr>
        <w:t xml:space="preserve">Su muerte fue </w:t>
      </w:r>
      <w:r w:rsidR="006245BB" w:rsidRPr="00A073BE">
        <w:rPr>
          <w:sz w:val="20"/>
          <w:szCs w:val="20"/>
          <w:lang w:val="es-ES_tradnl"/>
        </w:rPr>
        <w:t xml:space="preserve">falsamente presentada por </w:t>
      </w:r>
      <w:r w:rsidR="008156A8" w:rsidRPr="00A073BE">
        <w:rPr>
          <w:sz w:val="20"/>
          <w:szCs w:val="20"/>
          <w:lang w:val="es-ES_tradnl"/>
        </w:rPr>
        <w:t>el ejército</w:t>
      </w:r>
      <w:r w:rsidR="006245BB" w:rsidRPr="00A073BE">
        <w:rPr>
          <w:sz w:val="20"/>
          <w:szCs w:val="20"/>
          <w:lang w:val="es-ES_tradnl"/>
        </w:rPr>
        <w:t xml:space="preserve"> como dado de baja en un supuesto combate</w:t>
      </w:r>
      <w:r w:rsidR="008156A8" w:rsidRPr="00A073BE">
        <w:rPr>
          <w:sz w:val="20"/>
          <w:szCs w:val="20"/>
          <w:lang w:val="es-ES_tradnl"/>
        </w:rPr>
        <w:t>.</w:t>
      </w:r>
      <w:r w:rsidR="002154B7" w:rsidRPr="00A073BE">
        <w:rPr>
          <w:bCs/>
          <w:sz w:val="20"/>
          <w:szCs w:val="20"/>
          <w:lang w:val="es-ES_tradnl"/>
        </w:rPr>
        <w:t xml:space="preserve"> </w:t>
      </w:r>
    </w:p>
    <w:p w14:paraId="147DE5F4" w14:textId="77777777" w:rsidR="003F348D" w:rsidRPr="00A073BE" w:rsidRDefault="003F348D" w:rsidP="003F348D">
      <w:pPr>
        <w:pStyle w:val="ListParagraph"/>
        <w:rPr>
          <w:bCs/>
          <w:sz w:val="20"/>
          <w:szCs w:val="20"/>
          <w:lang w:val="es-ES_tradnl"/>
        </w:rPr>
      </w:pPr>
    </w:p>
    <w:p w14:paraId="06A8ACA0" w14:textId="59197C9E" w:rsidR="00D27627" w:rsidRPr="00A073BE" w:rsidRDefault="008525AE" w:rsidP="00560003">
      <w:pPr>
        <w:pStyle w:val="ListParagraph"/>
        <w:numPr>
          <w:ilvl w:val="0"/>
          <w:numId w:val="63"/>
        </w:numPr>
        <w:ind w:left="0" w:firstLine="720"/>
        <w:jc w:val="both"/>
        <w:rPr>
          <w:bCs/>
          <w:color w:val="auto"/>
          <w:sz w:val="20"/>
          <w:szCs w:val="20"/>
          <w:lang w:val="es-ES_tradnl"/>
        </w:rPr>
      </w:pPr>
      <w:r w:rsidRPr="00A073BE">
        <w:rPr>
          <w:bCs/>
          <w:sz w:val="20"/>
          <w:szCs w:val="20"/>
          <w:lang w:val="es-ES_tradnl"/>
        </w:rPr>
        <w:t xml:space="preserve">La peticionaria </w:t>
      </w:r>
      <w:r w:rsidR="008156A8" w:rsidRPr="00A073BE">
        <w:rPr>
          <w:bCs/>
          <w:sz w:val="20"/>
          <w:szCs w:val="20"/>
          <w:lang w:val="es-ES_tradnl"/>
        </w:rPr>
        <w:t>indica,</w:t>
      </w:r>
      <w:r w:rsidRPr="00A073BE">
        <w:rPr>
          <w:bCs/>
          <w:sz w:val="20"/>
          <w:szCs w:val="20"/>
          <w:lang w:val="es-ES_tradnl"/>
        </w:rPr>
        <w:t xml:space="preserve"> </w:t>
      </w:r>
      <w:r w:rsidR="00FD285B" w:rsidRPr="00A073BE">
        <w:rPr>
          <w:bCs/>
          <w:sz w:val="20"/>
          <w:szCs w:val="20"/>
          <w:lang w:val="es-ES_tradnl"/>
        </w:rPr>
        <w:t>de manera escueta</w:t>
      </w:r>
      <w:r w:rsidR="008156A8" w:rsidRPr="00A073BE">
        <w:rPr>
          <w:bCs/>
          <w:sz w:val="20"/>
          <w:szCs w:val="20"/>
          <w:lang w:val="es-ES_tradnl"/>
        </w:rPr>
        <w:t>,</w:t>
      </w:r>
      <w:r w:rsidR="00FD285B" w:rsidRPr="00A073BE">
        <w:rPr>
          <w:bCs/>
          <w:sz w:val="20"/>
          <w:szCs w:val="20"/>
          <w:lang w:val="es-ES_tradnl"/>
        </w:rPr>
        <w:t xml:space="preserve"> </w:t>
      </w:r>
      <w:r w:rsidRPr="00A073BE">
        <w:rPr>
          <w:bCs/>
          <w:sz w:val="20"/>
          <w:szCs w:val="20"/>
          <w:lang w:val="es-ES_tradnl"/>
        </w:rPr>
        <w:t>que l</w:t>
      </w:r>
      <w:r w:rsidR="001D2DE4" w:rsidRPr="00A073BE">
        <w:rPr>
          <w:bCs/>
          <w:sz w:val="20"/>
          <w:szCs w:val="20"/>
          <w:lang w:val="es-ES_tradnl"/>
        </w:rPr>
        <w:t>a investigación</w:t>
      </w:r>
      <w:r w:rsidRPr="00A073BE">
        <w:rPr>
          <w:bCs/>
          <w:sz w:val="20"/>
          <w:szCs w:val="20"/>
          <w:lang w:val="es-ES_tradnl"/>
        </w:rPr>
        <w:t xml:space="preserve"> penal</w:t>
      </w:r>
      <w:r w:rsidR="001D2DE4" w:rsidRPr="00A073BE">
        <w:rPr>
          <w:bCs/>
          <w:sz w:val="20"/>
          <w:szCs w:val="20"/>
          <w:lang w:val="es-ES_tradnl"/>
        </w:rPr>
        <w:t xml:space="preserve"> inició en la </w:t>
      </w:r>
      <w:r w:rsidR="00AB0609" w:rsidRPr="00A073BE">
        <w:rPr>
          <w:bCs/>
          <w:sz w:val="20"/>
          <w:szCs w:val="20"/>
          <w:lang w:val="es-ES_tradnl"/>
        </w:rPr>
        <w:t>F</w:t>
      </w:r>
      <w:r w:rsidR="001D2DE4" w:rsidRPr="00A073BE">
        <w:rPr>
          <w:bCs/>
          <w:sz w:val="20"/>
          <w:szCs w:val="20"/>
          <w:lang w:val="es-ES_tradnl"/>
        </w:rPr>
        <w:t xml:space="preserve">iscalía de </w:t>
      </w:r>
      <w:r w:rsidR="00AB0609" w:rsidRPr="00A073BE">
        <w:rPr>
          <w:bCs/>
          <w:sz w:val="20"/>
          <w:szCs w:val="20"/>
          <w:lang w:val="es-ES_tradnl"/>
        </w:rPr>
        <w:t>D</w:t>
      </w:r>
      <w:r w:rsidR="001D2DE4" w:rsidRPr="00A073BE">
        <w:rPr>
          <w:bCs/>
          <w:sz w:val="20"/>
          <w:szCs w:val="20"/>
          <w:lang w:val="es-ES_tradnl"/>
        </w:rPr>
        <w:t xml:space="preserve">erechos </w:t>
      </w:r>
      <w:r w:rsidR="00AB0609" w:rsidRPr="00A073BE">
        <w:rPr>
          <w:bCs/>
          <w:sz w:val="20"/>
          <w:szCs w:val="20"/>
          <w:lang w:val="es-ES_tradnl"/>
        </w:rPr>
        <w:t>H</w:t>
      </w:r>
      <w:r w:rsidR="001D2DE4" w:rsidRPr="00A073BE">
        <w:rPr>
          <w:bCs/>
          <w:sz w:val="20"/>
          <w:szCs w:val="20"/>
          <w:lang w:val="es-ES_tradnl"/>
        </w:rPr>
        <w:t>umanos de Bogotá</w:t>
      </w:r>
      <w:r w:rsidR="008156A8" w:rsidRPr="00A073BE">
        <w:rPr>
          <w:bCs/>
          <w:sz w:val="20"/>
          <w:szCs w:val="20"/>
          <w:lang w:val="es-ES_tradnl"/>
        </w:rPr>
        <w:t>, y en esta</w:t>
      </w:r>
      <w:r w:rsidR="00AB0609" w:rsidRPr="00A073BE">
        <w:rPr>
          <w:bCs/>
          <w:sz w:val="20"/>
          <w:szCs w:val="20"/>
          <w:lang w:val="es-ES_tradnl"/>
        </w:rPr>
        <w:t xml:space="preserve"> se </w:t>
      </w:r>
      <w:r w:rsidR="001F7025" w:rsidRPr="00A073BE">
        <w:rPr>
          <w:bCs/>
          <w:sz w:val="20"/>
          <w:szCs w:val="20"/>
          <w:lang w:val="es-ES_tradnl"/>
        </w:rPr>
        <w:t xml:space="preserve">identificó </w:t>
      </w:r>
      <w:r w:rsidR="00FE6B67" w:rsidRPr="00A073BE">
        <w:rPr>
          <w:bCs/>
          <w:sz w:val="20"/>
          <w:szCs w:val="20"/>
          <w:lang w:val="es-ES_tradnl"/>
        </w:rPr>
        <w:t xml:space="preserve">y acusó </w:t>
      </w:r>
      <w:r w:rsidR="001F7025" w:rsidRPr="00A073BE">
        <w:rPr>
          <w:bCs/>
          <w:sz w:val="20"/>
          <w:szCs w:val="20"/>
          <w:lang w:val="es-ES_tradnl"/>
        </w:rPr>
        <w:t>como presuntos autores</w:t>
      </w:r>
      <w:r w:rsidR="00FE6B67" w:rsidRPr="00A073BE">
        <w:rPr>
          <w:bCs/>
          <w:sz w:val="20"/>
          <w:szCs w:val="20"/>
          <w:lang w:val="es-ES_tradnl"/>
        </w:rPr>
        <w:t xml:space="preserve"> de la ejecución extrajudicial de Iván Henao</w:t>
      </w:r>
      <w:r w:rsidR="001F7025" w:rsidRPr="00A073BE">
        <w:rPr>
          <w:bCs/>
          <w:sz w:val="20"/>
          <w:szCs w:val="20"/>
          <w:lang w:val="es-ES_tradnl"/>
        </w:rPr>
        <w:t xml:space="preserve"> a los militares G.A.G.B, O.G.S, J.J.G.G, </w:t>
      </w:r>
      <w:r w:rsidR="008156A8" w:rsidRPr="00A073BE">
        <w:rPr>
          <w:bCs/>
          <w:sz w:val="20"/>
          <w:szCs w:val="20"/>
          <w:lang w:val="es-ES_tradnl"/>
        </w:rPr>
        <w:t xml:space="preserve">y </w:t>
      </w:r>
      <w:r w:rsidR="001F7025" w:rsidRPr="00A073BE">
        <w:rPr>
          <w:bCs/>
          <w:sz w:val="20"/>
          <w:szCs w:val="20"/>
          <w:lang w:val="es-ES_tradnl"/>
        </w:rPr>
        <w:t>S.F</w:t>
      </w:r>
      <w:r w:rsidR="00AB0609" w:rsidRPr="00A073BE">
        <w:rPr>
          <w:bCs/>
          <w:sz w:val="20"/>
          <w:szCs w:val="20"/>
          <w:lang w:val="es-ES_tradnl"/>
        </w:rPr>
        <w:t xml:space="preserve">.R; todos </w:t>
      </w:r>
      <w:r w:rsidR="001F7025" w:rsidRPr="00A073BE">
        <w:rPr>
          <w:bCs/>
          <w:sz w:val="20"/>
          <w:szCs w:val="20"/>
          <w:lang w:val="es-ES_tradnl"/>
        </w:rPr>
        <w:t>miembros del Batallón 21 Vargas del Ejército Nacional</w:t>
      </w:r>
      <w:r w:rsidR="00FE6B67" w:rsidRPr="00A073BE">
        <w:rPr>
          <w:bCs/>
          <w:sz w:val="20"/>
          <w:szCs w:val="20"/>
          <w:lang w:val="es-ES_tradnl"/>
        </w:rPr>
        <w:t xml:space="preserve"> </w:t>
      </w:r>
      <w:r w:rsidR="001D2DE4" w:rsidRPr="00A073BE">
        <w:rPr>
          <w:bCs/>
          <w:sz w:val="20"/>
          <w:szCs w:val="20"/>
          <w:lang w:val="es-ES_tradnl"/>
        </w:rPr>
        <w:t>ante el juez penal del circuito de San Martín, Meta</w:t>
      </w:r>
      <w:r w:rsidR="00FE6B67" w:rsidRPr="00A073BE">
        <w:rPr>
          <w:bCs/>
          <w:sz w:val="20"/>
          <w:szCs w:val="20"/>
          <w:lang w:val="es-ES_tradnl"/>
        </w:rPr>
        <w:t xml:space="preserve"> </w:t>
      </w:r>
      <w:r w:rsidR="008156A8" w:rsidRPr="00A073BE">
        <w:rPr>
          <w:bCs/>
          <w:sz w:val="20"/>
          <w:szCs w:val="20"/>
          <w:lang w:val="es-ES_tradnl"/>
        </w:rPr>
        <w:t>(</w:t>
      </w:r>
      <w:r w:rsidR="00FE6B67" w:rsidRPr="00A073BE">
        <w:rPr>
          <w:bCs/>
          <w:sz w:val="20"/>
          <w:szCs w:val="20"/>
          <w:lang w:val="es-ES_tradnl"/>
        </w:rPr>
        <w:t xml:space="preserve">bajo el </w:t>
      </w:r>
      <w:r w:rsidR="00D27627" w:rsidRPr="00A073BE">
        <w:rPr>
          <w:sz w:val="20"/>
          <w:szCs w:val="20"/>
          <w:lang w:val="es-ES_tradnl"/>
        </w:rPr>
        <w:t>radicado No. 2004-0025-00</w:t>
      </w:r>
      <w:r w:rsidR="008156A8" w:rsidRPr="00A073BE">
        <w:rPr>
          <w:sz w:val="20"/>
          <w:szCs w:val="20"/>
          <w:lang w:val="es-ES_tradnl"/>
        </w:rPr>
        <w:t>)</w:t>
      </w:r>
      <w:r w:rsidR="00FE6B67" w:rsidRPr="00A073BE">
        <w:rPr>
          <w:sz w:val="20"/>
          <w:szCs w:val="20"/>
          <w:lang w:val="es-ES_tradnl"/>
        </w:rPr>
        <w:t>. No obstante,</w:t>
      </w:r>
      <w:r w:rsidR="00250E29" w:rsidRPr="00A073BE">
        <w:rPr>
          <w:sz w:val="20"/>
          <w:szCs w:val="20"/>
          <w:lang w:val="es-ES_tradnl"/>
        </w:rPr>
        <w:t xml:space="preserve"> la parte peticiona</w:t>
      </w:r>
      <w:r w:rsidR="00250E29" w:rsidRPr="00A073BE">
        <w:rPr>
          <w:color w:val="auto"/>
          <w:sz w:val="20"/>
          <w:szCs w:val="20"/>
          <w:lang w:val="es-ES_tradnl"/>
        </w:rPr>
        <w:t>ria alega</w:t>
      </w:r>
      <w:r w:rsidR="00686ACD" w:rsidRPr="00A073BE">
        <w:rPr>
          <w:sz w:val="20"/>
          <w:szCs w:val="20"/>
          <w:lang w:val="es-ES_tradnl"/>
        </w:rPr>
        <w:t xml:space="preserve"> en la petición inicial</w:t>
      </w:r>
      <w:r w:rsidR="00691196" w:rsidRPr="00A073BE">
        <w:rPr>
          <w:sz w:val="20"/>
          <w:szCs w:val="20"/>
          <w:lang w:val="es-ES_tradnl"/>
        </w:rPr>
        <w:t xml:space="preserve"> </w:t>
      </w:r>
      <w:r w:rsidR="00535059" w:rsidRPr="00A073BE">
        <w:rPr>
          <w:sz w:val="20"/>
          <w:szCs w:val="20"/>
          <w:lang w:val="es-ES_tradnl"/>
        </w:rPr>
        <w:t>–</w:t>
      </w:r>
      <w:r w:rsidR="00691196" w:rsidRPr="00A073BE">
        <w:rPr>
          <w:sz w:val="20"/>
          <w:szCs w:val="20"/>
          <w:lang w:val="es-ES_tradnl"/>
        </w:rPr>
        <w:t>sin presentar posteriormente argumentos adicionales</w:t>
      </w:r>
      <w:r w:rsidR="00535059" w:rsidRPr="00A073BE">
        <w:rPr>
          <w:sz w:val="20"/>
          <w:szCs w:val="20"/>
          <w:lang w:val="es-ES_tradnl"/>
        </w:rPr>
        <w:t>–</w:t>
      </w:r>
      <w:r w:rsidR="00686ACD" w:rsidRPr="00A073BE">
        <w:rPr>
          <w:sz w:val="20"/>
          <w:szCs w:val="20"/>
          <w:lang w:val="es-ES_tradnl"/>
        </w:rPr>
        <w:t xml:space="preserve"> que </w:t>
      </w:r>
      <w:r w:rsidR="00FE6B67" w:rsidRPr="00A073BE">
        <w:rPr>
          <w:color w:val="auto"/>
          <w:sz w:val="20"/>
          <w:szCs w:val="20"/>
          <w:lang w:val="es-ES_tradnl"/>
        </w:rPr>
        <w:t xml:space="preserve">este proceso </w:t>
      </w:r>
      <w:r w:rsidR="00D27627" w:rsidRPr="00A073BE">
        <w:rPr>
          <w:color w:val="auto"/>
          <w:sz w:val="20"/>
          <w:szCs w:val="20"/>
          <w:lang w:val="es-ES_tradnl"/>
        </w:rPr>
        <w:t>fue</w:t>
      </w:r>
      <w:r w:rsidR="00250E29" w:rsidRPr="00A073BE">
        <w:rPr>
          <w:color w:val="auto"/>
          <w:sz w:val="20"/>
          <w:szCs w:val="20"/>
          <w:lang w:val="es-ES_tradnl"/>
        </w:rPr>
        <w:t xml:space="preserve"> trasladado</w:t>
      </w:r>
      <w:r w:rsidR="00D27627" w:rsidRPr="00A073BE">
        <w:rPr>
          <w:color w:val="auto"/>
          <w:sz w:val="20"/>
          <w:szCs w:val="20"/>
          <w:lang w:val="es-ES_tradnl"/>
        </w:rPr>
        <w:t xml:space="preserve"> a otro juzgado y desconoce su actual ubicación y estado. </w:t>
      </w:r>
      <w:r w:rsidR="00535059" w:rsidRPr="00A073BE">
        <w:rPr>
          <w:color w:val="auto"/>
          <w:sz w:val="20"/>
          <w:szCs w:val="20"/>
          <w:lang w:val="es-ES_tradnl"/>
        </w:rPr>
        <w:t>–</w:t>
      </w:r>
      <w:r w:rsidR="00380167" w:rsidRPr="00A073BE">
        <w:rPr>
          <w:color w:val="auto"/>
          <w:sz w:val="20"/>
          <w:szCs w:val="20"/>
          <w:lang w:val="es-ES_tradnl"/>
        </w:rPr>
        <w:t>no presenta información en el expediente sobre medidas adoptadas para conocer sobre el destino y estado del proceso penal</w:t>
      </w:r>
      <w:r w:rsidR="00535059" w:rsidRPr="00A073BE">
        <w:rPr>
          <w:color w:val="auto"/>
          <w:sz w:val="20"/>
          <w:szCs w:val="20"/>
          <w:lang w:val="es-ES_tradnl"/>
        </w:rPr>
        <w:t>–</w:t>
      </w:r>
      <w:r w:rsidR="00380167" w:rsidRPr="00A073BE">
        <w:rPr>
          <w:color w:val="auto"/>
          <w:sz w:val="20"/>
          <w:szCs w:val="20"/>
          <w:lang w:val="es-ES_tradnl"/>
        </w:rPr>
        <w:t xml:space="preserve">. </w:t>
      </w:r>
    </w:p>
    <w:p w14:paraId="3879CD0E" w14:textId="77777777" w:rsidR="00AB0609" w:rsidRPr="00A073BE" w:rsidRDefault="00AB0609" w:rsidP="00AB0609">
      <w:pPr>
        <w:pStyle w:val="ListParagraph"/>
        <w:rPr>
          <w:bCs/>
          <w:color w:val="auto"/>
          <w:sz w:val="20"/>
          <w:szCs w:val="20"/>
          <w:lang w:val="es-ES_tradnl"/>
        </w:rPr>
      </w:pPr>
    </w:p>
    <w:p w14:paraId="5EC2745F" w14:textId="166C378A" w:rsidR="00D21E93" w:rsidRPr="00A073BE" w:rsidRDefault="00040D45" w:rsidP="00B36C01">
      <w:pPr>
        <w:pStyle w:val="ListParagraph"/>
        <w:numPr>
          <w:ilvl w:val="0"/>
          <w:numId w:val="63"/>
        </w:numPr>
        <w:ind w:left="0" w:firstLine="720"/>
        <w:jc w:val="both"/>
        <w:rPr>
          <w:bCs/>
          <w:color w:val="auto"/>
          <w:sz w:val="20"/>
          <w:szCs w:val="20"/>
          <w:lang w:val="es-ES_tradnl"/>
        </w:rPr>
      </w:pPr>
      <w:r w:rsidRPr="00A073BE">
        <w:rPr>
          <w:bCs/>
          <w:color w:val="auto"/>
          <w:sz w:val="20"/>
          <w:szCs w:val="20"/>
          <w:lang w:val="es-ES_tradnl"/>
        </w:rPr>
        <w:t xml:space="preserve">Asimismo, señala </w:t>
      </w:r>
      <w:r w:rsidR="008A04BD" w:rsidRPr="00A073BE">
        <w:rPr>
          <w:bCs/>
          <w:color w:val="auto"/>
          <w:sz w:val="20"/>
          <w:szCs w:val="20"/>
          <w:lang w:val="es-ES_tradnl"/>
        </w:rPr>
        <w:t xml:space="preserve">que </w:t>
      </w:r>
      <w:r w:rsidR="001D2DE4" w:rsidRPr="00A073BE">
        <w:rPr>
          <w:bCs/>
          <w:color w:val="auto"/>
          <w:sz w:val="20"/>
          <w:szCs w:val="20"/>
          <w:lang w:val="es-ES_tradnl"/>
        </w:rPr>
        <w:t>Elcia Gonz</w:t>
      </w:r>
      <w:r w:rsidR="00FE6B67" w:rsidRPr="00A073BE">
        <w:rPr>
          <w:bCs/>
          <w:color w:val="auto"/>
          <w:sz w:val="20"/>
          <w:szCs w:val="20"/>
          <w:lang w:val="es-ES_tradnl"/>
        </w:rPr>
        <w:t>ález, quien era la madre de la compañera permanente de Iván Henao Sanabria,</w:t>
      </w:r>
      <w:r w:rsidR="00F74966" w:rsidRPr="00A073BE">
        <w:rPr>
          <w:bCs/>
          <w:color w:val="auto"/>
          <w:sz w:val="20"/>
          <w:szCs w:val="20"/>
          <w:lang w:val="es-ES_tradnl"/>
        </w:rPr>
        <w:t xml:space="preserve"> </w:t>
      </w:r>
      <w:r w:rsidR="001D2DE4" w:rsidRPr="00A073BE">
        <w:rPr>
          <w:bCs/>
          <w:color w:val="auto"/>
          <w:sz w:val="20"/>
          <w:szCs w:val="20"/>
          <w:lang w:val="es-ES_tradnl"/>
        </w:rPr>
        <w:t xml:space="preserve">reconoció </w:t>
      </w:r>
      <w:r w:rsidR="00F74966" w:rsidRPr="00A073BE">
        <w:rPr>
          <w:bCs/>
          <w:color w:val="auto"/>
          <w:sz w:val="20"/>
          <w:szCs w:val="20"/>
          <w:lang w:val="es-ES_tradnl"/>
        </w:rPr>
        <w:t xml:space="preserve">en el marco de la investigación penal, </w:t>
      </w:r>
      <w:r w:rsidR="000869C7" w:rsidRPr="00A073BE">
        <w:rPr>
          <w:bCs/>
          <w:color w:val="auto"/>
          <w:sz w:val="20"/>
          <w:szCs w:val="20"/>
          <w:lang w:val="es-ES_tradnl"/>
        </w:rPr>
        <w:t xml:space="preserve">los </w:t>
      </w:r>
      <w:r w:rsidR="001D2DE4" w:rsidRPr="00A073BE">
        <w:rPr>
          <w:bCs/>
          <w:color w:val="auto"/>
          <w:sz w:val="20"/>
          <w:szCs w:val="20"/>
          <w:lang w:val="es-ES_tradnl"/>
        </w:rPr>
        <w:t xml:space="preserve">restos </w:t>
      </w:r>
      <w:r w:rsidR="000869C7" w:rsidRPr="00A073BE">
        <w:rPr>
          <w:bCs/>
          <w:color w:val="auto"/>
          <w:sz w:val="20"/>
          <w:szCs w:val="20"/>
          <w:lang w:val="es-ES_tradnl"/>
        </w:rPr>
        <w:t xml:space="preserve">de Iván Henao </w:t>
      </w:r>
      <w:r w:rsidR="001D2DE4" w:rsidRPr="00A073BE">
        <w:rPr>
          <w:bCs/>
          <w:color w:val="auto"/>
          <w:sz w:val="20"/>
          <w:szCs w:val="20"/>
          <w:lang w:val="es-ES_tradnl"/>
        </w:rPr>
        <w:t>en una fosa común</w:t>
      </w:r>
      <w:r w:rsidR="00FE6B67" w:rsidRPr="00A073BE">
        <w:rPr>
          <w:bCs/>
          <w:color w:val="auto"/>
          <w:sz w:val="20"/>
          <w:szCs w:val="20"/>
          <w:lang w:val="es-ES_tradnl"/>
        </w:rPr>
        <w:t xml:space="preserve"> en Nueva Granada</w:t>
      </w:r>
      <w:r w:rsidR="001D2DE4" w:rsidRPr="00A073BE">
        <w:rPr>
          <w:bCs/>
          <w:color w:val="auto"/>
          <w:sz w:val="20"/>
          <w:szCs w:val="20"/>
          <w:lang w:val="es-ES_tradnl"/>
        </w:rPr>
        <w:t xml:space="preserve"> </w:t>
      </w:r>
      <w:r w:rsidR="00FE6B67" w:rsidRPr="00A073BE">
        <w:rPr>
          <w:bCs/>
          <w:color w:val="auto"/>
          <w:sz w:val="20"/>
          <w:szCs w:val="20"/>
          <w:lang w:val="es-ES_tradnl"/>
        </w:rPr>
        <w:t xml:space="preserve">donde había sido enterrado por </w:t>
      </w:r>
      <w:r w:rsidR="001D2DE4" w:rsidRPr="00A073BE">
        <w:rPr>
          <w:bCs/>
          <w:color w:val="auto"/>
          <w:sz w:val="20"/>
          <w:szCs w:val="20"/>
          <w:lang w:val="es-ES_tradnl"/>
        </w:rPr>
        <w:t>orden de un comandante del Batallón 21 Vargas</w:t>
      </w:r>
      <w:r w:rsidR="00FE6B67" w:rsidRPr="00A073BE">
        <w:rPr>
          <w:bCs/>
          <w:color w:val="auto"/>
          <w:sz w:val="20"/>
          <w:szCs w:val="20"/>
          <w:lang w:val="es-ES_tradnl"/>
        </w:rPr>
        <w:t>; y f</w:t>
      </w:r>
      <w:r w:rsidR="001D2DE4" w:rsidRPr="00A073BE">
        <w:rPr>
          <w:bCs/>
          <w:color w:val="auto"/>
          <w:sz w:val="20"/>
          <w:szCs w:val="20"/>
          <w:lang w:val="es-ES_tradnl"/>
        </w:rPr>
        <w:t xml:space="preserve">ue quien </w:t>
      </w:r>
      <w:r w:rsidR="007E3E5A" w:rsidRPr="00A073BE">
        <w:rPr>
          <w:bCs/>
          <w:color w:val="auto"/>
          <w:sz w:val="20"/>
          <w:szCs w:val="20"/>
          <w:lang w:val="es-ES_tradnl"/>
        </w:rPr>
        <w:t>declaró</w:t>
      </w:r>
      <w:r w:rsidR="001D2DE4" w:rsidRPr="00A073BE">
        <w:rPr>
          <w:bCs/>
          <w:color w:val="auto"/>
          <w:sz w:val="20"/>
          <w:szCs w:val="20"/>
          <w:lang w:val="es-ES_tradnl"/>
        </w:rPr>
        <w:t xml:space="preserve"> </w:t>
      </w:r>
      <w:r w:rsidR="00D21E93" w:rsidRPr="00A073BE">
        <w:rPr>
          <w:bCs/>
          <w:color w:val="auto"/>
          <w:sz w:val="20"/>
          <w:szCs w:val="20"/>
          <w:lang w:val="es-ES_tradnl"/>
        </w:rPr>
        <w:t>que la</w:t>
      </w:r>
      <w:r w:rsidR="00FE6B67" w:rsidRPr="00A073BE">
        <w:rPr>
          <w:bCs/>
          <w:color w:val="auto"/>
          <w:sz w:val="20"/>
          <w:szCs w:val="20"/>
          <w:lang w:val="es-ES_tradnl"/>
        </w:rPr>
        <w:t xml:space="preserve"> </w:t>
      </w:r>
      <w:r w:rsidR="00D21E93" w:rsidRPr="00A073BE">
        <w:rPr>
          <w:bCs/>
          <w:color w:val="auto"/>
          <w:sz w:val="20"/>
          <w:szCs w:val="20"/>
          <w:lang w:val="es-ES_tradnl"/>
        </w:rPr>
        <w:t>ropa</w:t>
      </w:r>
      <w:r w:rsidR="00FE6B67" w:rsidRPr="00A073BE">
        <w:rPr>
          <w:bCs/>
          <w:color w:val="auto"/>
          <w:sz w:val="20"/>
          <w:szCs w:val="20"/>
          <w:lang w:val="es-ES_tradnl"/>
        </w:rPr>
        <w:t xml:space="preserve"> </w:t>
      </w:r>
      <w:r w:rsidR="007E3E5A" w:rsidRPr="00A073BE">
        <w:rPr>
          <w:bCs/>
          <w:color w:val="auto"/>
          <w:sz w:val="20"/>
          <w:szCs w:val="20"/>
          <w:lang w:val="es-ES_tradnl"/>
        </w:rPr>
        <w:t xml:space="preserve">con la que fue enterrado </w:t>
      </w:r>
      <w:r w:rsidR="00FE6B67" w:rsidRPr="00A073BE">
        <w:rPr>
          <w:bCs/>
          <w:color w:val="auto"/>
          <w:sz w:val="20"/>
          <w:szCs w:val="20"/>
          <w:lang w:val="es-ES_tradnl"/>
        </w:rPr>
        <w:t xml:space="preserve">no </w:t>
      </w:r>
      <w:r w:rsidR="00BF33D3" w:rsidRPr="00A073BE">
        <w:rPr>
          <w:bCs/>
          <w:color w:val="auto"/>
          <w:sz w:val="20"/>
          <w:szCs w:val="20"/>
          <w:lang w:val="es-ES_tradnl"/>
        </w:rPr>
        <w:t>era</w:t>
      </w:r>
      <w:r w:rsidR="00FE6B67" w:rsidRPr="00A073BE">
        <w:rPr>
          <w:bCs/>
          <w:color w:val="auto"/>
          <w:sz w:val="20"/>
          <w:szCs w:val="20"/>
          <w:lang w:val="es-ES_tradnl"/>
        </w:rPr>
        <w:t xml:space="preserve"> de él ni las que llevaba puesta el día de su muerte, señalando </w:t>
      </w:r>
      <w:r w:rsidR="007E3E5A" w:rsidRPr="00A073BE">
        <w:rPr>
          <w:bCs/>
          <w:color w:val="auto"/>
          <w:sz w:val="20"/>
          <w:szCs w:val="20"/>
          <w:lang w:val="es-ES_tradnl"/>
        </w:rPr>
        <w:t xml:space="preserve">además </w:t>
      </w:r>
      <w:r w:rsidR="00FE6B67" w:rsidRPr="00A073BE">
        <w:rPr>
          <w:bCs/>
          <w:color w:val="auto"/>
          <w:sz w:val="20"/>
          <w:szCs w:val="20"/>
          <w:lang w:val="es-ES_tradnl"/>
        </w:rPr>
        <w:t xml:space="preserve">que </w:t>
      </w:r>
      <w:r w:rsidR="007E3E5A" w:rsidRPr="00A073BE">
        <w:rPr>
          <w:bCs/>
          <w:color w:val="auto"/>
          <w:sz w:val="20"/>
          <w:szCs w:val="20"/>
          <w:lang w:val="es-ES_tradnl"/>
        </w:rPr>
        <w:t xml:space="preserve">esta </w:t>
      </w:r>
      <w:r w:rsidR="00D21E93" w:rsidRPr="00A073BE">
        <w:rPr>
          <w:bCs/>
          <w:color w:val="auto"/>
          <w:sz w:val="20"/>
          <w:szCs w:val="20"/>
          <w:lang w:val="es-ES_tradnl"/>
        </w:rPr>
        <w:t xml:space="preserve">no </w:t>
      </w:r>
      <w:r w:rsidR="00FE6B67" w:rsidRPr="00A073BE">
        <w:rPr>
          <w:bCs/>
          <w:color w:val="auto"/>
          <w:sz w:val="20"/>
          <w:szCs w:val="20"/>
          <w:lang w:val="es-ES_tradnl"/>
        </w:rPr>
        <w:t xml:space="preserve">tenía </w:t>
      </w:r>
      <w:r w:rsidR="00D21E93" w:rsidRPr="00A073BE">
        <w:rPr>
          <w:bCs/>
          <w:color w:val="auto"/>
          <w:sz w:val="20"/>
          <w:szCs w:val="20"/>
          <w:lang w:val="es-ES_tradnl"/>
        </w:rPr>
        <w:t>orificios de proyectiles de bala</w:t>
      </w:r>
      <w:r w:rsidR="00BF33D3" w:rsidRPr="00A073BE">
        <w:rPr>
          <w:bCs/>
          <w:color w:val="auto"/>
          <w:sz w:val="20"/>
          <w:szCs w:val="20"/>
          <w:lang w:val="es-ES_tradnl"/>
        </w:rPr>
        <w:t>.</w:t>
      </w:r>
      <w:r w:rsidR="00D21E93" w:rsidRPr="00A073BE">
        <w:rPr>
          <w:bCs/>
          <w:color w:val="auto"/>
          <w:sz w:val="20"/>
          <w:szCs w:val="20"/>
          <w:lang w:val="es-ES_tradnl"/>
        </w:rPr>
        <w:t xml:space="preserve"> </w:t>
      </w:r>
      <w:r w:rsidR="00AB044A" w:rsidRPr="00A073BE">
        <w:rPr>
          <w:bCs/>
          <w:color w:val="auto"/>
          <w:sz w:val="20"/>
          <w:szCs w:val="20"/>
          <w:lang w:val="es-ES_tradnl"/>
        </w:rPr>
        <w:t>En línea a lo anterior, r</w:t>
      </w:r>
      <w:r w:rsidR="00BF33D3" w:rsidRPr="00A073BE">
        <w:rPr>
          <w:bCs/>
          <w:color w:val="auto"/>
          <w:sz w:val="20"/>
          <w:szCs w:val="20"/>
          <w:lang w:val="es-ES_tradnl"/>
        </w:rPr>
        <w:t xml:space="preserve">elata que </w:t>
      </w:r>
      <w:r w:rsidR="00D21E93" w:rsidRPr="00A073BE">
        <w:rPr>
          <w:bCs/>
          <w:color w:val="auto"/>
          <w:sz w:val="20"/>
          <w:szCs w:val="20"/>
          <w:lang w:val="es-ES_tradnl"/>
        </w:rPr>
        <w:t xml:space="preserve">Elcia </w:t>
      </w:r>
      <w:r w:rsidR="00BF33D3" w:rsidRPr="00A073BE">
        <w:rPr>
          <w:bCs/>
          <w:color w:val="auto"/>
          <w:sz w:val="20"/>
          <w:szCs w:val="20"/>
          <w:lang w:val="es-ES_tradnl"/>
        </w:rPr>
        <w:t xml:space="preserve">González </w:t>
      </w:r>
      <w:r w:rsidR="00F74966" w:rsidRPr="00A073BE">
        <w:rPr>
          <w:bCs/>
          <w:color w:val="auto"/>
          <w:sz w:val="20"/>
          <w:szCs w:val="20"/>
          <w:lang w:val="es-ES_tradnl"/>
        </w:rPr>
        <w:t>se encontraba en su casa viendo televisión la noche del 28 de abril de 2004 cuando un sicario entró y le disparó causándole la muerte</w:t>
      </w:r>
      <w:r w:rsidR="00AB044A" w:rsidRPr="00A073BE">
        <w:rPr>
          <w:bCs/>
          <w:color w:val="auto"/>
          <w:sz w:val="20"/>
          <w:szCs w:val="20"/>
          <w:lang w:val="es-ES_tradnl"/>
        </w:rPr>
        <w:t>.</w:t>
      </w:r>
      <w:r w:rsidR="00F74966" w:rsidRPr="00A073BE">
        <w:rPr>
          <w:bCs/>
          <w:color w:val="auto"/>
          <w:sz w:val="20"/>
          <w:szCs w:val="20"/>
          <w:lang w:val="es-ES_tradnl"/>
        </w:rPr>
        <w:t xml:space="preserve"> </w:t>
      </w:r>
      <w:r w:rsidR="00BF33D3" w:rsidRPr="00A073BE">
        <w:rPr>
          <w:bCs/>
          <w:color w:val="auto"/>
          <w:sz w:val="20"/>
          <w:szCs w:val="20"/>
          <w:lang w:val="es-ES_tradnl"/>
        </w:rPr>
        <w:t xml:space="preserve">Explica que la investigación penal </w:t>
      </w:r>
      <w:r w:rsidR="0017148B" w:rsidRPr="00A073BE">
        <w:rPr>
          <w:bCs/>
          <w:color w:val="auto"/>
          <w:sz w:val="20"/>
          <w:szCs w:val="20"/>
          <w:lang w:val="es-ES_tradnl"/>
        </w:rPr>
        <w:t xml:space="preserve">en virtud del homicidio de Elcia González </w:t>
      </w:r>
      <w:r w:rsidR="00BF33D3" w:rsidRPr="00A073BE">
        <w:rPr>
          <w:bCs/>
          <w:color w:val="auto"/>
          <w:sz w:val="20"/>
          <w:szCs w:val="20"/>
          <w:lang w:val="es-ES_tradnl"/>
        </w:rPr>
        <w:t>inició de oficio bajo el cargo de la Fiscalía 21 Seccional de Villavicencio</w:t>
      </w:r>
      <w:r w:rsidR="00622424" w:rsidRPr="00A073BE">
        <w:rPr>
          <w:bCs/>
          <w:color w:val="auto"/>
          <w:sz w:val="20"/>
          <w:szCs w:val="20"/>
          <w:lang w:val="es-ES_tradnl"/>
        </w:rPr>
        <w:t xml:space="preserve"> y fue cerrad</w:t>
      </w:r>
      <w:r w:rsidR="007E3E5A" w:rsidRPr="00A073BE">
        <w:rPr>
          <w:bCs/>
          <w:color w:val="auto"/>
          <w:sz w:val="20"/>
          <w:szCs w:val="20"/>
          <w:lang w:val="es-ES_tradnl"/>
        </w:rPr>
        <w:t>a</w:t>
      </w:r>
      <w:r w:rsidR="00622424" w:rsidRPr="00A073BE">
        <w:rPr>
          <w:bCs/>
          <w:color w:val="auto"/>
          <w:sz w:val="20"/>
          <w:szCs w:val="20"/>
          <w:lang w:val="es-ES_tradnl"/>
        </w:rPr>
        <w:t xml:space="preserve"> </w:t>
      </w:r>
      <w:r w:rsidR="007361C7" w:rsidRPr="00A073BE">
        <w:rPr>
          <w:bCs/>
          <w:color w:val="auto"/>
          <w:sz w:val="20"/>
          <w:szCs w:val="20"/>
          <w:lang w:val="es-ES_tradnl"/>
        </w:rPr>
        <w:t xml:space="preserve">al no poder </w:t>
      </w:r>
      <w:r w:rsidR="00B64A30" w:rsidRPr="00A073BE">
        <w:rPr>
          <w:bCs/>
          <w:color w:val="auto"/>
          <w:sz w:val="20"/>
          <w:szCs w:val="20"/>
          <w:lang w:val="es-ES_tradnl"/>
        </w:rPr>
        <w:t xml:space="preserve">identificar </w:t>
      </w:r>
      <w:r w:rsidR="007361C7" w:rsidRPr="00A073BE">
        <w:rPr>
          <w:bCs/>
          <w:color w:val="auto"/>
          <w:sz w:val="20"/>
          <w:szCs w:val="20"/>
          <w:lang w:val="es-ES_tradnl"/>
        </w:rPr>
        <w:t>responsables</w:t>
      </w:r>
      <w:r w:rsidR="00882EA2" w:rsidRPr="00A073BE">
        <w:rPr>
          <w:bCs/>
          <w:color w:val="auto"/>
          <w:sz w:val="20"/>
          <w:szCs w:val="20"/>
          <w:lang w:val="es-ES_tradnl"/>
        </w:rPr>
        <w:t xml:space="preserve">. </w:t>
      </w:r>
      <w:r w:rsidR="0017148B" w:rsidRPr="00A073BE">
        <w:rPr>
          <w:bCs/>
          <w:color w:val="auto"/>
          <w:sz w:val="20"/>
          <w:szCs w:val="20"/>
          <w:lang w:val="es-ES_tradnl"/>
        </w:rPr>
        <w:t xml:space="preserve">Al respecto, argumenta que </w:t>
      </w:r>
      <w:r w:rsidR="00A073BE" w:rsidRPr="00A073BE">
        <w:rPr>
          <w:bCs/>
          <w:color w:val="auto"/>
          <w:sz w:val="20"/>
          <w:szCs w:val="20"/>
          <w:lang w:val="es-ES_tradnl"/>
        </w:rPr>
        <w:t>a pesar de que</w:t>
      </w:r>
      <w:r w:rsidR="0017148B" w:rsidRPr="00A073BE">
        <w:rPr>
          <w:bCs/>
          <w:color w:val="auto"/>
          <w:sz w:val="20"/>
          <w:szCs w:val="20"/>
          <w:lang w:val="es-ES_tradnl"/>
        </w:rPr>
        <w:t xml:space="preserve"> Elcia González fue asesinada por su relación cercana con Iván Henao y por actuar como testigo en la investigación penal por su muerte, la Fiscalía 21 Seccional de Villavicencio </w:t>
      </w:r>
      <w:r w:rsidR="0017148B" w:rsidRPr="00A073BE">
        <w:rPr>
          <w:color w:val="auto"/>
          <w:sz w:val="20"/>
          <w:szCs w:val="20"/>
          <w:lang w:val="es-ES_tradnl"/>
        </w:rPr>
        <w:t xml:space="preserve">no vinculó las muertes en la investigación. </w:t>
      </w:r>
      <w:r w:rsidR="00882EA2" w:rsidRPr="00A073BE">
        <w:rPr>
          <w:bCs/>
          <w:color w:val="auto"/>
          <w:sz w:val="20"/>
          <w:szCs w:val="20"/>
          <w:lang w:val="es-ES_tradnl"/>
        </w:rPr>
        <w:t>Así, esta</w:t>
      </w:r>
      <w:r w:rsidR="007361C7" w:rsidRPr="00A073BE">
        <w:rPr>
          <w:bCs/>
          <w:color w:val="auto"/>
          <w:sz w:val="20"/>
          <w:szCs w:val="20"/>
          <w:lang w:val="es-ES_tradnl"/>
        </w:rPr>
        <w:t xml:space="preserve"> fiscalía dictó resolución inhibitoria el 23 de noviembre de 2006</w:t>
      </w:r>
      <w:r w:rsidR="00882EA2" w:rsidRPr="00A073BE">
        <w:rPr>
          <w:bCs/>
          <w:color w:val="auto"/>
          <w:sz w:val="20"/>
          <w:szCs w:val="20"/>
          <w:lang w:val="es-ES_tradnl"/>
        </w:rPr>
        <w:t>,</w:t>
      </w:r>
      <w:r w:rsidR="0037613D" w:rsidRPr="00A073BE">
        <w:rPr>
          <w:bCs/>
          <w:color w:val="auto"/>
          <w:sz w:val="20"/>
          <w:szCs w:val="20"/>
          <w:lang w:val="es-ES_tradnl"/>
        </w:rPr>
        <w:t xml:space="preserve"> y </w:t>
      </w:r>
      <w:r w:rsidR="007361C7" w:rsidRPr="00A073BE">
        <w:rPr>
          <w:bCs/>
          <w:color w:val="auto"/>
          <w:sz w:val="20"/>
          <w:szCs w:val="20"/>
          <w:lang w:val="es-ES_tradnl"/>
        </w:rPr>
        <w:t>a la fecha de presentación de la presente petición</w:t>
      </w:r>
      <w:r w:rsidR="0037613D" w:rsidRPr="00A073BE">
        <w:rPr>
          <w:bCs/>
          <w:color w:val="auto"/>
          <w:sz w:val="20"/>
          <w:szCs w:val="20"/>
          <w:lang w:val="es-ES_tradnl"/>
        </w:rPr>
        <w:t>,</w:t>
      </w:r>
      <w:r w:rsidR="007361C7" w:rsidRPr="00A073BE">
        <w:rPr>
          <w:bCs/>
          <w:color w:val="auto"/>
          <w:sz w:val="20"/>
          <w:szCs w:val="20"/>
          <w:lang w:val="es-ES_tradnl"/>
        </w:rPr>
        <w:t xml:space="preserve"> el proceso</w:t>
      </w:r>
      <w:r w:rsidR="00BF33D3" w:rsidRPr="00A073BE">
        <w:rPr>
          <w:bCs/>
          <w:color w:val="auto"/>
          <w:sz w:val="20"/>
          <w:szCs w:val="20"/>
          <w:lang w:val="es-ES_tradnl"/>
        </w:rPr>
        <w:t xml:space="preserve"> </w:t>
      </w:r>
      <w:r w:rsidR="00BF33D3" w:rsidRPr="00A073BE">
        <w:rPr>
          <w:color w:val="auto"/>
          <w:sz w:val="20"/>
          <w:szCs w:val="20"/>
          <w:lang w:val="es-ES_tradnl"/>
        </w:rPr>
        <w:t>se encuentra archivad</w:t>
      </w:r>
      <w:r w:rsidR="00622424" w:rsidRPr="00A073BE">
        <w:rPr>
          <w:color w:val="auto"/>
          <w:sz w:val="20"/>
          <w:szCs w:val="20"/>
          <w:lang w:val="es-ES_tradnl"/>
        </w:rPr>
        <w:t>o</w:t>
      </w:r>
      <w:r w:rsidR="0037613D" w:rsidRPr="00A073BE">
        <w:rPr>
          <w:color w:val="auto"/>
          <w:sz w:val="20"/>
          <w:szCs w:val="20"/>
          <w:lang w:val="es-ES_tradnl"/>
        </w:rPr>
        <w:t xml:space="preserve">. </w:t>
      </w:r>
    </w:p>
    <w:p w14:paraId="2A5ED1EA" w14:textId="77777777" w:rsidR="00BF33D3" w:rsidRPr="00A073BE" w:rsidRDefault="00BF33D3" w:rsidP="00B36C01">
      <w:pPr>
        <w:pStyle w:val="ListParagraph"/>
        <w:jc w:val="both"/>
        <w:rPr>
          <w:bCs/>
          <w:color w:val="auto"/>
          <w:sz w:val="20"/>
          <w:szCs w:val="20"/>
          <w:lang w:val="es-ES_tradnl"/>
        </w:rPr>
      </w:pPr>
    </w:p>
    <w:p w14:paraId="44D4B6FB" w14:textId="09C2C90B" w:rsidR="00171C18" w:rsidRPr="00A073BE" w:rsidRDefault="004436FE" w:rsidP="00B36C01">
      <w:pPr>
        <w:pStyle w:val="ListParagraph"/>
        <w:numPr>
          <w:ilvl w:val="0"/>
          <w:numId w:val="63"/>
        </w:numPr>
        <w:ind w:left="0" w:firstLine="720"/>
        <w:jc w:val="both"/>
        <w:rPr>
          <w:bCs/>
          <w:color w:val="auto"/>
          <w:sz w:val="20"/>
          <w:szCs w:val="20"/>
          <w:lang w:val="es-ES_tradnl"/>
        </w:rPr>
      </w:pPr>
      <w:r w:rsidRPr="00A073BE">
        <w:rPr>
          <w:color w:val="auto"/>
          <w:sz w:val="20"/>
          <w:szCs w:val="20"/>
          <w:lang w:val="es-ES_tradnl"/>
        </w:rPr>
        <w:t>Por otra parte, l</w:t>
      </w:r>
      <w:r w:rsidR="007361C7" w:rsidRPr="00A073BE">
        <w:rPr>
          <w:color w:val="auto"/>
          <w:sz w:val="20"/>
          <w:szCs w:val="20"/>
          <w:lang w:val="es-ES_tradnl"/>
        </w:rPr>
        <w:t xml:space="preserve">a parte peticionaria describe que la familia de Iván </w:t>
      </w:r>
      <w:r w:rsidR="00882EA2" w:rsidRPr="00A073BE">
        <w:rPr>
          <w:color w:val="auto"/>
          <w:sz w:val="20"/>
          <w:szCs w:val="20"/>
          <w:lang w:val="es-ES_tradnl"/>
        </w:rPr>
        <w:t xml:space="preserve">Darío </w:t>
      </w:r>
      <w:r w:rsidR="007361C7" w:rsidRPr="00A073BE">
        <w:rPr>
          <w:color w:val="auto"/>
          <w:sz w:val="20"/>
          <w:szCs w:val="20"/>
          <w:lang w:val="es-ES_tradnl"/>
        </w:rPr>
        <w:t xml:space="preserve">Henao Sanabria interpuso </w:t>
      </w:r>
      <w:r w:rsidR="00B64A30" w:rsidRPr="00A073BE">
        <w:rPr>
          <w:color w:val="auto"/>
          <w:sz w:val="20"/>
          <w:szCs w:val="20"/>
          <w:lang w:val="es-ES_tradnl"/>
        </w:rPr>
        <w:t xml:space="preserve">una </w:t>
      </w:r>
      <w:r w:rsidR="007361C7" w:rsidRPr="00A073BE">
        <w:rPr>
          <w:color w:val="auto"/>
          <w:sz w:val="20"/>
          <w:szCs w:val="20"/>
          <w:lang w:val="es-ES_tradnl"/>
        </w:rPr>
        <w:t xml:space="preserve">acción de reparación directa la cual fue resuelta </w:t>
      </w:r>
      <w:r w:rsidR="00B64A30" w:rsidRPr="00A073BE">
        <w:rPr>
          <w:color w:val="auto"/>
          <w:sz w:val="20"/>
          <w:szCs w:val="20"/>
          <w:lang w:val="es-ES_tradnl"/>
        </w:rPr>
        <w:t xml:space="preserve">el </w:t>
      </w:r>
      <w:r w:rsidR="00D27627" w:rsidRPr="00A073BE">
        <w:rPr>
          <w:color w:val="auto"/>
          <w:sz w:val="20"/>
          <w:szCs w:val="20"/>
          <w:lang w:val="es-ES_tradnl"/>
        </w:rPr>
        <w:t xml:space="preserve">8 de noviembre de 2006 </w:t>
      </w:r>
      <w:r w:rsidR="00B64A30" w:rsidRPr="00A073BE">
        <w:rPr>
          <w:color w:val="auto"/>
          <w:sz w:val="20"/>
          <w:szCs w:val="20"/>
          <w:lang w:val="es-ES_tradnl"/>
        </w:rPr>
        <w:t xml:space="preserve">mediante sentencia </w:t>
      </w:r>
      <w:r w:rsidR="007361C7" w:rsidRPr="00A073BE">
        <w:rPr>
          <w:color w:val="auto"/>
          <w:sz w:val="20"/>
          <w:szCs w:val="20"/>
          <w:lang w:val="es-ES_tradnl"/>
        </w:rPr>
        <w:t xml:space="preserve">del </w:t>
      </w:r>
      <w:r w:rsidR="00D27627" w:rsidRPr="00A073BE">
        <w:rPr>
          <w:color w:val="auto"/>
          <w:sz w:val="20"/>
          <w:szCs w:val="20"/>
          <w:lang w:val="es-ES_tradnl"/>
        </w:rPr>
        <w:t>Tribunal Contencioso Administrativo del Meta.</w:t>
      </w:r>
      <w:r w:rsidR="00B64A30" w:rsidRPr="00A073BE">
        <w:rPr>
          <w:color w:val="auto"/>
          <w:sz w:val="20"/>
          <w:szCs w:val="20"/>
          <w:lang w:val="es-ES_tradnl"/>
        </w:rPr>
        <w:t xml:space="preserve"> </w:t>
      </w:r>
      <w:r w:rsidR="00882EA2" w:rsidRPr="00A073BE">
        <w:rPr>
          <w:bCs/>
          <w:color w:val="auto"/>
          <w:sz w:val="20"/>
          <w:szCs w:val="20"/>
          <w:lang w:val="es-ES_tradnl"/>
        </w:rPr>
        <w:t xml:space="preserve">Este </w:t>
      </w:r>
      <w:r w:rsidR="00B64A30" w:rsidRPr="00A073BE">
        <w:rPr>
          <w:bCs/>
          <w:color w:val="auto"/>
          <w:sz w:val="20"/>
          <w:szCs w:val="20"/>
          <w:lang w:val="es-ES_tradnl"/>
        </w:rPr>
        <w:t xml:space="preserve">tribunal </w:t>
      </w:r>
      <w:r w:rsidR="00E13F0D" w:rsidRPr="00A073BE">
        <w:rPr>
          <w:bCs/>
          <w:color w:val="auto"/>
          <w:sz w:val="20"/>
          <w:szCs w:val="20"/>
          <w:lang w:val="es-ES_tradnl"/>
        </w:rPr>
        <w:t xml:space="preserve">declaró administrativamente responsable a la </w:t>
      </w:r>
      <w:r w:rsidR="00882EA2" w:rsidRPr="00A073BE">
        <w:rPr>
          <w:bCs/>
          <w:color w:val="auto"/>
          <w:sz w:val="20"/>
          <w:szCs w:val="20"/>
          <w:lang w:val="es-ES_tradnl"/>
        </w:rPr>
        <w:t>N</w:t>
      </w:r>
      <w:r w:rsidR="00E13F0D" w:rsidRPr="00A073BE">
        <w:rPr>
          <w:bCs/>
          <w:color w:val="auto"/>
          <w:sz w:val="20"/>
          <w:szCs w:val="20"/>
          <w:lang w:val="es-ES_tradnl"/>
        </w:rPr>
        <w:t>ación por la muerte de Iv</w:t>
      </w:r>
      <w:r w:rsidR="00B64A30" w:rsidRPr="00A073BE">
        <w:rPr>
          <w:bCs/>
          <w:color w:val="auto"/>
          <w:sz w:val="20"/>
          <w:szCs w:val="20"/>
          <w:lang w:val="es-ES_tradnl"/>
        </w:rPr>
        <w:t>á</w:t>
      </w:r>
      <w:r w:rsidR="00E13F0D" w:rsidRPr="00A073BE">
        <w:rPr>
          <w:bCs/>
          <w:color w:val="auto"/>
          <w:sz w:val="20"/>
          <w:szCs w:val="20"/>
          <w:lang w:val="es-ES_tradnl"/>
        </w:rPr>
        <w:t>n Dar</w:t>
      </w:r>
      <w:r w:rsidR="00B64A30" w:rsidRPr="00A073BE">
        <w:rPr>
          <w:bCs/>
          <w:color w:val="auto"/>
          <w:sz w:val="20"/>
          <w:szCs w:val="20"/>
          <w:lang w:val="es-ES_tradnl"/>
        </w:rPr>
        <w:t>í</w:t>
      </w:r>
      <w:r w:rsidR="00E13F0D" w:rsidRPr="00A073BE">
        <w:rPr>
          <w:bCs/>
          <w:color w:val="auto"/>
          <w:sz w:val="20"/>
          <w:szCs w:val="20"/>
          <w:lang w:val="es-ES_tradnl"/>
        </w:rPr>
        <w:t>o Henao</w:t>
      </w:r>
      <w:r w:rsidR="00B64A30" w:rsidRPr="00A073BE">
        <w:rPr>
          <w:bCs/>
          <w:color w:val="auto"/>
          <w:sz w:val="20"/>
          <w:szCs w:val="20"/>
          <w:lang w:val="es-ES_tradnl"/>
        </w:rPr>
        <w:t xml:space="preserve"> ordenando el </w:t>
      </w:r>
      <w:r w:rsidR="00E13F0D" w:rsidRPr="00A073BE">
        <w:rPr>
          <w:bCs/>
          <w:color w:val="auto"/>
          <w:sz w:val="20"/>
          <w:szCs w:val="20"/>
          <w:lang w:val="es-ES_tradnl"/>
        </w:rPr>
        <w:t>pago de</w:t>
      </w:r>
      <w:r w:rsidR="007E1995" w:rsidRPr="00A073BE">
        <w:rPr>
          <w:bCs/>
          <w:color w:val="auto"/>
          <w:sz w:val="20"/>
          <w:szCs w:val="20"/>
          <w:lang w:val="es-ES_tradnl"/>
        </w:rPr>
        <w:t>l valor de mil gramos de oro,</w:t>
      </w:r>
      <w:r w:rsidR="00B35552" w:rsidRPr="00A073BE">
        <w:rPr>
          <w:bCs/>
          <w:color w:val="auto"/>
          <w:sz w:val="20"/>
          <w:szCs w:val="20"/>
          <w:lang w:val="es-ES_tradnl"/>
        </w:rPr>
        <w:t xml:space="preserve"> monto</w:t>
      </w:r>
      <w:r w:rsidR="007E1995" w:rsidRPr="00A073BE">
        <w:rPr>
          <w:bCs/>
          <w:color w:val="auto"/>
          <w:sz w:val="20"/>
          <w:szCs w:val="20"/>
          <w:lang w:val="es-ES_tradnl"/>
        </w:rPr>
        <w:t xml:space="preserve"> equivalente a </w:t>
      </w:r>
      <w:r w:rsidR="0085117E" w:rsidRPr="00A073BE">
        <w:rPr>
          <w:bCs/>
          <w:color w:val="auto"/>
          <w:sz w:val="20"/>
          <w:szCs w:val="20"/>
          <w:lang w:val="es-ES_tradnl"/>
        </w:rPr>
        <w:t xml:space="preserve">35.616.450 </w:t>
      </w:r>
      <w:r w:rsidR="007E1995" w:rsidRPr="00A073BE">
        <w:rPr>
          <w:bCs/>
          <w:color w:val="auto"/>
          <w:sz w:val="20"/>
          <w:szCs w:val="20"/>
          <w:lang w:val="es-ES_tradnl"/>
        </w:rPr>
        <w:t>pesos colombianos</w:t>
      </w:r>
      <w:r w:rsidR="007E1995" w:rsidRPr="00A073BE">
        <w:rPr>
          <w:rStyle w:val="FootnoteReference"/>
          <w:bCs/>
          <w:color w:val="auto"/>
          <w:sz w:val="20"/>
          <w:szCs w:val="20"/>
          <w:lang w:val="es-ES_tradnl"/>
        </w:rPr>
        <w:footnoteReference w:id="6"/>
      </w:r>
      <w:r w:rsidR="00696FD4" w:rsidRPr="00A073BE">
        <w:rPr>
          <w:bCs/>
          <w:color w:val="auto"/>
          <w:sz w:val="20"/>
          <w:szCs w:val="20"/>
          <w:lang w:val="es-ES_tradnl"/>
        </w:rPr>
        <w:t xml:space="preserve"> (</w:t>
      </w:r>
      <w:r w:rsidR="0085117E" w:rsidRPr="00A073BE">
        <w:rPr>
          <w:bCs/>
          <w:color w:val="auto"/>
          <w:sz w:val="20"/>
          <w:szCs w:val="20"/>
          <w:lang w:val="es-ES_tradnl"/>
        </w:rPr>
        <w:t>USD$</w:t>
      </w:r>
      <w:r w:rsidR="00535059" w:rsidRPr="00A073BE">
        <w:rPr>
          <w:bCs/>
          <w:color w:val="auto"/>
          <w:sz w:val="20"/>
          <w:szCs w:val="20"/>
          <w:lang w:val="es-ES_tradnl"/>
        </w:rPr>
        <w:t>.</w:t>
      </w:r>
      <w:r w:rsidR="00B35552" w:rsidRPr="00A073BE">
        <w:rPr>
          <w:rFonts w:eastAsia="Arial Unicode MS" w:cs="Segoe UI"/>
          <w:sz w:val="20"/>
          <w:szCs w:val="20"/>
          <w:shd w:val="clear" w:color="auto" w:fill="FFFFFF"/>
          <w:lang w:val="es-ES_tradnl" w:eastAsia="en-US"/>
        </w:rPr>
        <w:t xml:space="preserve"> </w:t>
      </w:r>
      <w:r w:rsidR="0085117E" w:rsidRPr="00A073BE">
        <w:rPr>
          <w:bCs/>
          <w:color w:val="auto"/>
          <w:sz w:val="20"/>
          <w:szCs w:val="20"/>
          <w:lang w:val="es-ES_tradnl"/>
        </w:rPr>
        <w:t>7,829.70</w:t>
      </w:r>
      <w:r w:rsidR="0085117E" w:rsidRPr="00A073BE">
        <w:rPr>
          <w:rStyle w:val="FootnoteReference"/>
          <w:bCs/>
          <w:color w:val="auto"/>
          <w:sz w:val="20"/>
          <w:szCs w:val="20"/>
          <w:lang w:val="es-ES_tradnl"/>
        </w:rPr>
        <w:footnoteReference w:id="7"/>
      </w:r>
      <w:r w:rsidR="007E1995" w:rsidRPr="00A073BE">
        <w:rPr>
          <w:bCs/>
          <w:color w:val="auto"/>
          <w:sz w:val="20"/>
          <w:szCs w:val="20"/>
          <w:lang w:val="es-ES_tradnl"/>
        </w:rPr>
        <w:t>) como</w:t>
      </w:r>
      <w:r w:rsidR="00E13F0D" w:rsidRPr="00A073BE">
        <w:rPr>
          <w:bCs/>
          <w:color w:val="auto"/>
          <w:sz w:val="20"/>
          <w:szCs w:val="20"/>
          <w:lang w:val="es-ES_tradnl"/>
        </w:rPr>
        <w:t xml:space="preserve"> perjuicios morale</w:t>
      </w:r>
      <w:r w:rsidR="00B35552" w:rsidRPr="00A073BE">
        <w:rPr>
          <w:bCs/>
          <w:color w:val="auto"/>
          <w:sz w:val="20"/>
          <w:szCs w:val="20"/>
          <w:lang w:val="es-ES_tradnl"/>
        </w:rPr>
        <w:t xml:space="preserve">s a cada beneficiario, específicamente, a </w:t>
      </w:r>
      <w:r w:rsidR="00B35552" w:rsidRPr="00A073BE">
        <w:rPr>
          <w:sz w:val="20"/>
          <w:szCs w:val="20"/>
          <w:lang w:val="es-ES_tradnl"/>
        </w:rPr>
        <w:t>Carol Bibiana Ávila González y Luis Henao Londoño</w:t>
      </w:r>
      <w:r w:rsidR="00B64A30" w:rsidRPr="00A073BE">
        <w:rPr>
          <w:bCs/>
          <w:color w:val="auto"/>
          <w:sz w:val="20"/>
          <w:szCs w:val="20"/>
          <w:lang w:val="es-ES_tradnl"/>
        </w:rPr>
        <w:t xml:space="preserve">; sin embargo, </w:t>
      </w:r>
      <w:r w:rsidR="00E13F0D" w:rsidRPr="00A073BE">
        <w:rPr>
          <w:bCs/>
          <w:color w:val="auto"/>
          <w:sz w:val="20"/>
          <w:szCs w:val="20"/>
          <w:lang w:val="es-ES_tradnl"/>
        </w:rPr>
        <w:t>negó l</w:t>
      </w:r>
      <w:r w:rsidR="00B36C01" w:rsidRPr="00A073BE">
        <w:rPr>
          <w:bCs/>
          <w:color w:val="auto"/>
          <w:sz w:val="20"/>
          <w:szCs w:val="20"/>
          <w:lang w:val="es-ES_tradnl"/>
        </w:rPr>
        <w:t xml:space="preserve">os perjuicios materiales en tanto la prueba no logró determinar los ingresos que </w:t>
      </w:r>
      <w:r w:rsidR="007E1995" w:rsidRPr="00A073BE">
        <w:rPr>
          <w:bCs/>
          <w:color w:val="auto"/>
          <w:sz w:val="20"/>
          <w:szCs w:val="20"/>
          <w:lang w:val="es-ES_tradnl"/>
        </w:rPr>
        <w:t xml:space="preserve">tenía </w:t>
      </w:r>
      <w:r w:rsidR="00B36C01" w:rsidRPr="00A073BE">
        <w:rPr>
          <w:bCs/>
          <w:color w:val="auto"/>
          <w:sz w:val="20"/>
          <w:szCs w:val="20"/>
          <w:lang w:val="es-ES_tradnl"/>
        </w:rPr>
        <w:t>Iván Henao.</w:t>
      </w:r>
      <w:r w:rsidR="00E13F0D" w:rsidRPr="00A073BE">
        <w:rPr>
          <w:bCs/>
          <w:color w:val="auto"/>
          <w:sz w:val="20"/>
          <w:szCs w:val="20"/>
          <w:lang w:val="es-ES_tradnl"/>
        </w:rPr>
        <w:t xml:space="preserve"> </w:t>
      </w:r>
      <w:r w:rsidR="00171C18" w:rsidRPr="00A073BE">
        <w:rPr>
          <w:bCs/>
          <w:color w:val="auto"/>
          <w:sz w:val="20"/>
          <w:szCs w:val="20"/>
          <w:lang w:val="es-ES_tradnl"/>
        </w:rPr>
        <w:t>Por último, alega existe un retraso injustificado en la investigación por la muerte de Iván Henao</w:t>
      </w:r>
      <w:r w:rsidR="00AF543E" w:rsidRPr="00A073BE">
        <w:rPr>
          <w:bCs/>
          <w:color w:val="auto"/>
          <w:sz w:val="20"/>
          <w:szCs w:val="20"/>
          <w:lang w:val="es-ES_tradnl"/>
        </w:rPr>
        <w:t>,</w:t>
      </w:r>
      <w:r w:rsidR="00171C18" w:rsidRPr="00A073BE">
        <w:rPr>
          <w:bCs/>
          <w:color w:val="auto"/>
          <w:sz w:val="20"/>
          <w:szCs w:val="20"/>
          <w:lang w:val="es-ES_tradnl"/>
        </w:rPr>
        <w:t xml:space="preserve"> </w:t>
      </w:r>
      <w:r w:rsidR="00AA493A" w:rsidRPr="00A073BE">
        <w:rPr>
          <w:bCs/>
          <w:color w:val="auto"/>
          <w:sz w:val="20"/>
          <w:szCs w:val="20"/>
          <w:lang w:val="es-ES_tradnl"/>
        </w:rPr>
        <w:t xml:space="preserve">en tanto no se tiene conocimiento sobre la existencia de una condena contra los presuntos responsables </w:t>
      </w:r>
      <w:r w:rsidRPr="00A073BE">
        <w:rPr>
          <w:bCs/>
          <w:color w:val="auto"/>
          <w:sz w:val="20"/>
          <w:szCs w:val="20"/>
          <w:lang w:val="es-ES_tradnl"/>
        </w:rPr>
        <w:t xml:space="preserve">por lo cual </w:t>
      </w:r>
      <w:r w:rsidR="00AA493A" w:rsidRPr="00A073BE">
        <w:rPr>
          <w:bCs/>
          <w:color w:val="auto"/>
          <w:sz w:val="20"/>
          <w:szCs w:val="20"/>
          <w:lang w:val="es-ES_tradnl"/>
        </w:rPr>
        <w:t xml:space="preserve">indica </w:t>
      </w:r>
      <w:r w:rsidRPr="00A073BE">
        <w:rPr>
          <w:bCs/>
          <w:color w:val="auto"/>
          <w:sz w:val="20"/>
          <w:szCs w:val="20"/>
          <w:lang w:val="es-ES_tradnl"/>
        </w:rPr>
        <w:t>debe ser aplicada la excepción al agotamiento de los recursos internos</w:t>
      </w:r>
      <w:r w:rsidR="00171C18" w:rsidRPr="00A073BE">
        <w:rPr>
          <w:bCs/>
          <w:color w:val="auto"/>
          <w:sz w:val="20"/>
          <w:szCs w:val="20"/>
          <w:lang w:val="es-ES_tradnl"/>
        </w:rPr>
        <w:t xml:space="preserve">. </w:t>
      </w:r>
    </w:p>
    <w:p w14:paraId="69FDD181" w14:textId="77777777" w:rsidR="00E13F0D" w:rsidRPr="00A073BE" w:rsidRDefault="00E13F0D" w:rsidP="00B36C01">
      <w:pPr>
        <w:pStyle w:val="ListParagraph"/>
        <w:jc w:val="both"/>
        <w:rPr>
          <w:bCs/>
          <w:color w:val="auto"/>
          <w:sz w:val="20"/>
          <w:szCs w:val="20"/>
          <w:lang w:val="es-ES_tradnl"/>
        </w:rPr>
      </w:pPr>
    </w:p>
    <w:p w14:paraId="6D811D7A" w14:textId="70C54C71" w:rsidR="00BB2773" w:rsidRPr="00A073BE" w:rsidRDefault="00B94C03" w:rsidP="00B36C01">
      <w:pPr>
        <w:pStyle w:val="ListParagraph"/>
        <w:numPr>
          <w:ilvl w:val="0"/>
          <w:numId w:val="63"/>
        </w:numPr>
        <w:ind w:left="0" w:firstLine="720"/>
        <w:jc w:val="both"/>
        <w:rPr>
          <w:bCs/>
          <w:sz w:val="20"/>
          <w:szCs w:val="20"/>
          <w:lang w:val="es-ES_tradnl"/>
        </w:rPr>
      </w:pPr>
      <w:r w:rsidRPr="00A073BE">
        <w:rPr>
          <w:bCs/>
          <w:color w:val="auto"/>
          <w:sz w:val="20"/>
          <w:szCs w:val="20"/>
          <w:lang w:val="es-ES_tradnl"/>
        </w:rPr>
        <w:t xml:space="preserve">Por su parte, el Estado </w:t>
      </w:r>
      <w:r w:rsidR="00AF543E" w:rsidRPr="00A073BE">
        <w:rPr>
          <w:bCs/>
          <w:color w:val="auto"/>
          <w:sz w:val="20"/>
          <w:szCs w:val="20"/>
          <w:lang w:val="es-ES_tradnl"/>
        </w:rPr>
        <w:t xml:space="preserve">colombiano </w:t>
      </w:r>
      <w:r w:rsidRPr="00A073BE">
        <w:rPr>
          <w:bCs/>
          <w:color w:val="auto"/>
          <w:sz w:val="20"/>
          <w:szCs w:val="20"/>
          <w:lang w:val="es-ES_tradnl"/>
        </w:rPr>
        <w:t>argumenta que</w:t>
      </w:r>
      <w:r w:rsidR="00D27627" w:rsidRPr="00A073BE">
        <w:rPr>
          <w:bCs/>
          <w:color w:val="auto"/>
          <w:sz w:val="20"/>
          <w:szCs w:val="20"/>
          <w:lang w:val="es-ES_tradnl"/>
        </w:rPr>
        <w:t xml:space="preserve"> </w:t>
      </w:r>
      <w:r w:rsidRPr="00A073BE">
        <w:rPr>
          <w:bCs/>
          <w:color w:val="auto"/>
          <w:sz w:val="20"/>
          <w:szCs w:val="20"/>
          <w:lang w:val="es-ES_tradnl"/>
        </w:rPr>
        <w:t>respecto de los hechos en cuestión existen decisiones definitivas en materia</w:t>
      </w:r>
      <w:r w:rsidR="00D27627" w:rsidRPr="00A073BE">
        <w:rPr>
          <w:bCs/>
          <w:color w:val="auto"/>
          <w:sz w:val="20"/>
          <w:szCs w:val="20"/>
          <w:lang w:val="es-ES_tradnl"/>
        </w:rPr>
        <w:t xml:space="preserve"> </w:t>
      </w:r>
      <w:r w:rsidRPr="00A073BE">
        <w:rPr>
          <w:bCs/>
          <w:color w:val="auto"/>
          <w:sz w:val="20"/>
          <w:szCs w:val="20"/>
          <w:lang w:val="es-ES_tradnl"/>
        </w:rPr>
        <w:t>penal</w:t>
      </w:r>
      <w:r w:rsidR="00D27627" w:rsidRPr="00A073BE">
        <w:rPr>
          <w:bCs/>
          <w:color w:val="auto"/>
          <w:sz w:val="20"/>
          <w:szCs w:val="20"/>
          <w:lang w:val="es-ES_tradnl"/>
        </w:rPr>
        <w:t xml:space="preserve"> </w:t>
      </w:r>
      <w:r w:rsidRPr="00A073BE">
        <w:rPr>
          <w:bCs/>
          <w:color w:val="auto"/>
          <w:sz w:val="20"/>
          <w:szCs w:val="20"/>
          <w:lang w:val="es-ES_tradnl"/>
        </w:rPr>
        <w:t>y contencioso administrativa, las cuales se encuentran debidamente</w:t>
      </w:r>
      <w:r w:rsidR="00D27627" w:rsidRPr="00A073BE">
        <w:rPr>
          <w:bCs/>
          <w:color w:val="auto"/>
          <w:sz w:val="20"/>
          <w:szCs w:val="20"/>
          <w:lang w:val="es-ES_tradnl"/>
        </w:rPr>
        <w:t xml:space="preserve"> </w:t>
      </w:r>
      <w:r w:rsidRPr="00A073BE">
        <w:rPr>
          <w:bCs/>
          <w:color w:val="auto"/>
          <w:sz w:val="20"/>
          <w:szCs w:val="20"/>
          <w:lang w:val="es-ES_tradnl"/>
        </w:rPr>
        <w:t>motivadas y resultan concordantes con las garantías convencionales</w:t>
      </w:r>
      <w:r w:rsidR="001C06AF" w:rsidRPr="00A073BE">
        <w:rPr>
          <w:bCs/>
          <w:color w:val="auto"/>
          <w:sz w:val="20"/>
          <w:szCs w:val="20"/>
          <w:lang w:val="es-ES_tradnl"/>
        </w:rPr>
        <w:t xml:space="preserve">. </w:t>
      </w:r>
      <w:r w:rsidR="00BB2773" w:rsidRPr="00A073BE">
        <w:rPr>
          <w:color w:val="auto"/>
          <w:sz w:val="20"/>
          <w:szCs w:val="20"/>
          <w:lang w:val="es-ES_tradnl"/>
        </w:rPr>
        <w:t>De esta forma, alega que la Comisión no está facultada para entrar a revisar los pronunciamientos</w:t>
      </w:r>
      <w:r w:rsidR="00BB2773" w:rsidRPr="00A073BE">
        <w:rPr>
          <w:sz w:val="20"/>
          <w:szCs w:val="20"/>
          <w:lang w:val="es-ES_tradnl"/>
        </w:rPr>
        <w:t xml:space="preserve">, pues en estos no ha sido posible identificar la vulneración a la protección y garantías judiciales de los familiares de Iván Darío Henao o </w:t>
      </w:r>
      <w:r w:rsidR="008B5FDC" w:rsidRPr="00A073BE">
        <w:rPr>
          <w:sz w:val="20"/>
          <w:szCs w:val="20"/>
          <w:lang w:val="es-ES_tradnl"/>
        </w:rPr>
        <w:t xml:space="preserve">de </w:t>
      </w:r>
      <w:r w:rsidR="00BB2773" w:rsidRPr="00A073BE">
        <w:rPr>
          <w:sz w:val="20"/>
          <w:szCs w:val="20"/>
          <w:lang w:val="es-ES_tradnl"/>
        </w:rPr>
        <w:t>Elcia González de Ávila amparados por la Convención, toda vez que, no se afectó su derecho al debido proceso, ni se presentaron irregularidades manifiestas.</w:t>
      </w:r>
    </w:p>
    <w:p w14:paraId="0D54B2CE" w14:textId="77777777" w:rsidR="00BB2773" w:rsidRPr="00A073BE" w:rsidRDefault="00BB2773" w:rsidP="00B36C01">
      <w:pPr>
        <w:pStyle w:val="ListParagraph"/>
        <w:jc w:val="both"/>
        <w:rPr>
          <w:sz w:val="20"/>
          <w:szCs w:val="20"/>
          <w:lang w:val="es-ES_tradnl"/>
        </w:rPr>
      </w:pPr>
    </w:p>
    <w:p w14:paraId="33BB0DC5" w14:textId="39C63A7A" w:rsidR="007A13DE" w:rsidRPr="00A073BE" w:rsidRDefault="00D27627" w:rsidP="009F19D8">
      <w:pPr>
        <w:pStyle w:val="ListParagraph"/>
        <w:numPr>
          <w:ilvl w:val="0"/>
          <w:numId w:val="63"/>
        </w:numPr>
        <w:ind w:left="0" w:firstLine="720"/>
        <w:jc w:val="both"/>
        <w:rPr>
          <w:bCs/>
          <w:sz w:val="20"/>
          <w:szCs w:val="20"/>
          <w:lang w:val="es-ES_tradnl"/>
        </w:rPr>
      </w:pPr>
      <w:r w:rsidRPr="00A073BE">
        <w:rPr>
          <w:sz w:val="20"/>
          <w:szCs w:val="20"/>
          <w:lang w:val="es-ES_tradnl"/>
        </w:rPr>
        <w:t>Con respecto al homicidio de Iván Henao, detalla que l</w:t>
      </w:r>
      <w:r w:rsidR="00902ABE" w:rsidRPr="00A073BE">
        <w:rPr>
          <w:sz w:val="20"/>
          <w:szCs w:val="20"/>
          <w:lang w:val="es-ES_tradnl"/>
        </w:rPr>
        <w:t>a investigaci</w:t>
      </w:r>
      <w:r w:rsidR="001C06AF" w:rsidRPr="00A073BE">
        <w:rPr>
          <w:sz w:val="20"/>
          <w:szCs w:val="20"/>
          <w:lang w:val="es-ES_tradnl"/>
        </w:rPr>
        <w:t>ó</w:t>
      </w:r>
      <w:r w:rsidR="00902ABE" w:rsidRPr="00A073BE">
        <w:rPr>
          <w:sz w:val="20"/>
          <w:szCs w:val="20"/>
          <w:lang w:val="es-ES_tradnl"/>
        </w:rPr>
        <w:t xml:space="preserve">n preliminar </w:t>
      </w:r>
      <w:r w:rsidRPr="00A073BE">
        <w:rPr>
          <w:sz w:val="20"/>
          <w:szCs w:val="20"/>
          <w:lang w:val="es-ES_tradnl"/>
        </w:rPr>
        <w:t>f</w:t>
      </w:r>
      <w:r w:rsidR="00902ABE" w:rsidRPr="00A073BE">
        <w:rPr>
          <w:sz w:val="20"/>
          <w:szCs w:val="20"/>
          <w:lang w:val="es-ES_tradnl"/>
        </w:rPr>
        <w:t>ue conocida por la Fiscalía Local de Puerto Lleras</w:t>
      </w:r>
      <w:r w:rsidR="00AF543E" w:rsidRPr="00A073BE">
        <w:rPr>
          <w:sz w:val="20"/>
          <w:szCs w:val="20"/>
          <w:lang w:val="es-ES_tradnl"/>
        </w:rPr>
        <w:t>,</w:t>
      </w:r>
      <w:r w:rsidR="00C67084" w:rsidRPr="00A073BE">
        <w:rPr>
          <w:sz w:val="20"/>
          <w:szCs w:val="20"/>
          <w:lang w:val="es-ES_tradnl"/>
        </w:rPr>
        <w:t xml:space="preserve"> </w:t>
      </w:r>
      <w:r w:rsidR="00F63830" w:rsidRPr="00A073BE">
        <w:rPr>
          <w:sz w:val="20"/>
          <w:szCs w:val="20"/>
          <w:lang w:val="es-ES_tradnl"/>
        </w:rPr>
        <w:t>en el marco de la cual</w:t>
      </w:r>
      <w:r w:rsidR="008B5FDC" w:rsidRPr="00A073BE">
        <w:rPr>
          <w:sz w:val="20"/>
          <w:szCs w:val="20"/>
          <w:lang w:val="es-ES_tradnl"/>
        </w:rPr>
        <w:t xml:space="preserve"> </w:t>
      </w:r>
      <w:r w:rsidR="00F63830" w:rsidRPr="00A073BE">
        <w:rPr>
          <w:sz w:val="20"/>
          <w:szCs w:val="20"/>
          <w:lang w:val="es-ES_tradnl"/>
        </w:rPr>
        <w:t>e</w:t>
      </w:r>
      <w:r w:rsidR="00902ABE" w:rsidRPr="00A073BE">
        <w:rPr>
          <w:sz w:val="20"/>
          <w:szCs w:val="20"/>
          <w:lang w:val="es-ES_tradnl"/>
        </w:rPr>
        <w:t>l 25 de mayo de 2000 se</w:t>
      </w:r>
      <w:r w:rsidRPr="00A073BE">
        <w:rPr>
          <w:sz w:val="20"/>
          <w:szCs w:val="20"/>
          <w:lang w:val="es-ES_tradnl"/>
        </w:rPr>
        <w:t xml:space="preserve"> </w:t>
      </w:r>
      <w:r w:rsidR="00902ABE" w:rsidRPr="00A073BE">
        <w:rPr>
          <w:sz w:val="20"/>
          <w:szCs w:val="20"/>
          <w:lang w:val="es-ES_tradnl"/>
        </w:rPr>
        <w:t>realizó la diligencia de inspección del cadáver por parte del Instituto Nacional de</w:t>
      </w:r>
      <w:r w:rsidRPr="00A073BE">
        <w:rPr>
          <w:sz w:val="20"/>
          <w:szCs w:val="20"/>
          <w:lang w:val="es-ES_tradnl"/>
        </w:rPr>
        <w:t xml:space="preserve"> </w:t>
      </w:r>
      <w:r w:rsidR="00902ABE" w:rsidRPr="00A073BE">
        <w:rPr>
          <w:sz w:val="20"/>
          <w:szCs w:val="20"/>
          <w:lang w:val="es-ES_tradnl"/>
        </w:rPr>
        <w:t>Medicina Legal y Ciencias Forenses, así como el protocolo de necropsia.</w:t>
      </w:r>
      <w:r w:rsidRPr="00A073BE">
        <w:rPr>
          <w:sz w:val="20"/>
          <w:szCs w:val="20"/>
          <w:lang w:val="es-ES_tradnl"/>
        </w:rPr>
        <w:t xml:space="preserve"> </w:t>
      </w:r>
      <w:r w:rsidR="008D3953" w:rsidRPr="00A073BE">
        <w:rPr>
          <w:sz w:val="20"/>
          <w:szCs w:val="20"/>
          <w:lang w:val="es-ES_tradnl"/>
        </w:rPr>
        <w:t>Explica que si bien</w:t>
      </w:r>
      <w:r w:rsidR="00902ABE" w:rsidRPr="00A073BE">
        <w:rPr>
          <w:sz w:val="20"/>
          <w:szCs w:val="20"/>
          <w:lang w:val="es-ES_tradnl"/>
        </w:rPr>
        <w:t xml:space="preserve"> el 29 de mayo del mismo año, la </w:t>
      </w:r>
      <w:r w:rsidR="008D3953" w:rsidRPr="00A073BE">
        <w:rPr>
          <w:sz w:val="20"/>
          <w:szCs w:val="20"/>
          <w:lang w:val="es-ES_tradnl"/>
        </w:rPr>
        <w:t>j</w:t>
      </w:r>
      <w:r w:rsidR="00902ABE" w:rsidRPr="00A073BE">
        <w:rPr>
          <w:sz w:val="20"/>
          <w:szCs w:val="20"/>
          <w:lang w:val="es-ES_tradnl"/>
        </w:rPr>
        <w:t xml:space="preserve">usticia </w:t>
      </w:r>
      <w:r w:rsidR="008D3953" w:rsidRPr="00A073BE">
        <w:rPr>
          <w:sz w:val="20"/>
          <w:szCs w:val="20"/>
          <w:lang w:val="es-ES_tradnl"/>
        </w:rPr>
        <w:t>p</w:t>
      </w:r>
      <w:r w:rsidR="00902ABE" w:rsidRPr="00A073BE">
        <w:rPr>
          <w:sz w:val="20"/>
          <w:szCs w:val="20"/>
          <w:lang w:val="es-ES_tradnl"/>
        </w:rPr>
        <w:t xml:space="preserve">enal </w:t>
      </w:r>
      <w:r w:rsidR="008D3953" w:rsidRPr="00A073BE">
        <w:rPr>
          <w:sz w:val="20"/>
          <w:szCs w:val="20"/>
          <w:lang w:val="es-ES_tradnl"/>
        </w:rPr>
        <w:t>m</w:t>
      </w:r>
      <w:r w:rsidR="00902ABE" w:rsidRPr="00A073BE">
        <w:rPr>
          <w:sz w:val="20"/>
          <w:szCs w:val="20"/>
          <w:lang w:val="es-ES_tradnl"/>
        </w:rPr>
        <w:t>ilitar abrió</w:t>
      </w:r>
      <w:r w:rsidR="008D3953" w:rsidRPr="00A073BE">
        <w:rPr>
          <w:sz w:val="20"/>
          <w:szCs w:val="20"/>
          <w:lang w:val="es-ES_tradnl"/>
        </w:rPr>
        <w:t xml:space="preserve"> </w:t>
      </w:r>
      <w:r w:rsidR="00902ABE" w:rsidRPr="00A073BE">
        <w:rPr>
          <w:sz w:val="20"/>
          <w:szCs w:val="20"/>
          <w:lang w:val="es-ES_tradnl"/>
        </w:rPr>
        <w:t>investigación por estos hechos</w:t>
      </w:r>
      <w:r w:rsidR="008D3953" w:rsidRPr="00A073BE">
        <w:rPr>
          <w:sz w:val="20"/>
          <w:szCs w:val="20"/>
          <w:lang w:val="es-ES_tradnl"/>
        </w:rPr>
        <w:t xml:space="preserve">, </w:t>
      </w:r>
      <w:r w:rsidR="00902ABE" w:rsidRPr="00A073BE">
        <w:rPr>
          <w:sz w:val="20"/>
          <w:szCs w:val="20"/>
          <w:lang w:val="es-ES_tradnl"/>
        </w:rPr>
        <w:t>al existir un conflicto positivo de</w:t>
      </w:r>
      <w:r w:rsidR="008D3953" w:rsidRPr="00A073BE">
        <w:rPr>
          <w:sz w:val="20"/>
          <w:szCs w:val="20"/>
          <w:lang w:val="es-ES_tradnl"/>
        </w:rPr>
        <w:t xml:space="preserve"> </w:t>
      </w:r>
      <w:r w:rsidR="00902ABE" w:rsidRPr="00A073BE">
        <w:rPr>
          <w:sz w:val="20"/>
          <w:szCs w:val="20"/>
          <w:lang w:val="es-ES_tradnl"/>
        </w:rPr>
        <w:t>competencias</w:t>
      </w:r>
      <w:r w:rsidR="008D3953" w:rsidRPr="00A073BE">
        <w:rPr>
          <w:sz w:val="20"/>
          <w:szCs w:val="20"/>
          <w:lang w:val="es-ES_tradnl"/>
        </w:rPr>
        <w:t xml:space="preserve">, </w:t>
      </w:r>
      <w:r w:rsidR="00902ABE" w:rsidRPr="00A073BE">
        <w:rPr>
          <w:sz w:val="20"/>
          <w:szCs w:val="20"/>
          <w:lang w:val="es-ES_tradnl"/>
        </w:rPr>
        <w:t>el 31 de enero de 2002 la Sala</w:t>
      </w:r>
      <w:r w:rsidR="008D3953" w:rsidRPr="00A073BE">
        <w:rPr>
          <w:sz w:val="20"/>
          <w:szCs w:val="20"/>
          <w:lang w:val="es-ES_tradnl"/>
        </w:rPr>
        <w:t xml:space="preserve"> </w:t>
      </w:r>
      <w:r w:rsidR="00902ABE" w:rsidRPr="00A073BE">
        <w:rPr>
          <w:sz w:val="20"/>
          <w:szCs w:val="20"/>
          <w:lang w:val="es-ES_tradnl"/>
        </w:rPr>
        <w:t xml:space="preserve">Jurisdiccional Disciplinaria del Consejo Superior de la Judicatura </w:t>
      </w:r>
      <w:r w:rsidR="00026D6F" w:rsidRPr="00A073BE">
        <w:rPr>
          <w:sz w:val="20"/>
          <w:szCs w:val="20"/>
          <w:lang w:val="es-ES_tradnl"/>
        </w:rPr>
        <w:t xml:space="preserve">resolvió </w:t>
      </w:r>
      <w:r w:rsidR="00902ABE" w:rsidRPr="00A073BE">
        <w:rPr>
          <w:sz w:val="20"/>
          <w:szCs w:val="20"/>
          <w:lang w:val="es-ES_tradnl"/>
        </w:rPr>
        <w:t>tal</w:t>
      </w:r>
      <w:r w:rsidR="008D3953" w:rsidRPr="00A073BE">
        <w:rPr>
          <w:sz w:val="20"/>
          <w:szCs w:val="20"/>
          <w:lang w:val="es-ES_tradnl"/>
        </w:rPr>
        <w:t xml:space="preserve"> </w:t>
      </w:r>
      <w:r w:rsidR="00902ABE" w:rsidRPr="00A073BE">
        <w:rPr>
          <w:sz w:val="20"/>
          <w:szCs w:val="20"/>
          <w:lang w:val="es-ES_tradnl"/>
        </w:rPr>
        <w:t>conflicto a favor de la justicia ordinaria.</w:t>
      </w:r>
      <w:r w:rsidR="00CF5A25" w:rsidRPr="00A073BE">
        <w:rPr>
          <w:sz w:val="20"/>
          <w:szCs w:val="20"/>
          <w:lang w:val="es-ES_tradnl"/>
        </w:rPr>
        <w:t xml:space="preserve"> </w:t>
      </w:r>
      <w:r w:rsidR="009C1091" w:rsidRPr="00A073BE">
        <w:rPr>
          <w:sz w:val="20"/>
          <w:szCs w:val="20"/>
          <w:lang w:val="es-ES_tradnl"/>
        </w:rPr>
        <w:t xml:space="preserve">En consecuencia, </w:t>
      </w:r>
      <w:r w:rsidR="008D3953" w:rsidRPr="00A073BE">
        <w:rPr>
          <w:sz w:val="20"/>
          <w:szCs w:val="20"/>
          <w:lang w:val="es-ES_tradnl"/>
        </w:rPr>
        <w:t>e</w:t>
      </w:r>
      <w:r w:rsidR="00902ABE" w:rsidRPr="00A073BE">
        <w:rPr>
          <w:sz w:val="20"/>
          <w:szCs w:val="20"/>
          <w:lang w:val="es-ES_tradnl"/>
        </w:rPr>
        <w:t>l 25 de febrero de 2002 la Fiscalía de la Unidad Nacional de</w:t>
      </w:r>
      <w:r w:rsidR="008D3953" w:rsidRPr="00A073BE">
        <w:rPr>
          <w:sz w:val="20"/>
          <w:szCs w:val="20"/>
          <w:lang w:val="es-ES_tradnl"/>
        </w:rPr>
        <w:t xml:space="preserve"> </w:t>
      </w:r>
      <w:r w:rsidR="00902ABE" w:rsidRPr="00A073BE">
        <w:rPr>
          <w:sz w:val="20"/>
          <w:szCs w:val="20"/>
          <w:lang w:val="es-ES_tradnl"/>
        </w:rPr>
        <w:t>Derechos</w:t>
      </w:r>
      <w:r w:rsidR="008D3953" w:rsidRPr="00A073BE">
        <w:rPr>
          <w:sz w:val="20"/>
          <w:szCs w:val="20"/>
          <w:lang w:val="es-ES_tradnl"/>
        </w:rPr>
        <w:t xml:space="preserve"> </w:t>
      </w:r>
      <w:r w:rsidR="00902ABE" w:rsidRPr="00A073BE">
        <w:rPr>
          <w:sz w:val="20"/>
          <w:szCs w:val="20"/>
          <w:lang w:val="es-ES_tradnl"/>
        </w:rPr>
        <w:t xml:space="preserve">Humanos vinculó mediante indagatoria a los </w:t>
      </w:r>
      <w:r w:rsidR="00983654" w:rsidRPr="00A073BE">
        <w:rPr>
          <w:sz w:val="20"/>
          <w:szCs w:val="20"/>
          <w:lang w:val="es-ES_tradnl"/>
        </w:rPr>
        <w:t xml:space="preserve">soldados </w:t>
      </w:r>
      <w:r w:rsidR="008D3953" w:rsidRPr="00A073BE">
        <w:rPr>
          <w:sz w:val="20"/>
          <w:szCs w:val="20"/>
          <w:lang w:val="es-ES_tradnl"/>
        </w:rPr>
        <w:t>O.G.S, S.F.R</w:t>
      </w:r>
      <w:r w:rsidR="00902ABE" w:rsidRPr="00A073BE">
        <w:rPr>
          <w:sz w:val="20"/>
          <w:szCs w:val="20"/>
          <w:lang w:val="es-ES_tradnl"/>
        </w:rPr>
        <w:t xml:space="preserve"> y J</w:t>
      </w:r>
      <w:r w:rsidR="008D3953" w:rsidRPr="00A073BE">
        <w:rPr>
          <w:sz w:val="20"/>
          <w:szCs w:val="20"/>
          <w:lang w:val="es-ES_tradnl"/>
        </w:rPr>
        <w:t>.J.G.G</w:t>
      </w:r>
      <w:r w:rsidR="00902ABE" w:rsidRPr="00A073BE">
        <w:rPr>
          <w:sz w:val="20"/>
          <w:szCs w:val="20"/>
          <w:lang w:val="es-ES_tradnl"/>
        </w:rPr>
        <w:t>, y</w:t>
      </w:r>
      <w:r w:rsidR="008D3953" w:rsidRPr="00A073BE">
        <w:rPr>
          <w:sz w:val="20"/>
          <w:szCs w:val="20"/>
          <w:lang w:val="es-ES_tradnl"/>
        </w:rPr>
        <w:t xml:space="preserve"> </w:t>
      </w:r>
      <w:r w:rsidR="00902ABE" w:rsidRPr="00A073BE">
        <w:rPr>
          <w:sz w:val="20"/>
          <w:szCs w:val="20"/>
          <w:lang w:val="es-ES_tradnl"/>
        </w:rPr>
        <w:t xml:space="preserve">al teniente </w:t>
      </w:r>
      <w:r w:rsidR="008D3953" w:rsidRPr="00A073BE">
        <w:rPr>
          <w:sz w:val="20"/>
          <w:szCs w:val="20"/>
          <w:lang w:val="es-ES_tradnl"/>
        </w:rPr>
        <w:t>G.A.G.B</w:t>
      </w:r>
      <w:r w:rsidR="00983654" w:rsidRPr="00A073BE">
        <w:rPr>
          <w:sz w:val="20"/>
          <w:szCs w:val="20"/>
          <w:lang w:val="es-ES_tradnl"/>
        </w:rPr>
        <w:t xml:space="preserve">, </w:t>
      </w:r>
      <w:r w:rsidR="008B5FDC" w:rsidRPr="00A073BE">
        <w:rPr>
          <w:sz w:val="20"/>
          <w:szCs w:val="20"/>
          <w:lang w:val="es-ES_tradnl"/>
        </w:rPr>
        <w:t>y</w:t>
      </w:r>
      <w:r w:rsidR="00983654" w:rsidRPr="00A073BE">
        <w:rPr>
          <w:sz w:val="20"/>
          <w:szCs w:val="20"/>
          <w:lang w:val="es-ES_tradnl"/>
        </w:rPr>
        <w:t xml:space="preserve"> </w:t>
      </w:r>
      <w:r w:rsidR="00902ABE" w:rsidRPr="00A073BE">
        <w:rPr>
          <w:sz w:val="20"/>
          <w:szCs w:val="20"/>
          <w:lang w:val="es-ES_tradnl"/>
        </w:rPr>
        <w:t>el 25 de octubre de</w:t>
      </w:r>
      <w:r w:rsidR="008D3953" w:rsidRPr="00A073BE">
        <w:rPr>
          <w:sz w:val="20"/>
          <w:szCs w:val="20"/>
          <w:lang w:val="es-ES_tradnl"/>
        </w:rPr>
        <w:t xml:space="preserve"> </w:t>
      </w:r>
      <w:r w:rsidR="00902ABE" w:rsidRPr="00A073BE">
        <w:rPr>
          <w:sz w:val="20"/>
          <w:szCs w:val="20"/>
          <w:lang w:val="es-ES_tradnl"/>
        </w:rPr>
        <w:t>2002 formuló</w:t>
      </w:r>
      <w:r w:rsidR="00983654" w:rsidRPr="00A073BE">
        <w:rPr>
          <w:sz w:val="20"/>
          <w:szCs w:val="20"/>
          <w:lang w:val="es-ES_tradnl"/>
        </w:rPr>
        <w:t xml:space="preserve"> la</w:t>
      </w:r>
      <w:r w:rsidR="00902ABE" w:rsidRPr="00A073BE">
        <w:rPr>
          <w:sz w:val="20"/>
          <w:szCs w:val="20"/>
          <w:lang w:val="es-ES_tradnl"/>
        </w:rPr>
        <w:t xml:space="preserve"> resolución acusatoria en contra </w:t>
      </w:r>
      <w:r w:rsidR="00BE7460" w:rsidRPr="00A073BE">
        <w:rPr>
          <w:sz w:val="20"/>
          <w:szCs w:val="20"/>
          <w:lang w:val="es-ES_tradnl"/>
        </w:rPr>
        <w:t>estos</w:t>
      </w:r>
      <w:r w:rsidR="007A13DE" w:rsidRPr="00A073BE">
        <w:rPr>
          <w:sz w:val="20"/>
          <w:szCs w:val="20"/>
          <w:lang w:val="es-ES_tradnl"/>
        </w:rPr>
        <w:t xml:space="preserve">. </w:t>
      </w:r>
      <w:r w:rsidR="00BE7460" w:rsidRPr="00A073BE">
        <w:rPr>
          <w:sz w:val="20"/>
          <w:szCs w:val="20"/>
          <w:lang w:val="es-ES_tradnl"/>
        </w:rPr>
        <w:t>S</w:t>
      </w:r>
      <w:r w:rsidR="007A13DE" w:rsidRPr="00A073BE">
        <w:rPr>
          <w:sz w:val="20"/>
          <w:szCs w:val="20"/>
          <w:lang w:val="es-ES_tradnl"/>
        </w:rPr>
        <w:t>eguidamente</w:t>
      </w:r>
      <w:r w:rsidR="00BE7460" w:rsidRPr="00A073BE">
        <w:rPr>
          <w:sz w:val="20"/>
          <w:szCs w:val="20"/>
          <w:lang w:val="es-ES_tradnl"/>
        </w:rPr>
        <w:t>,</w:t>
      </w:r>
      <w:r w:rsidR="007A13DE" w:rsidRPr="00A073BE">
        <w:rPr>
          <w:sz w:val="20"/>
          <w:szCs w:val="20"/>
          <w:lang w:val="es-ES_tradnl"/>
        </w:rPr>
        <w:t xml:space="preserve"> </w:t>
      </w:r>
      <w:r w:rsidR="00902ABE" w:rsidRPr="00A073BE">
        <w:rPr>
          <w:sz w:val="20"/>
          <w:szCs w:val="20"/>
          <w:lang w:val="es-ES_tradnl"/>
        </w:rPr>
        <w:t>el</w:t>
      </w:r>
      <w:r w:rsidR="008D3953" w:rsidRPr="00A073BE">
        <w:rPr>
          <w:sz w:val="20"/>
          <w:szCs w:val="20"/>
          <w:lang w:val="es-ES_tradnl"/>
        </w:rPr>
        <w:t xml:space="preserve"> </w:t>
      </w:r>
      <w:r w:rsidR="00902ABE" w:rsidRPr="00A073BE">
        <w:rPr>
          <w:sz w:val="20"/>
          <w:szCs w:val="20"/>
          <w:lang w:val="es-ES_tradnl"/>
        </w:rPr>
        <w:t xml:space="preserve">Juzgado Promiscuo del Circuito de San Martín profirió sentencia </w:t>
      </w:r>
      <w:r w:rsidR="008D3953" w:rsidRPr="00A073BE">
        <w:rPr>
          <w:sz w:val="20"/>
          <w:szCs w:val="20"/>
          <w:lang w:val="es-ES_tradnl"/>
        </w:rPr>
        <w:t xml:space="preserve">absolutoria </w:t>
      </w:r>
      <w:r w:rsidR="00902ABE" w:rsidRPr="00A073BE">
        <w:rPr>
          <w:sz w:val="20"/>
          <w:szCs w:val="20"/>
          <w:lang w:val="es-ES_tradnl"/>
        </w:rPr>
        <w:t>el 26 de</w:t>
      </w:r>
      <w:r w:rsidR="008D3953" w:rsidRPr="00A073BE">
        <w:rPr>
          <w:sz w:val="20"/>
          <w:szCs w:val="20"/>
          <w:lang w:val="es-ES_tradnl"/>
        </w:rPr>
        <w:t xml:space="preserve"> </w:t>
      </w:r>
      <w:r w:rsidR="00902ABE" w:rsidRPr="00A073BE">
        <w:rPr>
          <w:sz w:val="20"/>
          <w:szCs w:val="20"/>
          <w:lang w:val="es-ES_tradnl"/>
        </w:rPr>
        <w:t>septiembre de 2006 al</w:t>
      </w:r>
      <w:r w:rsidR="008D3953" w:rsidRPr="00A073BE">
        <w:rPr>
          <w:sz w:val="20"/>
          <w:szCs w:val="20"/>
          <w:lang w:val="es-ES_tradnl"/>
        </w:rPr>
        <w:t xml:space="preserve"> </w:t>
      </w:r>
      <w:r w:rsidR="00902ABE" w:rsidRPr="00A073BE">
        <w:rPr>
          <w:sz w:val="20"/>
          <w:szCs w:val="20"/>
          <w:lang w:val="es-ES_tradnl"/>
        </w:rPr>
        <w:t>considerar</w:t>
      </w:r>
      <w:r w:rsidR="008D3953" w:rsidRPr="00A073BE">
        <w:rPr>
          <w:sz w:val="20"/>
          <w:szCs w:val="20"/>
          <w:lang w:val="es-ES_tradnl"/>
        </w:rPr>
        <w:t xml:space="preserve"> </w:t>
      </w:r>
      <w:r w:rsidR="00902ABE" w:rsidRPr="00A073BE">
        <w:rPr>
          <w:sz w:val="20"/>
          <w:szCs w:val="20"/>
          <w:lang w:val="es-ES_tradnl"/>
        </w:rPr>
        <w:t>que</w:t>
      </w:r>
      <w:r w:rsidR="008D3953" w:rsidRPr="00A073BE">
        <w:rPr>
          <w:sz w:val="20"/>
          <w:szCs w:val="20"/>
          <w:lang w:val="es-ES_tradnl"/>
        </w:rPr>
        <w:t xml:space="preserve"> </w:t>
      </w:r>
      <w:r w:rsidR="00902ABE" w:rsidRPr="00A073BE">
        <w:rPr>
          <w:sz w:val="20"/>
          <w:szCs w:val="20"/>
          <w:lang w:val="es-ES_tradnl"/>
        </w:rPr>
        <w:t>existían</w:t>
      </w:r>
      <w:r w:rsidR="008D3953" w:rsidRPr="00A073BE">
        <w:rPr>
          <w:sz w:val="20"/>
          <w:szCs w:val="20"/>
          <w:lang w:val="es-ES_tradnl"/>
        </w:rPr>
        <w:t xml:space="preserve"> </w:t>
      </w:r>
      <w:r w:rsidR="00902ABE" w:rsidRPr="00A073BE">
        <w:rPr>
          <w:sz w:val="20"/>
          <w:szCs w:val="20"/>
          <w:lang w:val="es-ES_tradnl"/>
        </w:rPr>
        <w:t>dudas</w:t>
      </w:r>
      <w:r w:rsidR="008D3953" w:rsidRPr="00A073BE">
        <w:rPr>
          <w:sz w:val="20"/>
          <w:szCs w:val="20"/>
          <w:lang w:val="es-ES_tradnl"/>
        </w:rPr>
        <w:t xml:space="preserve"> </w:t>
      </w:r>
      <w:r w:rsidR="00902ABE" w:rsidRPr="00A073BE">
        <w:rPr>
          <w:sz w:val="20"/>
          <w:szCs w:val="20"/>
          <w:lang w:val="es-ES_tradnl"/>
        </w:rPr>
        <w:t xml:space="preserve">e </w:t>
      </w:r>
      <w:r w:rsidR="00902ABE" w:rsidRPr="00A073BE">
        <w:rPr>
          <w:sz w:val="20"/>
          <w:szCs w:val="20"/>
          <w:lang w:val="es-ES_tradnl"/>
        </w:rPr>
        <w:lastRenderedPageBreak/>
        <w:t>inconsistencias</w:t>
      </w:r>
      <w:r w:rsidR="008D3953" w:rsidRPr="00A073BE">
        <w:rPr>
          <w:sz w:val="20"/>
          <w:szCs w:val="20"/>
          <w:lang w:val="es-ES_tradnl"/>
        </w:rPr>
        <w:t xml:space="preserve"> </w:t>
      </w:r>
      <w:r w:rsidR="00902ABE" w:rsidRPr="00A073BE">
        <w:rPr>
          <w:sz w:val="20"/>
          <w:szCs w:val="20"/>
          <w:lang w:val="es-ES_tradnl"/>
        </w:rPr>
        <w:t>sobre la identidad de la víctima y la</w:t>
      </w:r>
      <w:r w:rsidR="008D3953" w:rsidRPr="00A073BE">
        <w:rPr>
          <w:sz w:val="20"/>
          <w:szCs w:val="20"/>
          <w:lang w:val="es-ES_tradnl"/>
        </w:rPr>
        <w:t xml:space="preserve"> </w:t>
      </w:r>
      <w:r w:rsidR="00902ABE" w:rsidRPr="00A073BE">
        <w:rPr>
          <w:sz w:val="20"/>
          <w:szCs w:val="20"/>
          <w:lang w:val="es-ES_tradnl"/>
        </w:rPr>
        <w:t>responsabilidad de los</w:t>
      </w:r>
      <w:r w:rsidR="008D3953" w:rsidRPr="00A073BE">
        <w:rPr>
          <w:sz w:val="20"/>
          <w:szCs w:val="20"/>
          <w:lang w:val="es-ES_tradnl"/>
        </w:rPr>
        <w:t xml:space="preserve"> </w:t>
      </w:r>
      <w:r w:rsidR="00902ABE" w:rsidRPr="00A073BE">
        <w:rPr>
          <w:sz w:val="20"/>
          <w:szCs w:val="20"/>
          <w:lang w:val="es-ES_tradnl"/>
        </w:rPr>
        <w:t>procesados</w:t>
      </w:r>
      <w:r w:rsidR="007A13DE" w:rsidRPr="00A073BE">
        <w:rPr>
          <w:sz w:val="20"/>
          <w:szCs w:val="20"/>
          <w:lang w:val="es-ES_tradnl"/>
        </w:rPr>
        <w:t>, n</w:t>
      </w:r>
      <w:r w:rsidR="008D3953" w:rsidRPr="00A073BE">
        <w:rPr>
          <w:sz w:val="20"/>
          <w:szCs w:val="20"/>
          <w:lang w:val="es-ES_tradnl"/>
        </w:rPr>
        <w:t xml:space="preserve">o obstante, </w:t>
      </w:r>
      <w:r w:rsidR="007A13DE" w:rsidRPr="00A073BE">
        <w:rPr>
          <w:sz w:val="20"/>
          <w:szCs w:val="20"/>
          <w:lang w:val="es-ES_tradnl"/>
        </w:rPr>
        <w:t xml:space="preserve">esta decisión fue apelada por </w:t>
      </w:r>
      <w:r w:rsidR="008D3953" w:rsidRPr="00A073BE">
        <w:rPr>
          <w:sz w:val="20"/>
          <w:szCs w:val="20"/>
          <w:lang w:val="es-ES_tradnl"/>
        </w:rPr>
        <w:t xml:space="preserve">la </w:t>
      </w:r>
      <w:r w:rsidR="00902ABE" w:rsidRPr="00A073BE">
        <w:rPr>
          <w:sz w:val="20"/>
          <w:szCs w:val="20"/>
          <w:lang w:val="es-ES_tradnl"/>
        </w:rPr>
        <w:t>Fiscalía</w:t>
      </w:r>
      <w:r w:rsidR="008D3953" w:rsidRPr="00A073BE">
        <w:rPr>
          <w:sz w:val="20"/>
          <w:szCs w:val="20"/>
          <w:lang w:val="es-ES_tradnl"/>
        </w:rPr>
        <w:t xml:space="preserve"> y</w:t>
      </w:r>
      <w:r w:rsidR="00902ABE" w:rsidRPr="00A073BE">
        <w:rPr>
          <w:sz w:val="20"/>
          <w:szCs w:val="20"/>
          <w:lang w:val="es-ES_tradnl"/>
        </w:rPr>
        <w:t xml:space="preserve"> el apoderado de la parte civil</w:t>
      </w:r>
      <w:r w:rsidR="007A13DE" w:rsidRPr="00A073BE">
        <w:rPr>
          <w:sz w:val="20"/>
          <w:szCs w:val="20"/>
          <w:lang w:val="es-ES_tradnl"/>
        </w:rPr>
        <w:t xml:space="preserve">. </w:t>
      </w:r>
    </w:p>
    <w:p w14:paraId="2A0C07A0" w14:textId="77777777" w:rsidR="007A13DE" w:rsidRPr="00A073BE" w:rsidRDefault="007A13DE" w:rsidP="007A13DE">
      <w:pPr>
        <w:pStyle w:val="ListParagraph"/>
        <w:rPr>
          <w:sz w:val="20"/>
          <w:szCs w:val="20"/>
          <w:lang w:val="es-ES_tradnl"/>
        </w:rPr>
      </w:pPr>
    </w:p>
    <w:p w14:paraId="05C5C6A9" w14:textId="7A353BCF" w:rsidR="00902ABE" w:rsidRPr="00A073BE" w:rsidRDefault="007A13DE" w:rsidP="00D36EA0">
      <w:pPr>
        <w:pStyle w:val="ListParagraph"/>
        <w:numPr>
          <w:ilvl w:val="0"/>
          <w:numId w:val="63"/>
        </w:numPr>
        <w:ind w:left="0" w:firstLine="720"/>
        <w:jc w:val="both"/>
        <w:rPr>
          <w:bCs/>
          <w:sz w:val="20"/>
          <w:szCs w:val="20"/>
          <w:lang w:val="es-ES_tradnl"/>
        </w:rPr>
      </w:pPr>
      <w:r w:rsidRPr="00A073BE">
        <w:rPr>
          <w:sz w:val="20"/>
          <w:szCs w:val="20"/>
          <w:lang w:val="es-ES_tradnl"/>
        </w:rPr>
        <w:t xml:space="preserve">Explica que el Tribunal Superior del Distrito Judicial de Villavicencio resolvió el recurso de apelación </w:t>
      </w:r>
      <w:r w:rsidR="008D3953" w:rsidRPr="00A073BE">
        <w:rPr>
          <w:sz w:val="20"/>
          <w:szCs w:val="20"/>
          <w:lang w:val="es-ES_tradnl"/>
        </w:rPr>
        <w:t>mediante sentencia del 11 de junio de 2011</w:t>
      </w:r>
      <w:r w:rsidR="003F17EE" w:rsidRPr="00A073BE">
        <w:rPr>
          <w:sz w:val="20"/>
          <w:szCs w:val="20"/>
          <w:lang w:val="es-ES_tradnl"/>
        </w:rPr>
        <w:t>,</w:t>
      </w:r>
      <w:r w:rsidR="008D3953" w:rsidRPr="00A073BE">
        <w:rPr>
          <w:sz w:val="20"/>
          <w:szCs w:val="20"/>
          <w:lang w:val="es-ES_tradnl"/>
        </w:rPr>
        <w:t xml:space="preserve"> </w:t>
      </w:r>
      <w:r w:rsidRPr="00A073BE">
        <w:rPr>
          <w:sz w:val="20"/>
          <w:szCs w:val="20"/>
          <w:lang w:val="es-ES_tradnl"/>
        </w:rPr>
        <w:t xml:space="preserve">en virtud de la cual decidió </w:t>
      </w:r>
      <w:r w:rsidR="008D3953" w:rsidRPr="00A073BE">
        <w:rPr>
          <w:sz w:val="20"/>
          <w:szCs w:val="20"/>
          <w:lang w:val="es-ES_tradnl"/>
        </w:rPr>
        <w:t xml:space="preserve">revocar la sentencia apelada </w:t>
      </w:r>
      <w:r w:rsidRPr="00A073BE">
        <w:rPr>
          <w:sz w:val="20"/>
          <w:szCs w:val="20"/>
          <w:lang w:val="es-ES_tradnl"/>
        </w:rPr>
        <w:t xml:space="preserve">y </w:t>
      </w:r>
      <w:r w:rsidR="008D3953" w:rsidRPr="00A073BE">
        <w:rPr>
          <w:sz w:val="20"/>
          <w:szCs w:val="20"/>
          <w:lang w:val="es-ES_tradnl"/>
        </w:rPr>
        <w:t>c</w:t>
      </w:r>
      <w:r w:rsidRPr="00A073BE">
        <w:rPr>
          <w:sz w:val="20"/>
          <w:szCs w:val="20"/>
          <w:lang w:val="es-ES_tradnl"/>
        </w:rPr>
        <w:t xml:space="preserve">ondenar </w:t>
      </w:r>
      <w:r w:rsidR="00902ABE" w:rsidRPr="00A073BE">
        <w:rPr>
          <w:sz w:val="20"/>
          <w:szCs w:val="20"/>
          <w:lang w:val="es-ES_tradnl"/>
        </w:rPr>
        <w:t>en calidad de coautores</w:t>
      </w:r>
      <w:r w:rsidR="003F17EE" w:rsidRPr="00A073BE">
        <w:rPr>
          <w:sz w:val="20"/>
          <w:szCs w:val="20"/>
          <w:lang w:val="es-ES_tradnl"/>
        </w:rPr>
        <w:t xml:space="preserve"> a</w:t>
      </w:r>
      <w:r w:rsidR="00902ABE" w:rsidRPr="00A073BE">
        <w:rPr>
          <w:sz w:val="20"/>
          <w:szCs w:val="20"/>
          <w:lang w:val="es-ES_tradnl"/>
        </w:rPr>
        <w:t xml:space="preserve"> </w:t>
      </w:r>
      <w:r w:rsidR="0019609D" w:rsidRPr="00A073BE">
        <w:rPr>
          <w:sz w:val="20"/>
          <w:szCs w:val="20"/>
          <w:lang w:val="es-ES_tradnl"/>
        </w:rPr>
        <w:t xml:space="preserve">los cuatro imputados </w:t>
      </w:r>
      <w:r w:rsidR="00902ABE" w:rsidRPr="00A073BE">
        <w:rPr>
          <w:sz w:val="20"/>
          <w:szCs w:val="20"/>
          <w:lang w:val="es-ES_tradnl"/>
        </w:rPr>
        <w:t>por el delito de homicidio agravado</w:t>
      </w:r>
      <w:r w:rsidR="0019609D" w:rsidRPr="00A073BE">
        <w:rPr>
          <w:sz w:val="20"/>
          <w:szCs w:val="20"/>
          <w:lang w:val="es-ES_tradnl"/>
        </w:rPr>
        <w:t xml:space="preserve">. </w:t>
      </w:r>
      <w:r w:rsidRPr="00A073BE">
        <w:rPr>
          <w:sz w:val="20"/>
          <w:szCs w:val="20"/>
          <w:lang w:val="es-ES_tradnl"/>
        </w:rPr>
        <w:t xml:space="preserve">Si bien </w:t>
      </w:r>
      <w:r w:rsidR="0019609D" w:rsidRPr="00A073BE">
        <w:rPr>
          <w:sz w:val="20"/>
          <w:szCs w:val="20"/>
          <w:lang w:val="es-ES_tradnl"/>
        </w:rPr>
        <w:t xml:space="preserve">la defensa de los condenados presentó recurso de </w:t>
      </w:r>
      <w:r w:rsidR="00902ABE" w:rsidRPr="00A073BE">
        <w:rPr>
          <w:sz w:val="20"/>
          <w:szCs w:val="20"/>
          <w:lang w:val="es-ES_tradnl"/>
        </w:rPr>
        <w:t xml:space="preserve">casación contra la sentencia proferida por el </w:t>
      </w:r>
      <w:r w:rsidR="0019609D" w:rsidRPr="00A073BE">
        <w:rPr>
          <w:sz w:val="20"/>
          <w:szCs w:val="20"/>
          <w:lang w:val="es-ES_tradnl"/>
        </w:rPr>
        <w:t>t</w:t>
      </w:r>
      <w:r w:rsidR="00902ABE" w:rsidRPr="00A073BE">
        <w:rPr>
          <w:sz w:val="20"/>
          <w:szCs w:val="20"/>
          <w:lang w:val="es-ES_tradnl"/>
        </w:rPr>
        <w:t xml:space="preserve">ribunal </w:t>
      </w:r>
      <w:r w:rsidR="0019609D" w:rsidRPr="00A073BE">
        <w:rPr>
          <w:sz w:val="20"/>
          <w:szCs w:val="20"/>
          <w:lang w:val="es-ES_tradnl"/>
        </w:rPr>
        <w:t>s</w:t>
      </w:r>
      <w:r w:rsidR="00902ABE" w:rsidRPr="00A073BE">
        <w:rPr>
          <w:sz w:val="20"/>
          <w:szCs w:val="20"/>
          <w:lang w:val="es-ES_tradnl"/>
        </w:rPr>
        <w:t>uperior</w:t>
      </w:r>
      <w:r w:rsidRPr="00A073BE">
        <w:rPr>
          <w:sz w:val="20"/>
          <w:szCs w:val="20"/>
          <w:lang w:val="es-ES_tradnl"/>
        </w:rPr>
        <w:t xml:space="preserve">, </w:t>
      </w:r>
      <w:r w:rsidR="0019609D" w:rsidRPr="00A073BE">
        <w:rPr>
          <w:sz w:val="20"/>
          <w:szCs w:val="20"/>
          <w:lang w:val="es-ES_tradnl"/>
        </w:rPr>
        <w:t>l</w:t>
      </w:r>
      <w:r w:rsidR="00902ABE" w:rsidRPr="00A073BE">
        <w:rPr>
          <w:sz w:val="20"/>
          <w:szCs w:val="20"/>
          <w:lang w:val="es-ES_tradnl"/>
        </w:rPr>
        <w:t>a Sala de Casación Penal de la Corte Suprema de Justicia</w:t>
      </w:r>
      <w:r w:rsidR="0019609D" w:rsidRPr="00A073BE">
        <w:rPr>
          <w:sz w:val="20"/>
          <w:szCs w:val="20"/>
          <w:lang w:val="es-ES_tradnl"/>
        </w:rPr>
        <w:t xml:space="preserve"> </w:t>
      </w:r>
      <w:r w:rsidRPr="00A073BE">
        <w:rPr>
          <w:sz w:val="20"/>
          <w:szCs w:val="20"/>
          <w:lang w:val="es-ES_tradnl"/>
        </w:rPr>
        <w:t xml:space="preserve">desestimó dicho recurso </w:t>
      </w:r>
      <w:r w:rsidR="0019609D" w:rsidRPr="00A073BE">
        <w:rPr>
          <w:sz w:val="20"/>
          <w:szCs w:val="20"/>
          <w:lang w:val="es-ES_tradnl"/>
        </w:rPr>
        <w:t xml:space="preserve">mediante </w:t>
      </w:r>
      <w:r w:rsidR="00902ABE" w:rsidRPr="00A073BE">
        <w:rPr>
          <w:sz w:val="20"/>
          <w:szCs w:val="20"/>
          <w:lang w:val="es-ES_tradnl"/>
        </w:rPr>
        <w:t>sentencia del 6 de febrero de 2013</w:t>
      </w:r>
      <w:r w:rsidR="0019609D" w:rsidRPr="00A073BE">
        <w:rPr>
          <w:sz w:val="20"/>
          <w:szCs w:val="20"/>
          <w:lang w:val="es-ES_tradnl"/>
        </w:rPr>
        <w:t xml:space="preserve">. </w:t>
      </w:r>
      <w:r w:rsidR="00902ABE" w:rsidRPr="00A073BE">
        <w:rPr>
          <w:sz w:val="20"/>
          <w:szCs w:val="20"/>
          <w:lang w:val="es-ES_tradnl"/>
        </w:rPr>
        <w:t>Así</w:t>
      </w:r>
      <w:r w:rsidR="0019609D" w:rsidRPr="00A073BE">
        <w:rPr>
          <w:sz w:val="20"/>
          <w:szCs w:val="20"/>
          <w:lang w:val="es-ES_tradnl"/>
        </w:rPr>
        <w:t>,</w:t>
      </w:r>
      <w:r w:rsidRPr="00A073BE">
        <w:rPr>
          <w:sz w:val="20"/>
          <w:szCs w:val="20"/>
          <w:lang w:val="es-ES_tradnl"/>
        </w:rPr>
        <w:t xml:space="preserve"> sostiene que</w:t>
      </w:r>
      <w:r w:rsidR="0019609D" w:rsidRPr="00A073BE">
        <w:rPr>
          <w:sz w:val="20"/>
          <w:szCs w:val="20"/>
          <w:lang w:val="es-ES_tradnl"/>
        </w:rPr>
        <w:t xml:space="preserve"> la condena en contra de los cuatro agentes por el homicidio de </w:t>
      </w:r>
      <w:r w:rsidR="00902ABE" w:rsidRPr="00A073BE">
        <w:rPr>
          <w:sz w:val="20"/>
          <w:szCs w:val="20"/>
          <w:lang w:val="es-ES_tradnl"/>
        </w:rPr>
        <w:t>Iván Darío Henao</w:t>
      </w:r>
      <w:r w:rsidR="0019609D" w:rsidRPr="00A073BE">
        <w:rPr>
          <w:sz w:val="20"/>
          <w:szCs w:val="20"/>
          <w:lang w:val="es-ES_tradnl"/>
        </w:rPr>
        <w:t xml:space="preserve"> </w:t>
      </w:r>
      <w:r w:rsidR="00902ABE" w:rsidRPr="00A073BE">
        <w:rPr>
          <w:sz w:val="20"/>
          <w:szCs w:val="20"/>
          <w:lang w:val="es-ES_tradnl"/>
        </w:rPr>
        <w:t>está en firme</w:t>
      </w:r>
      <w:r w:rsidR="0019609D" w:rsidRPr="00A073BE">
        <w:rPr>
          <w:sz w:val="20"/>
          <w:szCs w:val="20"/>
          <w:lang w:val="es-ES_tradnl"/>
        </w:rPr>
        <w:t xml:space="preserve">. </w:t>
      </w:r>
    </w:p>
    <w:p w14:paraId="54840885" w14:textId="77777777" w:rsidR="0019609D" w:rsidRPr="00A073BE" w:rsidRDefault="0019609D" w:rsidP="0019609D">
      <w:pPr>
        <w:pStyle w:val="ListParagraph"/>
        <w:rPr>
          <w:bCs/>
          <w:sz w:val="20"/>
          <w:szCs w:val="20"/>
          <w:lang w:val="es-ES_tradnl"/>
        </w:rPr>
      </w:pPr>
    </w:p>
    <w:p w14:paraId="0C816549" w14:textId="6F4678C2" w:rsidR="000F1B75" w:rsidRPr="00A073BE" w:rsidRDefault="009C1091" w:rsidP="008030AC">
      <w:pPr>
        <w:pStyle w:val="ListParagraph"/>
        <w:numPr>
          <w:ilvl w:val="0"/>
          <w:numId w:val="63"/>
        </w:numPr>
        <w:ind w:left="0" w:firstLine="720"/>
        <w:jc w:val="both"/>
        <w:rPr>
          <w:bCs/>
          <w:sz w:val="20"/>
          <w:szCs w:val="20"/>
          <w:lang w:val="es-ES_tradnl"/>
        </w:rPr>
      </w:pPr>
      <w:r w:rsidRPr="00A073BE">
        <w:rPr>
          <w:sz w:val="20"/>
          <w:szCs w:val="20"/>
          <w:lang w:val="es-ES_tradnl"/>
        </w:rPr>
        <w:t>C</w:t>
      </w:r>
      <w:r w:rsidR="0019609D" w:rsidRPr="00A073BE">
        <w:rPr>
          <w:sz w:val="20"/>
          <w:szCs w:val="20"/>
          <w:lang w:val="es-ES_tradnl"/>
        </w:rPr>
        <w:t xml:space="preserve">on respecto al homicidio de Elcia González, explica que </w:t>
      </w:r>
      <w:r w:rsidR="00902ABE" w:rsidRPr="00A073BE">
        <w:rPr>
          <w:sz w:val="20"/>
          <w:szCs w:val="20"/>
          <w:lang w:val="es-ES_tradnl"/>
        </w:rPr>
        <w:t>la Fiscalía General de la Nación asumió competencia para</w:t>
      </w:r>
      <w:r w:rsidR="0019609D" w:rsidRPr="00A073BE">
        <w:rPr>
          <w:sz w:val="20"/>
          <w:szCs w:val="20"/>
          <w:lang w:val="es-ES_tradnl"/>
        </w:rPr>
        <w:t xml:space="preserve"> </w:t>
      </w:r>
      <w:r w:rsidR="00902ABE" w:rsidRPr="00A073BE">
        <w:rPr>
          <w:sz w:val="20"/>
          <w:szCs w:val="20"/>
          <w:lang w:val="es-ES_tradnl"/>
        </w:rPr>
        <w:t>la investigación de este hecho delictivo</w:t>
      </w:r>
      <w:r w:rsidR="0019609D" w:rsidRPr="00A073BE">
        <w:rPr>
          <w:sz w:val="20"/>
          <w:szCs w:val="20"/>
          <w:lang w:val="es-ES_tradnl"/>
        </w:rPr>
        <w:t xml:space="preserve"> desarrollando distintas diligencias como</w:t>
      </w:r>
      <w:r w:rsidR="00902ABE" w:rsidRPr="00A073BE">
        <w:rPr>
          <w:sz w:val="20"/>
          <w:szCs w:val="20"/>
          <w:lang w:val="es-ES_tradnl"/>
        </w:rPr>
        <w:t>:</w:t>
      </w:r>
      <w:r w:rsidR="0019609D" w:rsidRPr="00A073BE">
        <w:rPr>
          <w:sz w:val="20"/>
          <w:szCs w:val="20"/>
          <w:lang w:val="es-ES_tradnl"/>
        </w:rPr>
        <w:t xml:space="preserve"> </w:t>
      </w:r>
      <w:r w:rsidR="00902ABE" w:rsidRPr="00A073BE">
        <w:rPr>
          <w:sz w:val="20"/>
          <w:szCs w:val="20"/>
          <w:lang w:val="es-ES_tradnl"/>
        </w:rPr>
        <w:t>(i)</w:t>
      </w:r>
      <w:r w:rsidR="0019609D" w:rsidRPr="00A073BE">
        <w:rPr>
          <w:sz w:val="20"/>
          <w:szCs w:val="20"/>
          <w:lang w:val="es-ES_tradnl"/>
        </w:rPr>
        <w:t xml:space="preserve"> </w:t>
      </w:r>
      <w:r w:rsidRPr="00A073BE">
        <w:rPr>
          <w:sz w:val="20"/>
          <w:szCs w:val="20"/>
          <w:lang w:val="es-ES_tradnl"/>
        </w:rPr>
        <w:t xml:space="preserve">la </w:t>
      </w:r>
      <w:r w:rsidR="00902ABE" w:rsidRPr="00A073BE">
        <w:rPr>
          <w:sz w:val="20"/>
          <w:szCs w:val="20"/>
          <w:lang w:val="es-ES_tradnl"/>
        </w:rPr>
        <w:t>inspección técnica del cadáver;</w:t>
      </w:r>
      <w:r w:rsidR="003F17EE" w:rsidRPr="00A073BE">
        <w:rPr>
          <w:sz w:val="20"/>
          <w:szCs w:val="20"/>
          <w:lang w:val="es-ES_tradnl"/>
        </w:rPr>
        <w:t xml:space="preserve"> </w:t>
      </w:r>
      <w:r w:rsidR="00902ABE" w:rsidRPr="00A073BE">
        <w:rPr>
          <w:sz w:val="20"/>
          <w:szCs w:val="20"/>
          <w:lang w:val="es-ES_tradnl"/>
        </w:rPr>
        <w:t>(ii)</w:t>
      </w:r>
      <w:r w:rsidR="0019609D" w:rsidRPr="00A073BE">
        <w:rPr>
          <w:sz w:val="20"/>
          <w:szCs w:val="20"/>
          <w:lang w:val="es-ES_tradnl"/>
        </w:rPr>
        <w:t xml:space="preserve"> </w:t>
      </w:r>
      <w:r w:rsidR="000F1B75" w:rsidRPr="00A073BE">
        <w:rPr>
          <w:sz w:val="20"/>
          <w:szCs w:val="20"/>
          <w:lang w:val="es-ES_tradnl"/>
        </w:rPr>
        <w:t xml:space="preserve">la </w:t>
      </w:r>
      <w:r w:rsidR="00902ABE" w:rsidRPr="00A073BE">
        <w:rPr>
          <w:sz w:val="20"/>
          <w:szCs w:val="20"/>
          <w:lang w:val="es-ES_tradnl"/>
        </w:rPr>
        <w:t xml:space="preserve">recepción de la declaración juramentada </w:t>
      </w:r>
      <w:r w:rsidR="000F1B75" w:rsidRPr="00A073BE">
        <w:rPr>
          <w:sz w:val="20"/>
          <w:szCs w:val="20"/>
          <w:lang w:val="es-ES_tradnl"/>
        </w:rPr>
        <w:t xml:space="preserve">del </w:t>
      </w:r>
      <w:r w:rsidR="00902ABE" w:rsidRPr="00A073BE">
        <w:rPr>
          <w:sz w:val="20"/>
          <w:szCs w:val="20"/>
          <w:lang w:val="es-ES_tradnl"/>
        </w:rPr>
        <w:t>hijo de Elcia</w:t>
      </w:r>
      <w:r w:rsidR="00402B3D" w:rsidRPr="00A073BE">
        <w:rPr>
          <w:sz w:val="20"/>
          <w:szCs w:val="20"/>
          <w:lang w:val="es-ES_tradnl"/>
        </w:rPr>
        <w:t xml:space="preserve"> González</w:t>
      </w:r>
      <w:r w:rsidR="00902ABE" w:rsidRPr="00A073BE">
        <w:rPr>
          <w:sz w:val="20"/>
          <w:szCs w:val="20"/>
          <w:lang w:val="es-ES_tradnl"/>
        </w:rPr>
        <w:t>;</w:t>
      </w:r>
      <w:r w:rsidR="0019609D" w:rsidRPr="00A073BE">
        <w:rPr>
          <w:sz w:val="20"/>
          <w:szCs w:val="20"/>
          <w:lang w:val="es-ES_tradnl"/>
        </w:rPr>
        <w:t xml:space="preserve"> </w:t>
      </w:r>
      <w:r w:rsidR="00902ABE" w:rsidRPr="00A073BE">
        <w:rPr>
          <w:sz w:val="20"/>
          <w:szCs w:val="20"/>
          <w:lang w:val="es-ES_tradnl"/>
        </w:rPr>
        <w:t>(iii)</w:t>
      </w:r>
      <w:r w:rsidR="0019609D" w:rsidRPr="00A073BE">
        <w:rPr>
          <w:sz w:val="20"/>
          <w:szCs w:val="20"/>
          <w:lang w:val="es-ES_tradnl"/>
        </w:rPr>
        <w:t xml:space="preserve"> </w:t>
      </w:r>
      <w:r w:rsidR="000F1B75" w:rsidRPr="00A073BE">
        <w:rPr>
          <w:sz w:val="20"/>
          <w:szCs w:val="20"/>
          <w:lang w:val="es-ES_tradnl"/>
        </w:rPr>
        <w:t xml:space="preserve">la </w:t>
      </w:r>
      <w:r w:rsidR="00902ABE" w:rsidRPr="00A073BE">
        <w:rPr>
          <w:sz w:val="20"/>
          <w:szCs w:val="20"/>
          <w:lang w:val="es-ES_tradnl"/>
        </w:rPr>
        <w:t>elaboración protocolo de</w:t>
      </w:r>
      <w:r w:rsidR="0019609D" w:rsidRPr="00A073BE">
        <w:rPr>
          <w:sz w:val="20"/>
          <w:szCs w:val="20"/>
          <w:lang w:val="es-ES_tradnl"/>
        </w:rPr>
        <w:t xml:space="preserve"> </w:t>
      </w:r>
      <w:r w:rsidR="00902ABE" w:rsidRPr="00A073BE">
        <w:rPr>
          <w:sz w:val="20"/>
          <w:szCs w:val="20"/>
          <w:lang w:val="es-ES_tradnl"/>
        </w:rPr>
        <w:t>necropsia; y</w:t>
      </w:r>
      <w:r w:rsidR="0019609D" w:rsidRPr="00A073BE">
        <w:rPr>
          <w:sz w:val="20"/>
          <w:szCs w:val="20"/>
          <w:lang w:val="es-ES_tradnl"/>
        </w:rPr>
        <w:t xml:space="preserve"> </w:t>
      </w:r>
      <w:r w:rsidR="00902ABE" w:rsidRPr="00A073BE">
        <w:rPr>
          <w:sz w:val="20"/>
          <w:szCs w:val="20"/>
          <w:lang w:val="es-ES_tradnl"/>
        </w:rPr>
        <w:t>(iv)</w:t>
      </w:r>
      <w:r w:rsidR="0019609D" w:rsidRPr="00A073BE">
        <w:rPr>
          <w:sz w:val="20"/>
          <w:szCs w:val="20"/>
          <w:lang w:val="es-ES_tradnl"/>
        </w:rPr>
        <w:t xml:space="preserve"> </w:t>
      </w:r>
      <w:r w:rsidR="000F1B75" w:rsidRPr="00A073BE">
        <w:rPr>
          <w:sz w:val="20"/>
          <w:szCs w:val="20"/>
          <w:lang w:val="es-ES_tradnl"/>
        </w:rPr>
        <w:t xml:space="preserve">la </w:t>
      </w:r>
      <w:r w:rsidR="00902ABE" w:rsidRPr="00A073BE">
        <w:rPr>
          <w:sz w:val="20"/>
          <w:szCs w:val="20"/>
          <w:lang w:val="es-ES_tradnl"/>
        </w:rPr>
        <w:t>presentación de</w:t>
      </w:r>
      <w:r w:rsidR="0019609D" w:rsidRPr="00A073BE">
        <w:rPr>
          <w:sz w:val="20"/>
          <w:szCs w:val="20"/>
          <w:lang w:val="es-ES_tradnl"/>
        </w:rPr>
        <w:t xml:space="preserve"> </w:t>
      </w:r>
      <w:r w:rsidR="00902ABE" w:rsidRPr="00A073BE">
        <w:rPr>
          <w:sz w:val="20"/>
          <w:szCs w:val="20"/>
          <w:lang w:val="es-ES_tradnl"/>
        </w:rPr>
        <w:t>informes de policía judicial con el reporte de</w:t>
      </w:r>
      <w:r w:rsidR="0019609D" w:rsidRPr="00A073BE">
        <w:rPr>
          <w:sz w:val="20"/>
          <w:szCs w:val="20"/>
          <w:lang w:val="es-ES_tradnl"/>
        </w:rPr>
        <w:t xml:space="preserve"> </w:t>
      </w:r>
      <w:r w:rsidR="00902ABE" w:rsidRPr="00A073BE">
        <w:rPr>
          <w:sz w:val="20"/>
          <w:szCs w:val="20"/>
          <w:lang w:val="es-ES_tradnl"/>
        </w:rPr>
        <w:t>hechos relevantes para la investigación.</w:t>
      </w:r>
      <w:r w:rsidR="0019609D" w:rsidRPr="00A073BE">
        <w:rPr>
          <w:sz w:val="20"/>
          <w:szCs w:val="20"/>
          <w:lang w:val="es-ES_tradnl"/>
        </w:rPr>
        <w:t xml:space="preserve"> </w:t>
      </w:r>
      <w:r w:rsidR="003F17EE" w:rsidRPr="00A073BE">
        <w:rPr>
          <w:sz w:val="20"/>
          <w:szCs w:val="20"/>
          <w:lang w:val="es-ES_tradnl"/>
        </w:rPr>
        <w:t>Así,</w:t>
      </w:r>
      <w:r w:rsidR="00402B3D" w:rsidRPr="00A073BE">
        <w:rPr>
          <w:sz w:val="20"/>
          <w:szCs w:val="20"/>
          <w:lang w:val="es-ES_tradnl"/>
        </w:rPr>
        <w:t xml:space="preserve"> e</w:t>
      </w:r>
      <w:r w:rsidR="00902ABE" w:rsidRPr="00A073BE">
        <w:rPr>
          <w:sz w:val="20"/>
          <w:szCs w:val="20"/>
          <w:lang w:val="es-ES_tradnl"/>
        </w:rPr>
        <w:t>l 23 de noviembre de 2006, una vez agotados todos los medios</w:t>
      </w:r>
      <w:r w:rsidR="00402B3D" w:rsidRPr="00A073BE">
        <w:rPr>
          <w:sz w:val="20"/>
          <w:szCs w:val="20"/>
          <w:lang w:val="es-ES_tradnl"/>
        </w:rPr>
        <w:t xml:space="preserve"> </w:t>
      </w:r>
      <w:r w:rsidR="00902ABE" w:rsidRPr="00A073BE">
        <w:rPr>
          <w:sz w:val="20"/>
          <w:szCs w:val="20"/>
          <w:lang w:val="es-ES_tradnl"/>
        </w:rPr>
        <w:t>probatorios disponibles,</w:t>
      </w:r>
      <w:r w:rsidR="00402B3D" w:rsidRPr="00A073BE">
        <w:rPr>
          <w:sz w:val="20"/>
          <w:szCs w:val="20"/>
          <w:lang w:val="es-ES_tradnl"/>
        </w:rPr>
        <w:t xml:space="preserve"> </w:t>
      </w:r>
      <w:r w:rsidR="00902ABE" w:rsidRPr="00A073BE">
        <w:rPr>
          <w:sz w:val="20"/>
          <w:szCs w:val="20"/>
          <w:lang w:val="es-ES_tradnl"/>
        </w:rPr>
        <w:t xml:space="preserve">la Fiscalía 21 </w:t>
      </w:r>
      <w:r w:rsidR="00D75106" w:rsidRPr="00A073BE">
        <w:rPr>
          <w:sz w:val="20"/>
          <w:szCs w:val="20"/>
          <w:lang w:val="es-ES_tradnl"/>
        </w:rPr>
        <w:t>d</w:t>
      </w:r>
      <w:r w:rsidR="00902ABE" w:rsidRPr="00A073BE">
        <w:rPr>
          <w:sz w:val="20"/>
          <w:szCs w:val="20"/>
          <w:lang w:val="es-ES_tradnl"/>
        </w:rPr>
        <w:t>elegada</w:t>
      </w:r>
      <w:r w:rsidR="00402B3D" w:rsidRPr="00A073BE">
        <w:rPr>
          <w:sz w:val="20"/>
          <w:szCs w:val="20"/>
          <w:lang w:val="es-ES_tradnl"/>
        </w:rPr>
        <w:t xml:space="preserve"> </w:t>
      </w:r>
      <w:r w:rsidR="00902ABE" w:rsidRPr="00A073BE">
        <w:rPr>
          <w:sz w:val="20"/>
          <w:szCs w:val="20"/>
          <w:lang w:val="es-ES_tradnl"/>
        </w:rPr>
        <w:t>de la Seccional Meta</w:t>
      </w:r>
      <w:r w:rsidR="00402B3D" w:rsidRPr="00A073BE">
        <w:rPr>
          <w:sz w:val="20"/>
          <w:szCs w:val="20"/>
          <w:lang w:val="es-ES_tradnl"/>
        </w:rPr>
        <w:t xml:space="preserve"> </w:t>
      </w:r>
      <w:r w:rsidR="00902ABE" w:rsidRPr="00A073BE">
        <w:rPr>
          <w:sz w:val="20"/>
          <w:szCs w:val="20"/>
          <w:lang w:val="es-ES_tradnl"/>
        </w:rPr>
        <w:t>profirió</w:t>
      </w:r>
      <w:r w:rsidR="00402B3D" w:rsidRPr="00A073BE">
        <w:rPr>
          <w:sz w:val="20"/>
          <w:szCs w:val="20"/>
          <w:lang w:val="es-ES_tradnl"/>
        </w:rPr>
        <w:t xml:space="preserve"> </w:t>
      </w:r>
      <w:r w:rsidR="00902ABE" w:rsidRPr="00A073BE">
        <w:rPr>
          <w:sz w:val="20"/>
          <w:szCs w:val="20"/>
          <w:lang w:val="es-ES_tradnl"/>
        </w:rPr>
        <w:t>resolución inhibitoria</w:t>
      </w:r>
      <w:r w:rsidR="00FC3F94" w:rsidRPr="00A073BE">
        <w:rPr>
          <w:sz w:val="20"/>
          <w:szCs w:val="20"/>
          <w:lang w:val="es-ES_tradnl"/>
        </w:rPr>
        <w:t>, debidamente motivada,</w:t>
      </w:r>
      <w:r w:rsidR="00902ABE" w:rsidRPr="00A073BE">
        <w:rPr>
          <w:sz w:val="20"/>
          <w:szCs w:val="20"/>
          <w:lang w:val="es-ES_tradnl"/>
        </w:rPr>
        <w:t xml:space="preserve"> al no poder establecer el responsable</w:t>
      </w:r>
      <w:r w:rsidR="00402B3D" w:rsidRPr="00A073BE">
        <w:rPr>
          <w:sz w:val="20"/>
          <w:szCs w:val="20"/>
          <w:lang w:val="es-ES_tradnl"/>
        </w:rPr>
        <w:t xml:space="preserve"> </w:t>
      </w:r>
      <w:r w:rsidR="00902ABE" w:rsidRPr="00A073BE">
        <w:rPr>
          <w:sz w:val="20"/>
          <w:szCs w:val="20"/>
          <w:lang w:val="es-ES_tradnl"/>
        </w:rPr>
        <w:t>de la conducta delictiva</w:t>
      </w:r>
      <w:r w:rsidR="00402B3D" w:rsidRPr="00A073BE">
        <w:rPr>
          <w:sz w:val="20"/>
          <w:szCs w:val="20"/>
          <w:lang w:val="es-ES_tradnl"/>
        </w:rPr>
        <w:t>. Argumenta que</w:t>
      </w:r>
      <w:r w:rsidR="00A36D27" w:rsidRPr="00A073BE">
        <w:rPr>
          <w:sz w:val="20"/>
          <w:szCs w:val="20"/>
          <w:lang w:val="es-ES_tradnl"/>
        </w:rPr>
        <w:t>,</w:t>
      </w:r>
      <w:r w:rsidR="00402B3D" w:rsidRPr="00A073BE">
        <w:rPr>
          <w:sz w:val="20"/>
          <w:szCs w:val="20"/>
          <w:lang w:val="es-ES_tradnl"/>
        </w:rPr>
        <w:t xml:space="preserve"> e</w:t>
      </w:r>
      <w:r w:rsidR="00902ABE" w:rsidRPr="00A073BE">
        <w:rPr>
          <w:sz w:val="20"/>
          <w:szCs w:val="20"/>
          <w:lang w:val="es-ES_tradnl"/>
        </w:rPr>
        <w:t>n el proceso seguido por estos hechos, los familiares de</w:t>
      </w:r>
      <w:r w:rsidR="00402B3D" w:rsidRPr="00A073BE">
        <w:rPr>
          <w:sz w:val="20"/>
          <w:szCs w:val="20"/>
          <w:lang w:val="es-ES_tradnl"/>
        </w:rPr>
        <w:t xml:space="preserve"> Elcia González</w:t>
      </w:r>
      <w:r w:rsidR="00902ABE" w:rsidRPr="00A073BE">
        <w:rPr>
          <w:sz w:val="20"/>
          <w:szCs w:val="20"/>
          <w:lang w:val="es-ES_tradnl"/>
        </w:rPr>
        <w:t xml:space="preserve"> no se</w:t>
      </w:r>
      <w:r w:rsidR="00402B3D" w:rsidRPr="00A073BE">
        <w:rPr>
          <w:sz w:val="20"/>
          <w:szCs w:val="20"/>
          <w:lang w:val="es-ES_tradnl"/>
        </w:rPr>
        <w:t xml:space="preserve"> </w:t>
      </w:r>
      <w:r w:rsidR="00902ABE" w:rsidRPr="00A073BE">
        <w:rPr>
          <w:sz w:val="20"/>
          <w:szCs w:val="20"/>
          <w:lang w:val="es-ES_tradnl"/>
        </w:rPr>
        <w:t>constituyeron como parte civil, por lo que la decisión inhibitoria dictada en pleno</w:t>
      </w:r>
      <w:r w:rsidR="00402B3D" w:rsidRPr="00A073BE">
        <w:rPr>
          <w:sz w:val="20"/>
          <w:szCs w:val="20"/>
          <w:lang w:val="es-ES_tradnl"/>
        </w:rPr>
        <w:t xml:space="preserve"> </w:t>
      </w:r>
      <w:r w:rsidR="00902ABE" w:rsidRPr="00A073BE">
        <w:rPr>
          <w:sz w:val="20"/>
          <w:szCs w:val="20"/>
          <w:lang w:val="es-ES_tradnl"/>
        </w:rPr>
        <w:t xml:space="preserve">cumplimiento de la normatividad </w:t>
      </w:r>
      <w:r w:rsidR="003F17EE" w:rsidRPr="00A073BE">
        <w:rPr>
          <w:sz w:val="20"/>
          <w:szCs w:val="20"/>
          <w:lang w:val="es-ES_tradnl"/>
        </w:rPr>
        <w:t>vigente</w:t>
      </w:r>
      <w:r w:rsidR="00902ABE" w:rsidRPr="00A073BE">
        <w:rPr>
          <w:sz w:val="20"/>
          <w:szCs w:val="20"/>
          <w:lang w:val="es-ES_tradnl"/>
        </w:rPr>
        <w:t xml:space="preserve"> no fue controvertida</w:t>
      </w:r>
      <w:r w:rsidR="003F17EE" w:rsidRPr="00A073BE">
        <w:rPr>
          <w:sz w:val="20"/>
          <w:szCs w:val="20"/>
          <w:lang w:val="es-ES_tradnl"/>
        </w:rPr>
        <w:t>,</w:t>
      </w:r>
      <w:r w:rsidR="00902ABE" w:rsidRPr="00A073BE">
        <w:rPr>
          <w:sz w:val="20"/>
          <w:szCs w:val="20"/>
          <w:lang w:val="es-ES_tradnl"/>
        </w:rPr>
        <w:t xml:space="preserve"> y a la fecha se</w:t>
      </w:r>
      <w:r w:rsidR="00402B3D" w:rsidRPr="00A073BE">
        <w:rPr>
          <w:sz w:val="20"/>
          <w:szCs w:val="20"/>
          <w:lang w:val="es-ES_tradnl"/>
        </w:rPr>
        <w:t xml:space="preserve"> </w:t>
      </w:r>
      <w:r w:rsidR="00902ABE" w:rsidRPr="00A073BE">
        <w:rPr>
          <w:sz w:val="20"/>
          <w:szCs w:val="20"/>
          <w:lang w:val="es-ES_tradnl"/>
        </w:rPr>
        <w:t>encuentra en firme.</w:t>
      </w:r>
      <w:r w:rsidR="00402B3D" w:rsidRPr="00A073BE">
        <w:rPr>
          <w:sz w:val="20"/>
          <w:szCs w:val="20"/>
          <w:lang w:val="es-ES_tradnl"/>
        </w:rPr>
        <w:t xml:space="preserve"> </w:t>
      </w:r>
      <w:r w:rsidR="000122AF" w:rsidRPr="00A073BE">
        <w:rPr>
          <w:sz w:val="20"/>
          <w:szCs w:val="20"/>
          <w:lang w:val="es-ES_tradnl"/>
        </w:rPr>
        <w:t xml:space="preserve">Así, </w:t>
      </w:r>
      <w:r w:rsidR="00902ABE" w:rsidRPr="00A073BE">
        <w:rPr>
          <w:sz w:val="20"/>
          <w:szCs w:val="20"/>
          <w:lang w:val="es-ES_tradnl"/>
        </w:rPr>
        <w:t xml:space="preserve">contrario a lo manifestado </w:t>
      </w:r>
      <w:r w:rsidR="003F17EE" w:rsidRPr="00A073BE">
        <w:rPr>
          <w:sz w:val="20"/>
          <w:szCs w:val="20"/>
          <w:lang w:val="es-ES_tradnl"/>
        </w:rPr>
        <w:t>por la peticionaria</w:t>
      </w:r>
      <w:r w:rsidR="00902ABE" w:rsidRPr="00A073BE">
        <w:rPr>
          <w:sz w:val="20"/>
          <w:szCs w:val="20"/>
          <w:lang w:val="es-ES_tradnl"/>
        </w:rPr>
        <w:t xml:space="preserve">, </w:t>
      </w:r>
      <w:r w:rsidR="003F17EE" w:rsidRPr="00A073BE">
        <w:rPr>
          <w:sz w:val="20"/>
          <w:szCs w:val="20"/>
          <w:lang w:val="es-ES_tradnl"/>
        </w:rPr>
        <w:t xml:space="preserve">Colombia </w:t>
      </w:r>
      <w:r w:rsidR="000122AF" w:rsidRPr="00A073BE">
        <w:rPr>
          <w:sz w:val="20"/>
          <w:szCs w:val="20"/>
          <w:lang w:val="es-ES_tradnl"/>
        </w:rPr>
        <w:t xml:space="preserve">sostiene que </w:t>
      </w:r>
      <w:r w:rsidR="00402B3D" w:rsidRPr="00A073BE">
        <w:rPr>
          <w:sz w:val="20"/>
          <w:szCs w:val="20"/>
          <w:lang w:val="es-ES_tradnl"/>
        </w:rPr>
        <w:t xml:space="preserve">iniciaron de oficio y de manera inmediata todas las diligencias necesarias y la fiscalía </w:t>
      </w:r>
      <w:r w:rsidR="00902ABE" w:rsidRPr="00A073BE">
        <w:rPr>
          <w:sz w:val="20"/>
          <w:szCs w:val="20"/>
          <w:lang w:val="es-ES_tradnl"/>
        </w:rPr>
        <w:t>agotó todos los medios de prueba posibles para identificar a los</w:t>
      </w:r>
      <w:r w:rsidR="00402B3D" w:rsidRPr="00A073BE">
        <w:rPr>
          <w:sz w:val="20"/>
          <w:szCs w:val="20"/>
          <w:lang w:val="es-ES_tradnl"/>
        </w:rPr>
        <w:t xml:space="preserve"> </w:t>
      </w:r>
      <w:r w:rsidR="00902ABE" w:rsidRPr="00A073BE">
        <w:rPr>
          <w:sz w:val="20"/>
          <w:szCs w:val="20"/>
          <w:lang w:val="es-ES_tradnl"/>
        </w:rPr>
        <w:t>responsables del homicidio</w:t>
      </w:r>
      <w:r w:rsidR="003F17EE" w:rsidRPr="00A073BE">
        <w:rPr>
          <w:sz w:val="20"/>
          <w:szCs w:val="20"/>
          <w:lang w:val="es-ES_tradnl"/>
        </w:rPr>
        <w:t xml:space="preserve"> de Elcia González de Ávila</w:t>
      </w:r>
      <w:r w:rsidR="00902ABE" w:rsidRPr="00A073BE">
        <w:rPr>
          <w:sz w:val="20"/>
          <w:szCs w:val="20"/>
          <w:lang w:val="es-ES_tradnl"/>
        </w:rPr>
        <w:t>.</w:t>
      </w:r>
      <w:r w:rsidR="00402B3D" w:rsidRPr="00A073BE">
        <w:rPr>
          <w:sz w:val="20"/>
          <w:szCs w:val="20"/>
          <w:lang w:val="es-ES_tradnl"/>
        </w:rPr>
        <w:t xml:space="preserve"> </w:t>
      </w:r>
      <w:r w:rsidR="008030AC" w:rsidRPr="00A073BE">
        <w:rPr>
          <w:sz w:val="20"/>
          <w:szCs w:val="20"/>
          <w:lang w:val="es-ES_tradnl"/>
        </w:rPr>
        <w:t>Si bien las dificultades particulares</w:t>
      </w:r>
      <w:r w:rsidR="00DC235C" w:rsidRPr="00A073BE">
        <w:rPr>
          <w:sz w:val="20"/>
          <w:szCs w:val="20"/>
          <w:lang w:val="es-ES_tradnl"/>
        </w:rPr>
        <w:t xml:space="preserve"> </w:t>
      </w:r>
      <w:r w:rsidR="008030AC" w:rsidRPr="00A073BE">
        <w:rPr>
          <w:sz w:val="20"/>
          <w:szCs w:val="20"/>
          <w:lang w:val="es-ES_tradnl"/>
        </w:rPr>
        <w:t>del caso no permitieron la individualización de</w:t>
      </w:r>
      <w:r w:rsidR="00DC235C" w:rsidRPr="00A073BE">
        <w:rPr>
          <w:sz w:val="20"/>
          <w:szCs w:val="20"/>
          <w:lang w:val="es-ES_tradnl"/>
        </w:rPr>
        <w:t xml:space="preserve"> </w:t>
      </w:r>
      <w:r w:rsidR="008030AC" w:rsidRPr="00A073BE">
        <w:rPr>
          <w:sz w:val="20"/>
          <w:szCs w:val="20"/>
          <w:lang w:val="es-ES_tradnl"/>
        </w:rPr>
        <w:t xml:space="preserve">los responsables, ello no significa que </w:t>
      </w:r>
      <w:r w:rsidR="003F17EE" w:rsidRPr="00A073BE">
        <w:rPr>
          <w:sz w:val="20"/>
          <w:szCs w:val="20"/>
          <w:lang w:val="es-ES_tradnl"/>
        </w:rPr>
        <w:t>la investigación no se haya desarrollado de conformidad con la Convención Americana</w:t>
      </w:r>
      <w:r w:rsidR="008030AC" w:rsidRPr="00A073BE">
        <w:rPr>
          <w:sz w:val="20"/>
          <w:szCs w:val="20"/>
          <w:lang w:val="es-ES_tradnl"/>
        </w:rPr>
        <w:t>.</w:t>
      </w:r>
    </w:p>
    <w:p w14:paraId="6DE6136F" w14:textId="77777777" w:rsidR="000F1B75" w:rsidRPr="00A073BE" w:rsidRDefault="000F1B75" w:rsidP="000F1B75">
      <w:pPr>
        <w:pStyle w:val="ListParagraph"/>
        <w:jc w:val="both"/>
        <w:rPr>
          <w:bCs/>
          <w:sz w:val="20"/>
          <w:szCs w:val="20"/>
          <w:lang w:val="es-ES_tradnl"/>
        </w:rPr>
      </w:pPr>
    </w:p>
    <w:p w14:paraId="5485B215" w14:textId="21451055" w:rsidR="0071651B" w:rsidRPr="00A073BE" w:rsidRDefault="00610956" w:rsidP="008030AC">
      <w:pPr>
        <w:pStyle w:val="ListParagraph"/>
        <w:numPr>
          <w:ilvl w:val="0"/>
          <w:numId w:val="63"/>
        </w:numPr>
        <w:ind w:left="0" w:firstLine="720"/>
        <w:jc w:val="both"/>
        <w:rPr>
          <w:bCs/>
          <w:sz w:val="20"/>
          <w:szCs w:val="20"/>
          <w:lang w:val="es-ES_tradnl"/>
        </w:rPr>
      </w:pPr>
      <w:r w:rsidRPr="00A073BE">
        <w:rPr>
          <w:sz w:val="20"/>
          <w:szCs w:val="20"/>
          <w:lang w:val="es-ES_tradnl"/>
        </w:rPr>
        <w:t>Colombia a</w:t>
      </w:r>
      <w:r w:rsidR="000F1B75" w:rsidRPr="00A073BE">
        <w:rPr>
          <w:sz w:val="20"/>
          <w:szCs w:val="20"/>
          <w:lang w:val="es-ES_tradnl"/>
        </w:rPr>
        <w:t>lega que a pesar de los argumentos presentados por la peticionaria sobre la relación entre ambos homicidios, estos alegatos no tienen la seriedad suficiente para evidenciar una violación atribuible al Estado, pues se encuentran fundamentados únicamente en el dicho de los peticionarios y no hay evidencia de causalidad entre el homicidio de la señora González de Ávila y el actuar del Estado. Argumenta que no existe prueba alguna de la participación de agentes del Estado en este homicidio</w:t>
      </w:r>
      <w:r w:rsidR="00136079" w:rsidRPr="00A073BE">
        <w:rPr>
          <w:sz w:val="20"/>
          <w:szCs w:val="20"/>
          <w:lang w:val="es-ES_tradnl"/>
        </w:rPr>
        <w:t>, que el Estado tuviera oportunidad de conocer amenaza alguna en contra de la señora Elcia González</w:t>
      </w:r>
      <w:r w:rsidR="000F1B75" w:rsidRPr="00A073BE">
        <w:rPr>
          <w:sz w:val="20"/>
          <w:szCs w:val="20"/>
          <w:lang w:val="es-ES_tradnl"/>
        </w:rPr>
        <w:t xml:space="preserve"> o que la investigación del homicidio de Iván Darío Henao habría sido el motivo de su asesinato. </w:t>
      </w:r>
    </w:p>
    <w:p w14:paraId="31D48A9F" w14:textId="77777777" w:rsidR="0071651B" w:rsidRPr="00A073BE" w:rsidRDefault="0071651B" w:rsidP="0071651B">
      <w:pPr>
        <w:pStyle w:val="ListParagraph"/>
        <w:jc w:val="both"/>
        <w:rPr>
          <w:bCs/>
          <w:sz w:val="20"/>
          <w:szCs w:val="20"/>
          <w:lang w:val="es-ES_tradnl"/>
        </w:rPr>
      </w:pPr>
    </w:p>
    <w:p w14:paraId="08081C73" w14:textId="1C09B512" w:rsidR="00124E6C" w:rsidRPr="00A073BE" w:rsidRDefault="0071651B" w:rsidP="005D2927">
      <w:pPr>
        <w:pStyle w:val="ListParagraph"/>
        <w:numPr>
          <w:ilvl w:val="0"/>
          <w:numId w:val="63"/>
        </w:numPr>
        <w:ind w:left="0" w:firstLine="720"/>
        <w:jc w:val="both"/>
        <w:rPr>
          <w:sz w:val="20"/>
          <w:szCs w:val="20"/>
          <w:lang w:val="es-ES_tradnl"/>
        </w:rPr>
      </w:pPr>
      <w:r w:rsidRPr="00A073BE">
        <w:rPr>
          <w:sz w:val="20"/>
          <w:szCs w:val="20"/>
          <w:lang w:val="es-ES_tradnl"/>
        </w:rPr>
        <w:t xml:space="preserve">Por otro lado, señala que </w:t>
      </w:r>
      <w:r w:rsidR="00F46C58" w:rsidRPr="00A073BE">
        <w:rPr>
          <w:sz w:val="20"/>
          <w:szCs w:val="20"/>
          <w:lang w:val="es-ES_tradnl"/>
        </w:rPr>
        <w:t>l</w:t>
      </w:r>
      <w:r w:rsidR="008030AC" w:rsidRPr="00A073BE">
        <w:rPr>
          <w:sz w:val="20"/>
          <w:szCs w:val="20"/>
          <w:lang w:val="es-ES_tradnl"/>
        </w:rPr>
        <w:t>a acción de reparación directa se</w:t>
      </w:r>
      <w:r w:rsidRPr="00A073BE">
        <w:rPr>
          <w:sz w:val="20"/>
          <w:szCs w:val="20"/>
          <w:lang w:val="es-ES_tradnl"/>
        </w:rPr>
        <w:t xml:space="preserve"> </w:t>
      </w:r>
      <w:r w:rsidR="008030AC" w:rsidRPr="00A073BE">
        <w:rPr>
          <w:sz w:val="20"/>
          <w:szCs w:val="20"/>
          <w:lang w:val="es-ES_tradnl"/>
        </w:rPr>
        <w:t>tramitó de forma efectiva y</w:t>
      </w:r>
      <w:r w:rsidRPr="00A073BE">
        <w:rPr>
          <w:sz w:val="20"/>
          <w:szCs w:val="20"/>
          <w:lang w:val="es-ES_tradnl"/>
        </w:rPr>
        <w:t xml:space="preserve"> </w:t>
      </w:r>
      <w:r w:rsidR="008030AC" w:rsidRPr="00A073BE">
        <w:rPr>
          <w:sz w:val="20"/>
          <w:szCs w:val="20"/>
          <w:lang w:val="es-ES_tradnl"/>
        </w:rPr>
        <w:t>diligente</w:t>
      </w:r>
      <w:r w:rsidRPr="00A073BE">
        <w:rPr>
          <w:sz w:val="20"/>
          <w:szCs w:val="20"/>
          <w:lang w:val="es-ES_tradnl"/>
        </w:rPr>
        <w:t xml:space="preserve">, y concluyó mediante la sentencia de </w:t>
      </w:r>
      <w:r w:rsidR="008030AC" w:rsidRPr="00A073BE">
        <w:rPr>
          <w:sz w:val="20"/>
          <w:szCs w:val="20"/>
          <w:lang w:val="es-ES_tradnl"/>
        </w:rPr>
        <w:t>la Sala de</w:t>
      </w:r>
      <w:r w:rsidRPr="00A073BE">
        <w:rPr>
          <w:sz w:val="20"/>
          <w:szCs w:val="20"/>
          <w:lang w:val="es-ES_tradnl"/>
        </w:rPr>
        <w:t xml:space="preserve"> </w:t>
      </w:r>
      <w:r w:rsidR="008030AC" w:rsidRPr="00A073BE">
        <w:rPr>
          <w:sz w:val="20"/>
          <w:szCs w:val="20"/>
          <w:lang w:val="es-ES_tradnl"/>
        </w:rPr>
        <w:t>Decisión del Tribunal Contencioso</w:t>
      </w:r>
      <w:r w:rsidR="00387E15" w:rsidRPr="00A073BE">
        <w:rPr>
          <w:sz w:val="20"/>
          <w:szCs w:val="20"/>
          <w:lang w:val="es-ES_tradnl"/>
        </w:rPr>
        <w:t>-</w:t>
      </w:r>
      <w:r w:rsidR="008030AC" w:rsidRPr="00A073BE">
        <w:rPr>
          <w:sz w:val="20"/>
          <w:szCs w:val="20"/>
          <w:lang w:val="es-ES_tradnl"/>
        </w:rPr>
        <w:t xml:space="preserve">Administrativo del Meta </w:t>
      </w:r>
      <w:r w:rsidRPr="00A073BE">
        <w:rPr>
          <w:sz w:val="20"/>
          <w:szCs w:val="20"/>
          <w:lang w:val="es-ES_tradnl"/>
        </w:rPr>
        <w:t xml:space="preserve">el </w:t>
      </w:r>
      <w:r w:rsidR="008030AC" w:rsidRPr="00A073BE">
        <w:rPr>
          <w:sz w:val="20"/>
          <w:szCs w:val="20"/>
          <w:lang w:val="es-ES_tradnl"/>
        </w:rPr>
        <w:t>8</w:t>
      </w:r>
      <w:r w:rsidRPr="00A073BE">
        <w:rPr>
          <w:sz w:val="20"/>
          <w:szCs w:val="20"/>
          <w:lang w:val="es-ES_tradnl"/>
        </w:rPr>
        <w:t xml:space="preserve"> </w:t>
      </w:r>
      <w:r w:rsidR="008030AC" w:rsidRPr="00A073BE">
        <w:rPr>
          <w:sz w:val="20"/>
          <w:szCs w:val="20"/>
          <w:lang w:val="es-ES_tradnl"/>
        </w:rPr>
        <w:t>de noviembre de 2006.</w:t>
      </w:r>
      <w:r w:rsidRPr="00A073BE">
        <w:rPr>
          <w:sz w:val="20"/>
          <w:szCs w:val="20"/>
          <w:lang w:val="es-ES_tradnl"/>
        </w:rPr>
        <w:t xml:space="preserve"> En el marco de dicho proceso, </w:t>
      </w:r>
      <w:r w:rsidR="00F46C58" w:rsidRPr="00A073BE">
        <w:rPr>
          <w:sz w:val="20"/>
          <w:szCs w:val="20"/>
          <w:lang w:val="es-ES_tradnl"/>
        </w:rPr>
        <w:t xml:space="preserve">el tribunal </w:t>
      </w:r>
      <w:r w:rsidR="008030AC" w:rsidRPr="00A073BE">
        <w:rPr>
          <w:sz w:val="20"/>
          <w:szCs w:val="20"/>
          <w:lang w:val="es-ES_tradnl"/>
        </w:rPr>
        <w:t>declaró la responsabilidad del Estado</w:t>
      </w:r>
      <w:r w:rsidR="00F46C58" w:rsidRPr="00A073BE">
        <w:rPr>
          <w:sz w:val="20"/>
          <w:szCs w:val="20"/>
          <w:lang w:val="es-ES_tradnl"/>
        </w:rPr>
        <w:t xml:space="preserve"> y </w:t>
      </w:r>
      <w:r w:rsidR="008030AC" w:rsidRPr="00A073BE">
        <w:rPr>
          <w:sz w:val="20"/>
          <w:szCs w:val="20"/>
          <w:lang w:val="es-ES_tradnl"/>
        </w:rPr>
        <w:t>condenó a la Nación-Ministerio de Defensa Nacional-Ej</w:t>
      </w:r>
      <w:r w:rsidR="00F46C58" w:rsidRPr="00A073BE">
        <w:rPr>
          <w:sz w:val="20"/>
          <w:szCs w:val="20"/>
          <w:lang w:val="es-ES_tradnl"/>
        </w:rPr>
        <w:t>é</w:t>
      </w:r>
      <w:r w:rsidR="008030AC" w:rsidRPr="00A073BE">
        <w:rPr>
          <w:sz w:val="20"/>
          <w:szCs w:val="20"/>
          <w:lang w:val="es-ES_tradnl"/>
        </w:rPr>
        <w:t>rcito Nacional a pagar por concepto de perjuicios morales a Carol Bibiana Ávila</w:t>
      </w:r>
      <w:r w:rsidR="00B86A6A" w:rsidRPr="00A073BE">
        <w:rPr>
          <w:sz w:val="20"/>
          <w:szCs w:val="20"/>
          <w:lang w:val="es-ES_tradnl"/>
        </w:rPr>
        <w:t xml:space="preserve"> </w:t>
      </w:r>
      <w:r w:rsidR="008030AC" w:rsidRPr="00A073BE">
        <w:rPr>
          <w:sz w:val="20"/>
          <w:szCs w:val="20"/>
          <w:lang w:val="es-ES_tradnl"/>
        </w:rPr>
        <w:t>González y Luis Henao Londoño</w:t>
      </w:r>
      <w:r w:rsidR="00387E15" w:rsidRPr="00A073BE">
        <w:rPr>
          <w:sz w:val="20"/>
          <w:szCs w:val="20"/>
          <w:lang w:val="es-ES_tradnl"/>
        </w:rPr>
        <w:t>,</w:t>
      </w:r>
      <w:r w:rsidR="00D75106" w:rsidRPr="00A073BE">
        <w:rPr>
          <w:sz w:val="20"/>
          <w:szCs w:val="20"/>
          <w:lang w:val="es-ES_tradnl"/>
        </w:rPr>
        <w:t xml:space="preserve"> como la compañera permanente y el padre de Iván Henao, respectivamente,</w:t>
      </w:r>
      <w:r w:rsidR="00F46C58" w:rsidRPr="00A073BE">
        <w:rPr>
          <w:sz w:val="20"/>
          <w:szCs w:val="20"/>
          <w:lang w:val="es-ES_tradnl"/>
        </w:rPr>
        <w:t xml:space="preserve"> </w:t>
      </w:r>
      <w:r w:rsidR="008030AC" w:rsidRPr="00A073BE">
        <w:rPr>
          <w:sz w:val="20"/>
          <w:szCs w:val="20"/>
          <w:lang w:val="es-ES_tradnl"/>
        </w:rPr>
        <w:t>y</w:t>
      </w:r>
      <w:r w:rsidR="00F46C58" w:rsidRPr="00A073BE">
        <w:rPr>
          <w:sz w:val="20"/>
          <w:szCs w:val="20"/>
          <w:lang w:val="es-ES_tradnl"/>
        </w:rPr>
        <w:t xml:space="preserve"> </w:t>
      </w:r>
      <w:r w:rsidR="008030AC" w:rsidRPr="00A073BE">
        <w:rPr>
          <w:sz w:val="20"/>
          <w:szCs w:val="20"/>
          <w:lang w:val="es-ES_tradnl"/>
        </w:rPr>
        <w:t>negó las</w:t>
      </w:r>
      <w:r w:rsidR="00F46C58" w:rsidRPr="00A073BE">
        <w:rPr>
          <w:sz w:val="20"/>
          <w:szCs w:val="20"/>
          <w:lang w:val="es-ES_tradnl"/>
        </w:rPr>
        <w:t xml:space="preserve"> </w:t>
      </w:r>
      <w:r w:rsidR="008030AC" w:rsidRPr="00A073BE">
        <w:rPr>
          <w:sz w:val="20"/>
          <w:szCs w:val="20"/>
          <w:lang w:val="es-ES_tradnl"/>
        </w:rPr>
        <w:t>demás pretensiones</w:t>
      </w:r>
      <w:r w:rsidR="00F46C58" w:rsidRPr="00A073BE">
        <w:rPr>
          <w:sz w:val="20"/>
          <w:szCs w:val="20"/>
          <w:lang w:val="es-ES_tradnl"/>
        </w:rPr>
        <w:t xml:space="preserve"> </w:t>
      </w:r>
      <w:r w:rsidR="008030AC" w:rsidRPr="00A073BE">
        <w:rPr>
          <w:sz w:val="20"/>
          <w:szCs w:val="20"/>
          <w:lang w:val="es-ES_tradnl"/>
        </w:rPr>
        <w:t>indemnizatorias</w:t>
      </w:r>
      <w:r w:rsidR="00F46C58" w:rsidRPr="00A073BE">
        <w:rPr>
          <w:sz w:val="20"/>
          <w:szCs w:val="20"/>
          <w:lang w:val="es-ES_tradnl"/>
        </w:rPr>
        <w:t xml:space="preserve"> </w:t>
      </w:r>
      <w:r w:rsidR="008030AC" w:rsidRPr="00A073BE">
        <w:rPr>
          <w:sz w:val="20"/>
          <w:szCs w:val="20"/>
          <w:lang w:val="es-ES_tradnl"/>
        </w:rPr>
        <w:t>de la demanda.</w:t>
      </w:r>
      <w:r w:rsidR="00F46C58" w:rsidRPr="00A073BE">
        <w:rPr>
          <w:sz w:val="20"/>
          <w:szCs w:val="20"/>
          <w:lang w:val="es-ES_tradnl"/>
        </w:rPr>
        <w:t xml:space="preserve"> </w:t>
      </w:r>
      <w:r w:rsidR="00136079" w:rsidRPr="00A073BE">
        <w:rPr>
          <w:sz w:val="20"/>
          <w:szCs w:val="20"/>
          <w:lang w:val="es-ES_tradnl"/>
        </w:rPr>
        <w:t>Indica que l</w:t>
      </w:r>
      <w:r w:rsidR="008030AC" w:rsidRPr="00A073BE">
        <w:rPr>
          <w:sz w:val="20"/>
          <w:szCs w:val="20"/>
          <w:lang w:val="es-ES_tradnl"/>
        </w:rPr>
        <w:t>a parte actora presentó recurso de apelación contra la sentencia del 8 de</w:t>
      </w:r>
      <w:r w:rsidR="00B86A6A" w:rsidRPr="00A073BE">
        <w:rPr>
          <w:sz w:val="20"/>
          <w:szCs w:val="20"/>
          <w:lang w:val="es-ES_tradnl"/>
        </w:rPr>
        <w:t xml:space="preserve"> </w:t>
      </w:r>
      <w:r w:rsidR="008030AC" w:rsidRPr="00A073BE">
        <w:rPr>
          <w:sz w:val="20"/>
          <w:szCs w:val="20"/>
          <w:lang w:val="es-ES_tradnl"/>
        </w:rPr>
        <w:t>noviembre de 2006,</w:t>
      </w:r>
      <w:r w:rsidR="00B86A6A" w:rsidRPr="00A073BE">
        <w:rPr>
          <w:sz w:val="20"/>
          <w:szCs w:val="20"/>
          <w:lang w:val="es-ES_tradnl"/>
        </w:rPr>
        <w:t xml:space="preserve"> </w:t>
      </w:r>
      <w:r w:rsidR="008030AC" w:rsidRPr="00A073BE">
        <w:rPr>
          <w:sz w:val="20"/>
          <w:szCs w:val="20"/>
          <w:lang w:val="es-ES_tradnl"/>
        </w:rPr>
        <w:t>al considerar</w:t>
      </w:r>
      <w:r w:rsidR="00B86A6A" w:rsidRPr="00A073BE">
        <w:rPr>
          <w:sz w:val="20"/>
          <w:szCs w:val="20"/>
          <w:lang w:val="es-ES_tradnl"/>
        </w:rPr>
        <w:t xml:space="preserve"> </w:t>
      </w:r>
      <w:r w:rsidR="008030AC" w:rsidRPr="00A073BE">
        <w:rPr>
          <w:sz w:val="20"/>
          <w:szCs w:val="20"/>
          <w:lang w:val="es-ES_tradnl"/>
        </w:rPr>
        <w:t>que</w:t>
      </w:r>
      <w:r w:rsidR="00B86A6A" w:rsidRPr="00A073BE">
        <w:rPr>
          <w:sz w:val="20"/>
          <w:szCs w:val="20"/>
          <w:lang w:val="es-ES_tradnl"/>
        </w:rPr>
        <w:t xml:space="preserve"> </w:t>
      </w:r>
      <w:r w:rsidR="008030AC" w:rsidRPr="00A073BE">
        <w:rPr>
          <w:sz w:val="20"/>
          <w:szCs w:val="20"/>
          <w:lang w:val="es-ES_tradnl"/>
        </w:rPr>
        <w:t>era necesario ordenar</w:t>
      </w:r>
      <w:r w:rsidR="00B86A6A" w:rsidRPr="00A073BE">
        <w:rPr>
          <w:sz w:val="20"/>
          <w:szCs w:val="20"/>
          <w:lang w:val="es-ES_tradnl"/>
        </w:rPr>
        <w:t xml:space="preserve"> </w:t>
      </w:r>
      <w:r w:rsidR="008030AC" w:rsidRPr="00A073BE">
        <w:rPr>
          <w:sz w:val="20"/>
          <w:szCs w:val="20"/>
          <w:lang w:val="es-ES_tradnl"/>
        </w:rPr>
        <w:t>el</w:t>
      </w:r>
      <w:r w:rsidR="00B86A6A" w:rsidRPr="00A073BE">
        <w:rPr>
          <w:sz w:val="20"/>
          <w:szCs w:val="20"/>
          <w:lang w:val="es-ES_tradnl"/>
        </w:rPr>
        <w:t xml:space="preserve"> </w:t>
      </w:r>
      <w:r w:rsidR="008030AC" w:rsidRPr="00A073BE">
        <w:rPr>
          <w:sz w:val="20"/>
          <w:szCs w:val="20"/>
          <w:lang w:val="es-ES_tradnl"/>
        </w:rPr>
        <w:t>reconocimiento de los perjuicios materiales negados en primera</w:t>
      </w:r>
      <w:r w:rsidR="00B86A6A" w:rsidRPr="00A073BE">
        <w:rPr>
          <w:sz w:val="20"/>
          <w:szCs w:val="20"/>
          <w:lang w:val="es-ES_tradnl"/>
        </w:rPr>
        <w:t xml:space="preserve"> </w:t>
      </w:r>
      <w:r w:rsidR="008030AC" w:rsidRPr="00A073BE">
        <w:rPr>
          <w:sz w:val="20"/>
          <w:szCs w:val="20"/>
          <w:lang w:val="es-ES_tradnl"/>
        </w:rPr>
        <w:t>instancia</w:t>
      </w:r>
      <w:r w:rsidR="00387E15" w:rsidRPr="00A073BE">
        <w:rPr>
          <w:sz w:val="20"/>
          <w:szCs w:val="20"/>
          <w:lang w:val="es-ES_tradnl"/>
        </w:rPr>
        <w:t>;</w:t>
      </w:r>
      <w:r w:rsidR="00136079" w:rsidRPr="00A073BE">
        <w:rPr>
          <w:sz w:val="20"/>
          <w:szCs w:val="20"/>
          <w:lang w:val="es-ES_tradnl"/>
        </w:rPr>
        <w:t xml:space="preserve"> s</w:t>
      </w:r>
      <w:r w:rsidR="008030AC" w:rsidRPr="00A073BE">
        <w:rPr>
          <w:sz w:val="20"/>
          <w:szCs w:val="20"/>
          <w:lang w:val="es-ES_tradnl"/>
        </w:rPr>
        <w:t>in</w:t>
      </w:r>
      <w:r w:rsidR="00B86A6A" w:rsidRPr="00A073BE">
        <w:rPr>
          <w:sz w:val="20"/>
          <w:szCs w:val="20"/>
          <w:lang w:val="es-ES_tradnl"/>
        </w:rPr>
        <w:t xml:space="preserve"> </w:t>
      </w:r>
      <w:r w:rsidR="008030AC" w:rsidRPr="00A073BE">
        <w:rPr>
          <w:sz w:val="20"/>
          <w:szCs w:val="20"/>
          <w:lang w:val="es-ES_tradnl"/>
        </w:rPr>
        <w:t>embargo, este recurso fue rechazado por la Sala de lo Contencioso</w:t>
      </w:r>
      <w:r w:rsidR="00B86A6A" w:rsidRPr="00A073BE">
        <w:rPr>
          <w:sz w:val="20"/>
          <w:szCs w:val="20"/>
          <w:lang w:val="es-ES_tradnl"/>
        </w:rPr>
        <w:t xml:space="preserve"> </w:t>
      </w:r>
      <w:r w:rsidR="008030AC" w:rsidRPr="00A073BE">
        <w:rPr>
          <w:sz w:val="20"/>
          <w:szCs w:val="20"/>
          <w:lang w:val="es-ES_tradnl"/>
        </w:rPr>
        <w:t>Administrativo de la Sección Tercera del Consejo de Estado</w:t>
      </w:r>
      <w:r w:rsidR="00B35552" w:rsidRPr="00A073BE">
        <w:rPr>
          <w:sz w:val="20"/>
          <w:szCs w:val="20"/>
          <w:lang w:val="es-ES_tradnl"/>
        </w:rPr>
        <w:t xml:space="preserve"> mediante decisión del 15 de junio de 2007</w:t>
      </w:r>
      <w:r w:rsidR="008030AC" w:rsidRPr="00A073BE">
        <w:rPr>
          <w:sz w:val="20"/>
          <w:szCs w:val="20"/>
          <w:lang w:val="es-ES_tradnl"/>
        </w:rPr>
        <w:t xml:space="preserve">, </w:t>
      </w:r>
      <w:r w:rsidR="00136079" w:rsidRPr="00A073BE">
        <w:rPr>
          <w:sz w:val="20"/>
          <w:szCs w:val="20"/>
          <w:lang w:val="es-ES_tradnl"/>
        </w:rPr>
        <w:t xml:space="preserve">por </w:t>
      </w:r>
      <w:r w:rsidR="008030AC" w:rsidRPr="00A073BE">
        <w:rPr>
          <w:sz w:val="20"/>
          <w:szCs w:val="20"/>
          <w:lang w:val="es-ES_tradnl"/>
        </w:rPr>
        <w:t>extemporáne</w:t>
      </w:r>
      <w:r w:rsidR="00136079" w:rsidRPr="00A073BE">
        <w:rPr>
          <w:sz w:val="20"/>
          <w:szCs w:val="20"/>
          <w:lang w:val="es-ES_tradnl"/>
        </w:rPr>
        <w:t>o</w:t>
      </w:r>
      <w:r w:rsidR="008030AC" w:rsidRPr="00A073BE">
        <w:rPr>
          <w:sz w:val="20"/>
          <w:szCs w:val="20"/>
          <w:lang w:val="es-ES_tradnl"/>
        </w:rPr>
        <w:t>.</w:t>
      </w:r>
      <w:r w:rsidR="00B86A6A" w:rsidRPr="00A073BE">
        <w:rPr>
          <w:sz w:val="20"/>
          <w:szCs w:val="20"/>
          <w:lang w:val="es-ES_tradnl"/>
        </w:rPr>
        <w:t xml:space="preserve"> </w:t>
      </w:r>
      <w:r w:rsidR="00136079" w:rsidRPr="00A073BE">
        <w:rPr>
          <w:sz w:val="20"/>
          <w:szCs w:val="20"/>
          <w:lang w:val="es-ES_tradnl"/>
        </w:rPr>
        <w:t>Por último, indica que</w:t>
      </w:r>
      <w:r w:rsidR="00731CEA" w:rsidRPr="00A073BE">
        <w:rPr>
          <w:sz w:val="20"/>
          <w:szCs w:val="20"/>
          <w:lang w:val="es-ES_tradnl"/>
        </w:rPr>
        <w:t>,</w:t>
      </w:r>
      <w:r w:rsidR="00136079" w:rsidRPr="00A073BE">
        <w:rPr>
          <w:sz w:val="20"/>
          <w:szCs w:val="20"/>
          <w:lang w:val="es-ES_tradnl"/>
        </w:rPr>
        <w:t xml:space="preserve"> e</w:t>
      </w:r>
      <w:r w:rsidR="008030AC" w:rsidRPr="00A073BE">
        <w:rPr>
          <w:sz w:val="20"/>
          <w:szCs w:val="20"/>
          <w:lang w:val="es-ES_tradnl"/>
        </w:rPr>
        <w:t>n cumplimiento</w:t>
      </w:r>
      <w:r w:rsidR="00124E6C" w:rsidRPr="00A073BE">
        <w:rPr>
          <w:sz w:val="20"/>
          <w:szCs w:val="20"/>
          <w:lang w:val="es-ES_tradnl"/>
        </w:rPr>
        <w:t xml:space="preserve"> </w:t>
      </w:r>
      <w:r w:rsidR="008030AC" w:rsidRPr="00A073BE">
        <w:rPr>
          <w:sz w:val="20"/>
          <w:szCs w:val="20"/>
          <w:lang w:val="es-ES_tradnl"/>
        </w:rPr>
        <w:t>de la sentencia de primera instancia, el Ministerio de Defensa Nacional</w:t>
      </w:r>
      <w:r w:rsidR="00124E6C" w:rsidRPr="00A073BE">
        <w:rPr>
          <w:sz w:val="20"/>
          <w:szCs w:val="20"/>
          <w:lang w:val="es-ES_tradnl"/>
        </w:rPr>
        <w:t xml:space="preserve"> </w:t>
      </w:r>
      <w:r w:rsidR="008030AC" w:rsidRPr="00A073BE">
        <w:rPr>
          <w:sz w:val="20"/>
          <w:szCs w:val="20"/>
          <w:lang w:val="es-ES_tradnl"/>
        </w:rPr>
        <w:t>expidió la</w:t>
      </w:r>
      <w:r w:rsidR="00124E6C" w:rsidRPr="00A073BE">
        <w:rPr>
          <w:sz w:val="20"/>
          <w:szCs w:val="20"/>
          <w:lang w:val="es-ES_tradnl"/>
        </w:rPr>
        <w:t xml:space="preserve"> </w:t>
      </w:r>
      <w:r w:rsidR="008030AC" w:rsidRPr="00A073BE">
        <w:rPr>
          <w:sz w:val="20"/>
          <w:szCs w:val="20"/>
          <w:lang w:val="es-ES_tradnl"/>
        </w:rPr>
        <w:t>Resolución No. 1801 del 12 de mayo de 2009, mediante la cual reconoció, ordenó</w:t>
      </w:r>
      <w:r w:rsidR="00124E6C" w:rsidRPr="00A073BE">
        <w:rPr>
          <w:sz w:val="20"/>
          <w:szCs w:val="20"/>
          <w:lang w:val="es-ES_tradnl"/>
        </w:rPr>
        <w:t xml:space="preserve"> </w:t>
      </w:r>
      <w:r w:rsidR="008030AC" w:rsidRPr="00A073BE">
        <w:rPr>
          <w:sz w:val="20"/>
          <w:szCs w:val="20"/>
          <w:lang w:val="es-ES_tradnl"/>
        </w:rPr>
        <w:t>y autorizó el pago a</w:t>
      </w:r>
      <w:r w:rsidR="00124E6C" w:rsidRPr="00A073BE">
        <w:rPr>
          <w:sz w:val="20"/>
          <w:szCs w:val="20"/>
          <w:lang w:val="es-ES_tradnl"/>
        </w:rPr>
        <w:t xml:space="preserve"> </w:t>
      </w:r>
      <w:r w:rsidR="008030AC" w:rsidRPr="00A073BE">
        <w:rPr>
          <w:sz w:val="20"/>
          <w:szCs w:val="20"/>
          <w:lang w:val="es-ES_tradnl"/>
        </w:rPr>
        <w:t>favor de Carol Bibiana Ávila González y Luis Henao Londoño</w:t>
      </w:r>
      <w:r w:rsidR="00F07FDE" w:rsidRPr="00A073BE">
        <w:rPr>
          <w:sz w:val="20"/>
          <w:szCs w:val="20"/>
          <w:lang w:val="es-ES_tradnl"/>
        </w:rPr>
        <w:t>, el cual se materializó el 27 de mayo de 2009 por un valor en dólares para la fecha de pago que correspondía a USD$</w:t>
      </w:r>
      <w:r w:rsidR="000E57FC" w:rsidRPr="00A073BE">
        <w:rPr>
          <w:sz w:val="20"/>
          <w:szCs w:val="20"/>
          <w:lang w:val="es-ES_tradnl"/>
        </w:rPr>
        <w:t>.</w:t>
      </w:r>
      <w:r w:rsidR="00F07FDE" w:rsidRPr="00A073BE">
        <w:rPr>
          <w:sz w:val="20"/>
          <w:szCs w:val="20"/>
          <w:lang w:val="es-ES_tradnl"/>
        </w:rPr>
        <w:t xml:space="preserve"> 56</w:t>
      </w:r>
      <w:r w:rsidR="000E57FC" w:rsidRPr="00A073BE">
        <w:rPr>
          <w:sz w:val="20"/>
          <w:szCs w:val="20"/>
          <w:lang w:val="es-ES_tradnl"/>
        </w:rPr>
        <w:t>,</w:t>
      </w:r>
      <w:r w:rsidR="00F07FDE" w:rsidRPr="00A073BE">
        <w:rPr>
          <w:sz w:val="20"/>
          <w:szCs w:val="20"/>
          <w:lang w:val="es-ES_tradnl"/>
        </w:rPr>
        <w:t>817</w:t>
      </w:r>
      <w:r w:rsidR="000E57FC" w:rsidRPr="00A073BE">
        <w:rPr>
          <w:sz w:val="20"/>
          <w:szCs w:val="20"/>
          <w:lang w:val="es-ES_tradnl"/>
        </w:rPr>
        <w:t>.</w:t>
      </w:r>
      <w:r w:rsidR="00F07FDE" w:rsidRPr="00A073BE">
        <w:rPr>
          <w:sz w:val="20"/>
          <w:szCs w:val="20"/>
          <w:lang w:val="es-ES_tradnl"/>
        </w:rPr>
        <w:t xml:space="preserve">44 </w:t>
      </w:r>
      <w:r w:rsidR="00865D63" w:rsidRPr="00A073BE">
        <w:rPr>
          <w:sz w:val="20"/>
          <w:szCs w:val="20"/>
          <w:lang w:val="es-ES_tradnl"/>
        </w:rPr>
        <w:t>de acuerdo con</w:t>
      </w:r>
      <w:r w:rsidR="00F07FDE" w:rsidRPr="00A073BE">
        <w:rPr>
          <w:sz w:val="20"/>
          <w:szCs w:val="20"/>
          <w:lang w:val="es-ES_tradnl"/>
        </w:rPr>
        <w:t xml:space="preserve"> la información presentada por el Estado.  </w:t>
      </w:r>
    </w:p>
    <w:p w14:paraId="51F68C92" w14:textId="278FE7AD" w:rsidR="003239B8" w:rsidRPr="00A073BE" w:rsidRDefault="004A6A54" w:rsidP="000E57FC">
      <w:pPr>
        <w:pStyle w:val="ListParagraph"/>
        <w:numPr>
          <w:ilvl w:val="0"/>
          <w:numId w:val="67"/>
        </w:numPr>
        <w:spacing w:before="240" w:after="240"/>
        <w:ind w:left="0" w:firstLine="720"/>
        <w:jc w:val="both"/>
        <w:rPr>
          <w:sz w:val="20"/>
          <w:szCs w:val="20"/>
          <w:lang w:val="es-ES_tradnl"/>
        </w:rPr>
      </w:pPr>
      <w:r w:rsidRPr="00A073BE">
        <w:rPr>
          <w:rFonts w:asciiTheme="majorHAnsi" w:hAnsiTheme="majorHAnsi"/>
          <w:b/>
          <w:bCs/>
          <w:sz w:val="20"/>
          <w:szCs w:val="20"/>
          <w:lang w:val="es-ES_tradnl"/>
        </w:rPr>
        <w:t xml:space="preserve">ANÁLISIS DE </w:t>
      </w:r>
      <w:r w:rsidR="00C21FEF" w:rsidRPr="00A073BE">
        <w:rPr>
          <w:rFonts w:asciiTheme="majorHAnsi" w:hAnsiTheme="majorHAnsi"/>
          <w:b/>
          <w:sz w:val="20"/>
          <w:szCs w:val="20"/>
          <w:lang w:val="es-ES_tradnl"/>
        </w:rPr>
        <w:t>AGOTAMIENTO DE LOS RECURSOS INTERNOS Y PLAZO DE PRESENTACIÓN</w:t>
      </w:r>
      <w:r w:rsidR="00C21FEF" w:rsidRPr="00A073BE">
        <w:rPr>
          <w:rFonts w:asciiTheme="majorHAnsi" w:hAnsiTheme="majorHAnsi"/>
          <w:b/>
          <w:bCs/>
          <w:sz w:val="20"/>
          <w:szCs w:val="20"/>
          <w:lang w:val="es-ES_tradnl"/>
        </w:rPr>
        <w:t xml:space="preserve"> </w:t>
      </w:r>
    </w:p>
    <w:p w14:paraId="02181E68" w14:textId="77777777" w:rsidR="00CB3F8F" w:rsidRPr="00A073BE" w:rsidRDefault="00E150F5" w:rsidP="00CB3F8F">
      <w:pPr>
        <w:pStyle w:val="ListParagraph"/>
        <w:numPr>
          <w:ilvl w:val="0"/>
          <w:numId w:val="63"/>
        </w:numPr>
        <w:ind w:left="0" w:firstLine="720"/>
        <w:jc w:val="both"/>
        <w:rPr>
          <w:color w:val="auto"/>
          <w:sz w:val="20"/>
          <w:szCs w:val="20"/>
          <w:lang w:val="es-ES_tradnl"/>
        </w:rPr>
      </w:pPr>
      <w:r w:rsidRPr="00A073BE">
        <w:rPr>
          <w:sz w:val="20"/>
          <w:szCs w:val="20"/>
          <w:lang w:val="es-ES_tradnl"/>
        </w:rPr>
        <w:t xml:space="preserve">En vista de los hechos alegados en la presente petición, la Comisión entiende que los reclamos de la parte peticionaria son en lo fundamental: (i) la responsabilidad del Estado por la participación de sus </w:t>
      </w:r>
      <w:r w:rsidRPr="00A073BE">
        <w:rPr>
          <w:color w:val="auto"/>
          <w:sz w:val="20"/>
          <w:szCs w:val="20"/>
          <w:lang w:val="es-ES_tradnl"/>
        </w:rPr>
        <w:t xml:space="preserve">agentes </w:t>
      </w:r>
      <w:r w:rsidR="006245BB" w:rsidRPr="00A073BE">
        <w:rPr>
          <w:color w:val="auto"/>
          <w:sz w:val="20"/>
          <w:szCs w:val="20"/>
          <w:lang w:val="es-ES_tradnl"/>
        </w:rPr>
        <w:t>en la</w:t>
      </w:r>
      <w:r w:rsidRPr="00A073BE">
        <w:rPr>
          <w:color w:val="auto"/>
          <w:sz w:val="20"/>
          <w:szCs w:val="20"/>
          <w:lang w:val="es-ES_tradnl"/>
        </w:rPr>
        <w:t xml:space="preserve"> ejecución extrajudicial de </w:t>
      </w:r>
      <w:r w:rsidR="006245BB" w:rsidRPr="00A073BE">
        <w:rPr>
          <w:color w:val="auto"/>
          <w:sz w:val="20"/>
          <w:szCs w:val="20"/>
          <w:lang w:val="es-ES_tradnl"/>
        </w:rPr>
        <w:t>Iván Darío Henao Sanabria, así como</w:t>
      </w:r>
      <w:r w:rsidRPr="00A073BE">
        <w:rPr>
          <w:color w:val="auto"/>
          <w:sz w:val="20"/>
          <w:szCs w:val="20"/>
          <w:lang w:val="es-ES_tradnl"/>
        </w:rPr>
        <w:t xml:space="preserve"> la falta de investigación, juzgamiento y sanción de todos los responsables, por parte de la justicia penal</w:t>
      </w:r>
      <w:r w:rsidR="006245BB" w:rsidRPr="00A073BE">
        <w:rPr>
          <w:color w:val="auto"/>
          <w:sz w:val="20"/>
          <w:szCs w:val="20"/>
          <w:lang w:val="es-ES_tradnl"/>
        </w:rPr>
        <w:t xml:space="preserve">; y (ii) la falta de investigación, </w:t>
      </w:r>
      <w:r w:rsidR="006245BB" w:rsidRPr="00A073BE">
        <w:rPr>
          <w:color w:val="auto"/>
          <w:sz w:val="20"/>
          <w:szCs w:val="20"/>
          <w:lang w:val="es-ES_tradnl"/>
        </w:rPr>
        <w:lastRenderedPageBreak/>
        <w:t>juzgamiento y sanción de todos los responsables del homicidio de Elcia González de Ávila</w:t>
      </w:r>
      <w:r w:rsidRPr="00A073BE">
        <w:rPr>
          <w:color w:val="auto"/>
          <w:sz w:val="20"/>
          <w:szCs w:val="20"/>
          <w:lang w:val="es-ES_tradnl"/>
        </w:rPr>
        <w:t>. El Estado, por su parte, no ha alegado que se haya incurrido en una falta de agotamiento o indebido agotamiento de los recursos domésticos.</w:t>
      </w:r>
      <w:r w:rsidR="006245BB" w:rsidRPr="00A073BE">
        <w:rPr>
          <w:color w:val="auto"/>
          <w:sz w:val="20"/>
          <w:szCs w:val="20"/>
          <w:lang w:val="es-ES_tradnl"/>
        </w:rPr>
        <w:t xml:space="preserve"> </w:t>
      </w:r>
    </w:p>
    <w:p w14:paraId="7DA49900" w14:textId="77777777" w:rsidR="00CB3F8F" w:rsidRPr="00A073BE" w:rsidRDefault="00CB3F8F" w:rsidP="00CB3F8F">
      <w:pPr>
        <w:pStyle w:val="ListParagraph"/>
        <w:jc w:val="both"/>
        <w:rPr>
          <w:color w:val="auto"/>
          <w:sz w:val="20"/>
          <w:szCs w:val="20"/>
          <w:lang w:val="es-ES_tradnl"/>
        </w:rPr>
      </w:pPr>
    </w:p>
    <w:p w14:paraId="1257520D" w14:textId="47C9684B" w:rsidR="006245BB" w:rsidRPr="00A073BE" w:rsidRDefault="000162A6" w:rsidP="00CB3F8F">
      <w:pPr>
        <w:pStyle w:val="ListParagraph"/>
        <w:numPr>
          <w:ilvl w:val="0"/>
          <w:numId w:val="63"/>
        </w:numPr>
        <w:ind w:left="0" w:firstLine="720"/>
        <w:jc w:val="both"/>
        <w:rPr>
          <w:color w:val="auto"/>
          <w:sz w:val="20"/>
          <w:szCs w:val="20"/>
          <w:lang w:val="es-ES_tradnl"/>
        </w:rPr>
      </w:pPr>
      <w:r w:rsidRPr="00A073BE">
        <w:rPr>
          <w:sz w:val="20"/>
          <w:szCs w:val="20"/>
          <w:lang w:val="es-ES_tradnl"/>
        </w:rPr>
        <w:t>L</w:t>
      </w:r>
      <w:r w:rsidR="00FD285B" w:rsidRPr="00A073BE">
        <w:rPr>
          <w:sz w:val="20"/>
          <w:szCs w:val="20"/>
          <w:lang w:val="es-ES_tradnl"/>
        </w:rPr>
        <w:t>a Comisión recuerda que toda vez que se cometa hechos que impliquen la violación del derecho a la vida y la integridad personal, el recurso idóneo que se debe agotar a nivel doméstico es la vía penal, mediante la realización oficiosa y diligente de investigaciones que permita esclarecer los hechos, juzgar a los responsables y establecer las sanciones penales correspondientes, además de posibilitar otros modos de reparación de tipo pecuniarios de conformidad con la Convención Americana</w:t>
      </w:r>
      <w:r w:rsidR="00CB3F8F" w:rsidRPr="00A073BE">
        <w:rPr>
          <w:rStyle w:val="FootnoteReference"/>
          <w:sz w:val="20"/>
          <w:szCs w:val="20"/>
          <w:bdr w:val="none" w:sz="0" w:space="0" w:color="auto" w:frame="1"/>
          <w:lang w:val="es-ES_tradnl"/>
        </w:rPr>
        <w:footnoteReference w:id="8"/>
      </w:r>
      <w:r w:rsidR="00FD285B" w:rsidRPr="00A073BE">
        <w:rPr>
          <w:color w:val="auto"/>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00CB3F8F" w:rsidRPr="00A073BE">
        <w:rPr>
          <w:rStyle w:val="FootnoteReference"/>
          <w:sz w:val="20"/>
          <w:szCs w:val="20"/>
          <w:bdr w:val="none" w:sz="0" w:space="0" w:color="auto" w:frame="1"/>
          <w:lang w:val="es-ES_tradnl"/>
        </w:rPr>
        <w:footnoteReference w:id="9"/>
      </w:r>
      <w:r w:rsidR="006245BB" w:rsidRPr="00A073BE">
        <w:rPr>
          <w:color w:val="auto"/>
          <w:sz w:val="20"/>
          <w:szCs w:val="20"/>
          <w:lang w:val="es-ES_tradnl"/>
        </w:rPr>
        <w:t xml:space="preserve">. </w:t>
      </w:r>
    </w:p>
    <w:p w14:paraId="3AF36556" w14:textId="77777777" w:rsidR="006245BB" w:rsidRPr="00A073BE" w:rsidRDefault="006245BB" w:rsidP="006245BB">
      <w:pPr>
        <w:pStyle w:val="ListParagraph"/>
        <w:rPr>
          <w:color w:val="auto"/>
          <w:sz w:val="20"/>
          <w:szCs w:val="20"/>
          <w:lang w:val="es-ES_tradnl"/>
        </w:rPr>
      </w:pPr>
    </w:p>
    <w:p w14:paraId="3AECC451" w14:textId="0DE08F0E" w:rsidR="00731CEA" w:rsidRPr="00A073BE" w:rsidRDefault="00151D88" w:rsidP="0065430C">
      <w:pPr>
        <w:pStyle w:val="ListParagraph"/>
        <w:numPr>
          <w:ilvl w:val="0"/>
          <w:numId w:val="63"/>
        </w:numPr>
        <w:ind w:left="0" w:firstLine="720"/>
        <w:jc w:val="both"/>
        <w:rPr>
          <w:bCs/>
          <w:color w:val="auto"/>
          <w:sz w:val="20"/>
          <w:szCs w:val="20"/>
          <w:lang w:val="es-ES_tradnl"/>
        </w:rPr>
      </w:pPr>
      <w:r w:rsidRPr="00A073BE">
        <w:rPr>
          <w:color w:val="auto"/>
          <w:sz w:val="20"/>
          <w:szCs w:val="20"/>
          <w:lang w:val="es-ES_tradnl"/>
        </w:rPr>
        <w:t>Con respecto a la muerte de Iván Henao, l</w:t>
      </w:r>
      <w:r w:rsidR="00E150F5" w:rsidRPr="00A073BE">
        <w:rPr>
          <w:color w:val="auto"/>
          <w:sz w:val="20"/>
          <w:szCs w:val="20"/>
          <w:lang w:val="es-ES_tradnl"/>
        </w:rPr>
        <w:t>a Comisión nota que es un hecho aceptado entre las partes que la investigación penal fue asumida</w:t>
      </w:r>
      <w:r w:rsidR="00FF7B6F" w:rsidRPr="00A073BE">
        <w:rPr>
          <w:color w:val="auto"/>
          <w:sz w:val="20"/>
          <w:szCs w:val="20"/>
          <w:lang w:val="es-ES_tradnl"/>
        </w:rPr>
        <w:t xml:space="preserve"> por la Fiscalía de Derechos Humanos</w:t>
      </w:r>
      <w:r w:rsidR="00A309E8" w:rsidRPr="00A073BE">
        <w:rPr>
          <w:color w:val="auto"/>
          <w:sz w:val="20"/>
          <w:szCs w:val="20"/>
          <w:lang w:val="es-ES_tradnl"/>
        </w:rPr>
        <w:t>,</w:t>
      </w:r>
      <w:r w:rsidR="00FF7B6F" w:rsidRPr="00A073BE">
        <w:rPr>
          <w:color w:val="auto"/>
          <w:sz w:val="20"/>
          <w:szCs w:val="20"/>
          <w:lang w:val="es-ES_tradnl"/>
        </w:rPr>
        <w:t xml:space="preserve"> y fueron acusados como responsables los soldados O.G.S, S.F.R y J.J.G.G, y al teniente G.A.G.B; </w:t>
      </w:r>
      <w:r w:rsidR="00FF7B6F" w:rsidRPr="00A073BE">
        <w:rPr>
          <w:bCs/>
          <w:color w:val="auto"/>
          <w:sz w:val="20"/>
          <w:szCs w:val="20"/>
          <w:lang w:val="es-ES_tradnl"/>
        </w:rPr>
        <w:t>todos miembros del Batallón 21 Vargas del Ejército Nacional</w:t>
      </w:r>
      <w:r w:rsidR="00E150F5" w:rsidRPr="00A073BE">
        <w:rPr>
          <w:color w:val="auto"/>
          <w:sz w:val="20"/>
          <w:szCs w:val="20"/>
          <w:lang w:val="es-ES_tradnl"/>
        </w:rPr>
        <w:t xml:space="preserve">. Según información presentada por </w:t>
      </w:r>
      <w:r w:rsidR="00FF7B6F" w:rsidRPr="00A073BE">
        <w:rPr>
          <w:color w:val="auto"/>
          <w:sz w:val="20"/>
          <w:szCs w:val="20"/>
          <w:lang w:val="es-ES_tradnl"/>
        </w:rPr>
        <w:t>el Estado y no controvertida por la parte peticionaria</w:t>
      </w:r>
      <w:r w:rsidR="00E150F5" w:rsidRPr="00A073BE">
        <w:rPr>
          <w:color w:val="auto"/>
          <w:sz w:val="20"/>
          <w:szCs w:val="20"/>
          <w:lang w:val="es-ES_tradnl"/>
        </w:rPr>
        <w:t xml:space="preserve">, </w:t>
      </w:r>
      <w:r w:rsidR="00D946EA" w:rsidRPr="00A073BE">
        <w:rPr>
          <w:color w:val="auto"/>
          <w:sz w:val="20"/>
          <w:szCs w:val="20"/>
          <w:lang w:val="es-ES_tradnl"/>
        </w:rPr>
        <w:t xml:space="preserve">el Juzgado Promiscuo del Circuito de San Martín profirió sentencia absolutoria </w:t>
      </w:r>
      <w:r w:rsidR="00BE4B03" w:rsidRPr="00A073BE">
        <w:rPr>
          <w:color w:val="auto"/>
          <w:sz w:val="20"/>
          <w:szCs w:val="20"/>
          <w:lang w:val="es-ES_tradnl"/>
        </w:rPr>
        <w:t>en relación con</w:t>
      </w:r>
      <w:r w:rsidR="00D946EA" w:rsidRPr="00A073BE">
        <w:rPr>
          <w:color w:val="auto"/>
          <w:sz w:val="20"/>
          <w:szCs w:val="20"/>
          <w:lang w:val="es-ES_tradnl"/>
        </w:rPr>
        <w:t xml:space="preserve"> los cuatro agentes acusados el 26 de septiembre de 2006</w:t>
      </w:r>
      <w:r w:rsidR="00A309E8" w:rsidRPr="00A073BE">
        <w:rPr>
          <w:color w:val="auto"/>
          <w:sz w:val="20"/>
          <w:szCs w:val="20"/>
          <w:lang w:val="es-ES_tradnl"/>
        </w:rPr>
        <w:t>;</w:t>
      </w:r>
      <w:r w:rsidR="00D946EA" w:rsidRPr="00A073BE">
        <w:rPr>
          <w:color w:val="auto"/>
          <w:sz w:val="20"/>
          <w:szCs w:val="20"/>
          <w:lang w:val="es-ES_tradnl"/>
        </w:rPr>
        <w:t xml:space="preserve"> sentencia que luego fue revocada por el Tribunal Superior del Distrito Judicial de Villavicencio</w:t>
      </w:r>
      <w:r w:rsidR="00A309E8" w:rsidRPr="00A073BE">
        <w:rPr>
          <w:color w:val="auto"/>
          <w:sz w:val="20"/>
          <w:szCs w:val="20"/>
          <w:lang w:val="es-ES_tradnl"/>
        </w:rPr>
        <w:t>,</w:t>
      </w:r>
      <w:r w:rsidR="00D946EA" w:rsidRPr="00A073BE">
        <w:rPr>
          <w:color w:val="auto"/>
          <w:sz w:val="20"/>
          <w:szCs w:val="20"/>
          <w:lang w:val="es-ES_tradnl"/>
        </w:rPr>
        <w:t xml:space="preserve"> mediante sentencia del 11 de junio de 2011 que condenó </w:t>
      </w:r>
      <w:r w:rsidR="00DE4D16" w:rsidRPr="00A073BE">
        <w:rPr>
          <w:color w:val="auto"/>
          <w:sz w:val="20"/>
          <w:szCs w:val="20"/>
          <w:lang w:val="es-ES_tradnl"/>
        </w:rPr>
        <w:t xml:space="preserve">a los acusados </w:t>
      </w:r>
      <w:r w:rsidR="00D946EA" w:rsidRPr="00A073BE">
        <w:rPr>
          <w:color w:val="auto"/>
          <w:sz w:val="20"/>
          <w:szCs w:val="20"/>
          <w:lang w:val="es-ES_tradnl"/>
        </w:rPr>
        <w:t xml:space="preserve">por el delito de homicidio agravado. En tal sentido, la Comisión observa que </w:t>
      </w:r>
      <w:r w:rsidR="00BE4B03" w:rsidRPr="00A073BE">
        <w:rPr>
          <w:color w:val="auto"/>
          <w:sz w:val="20"/>
          <w:szCs w:val="20"/>
          <w:lang w:val="es-ES_tradnl"/>
        </w:rPr>
        <w:t>de acuerdo con el</w:t>
      </w:r>
      <w:r w:rsidR="00D946EA" w:rsidRPr="00A073BE">
        <w:rPr>
          <w:color w:val="auto"/>
          <w:sz w:val="20"/>
          <w:szCs w:val="20"/>
          <w:lang w:val="es-ES_tradnl"/>
        </w:rPr>
        <w:t xml:space="preserve"> escrito del Estado, la Sala de Casación Penal de la Corte Suprema de Justicia desestimó recurso de casación presentado por la defensa de los condenados</w:t>
      </w:r>
      <w:r w:rsidR="00DE4D16" w:rsidRPr="00A073BE">
        <w:rPr>
          <w:color w:val="auto"/>
          <w:sz w:val="20"/>
          <w:szCs w:val="20"/>
          <w:lang w:val="es-ES_tradnl"/>
        </w:rPr>
        <w:t>,</w:t>
      </w:r>
      <w:r w:rsidR="00D946EA" w:rsidRPr="00A073BE">
        <w:rPr>
          <w:color w:val="auto"/>
          <w:sz w:val="20"/>
          <w:szCs w:val="20"/>
          <w:lang w:val="es-ES_tradnl"/>
        </w:rPr>
        <w:t xml:space="preserve"> mediante sentencia del 6 de febrero de 2013</w:t>
      </w:r>
      <w:r w:rsidR="00232C54" w:rsidRPr="00A073BE">
        <w:rPr>
          <w:color w:val="auto"/>
          <w:sz w:val="20"/>
          <w:szCs w:val="20"/>
          <w:lang w:val="es-ES_tradnl"/>
        </w:rPr>
        <w:t xml:space="preserve">; </w:t>
      </w:r>
      <w:r w:rsidR="00DE4D16" w:rsidRPr="00A073BE">
        <w:rPr>
          <w:color w:val="auto"/>
          <w:sz w:val="20"/>
          <w:szCs w:val="20"/>
          <w:lang w:val="es-ES_tradnl"/>
        </w:rPr>
        <w:t>por lo que</w:t>
      </w:r>
      <w:r w:rsidR="00232C54" w:rsidRPr="00A073BE">
        <w:rPr>
          <w:color w:val="auto"/>
          <w:sz w:val="20"/>
          <w:szCs w:val="20"/>
          <w:lang w:val="es-ES_tradnl"/>
        </w:rPr>
        <w:t xml:space="preserve"> actualmente las </w:t>
      </w:r>
      <w:r w:rsidR="00DE4D16" w:rsidRPr="00A073BE">
        <w:rPr>
          <w:color w:val="auto"/>
          <w:sz w:val="20"/>
          <w:szCs w:val="20"/>
          <w:lang w:val="es-ES_tradnl"/>
        </w:rPr>
        <w:t xml:space="preserve">mencionadas </w:t>
      </w:r>
      <w:r w:rsidR="00232C54" w:rsidRPr="00A073BE">
        <w:rPr>
          <w:color w:val="auto"/>
          <w:sz w:val="20"/>
          <w:szCs w:val="20"/>
          <w:lang w:val="es-ES_tradnl"/>
        </w:rPr>
        <w:t xml:space="preserve">condenas </w:t>
      </w:r>
      <w:r w:rsidR="00D946EA" w:rsidRPr="00A073BE">
        <w:rPr>
          <w:color w:val="auto"/>
          <w:sz w:val="20"/>
          <w:szCs w:val="20"/>
          <w:lang w:val="es-ES_tradnl"/>
        </w:rPr>
        <w:t>est</w:t>
      </w:r>
      <w:r w:rsidR="00232C54" w:rsidRPr="00A073BE">
        <w:rPr>
          <w:color w:val="auto"/>
          <w:sz w:val="20"/>
          <w:szCs w:val="20"/>
          <w:lang w:val="es-ES_tradnl"/>
        </w:rPr>
        <w:t xml:space="preserve">arían </w:t>
      </w:r>
      <w:r w:rsidR="00D946EA" w:rsidRPr="00A073BE">
        <w:rPr>
          <w:color w:val="auto"/>
          <w:sz w:val="20"/>
          <w:szCs w:val="20"/>
          <w:lang w:val="es-ES_tradnl"/>
        </w:rPr>
        <w:t>firm</w:t>
      </w:r>
      <w:r w:rsidR="00232C54" w:rsidRPr="00A073BE">
        <w:rPr>
          <w:color w:val="auto"/>
          <w:sz w:val="20"/>
          <w:szCs w:val="20"/>
          <w:lang w:val="es-ES_tradnl"/>
        </w:rPr>
        <w:t>es</w:t>
      </w:r>
      <w:r w:rsidR="00D946EA" w:rsidRPr="00A073BE">
        <w:rPr>
          <w:color w:val="auto"/>
          <w:sz w:val="20"/>
          <w:szCs w:val="20"/>
          <w:lang w:val="es-ES_tradnl"/>
        </w:rPr>
        <w:t xml:space="preserve">. </w:t>
      </w:r>
    </w:p>
    <w:p w14:paraId="7ADCC27B" w14:textId="77777777" w:rsidR="008B3F9E" w:rsidRPr="00A073BE" w:rsidRDefault="008B3F9E" w:rsidP="008B3F9E">
      <w:pPr>
        <w:jc w:val="both"/>
        <w:rPr>
          <w:bCs/>
          <w:sz w:val="20"/>
          <w:szCs w:val="20"/>
          <w:lang w:val="es-ES_tradnl"/>
        </w:rPr>
      </w:pPr>
    </w:p>
    <w:p w14:paraId="28A91764" w14:textId="6AB868DA" w:rsidR="00731CEA" w:rsidRPr="00A073BE" w:rsidRDefault="008B3F9E" w:rsidP="008B3F9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A073BE">
        <w:rPr>
          <w:color w:val="auto"/>
          <w:sz w:val="20"/>
          <w:szCs w:val="20"/>
          <w:lang w:val="es-ES_tradnl"/>
        </w:rPr>
        <w:t>Con respecto a este proceso, l</w:t>
      </w:r>
      <w:r w:rsidR="00CC6904" w:rsidRPr="00A073BE">
        <w:rPr>
          <w:color w:val="auto"/>
          <w:sz w:val="20"/>
          <w:szCs w:val="20"/>
          <w:lang w:val="es-ES_tradnl"/>
        </w:rPr>
        <w:t xml:space="preserve">a Comisión </w:t>
      </w:r>
      <w:r w:rsidRPr="00A073BE">
        <w:rPr>
          <w:color w:val="auto"/>
          <w:sz w:val="20"/>
          <w:szCs w:val="20"/>
          <w:lang w:val="es-ES_tradnl"/>
        </w:rPr>
        <w:t xml:space="preserve">observa que la parte peticionaria no ha aportado información que permita observar que aún haya trámites o decisiones pendientes cuya conclusión corresponda a las autoridades estatales. Por el contrario, el Estado sí ha aportado información concreta respecto de la finalización de este proceso, que dio como resultado la condena en firme de un grupo de militares. Por lo tanto, </w:t>
      </w:r>
      <w:r w:rsidR="00E150F5" w:rsidRPr="00A073BE">
        <w:rPr>
          <w:sz w:val="20"/>
          <w:szCs w:val="20"/>
          <w:lang w:val="es-ES_tradnl"/>
        </w:rPr>
        <w:t xml:space="preserve">la Comisión concluye que, en efecto, la presente petición cumple formalmente con el requisito de agotamiento de los recursos internos establecido en el artículo 46.1.a) de la Convención Americana, </w:t>
      </w:r>
      <w:r w:rsidR="00731CEA" w:rsidRPr="00A073BE">
        <w:rPr>
          <w:sz w:val="20"/>
          <w:szCs w:val="20"/>
          <w:lang w:val="es-ES_tradnl"/>
        </w:rPr>
        <w:t>con respecto a la ejecución extrajudicial de Iván Henao Sanabria</w:t>
      </w:r>
      <w:r w:rsidRPr="00A073BE">
        <w:rPr>
          <w:sz w:val="20"/>
          <w:szCs w:val="20"/>
          <w:lang w:val="es-ES_tradnl"/>
        </w:rPr>
        <w:t>,</w:t>
      </w:r>
      <w:r w:rsidR="00731CEA" w:rsidRPr="00A073BE">
        <w:rPr>
          <w:sz w:val="20"/>
          <w:szCs w:val="20"/>
          <w:lang w:val="es-ES_tradnl"/>
        </w:rPr>
        <w:t xml:space="preserve"> </w:t>
      </w:r>
      <w:r w:rsidR="00E150F5" w:rsidRPr="00A073BE">
        <w:rPr>
          <w:sz w:val="20"/>
          <w:szCs w:val="20"/>
          <w:lang w:val="es-ES_tradnl"/>
        </w:rPr>
        <w:t>en el entendido de que la vía judicial correspondiente fue la vía penal</w:t>
      </w:r>
      <w:r w:rsidRPr="00A073BE">
        <w:rPr>
          <w:sz w:val="20"/>
          <w:szCs w:val="20"/>
          <w:lang w:val="es-ES_tradnl"/>
        </w:rPr>
        <w:t>,</w:t>
      </w:r>
      <w:r w:rsidR="00E150F5" w:rsidRPr="00A073BE">
        <w:rPr>
          <w:sz w:val="20"/>
          <w:szCs w:val="20"/>
          <w:lang w:val="es-ES_tradnl"/>
        </w:rPr>
        <w:t xml:space="preserve"> que concluyó con las condenas en dos instancias proferidas en la justicia penal ordinaria contra los militares responsables de su muerte.</w:t>
      </w:r>
    </w:p>
    <w:p w14:paraId="1555D263" w14:textId="2ED6335F" w:rsidR="000A3EAD" w:rsidRPr="00A073BE" w:rsidRDefault="000A3EAD" w:rsidP="000A3EA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_tradnl"/>
        </w:rPr>
      </w:pPr>
    </w:p>
    <w:p w14:paraId="7067ADF3" w14:textId="402AD095" w:rsidR="002F3009" w:rsidRPr="00A073BE" w:rsidRDefault="008B3F9E" w:rsidP="00F66F1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bCs/>
          <w:color w:val="auto"/>
          <w:sz w:val="20"/>
          <w:szCs w:val="20"/>
          <w:lang w:val="es-ES_tradnl"/>
        </w:rPr>
      </w:pPr>
      <w:r w:rsidRPr="00A073BE">
        <w:rPr>
          <w:color w:val="auto"/>
          <w:sz w:val="20"/>
          <w:szCs w:val="20"/>
          <w:lang w:val="es-ES_tradnl"/>
        </w:rPr>
        <w:t>Igualmente, c</w:t>
      </w:r>
      <w:r w:rsidR="000A3EAD" w:rsidRPr="00A073BE">
        <w:rPr>
          <w:color w:val="auto"/>
          <w:sz w:val="20"/>
          <w:szCs w:val="20"/>
          <w:lang w:val="es-ES_tradnl"/>
        </w:rPr>
        <w:t xml:space="preserve">on respecto a la muerte de Elcia González de Ávila, </w:t>
      </w:r>
      <w:r w:rsidR="009930A6" w:rsidRPr="00A073BE">
        <w:rPr>
          <w:color w:val="auto"/>
          <w:sz w:val="20"/>
          <w:szCs w:val="20"/>
          <w:lang w:val="es-ES_tradnl"/>
        </w:rPr>
        <w:t>la Comisión observa que</w:t>
      </w:r>
      <w:r w:rsidRPr="00A073BE">
        <w:rPr>
          <w:color w:val="auto"/>
          <w:sz w:val="20"/>
          <w:szCs w:val="20"/>
          <w:lang w:val="es-ES_tradnl"/>
        </w:rPr>
        <w:t xml:space="preserve"> </w:t>
      </w:r>
      <w:r w:rsidR="009930A6" w:rsidRPr="00A073BE">
        <w:rPr>
          <w:color w:val="auto"/>
          <w:sz w:val="20"/>
          <w:szCs w:val="20"/>
          <w:lang w:val="es-ES_tradnl"/>
        </w:rPr>
        <w:t xml:space="preserve">las partes concuerdan </w:t>
      </w:r>
      <w:r w:rsidRPr="00A073BE">
        <w:rPr>
          <w:color w:val="auto"/>
          <w:sz w:val="20"/>
          <w:szCs w:val="20"/>
          <w:lang w:val="es-ES_tradnl"/>
        </w:rPr>
        <w:t xml:space="preserve">en </w:t>
      </w:r>
      <w:r w:rsidR="009930A6" w:rsidRPr="00A073BE">
        <w:rPr>
          <w:color w:val="auto"/>
          <w:sz w:val="20"/>
          <w:szCs w:val="20"/>
          <w:lang w:val="es-ES_tradnl"/>
        </w:rPr>
        <w:t xml:space="preserve">que </w:t>
      </w:r>
      <w:r w:rsidR="009930A6" w:rsidRPr="00A073BE">
        <w:rPr>
          <w:bCs/>
          <w:color w:val="auto"/>
          <w:sz w:val="20"/>
          <w:szCs w:val="20"/>
          <w:lang w:val="es-ES_tradnl"/>
        </w:rPr>
        <w:t>la investigación penal inició de oficio a cargo de la Fiscalía 21 Seccional de Villavicencio</w:t>
      </w:r>
      <w:r w:rsidRPr="00A073BE">
        <w:rPr>
          <w:bCs/>
          <w:color w:val="auto"/>
          <w:sz w:val="20"/>
          <w:szCs w:val="20"/>
          <w:lang w:val="es-ES_tradnl"/>
        </w:rPr>
        <w:t>;</w:t>
      </w:r>
      <w:r w:rsidR="009930A6" w:rsidRPr="00A073BE">
        <w:rPr>
          <w:bCs/>
          <w:color w:val="auto"/>
          <w:sz w:val="20"/>
          <w:szCs w:val="20"/>
          <w:lang w:val="es-ES_tradnl"/>
        </w:rPr>
        <w:t xml:space="preserve"> qu</w:t>
      </w:r>
      <w:r w:rsidRPr="00A073BE">
        <w:rPr>
          <w:bCs/>
          <w:color w:val="auto"/>
          <w:sz w:val="20"/>
          <w:szCs w:val="20"/>
          <w:lang w:val="es-ES_tradnl"/>
        </w:rPr>
        <w:t>e</w:t>
      </w:r>
      <w:r w:rsidR="009930A6" w:rsidRPr="00A073BE">
        <w:rPr>
          <w:bCs/>
          <w:color w:val="auto"/>
          <w:sz w:val="20"/>
          <w:szCs w:val="20"/>
          <w:lang w:val="es-ES_tradnl"/>
        </w:rPr>
        <w:t xml:space="preserve"> el 23 de noviembre de 2006 dictó resolución inhibitoria </w:t>
      </w:r>
      <w:r w:rsidR="009930A6" w:rsidRPr="00A073BE">
        <w:rPr>
          <w:color w:val="auto"/>
          <w:sz w:val="20"/>
          <w:szCs w:val="20"/>
          <w:lang w:val="es-ES_tradnl"/>
        </w:rPr>
        <w:t xml:space="preserve">al no poder establecer </w:t>
      </w:r>
      <w:r w:rsidRPr="00A073BE">
        <w:rPr>
          <w:color w:val="auto"/>
          <w:sz w:val="20"/>
          <w:szCs w:val="20"/>
          <w:lang w:val="es-ES_tradnl"/>
        </w:rPr>
        <w:t xml:space="preserve">a </w:t>
      </w:r>
      <w:r w:rsidR="009930A6" w:rsidRPr="00A073BE">
        <w:rPr>
          <w:color w:val="auto"/>
          <w:sz w:val="20"/>
          <w:szCs w:val="20"/>
          <w:lang w:val="es-ES_tradnl"/>
        </w:rPr>
        <w:t>los responsables de la conducta delictiva</w:t>
      </w:r>
      <w:r w:rsidR="009930A6" w:rsidRPr="00A073BE">
        <w:rPr>
          <w:bCs/>
          <w:color w:val="auto"/>
          <w:sz w:val="20"/>
          <w:szCs w:val="20"/>
          <w:lang w:val="es-ES_tradnl"/>
        </w:rPr>
        <w:t xml:space="preserve">. </w:t>
      </w:r>
      <w:r w:rsidR="008710A0" w:rsidRPr="00A073BE">
        <w:rPr>
          <w:bCs/>
          <w:color w:val="auto"/>
          <w:sz w:val="20"/>
          <w:szCs w:val="20"/>
          <w:lang w:val="es-ES_tradnl"/>
        </w:rPr>
        <w:t xml:space="preserve">En este sentido, la Comisión entiende que el proceso penal </w:t>
      </w:r>
      <w:r w:rsidR="009930A6" w:rsidRPr="00A073BE">
        <w:rPr>
          <w:color w:val="auto"/>
          <w:sz w:val="20"/>
          <w:szCs w:val="20"/>
          <w:lang w:val="es-ES_tradnl"/>
        </w:rPr>
        <w:t>se encuentra archivado</w:t>
      </w:r>
      <w:r w:rsidR="008710A0" w:rsidRPr="00A073BE">
        <w:rPr>
          <w:color w:val="auto"/>
          <w:sz w:val="20"/>
          <w:szCs w:val="20"/>
          <w:lang w:val="es-ES_tradnl"/>
        </w:rPr>
        <w:t>.</w:t>
      </w:r>
      <w:r w:rsidR="00E5116A" w:rsidRPr="00A073BE">
        <w:rPr>
          <w:color w:val="auto"/>
          <w:sz w:val="20"/>
          <w:szCs w:val="20"/>
          <w:lang w:val="es-ES_tradnl"/>
        </w:rPr>
        <w:t xml:space="preserve"> </w:t>
      </w:r>
    </w:p>
    <w:p w14:paraId="54892CED" w14:textId="77777777" w:rsidR="002F3009" w:rsidRPr="00A073BE" w:rsidRDefault="002F3009" w:rsidP="002F3009">
      <w:pPr>
        <w:pStyle w:val="ListParagraph"/>
        <w:rPr>
          <w:color w:val="auto"/>
          <w:sz w:val="20"/>
          <w:szCs w:val="20"/>
          <w:lang w:val="es-ES_tradnl"/>
        </w:rPr>
      </w:pPr>
    </w:p>
    <w:p w14:paraId="606307C6" w14:textId="2FFEBE21" w:rsidR="007455DE" w:rsidRPr="001D200D" w:rsidRDefault="008B3F9E" w:rsidP="001D200D">
      <w:pPr>
        <w:pStyle w:val="ListParagraph"/>
        <w:numPr>
          <w:ilvl w:val="0"/>
          <w:numId w:val="63"/>
        </w:numPr>
        <w:ind w:left="0" w:firstLine="720"/>
        <w:jc w:val="both"/>
        <w:rPr>
          <w:bCs/>
          <w:color w:val="FF0000"/>
          <w:sz w:val="20"/>
          <w:szCs w:val="20"/>
          <w:lang w:val="es-ES_tradnl"/>
        </w:rPr>
      </w:pPr>
      <w:r w:rsidRPr="00A073BE">
        <w:rPr>
          <w:color w:val="auto"/>
          <w:sz w:val="20"/>
          <w:szCs w:val="20"/>
          <w:lang w:val="es-ES_tradnl"/>
        </w:rPr>
        <w:t>D</w:t>
      </w:r>
      <w:r w:rsidR="0080546C" w:rsidRPr="00A073BE">
        <w:rPr>
          <w:color w:val="auto"/>
          <w:sz w:val="20"/>
          <w:szCs w:val="20"/>
          <w:lang w:val="es-ES_tradnl"/>
        </w:rPr>
        <w:t xml:space="preserve">e acuerdo con la información presentada por el Estado, </w:t>
      </w:r>
      <w:r w:rsidR="00A073BE" w:rsidRPr="00A073BE">
        <w:rPr>
          <w:color w:val="auto"/>
          <w:sz w:val="20"/>
          <w:szCs w:val="20"/>
          <w:lang w:val="es-ES_tradnl"/>
        </w:rPr>
        <w:t>esta</w:t>
      </w:r>
      <w:r w:rsidR="009B1877" w:rsidRPr="00A073BE">
        <w:rPr>
          <w:color w:val="auto"/>
          <w:sz w:val="20"/>
          <w:szCs w:val="20"/>
          <w:lang w:val="es-ES_tradnl"/>
        </w:rPr>
        <w:t xml:space="preserve"> decisión inhibitoria dictada </w:t>
      </w:r>
      <w:r w:rsidR="0080546C" w:rsidRPr="00A073BE">
        <w:rPr>
          <w:color w:val="auto"/>
          <w:sz w:val="20"/>
          <w:szCs w:val="20"/>
          <w:lang w:val="es-ES_tradnl"/>
        </w:rPr>
        <w:t xml:space="preserve">el 23 de noviembre de 2006 </w:t>
      </w:r>
      <w:r w:rsidR="009B1877" w:rsidRPr="00A073BE">
        <w:rPr>
          <w:color w:val="auto"/>
          <w:sz w:val="20"/>
          <w:szCs w:val="20"/>
          <w:lang w:val="es-ES_tradnl"/>
        </w:rPr>
        <w:t xml:space="preserve">no fue controvertida, y a la fecha se encuentra en firme. </w:t>
      </w:r>
      <w:r w:rsidR="00CB3F8F" w:rsidRPr="00A073BE">
        <w:rPr>
          <w:bCs/>
          <w:color w:val="auto"/>
          <w:sz w:val="20"/>
          <w:szCs w:val="20"/>
          <w:lang w:val="es-ES_tradnl"/>
        </w:rPr>
        <w:t xml:space="preserve">Al respecto, </w:t>
      </w:r>
      <w:r w:rsidR="002F3009" w:rsidRPr="00A073BE">
        <w:rPr>
          <w:bCs/>
          <w:color w:val="auto"/>
          <w:sz w:val="20"/>
          <w:szCs w:val="20"/>
          <w:lang w:val="es-ES_tradnl"/>
        </w:rPr>
        <w:t xml:space="preserve">la Comisión observa </w:t>
      </w:r>
      <w:r w:rsidR="00CB3F8F" w:rsidRPr="00A073BE">
        <w:rPr>
          <w:bCs/>
          <w:color w:val="auto"/>
          <w:sz w:val="20"/>
          <w:szCs w:val="20"/>
          <w:lang w:val="es-ES_tradnl"/>
        </w:rPr>
        <w:t xml:space="preserve">que la parte peticionaria </w:t>
      </w:r>
      <w:r w:rsidR="002F3009" w:rsidRPr="00A073BE">
        <w:rPr>
          <w:bCs/>
          <w:color w:val="auto"/>
          <w:sz w:val="20"/>
          <w:szCs w:val="20"/>
          <w:lang w:val="es-ES_tradnl"/>
        </w:rPr>
        <w:t xml:space="preserve">se limita a </w:t>
      </w:r>
      <w:r w:rsidR="00CB3F8F" w:rsidRPr="00A073BE">
        <w:rPr>
          <w:bCs/>
          <w:color w:val="auto"/>
          <w:sz w:val="20"/>
          <w:szCs w:val="20"/>
          <w:lang w:val="es-ES_tradnl"/>
        </w:rPr>
        <w:t>present</w:t>
      </w:r>
      <w:r w:rsidR="002F3009" w:rsidRPr="00A073BE">
        <w:rPr>
          <w:bCs/>
          <w:color w:val="auto"/>
          <w:sz w:val="20"/>
          <w:szCs w:val="20"/>
          <w:lang w:val="es-ES_tradnl"/>
        </w:rPr>
        <w:t xml:space="preserve">ar copias de </w:t>
      </w:r>
      <w:r w:rsidR="00CB3F8F" w:rsidRPr="00A073BE">
        <w:rPr>
          <w:bCs/>
          <w:color w:val="auto"/>
          <w:sz w:val="20"/>
          <w:szCs w:val="20"/>
          <w:lang w:val="es-ES_tradnl"/>
        </w:rPr>
        <w:t>un derecho de petición a la Dirección Seccional de Fiscalías en relación con el radicado No. 118.200, sobre el cual obtuvo como respuesta el 8 de febrero de 2011, información sobre la decisión inhibitoria y sobre la imposibilidad por parte de la Fiscalía 21 Seccional de establecer relación entre los homicidios a pesar de haber investigado esa hipótesis</w:t>
      </w:r>
      <w:r w:rsidR="002F3009" w:rsidRPr="00A073BE">
        <w:rPr>
          <w:bCs/>
          <w:color w:val="auto"/>
          <w:sz w:val="20"/>
          <w:szCs w:val="20"/>
          <w:lang w:val="es-ES_tradnl"/>
        </w:rPr>
        <w:t xml:space="preserve">. En tal sentido, </w:t>
      </w:r>
      <w:r w:rsidR="002F3009" w:rsidRPr="00A073BE">
        <w:rPr>
          <w:color w:val="auto"/>
          <w:sz w:val="20"/>
          <w:szCs w:val="20"/>
          <w:lang w:val="es-ES_tradnl"/>
        </w:rPr>
        <w:t xml:space="preserve">la Comisión advierte que, si bien la parte peticionaria cuestiona de manera muy </w:t>
      </w:r>
      <w:r w:rsidR="007455DE" w:rsidRPr="00A073BE">
        <w:rPr>
          <w:color w:val="auto"/>
          <w:sz w:val="20"/>
          <w:szCs w:val="20"/>
          <w:lang w:val="es-ES_tradnl"/>
        </w:rPr>
        <w:t xml:space="preserve">sucinta </w:t>
      </w:r>
      <w:r w:rsidR="002F3009" w:rsidRPr="00A073BE">
        <w:rPr>
          <w:color w:val="auto"/>
          <w:sz w:val="20"/>
          <w:szCs w:val="20"/>
          <w:lang w:val="es-ES_tradnl"/>
        </w:rPr>
        <w:t xml:space="preserve">que la fiscalía falló en esclarecer el suceso y </w:t>
      </w:r>
      <w:r w:rsidR="002F3009" w:rsidRPr="00A073BE">
        <w:rPr>
          <w:bCs/>
          <w:color w:val="auto"/>
          <w:sz w:val="20"/>
          <w:szCs w:val="20"/>
          <w:lang w:val="es-ES_tradnl"/>
        </w:rPr>
        <w:t xml:space="preserve">no ha vinculado la muerte de Elcia González con </w:t>
      </w:r>
      <w:r w:rsidR="007455DE" w:rsidRPr="00A073BE">
        <w:rPr>
          <w:bCs/>
          <w:color w:val="auto"/>
          <w:sz w:val="20"/>
          <w:szCs w:val="20"/>
          <w:lang w:val="es-ES_tradnl"/>
        </w:rPr>
        <w:t xml:space="preserve">los hechos ocurridos en contra </w:t>
      </w:r>
      <w:r w:rsidR="002F3009" w:rsidRPr="00A073BE">
        <w:rPr>
          <w:bCs/>
          <w:color w:val="auto"/>
          <w:sz w:val="20"/>
          <w:szCs w:val="20"/>
          <w:lang w:val="es-ES_tradnl"/>
        </w:rPr>
        <w:t>de Iván Henao</w:t>
      </w:r>
      <w:r w:rsidR="002F3009" w:rsidRPr="00A073BE">
        <w:rPr>
          <w:color w:val="auto"/>
          <w:sz w:val="20"/>
          <w:szCs w:val="20"/>
          <w:lang w:val="es-ES_tradnl"/>
        </w:rPr>
        <w:t xml:space="preserve">, </w:t>
      </w:r>
      <w:r w:rsidR="007455DE" w:rsidRPr="00A073BE">
        <w:rPr>
          <w:color w:val="auto"/>
          <w:sz w:val="20"/>
          <w:szCs w:val="20"/>
          <w:lang w:val="es-ES_tradnl"/>
        </w:rPr>
        <w:t xml:space="preserve">no presenta información específica que permitan entender que la familia de Elcia González haya utilizado algún medio para impugnar o revocar el auto inhibitorio proferido por la fiscalía, o que hayan sido impedida de </w:t>
      </w:r>
      <w:r w:rsidR="007455DE" w:rsidRPr="00A073BE">
        <w:rPr>
          <w:color w:val="auto"/>
          <w:sz w:val="20"/>
          <w:szCs w:val="20"/>
          <w:lang w:val="es-ES_tradnl"/>
        </w:rPr>
        <w:lastRenderedPageBreak/>
        <w:t>hacerlo</w:t>
      </w:r>
      <w:r w:rsidR="002F3009" w:rsidRPr="00A073BE">
        <w:rPr>
          <w:color w:val="auto"/>
          <w:sz w:val="20"/>
          <w:szCs w:val="20"/>
          <w:lang w:val="es-ES_tradnl"/>
        </w:rPr>
        <w:t xml:space="preserve">. </w:t>
      </w:r>
      <w:r w:rsidR="007455DE" w:rsidRPr="001D200D">
        <w:rPr>
          <w:sz w:val="20"/>
          <w:szCs w:val="20"/>
          <w:bdr w:val="none" w:sz="0" w:space="0" w:color="auto" w:frame="1"/>
          <w:lang w:val="es-ES_tradnl"/>
        </w:rPr>
        <w:t>En este sentido, la Comisión considera que</w:t>
      </w:r>
      <w:r w:rsidR="00A073BE" w:rsidRPr="001D200D">
        <w:rPr>
          <w:sz w:val="20"/>
          <w:szCs w:val="20"/>
          <w:bdr w:val="none" w:sz="0" w:space="0" w:color="auto" w:frame="1"/>
          <w:lang w:val="es-ES_tradnl"/>
        </w:rPr>
        <w:t xml:space="preserve"> la parte peticionaria no ha aportado elementos concretos que permitan establecer que intentó agotar algún medio impugnatorio contra la decisión de archivo de la investigación o la imposibilidad de hacerlo, en los términos del </w:t>
      </w:r>
      <w:r w:rsidR="007455DE" w:rsidRPr="001D200D">
        <w:rPr>
          <w:sz w:val="20"/>
          <w:szCs w:val="20"/>
          <w:bdr w:val="none" w:sz="0" w:space="0" w:color="auto" w:frame="1"/>
          <w:lang w:val="es-ES_tradnl"/>
        </w:rPr>
        <w:t>artículo 46.1.a) de la Convención Americana.</w:t>
      </w:r>
    </w:p>
    <w:p w14:paraId="6FA94773" w14:textId="77777777" w:rsidR="00CB3F8F" w:rsidRPr="00A073BE" w:rsidRDefault="00CB3F8F" w:rsidP="007455DE">
      <w:pPr>
        <w:pStyle w:val="ListParagraph"/>
        <w:rPr>
          <w:bCs/>
          <w:color w:val="FF0000"/>
          <w:sz w:val="20"/>
          <w:szCs w:val="20"/>
          <w:lang w:val="es-ES_tradnl"/>
        </w:rPr>
      </w:pPr>
    </w:p>
    <w:p w14:paraId="01DE6A77" w14:textId="00E9BD71" w:rsidR="00AB668B" w:rsidRPr="00A073BE" w:rsidRDefault="00E150F5" w:rsidP="006446B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A073BE">
        <w:rPr>
          <w:color w:val="auto"/>
          <w:sz w:val="20"/>
          <w:szCs w:val="20"/>
          <w:lang w:val="es-ES_tradnl"/>
        </w:rPr>
        <w:t xml:space="preserve">Por otro lado, la Comisión observa que la parte peticionaria menciona un proceso contencioso-administrativo de reparación directa. Al respecto, es aceptado por las partes que la familia de la presunta víctima interpuso una demanda de reparación directa la cual fue resuelta mediante </w:t>
      </w:r>
      <w:r w:rsidR="00AB668B" w:rsidRPr="00A073BE">
        <w:rPr>
          <w:color w:val="auto"/>
          <w:sz w:val="20"/>
          <w:szCs w:val="20"/>
          <w:lang w:val="es-ES_tradnl"/>
        </w:rPr>
        <w:t>la sentencia de la Sala de Decisión del Tribunal Contencioso Administrativo del Meta el 8 de noviembre de 2006</w:t>
      </w:r>
      <w:r w:rsidRPr="00A073BE">
        <w:rPr>
          <w:color w:val="auto"/>
          <w:sz w:val="20"/>
          <w:szCs w:val="20"/>
          <w:lang w:val="es-ES_tradnl"/>
        </w:rPr>
        <w:t>; y</w:t>
      </w:r>
      <w:r w:rsidR="00AB668B" w:rsidRPr="00A073BE">
        <w:rPr>
          <w:color w:val="auto"/>
          <w:sz w:val="20"/>
          <w:szCs w:val="20"/>
          <w:lang w:val="es-ES_tradnl"/>
        </w:rPr>
        <w:t xml:space="preserve">, de acuerdo a la información presentada por el Estado y no controvertida por la parte peticionaria, </w:t>
      </w:r>
      <w:r w:rsidRPr="00A073BE">
        <w:rPr>
          <w:color w:val="auto"/>
          <w:sz w:val="20"/>
          <w:szCs w:val="20"/>
          <w:lang w:val="es-ES_tradnl"/>
        </w:rPr>
        <w:t xml:space="preserve">luego </w:t>
      </w:r>
      <w:r w:rsidR="00AB668B" w:rsidRPr="00A073BE">
        <w:rPr>
          <w:color w:val="auto"/>
          <w:sz w:val="20"/>
          <w:szCs w:val="20"/>
          <w:lang w:val="es-ES_tradnl"/>
        </w:rPr>
        <w:t>la parte actora presentó recurso de apelación, sin embargo, fue rechazado por la Sala de lo Contencioso Administrativo de la Sección Tercera del Consejo de Estado, por extemporáneo</w:t>
      </w:r>
      <w:r w:rsidR="00865D63" w:rsidRPr="00A073BE">
        <w:rPr>
          <w:color w:val="auto"/>
          <w:sz w:val="20"/>
          <w:szCs w:val="20"/>
          <w:lang w:val="es-ES_tradnl"/>
        </w:rPr>
        <w:t xml:space="preserve">, mediante sentencia del </w:t>
      </w:r>
      <w:r w:rsidR="00865D63" w:rsidRPr="00A073BE">
        <w:rPr>
          <w:sz w:val="20"/>
          <w:szCs w:val="20"/>
          <w:lang w:val="es-ES_tradnl"/>
        </w:rPr>
        <w:t>15 de junio de 2007</w:t>
      </w:r>
      <w:r w:rsidR="00AB668B" w:rsidRPr="00A073BE">
        <w:rPr>
          <w:color w:val="auto"/>
          <w:sz w:val="20"/>
          <w:szCs w:val="20"/>
          <w:lang w:val="es-ES_tradnl"/>
        </w:rPr>
        <w:t xml:space="preserve">. </w:t>
      </w:r>
      <w:r w:rsidRPr="00A073BE">
        <w:rPr>
          <w:color w:val="auto"/>
          <w:sz w:val="20"/>
          <w:szCs w:val="20"/>
          <w:lang w:val="es-ES_tradnl"/>
        </w:rPr>
        <w:t>La última decisión</w:t>
      </w:r>
      <w:r w:rsidR="00AB668B" w:rsidRPr="00A073BE">
        <w:rPr>
          <w:color w:val="auto"/>
          <w:sz w:val="20"/>
          <w:szCs w:val="20"/>
          <w:lang w:val="es-ES_tradnl"/>
        </w:rPr>
        <w:t xml:space="preserve"> fue la </w:t>
      </w:r>
      <w:r w:rsidR="006A5EF6" w:rsidRPr="00A073BE">
        <w:rPr>
          <w:color w:val="auto"/>
          <w:sz w:val="20"/>
          <w:szCs w:val="20"/>
          <w:lang w:val="es-ES_tradnl"/>
        </w:rPr>
        <w:t>r</w:t>
      </w:r>
      <w:r w:rsidR="00AB668B" w:rsidRPr="00A073BE">
        <w:rPr>
          <w:color w:val="auto"/>
          <w:sz w:val="20"/>
          <w:szCs w:val="20"/>
          <w:lang w:val="es-ES_tradnl"/>
        </w:rPr>
        <w:t>esolución No. 1801 del 12 de mayo de 2009</w:t>
      </w:r>
      <w:r w:rsidRPr="00A073BE">
        <w:rPr>
          <w:color w:val="auto"/>
          <w:sz w:val="20"/>
          <w:szCs w:val="20"/>
          <w:lang w:val="es-ES_tradnl"/>
        </w:rPr>
        <w:t xml:space="preserve"> </w:t>
      </w:r>
      <w:r w:rsidR="000A3EAD" w:rsidRPr="00A073BE">
        <w:rPr>
          <w:color w:val="auto"/>
          <w:sz w:val="20"/>
          <w:szCs w:val="20"/>
          <w:lang w:val="es-ES_tradnl"/>
        </w:rPr>
        <w:t>d</w:t>
      </w:r>
      <w:r w:rsidR="00AB668B" w:rsidRPr="00A073BE">
        <w:rPr>
          <w:color w:val="auto"/>
          <w:sz w:val="20"/>
          <w:szCs w:val="20"/>
          <w:lang w:val="es-ES_tradnl"/>
        </w:rPr>
        <w:t xml:space="preserve">el Ministerio de Defensa Nacional, mediante la cual reconoció, ordenó y autorizó el pago </w:t>
      </w:r>
      <w:r w:rsidR="000A3EAD" w:rsidRPr="00A073BE">
        <w:rPr>
          <w:color w:val="auto"/>
          <w:sz w:val="20"/>
          <w:szCs w:val="20"/>
          <w:lang w:val="es-ES_tradnl"/>
        </w:rPr>
        <w:t>de los montos ordenados por la sentencia de primera instancia</w:t>
      </w:r>
      <w:r w:rsidRPr="00A073BE">
        <w:rPr>
          <w:color w:val="auto"/>
          <w:sz w:val="20"/>
          <w:szCs w:val="20"/>
          <w:lang w:val="es-ES_tradnl"/>
        </w:rPr>
        <w:t>.</w:t>
      </w:r>
      <w:r w:rsidR="00B10E4E" w:rsidRPr="00A073BE">
        <w:rPr>
          <w:color w:val="auto"/>
          <w:sz w:val="20"/>
          <w:szCs w:val="20"/>
          <w:lang w:val="es-ES_tradnl"/>
        </w:rPr>
        <w:t xml:space="preserve"> </w:t>
      </w:r>
      <w:r w:rsidR="00B10E4E" w:rsidRPr="00A073BE">
        <w:rPr>
          <w:sz w:val="20"/>
          <w:szCs w:val="20"/>
          <w:lang w:val="es-ES_tradnl"/>
        </w:rPr>
        <w:t>Por estas razones, la CIDH concluye que la petición cumple con los requisitos del artículo 46.1(a) de la Convención Americana.</w:t>
      </w:r>
      <w:r w:rsidR="00B10E4E" w:rsidRPr="00A073BE">
        <w:rPr>
          <w:lang w:val="es-ES_tradnl"/>
        </w:rPr>
        <w:t xml:space="preserve"> </w:t>
      </w:r>
    </w:p>
    <w:p w14:paraId="37432A0E" w14:textId="77777777" w:rsidR="004D5368" w:rsidRPr="00A073BE" w:rsidRDefault="004D5368" w:rsidP="004D5368">
      <w:pPr>
        <w:pStyle w:val="ListParagraph"/>
        <w:rPr>
          <w:color w:val="auto"/>
          <w:sz w:val="20"/>
          <w:szCs w:val="20"/>
          <w:lang w:val="es-ES_tradnl"/>
        </w:rPr>
      </w:pPr>
    </w:p>
    <w:p w14:paraId="1D41D80C" w14:textId="7970453F" w:rsidR="00381A5F" w:rsidRPr="00A073BE" w:rsidRDefault="000A3EAD" w:rsidP="009A35E8">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A073BE">
        <w:rPr>
          <w:color w:val="auto"/>
          <w:sz w:val="20"/>
          <w:szCs w:val="20"/>
          <w:lang w:val="es-ES_tradnl"/>
        </w:rPr>
        <w:t>En cuanto al plazo de presentación de la presente petición, la C</w:t>
      </w:r>
      <w:r w:rsidR="004D5368" w:rsidRPr="00A073BE">
        <w:rPr>
          <w:color w:val="auto"/>
          <w:sz w:val="20"/>
          <w:szCs w:val="20"/>
          <w:lang w:val="es-ES_tradnl"/>
        </w:rPr>
        <w:t>omisión</w:t>
      </w:r>
      <w:r w:rsidRPr="00A073BE">
        <w:rPr>
          <w:color w:val="auto"/>
          <w:sz w:val="20"/>
          <w:szCs w:val="20"/>
          <w:lang w:val="es-ES_tradnl"/>
        </w:rPr>
        <w:t xml:space="preserve"> observa que: el asesinato de </w:t>
      </w:r>
      <w:r w:rsidR="004D5368" w:rsidRPr="00A073BE">
        <w:rPr>
          <w:color w:val="auto"/>
          <w:sz w:val="20"/>
          <w:szCs w:val="20"/>
          <w:lang w:val="es-ES_tradnl"/>
        </w:rPr>
        <w:t xml:space="preserve">Iván Henao Sanabria </w:t>
      </w:r>
      <w:r w:rsidRPr="00A073BE">
        <w:rPr>
          <w:color w:val="auto"/>
          <w:sz w:val="20"/>
          <w:szCs w:val="20"/>
          <w:lang w:val="es-ES_tradnl"/>
        </w:rPr>
        <w:t xml:space="preserve">ocurrió </w:t>
      </w:r>
      <w:r w:rsidR="004D5368" w:rsidRPr="00A073BE">
        <w:rPr>
          <w:color w:val="auto"/>
          <w:sz w:val="20"/>
          <w:szCs w:val="20"/>
          <w:lang w:val="es-ES_tradnl"/>
        </w:rPr>
        <w:t xml:space="preserve">el </w:t>
      </w:r>
      <w:r w:rsidR="004D5368" w:rsidRPr="00A073BE">
        <w:rPr>
          <w:bCs/>
          <w:color w:val="auto"/>
          <w:sz w:val="20"/>
          <w:szCs w:val="20"/>
          <w:lang w:val="es-ES_tradnl"/>
        </w:rPr>
        <w:t>25 de mayo de 2000</w:t>
      </w:r>
      <w:r w:rsidRPr="00A073BE">
        <w:rPr>
          <w:color w:val="auto"/>
          <w:sz w:val="20"/>
          <w:szCs w:val="20"/>
          <w:lang w:val="es-ES_tradnl"/>
        </w:rPr>
        <w:t xml:space="preserve">; </w:t>
      </w:r>
      <w:r w:rsidR="00B10E4E" w:rsidRPr="00A073BE">
        <w:rPr>
          <w:color w:val="auto"/>
          <w:sz w:val="20"/>
          <w:szCs w:val="20"/>
          <w:lang w:val="es-ES_tradnl"/>
        </w:rPr>
        <w:t xml:space="preserve">la </w:t>
      </w:r>
      <w:r w:rsidRPr="00A073BE">
        <w:rPr>
          <w:color w:val="auto"/>
          <w:sz w:val="20"/>
          <w:szCs w:val="20"/>
          <w:lang w:val="es-ES_tradnl"/>
        </w:rPr>
        <w:t>sentencia penal</w:t>
      </w:r>
      <w:r w:rsidR="00F53FA3" w:rsidRPr="00A073BE">
        <w:rPr>
          <w:color w:val="auto"/>
          <w:sz w:val="20"/>
          <w:szCs w:val="20"/>
          <w:lang w:val="es-ES_tradnl"/>
        </w:rPr>
        <w:t xml:space="preserve"> absolutoria </w:t>
      </w:r>
      <w:r w:rsidR="00B10E4E" w:rsidRPr="00A073BE">
        <w:rPr>
          <w:color w:val="auto"/>
          <w:sz w:val="20"/>
          <w:szCs w:val="20"/>
          <w:lang w:val="es-ES_tradnl"/>
        </w:rPr>
        <w:t xml:space="preserve">fue dictada </w:t>
      </w:r>
      <w:r w:rsidR="00F53FA3" w:rsidRPr="00A073BE">
        <w:rPr>
          <w:color w:val="auto"/>
          <w:sz w:val="20"/>
          <w:szCs w:val="20"/>
          <w:lang w:val="es-ES_tradnl"/>
        </w:rPr>
        <w:t xml:space="preserve">el 26 de septiembre de 2006 </w:t>
      </w:r>
      <w:r w:rsidRPr="00A073BE">
        <w:rPr>
          <w:color w:val="auto"/>
          <w:sz w:val="20"/>
          <w:szCs w:val="20"/>
          <w:lang w:val="es-ES_tradnl"/>
        </w:rPr>
        <w:t xml:space="preserve">por </w:t>
      </w:r>
      <w:r w:rsidR="00F53FA3" w:rsidRPr="00A073BE">
        <w:rPr>
          <w:color w:val="auto"/>
          <w:sz w:val="20"/>
          <w:szCs w:val="20"/>
          <w:lang w:val="es-ES_tradnl"/>
        </w:rPr>
        <w:t>el Juzgado Promiscuo del Circuito de San Martín, la cual fue revocada por el Tribunal Superior del Distrito Judicial de Villavicencio el 11 de junio de 2011 y confirmada el 6 de febrero de 2013 por la Sala de Casación Penal de la Corte Suprema de Justicia</w:t>
      </w:r>
      <w:r w:rsidR="00865D63" w:rsidRPr="00A073BE">
        <w:rPr>
          <w:color w:val="auto"/>
          <w:sz w:val="20"/>
          <w:szCs w:val="20"/>
          <w:lang w:val="es-ES_tradnl"/>
        </w:rPr>
        <w:t xml:space="preserve">. Por lo tanto, al haber sido la petición recibida en la Comisión el 18 de octubre de 2012; esta fue presentada en plazo con respecto al homicidio de Iván Henao de acuerdo con el artículo 46.1.b) de la Convención Americana. </w:t>
      </w:r>
    </w:p>
    <w:p w14:paraId="0209F571" w14:textId="77777777" w:rsidR="00381A5F" w:rsidRPr="00A073BE" w:rsidRDefault="00381A5F" w:rsidP="00381A5F">
      <w:pPr>
        <w:pStyle w:val="ListParagraph"/>
        <w:rPr>
          <w:color w:val="auto"/>
          <w:sz w:val="20"/>
          <w:szCs w:val="20"/>
          <w:lang w:val="es-ES_tradnl"/>
        </w:rPr>
      </w:pPr>
    </w:p>
    <w:p w14:paraId="17D50BBA" w14:textId="5D9699C6" w:rsidR="0080546C" w:rsidRPr="00A073BE" w:rsidRDefault="00B10E4E" w:rsidP="006A5EF6">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A073BE">
        <w:rPr>
          <w:color w:val="auto"/>
          <w:sz w:val="20"/>
          <w:szCs w:val="20"/>
          <w:lang w:val="es-ES_tradnl"/>
        </w:rPr>
        <w:t xml:space="preserve">Por último, respecto al proceso contencioso-administrativo de reparación directa, </w:t>
      </w:r>
      <w:r w:rsidR="006A5EF6" w:rsidRPr="00A073BE">
        <w:rPr>
          <w:color w:val="auto"/>
          <w:sz w:val="20"/>
          <w:szCs w:val="20"/>
          <w:lang w:val="es-ES_tradnl"/>
        </w:rPr>
        <w:t xml:space="preserve">la Comisión observa que la Sala de lo Contencioso Administrativo de la Sección Tercera del Consejo de Estado emitió decisión rechazando el recurso de apelación por extemporáneo, el </w:t>
      </w:r>
      <w:r w:rsidR="006A5EF6" w:rsidRPr="00A073BE">
        <w:rPr>
          <w:sz w:val="20"/>
          <w:szCs w:val="20"/>
          <w:lang w:val="es-ES_tradnl"/>
        </w:rPr>
        <w:t>15 de junio de 2007</w:t>
      </w:r>
      <w:r w:rsidR="006A5EF6" w:rsidRPr="00A073BE">
        <w:rPr>
          <w:color w:val="auto"/>
          <w:sz w:val="20"/>
          <w:szCs w:val="20"/>
          <w:lang w:val="es-ES_tradnl"/>
        </w:rPr>
        <w:t xml:space="preserve">; y en virtud de ésta, el Ministerio de la Defensa emitió la resolución No. 1801 del 12 de mayo de 2009 mediante la cual reconoció, ordenó y autorizó el pago de los montos ordenados por la sentencia de primera instancia. </w:t>
      </w:r>
      <w:r w:rsidR="0080546C" w:rsidRPr="00A073BE">
        <w:rPr>
          <w:sz w:val="20"/>
          <w:szCs w:val="20"/>
          <w:lang w:val="es-ES_tradnl"/>
        </w:rPr>
        <w:t xml:space="preserve">A este respecto, la Comisión </w:t>
      </w:r>
      <w:r w:rsidR="006A5EF6" w:rsidRPr="00A073BE">
        <w:rPr>
          <w:sz w:val="20"/>
          <w:szCs w:val="20"/>
          <w:lang w:val="es-ES_tradnl"/>
        </w:rPr>
        <w:t xml:space="preserve">recuerda que </w:t>
      </w:r>
      <w:r w:rsidR="0080546C" w:rsidRPr="00A073BE">
        <w:rPr>
          <w:sz w:val="20"/>
          <w:szCs w:val="20"/>
          <w:lang w:val="es-ES_tradnl"/>
        </w:rPr>
        <w:t xml:space="preserve">la presente petición fue recibida en su Secretaría Ejecutiva el </w:t>
      </w:r>
      <w:r w:rsidR="006A5EF6" w:rsidRPr="00A073BE">
        <w:rPr>
          <w:sz w:val="20"/>
          <w:szCs w:val="20"/>
          <w:lang w:val="es-ES_tradnl"/>
        </w:rPr>
        <w:t>18 de octubre de 2012</w:t>
      </w:r>
      <w:r w:rsidR="0080546C" w:rsidRPr="00A073BE">
        <w:rPr>
          <w:sz w:val="20"/>
          <w:szCs w:val="20"/>
          <w:lang w:val="es-ES_tradnl"/>
        </w:rPr>
        <w:t>. En atención a estas consideraciones, la Comisión concluye que la presente petición</w:t>
      </w:r>
      <w:r w:rsidR="00755535" w:rsidRPr="00A073BE">
        <w:rPr>
          <w:sz w:val="20"/>
          <w:szCs w:val="20"/>
          <w:lang w:val="es-ES_tradnl"/>
        </w:rPr>
        <w:t xml:space="preserve">, frente a este </w:t>
      </w:r>
      <w:r w:rsidR="00A073BE" w:rsidRPr="00A073BE">
        <w:rPr>
          <w:sz w:val="20"/>
          <w:szCs w:val="20"/>
          <w:lang w:val="es-ES_tradnl"/>
        </w:rPr>
        <w:t>extremo</w:t>
      </w:r>
      <w:r w:rsidR="00755535" w:rsidRPr="00A073BE">
        <w:rPr>
          <w:sz w:val="20"/>
          <w:szCs w:val="20"/>
          <w:lang w:val="es-ES_tradnl"/>
        </w:rPr>
        <w:t xml:space="preserve">, </w:t>
      </w:r>
      <w:r w:rsidR="0080546C" w:rsidRPr="00A073BE">
        <w:rPr>
          <w:sz w:val="20"/>
          <w:szCs w:val="20"/>
          <w:lang w:val="es-ES_tradnl"/>
        </w:rPr>
        <w:t>fue presentada en exceso del plazo de seis meses establecido en el artículo 46.1.b de la Convención Americana.</w:t>
      </w:r>
    </w:p>
    <w:p w14:paraId="673598AF" w14:textId="4AB7EF73" w:rsidR="003239B8" w:rsidRPr="00A073BE" w:rsidRDefault="004A6A54" w:rsidP="000E57FC">
      <w:pPr>
        <w:pStyle w:val="ListParagraph"/>
        <w:numPr>
          <w:ilvl w:val="0"/>
          <w:numId w:val="67"/>
        </w:numPr>
        <w:spacing w:before="240" w:after="240"/>
        <w:ind w:left="0" w:firstLine="720"/>
        <w:jc w:val="both"/>
        <w:rPr>
          <w:rFonts w:asciiTheme="majorHAnsi" w:hAnsiTheme="majorHAnsi"/>
          <w:b/>
          <w:sz w:val="20"/>
          <w:szCs w:val="20"/>
          <w:lang w:val="es-ES_tradnl"/>
        </w:rPr>
      </w:pPr>
      <w:r w:rsidRPr="00A073BE">
        <w:rPr>
          <w:rFonts w:asciiTheme="majorHAnsi" w:hAnsiTheme="majorHAnsi"/>
          <w:b/>
          <w:bCs/>
          <w:sz w:val="20"/>
          <w:szCs w:val="20"/>
          <w:lang w:val="es-ES_tradnl"/>
        </w:rPr>
        <w:t xml:space="preserve">ANÁLISIS DE </w:t>
      </w:r>
      <w:r w:rsidR="00C21FEF" w:rsidRPr="00A073BE">
        <w:rPr>
          <w:rFonts w:asciiTheme="majorHAnsi" w:hAnsiTheme="majorHAnsi"/>
          <w:b/>
          <w:bCs/>
          <w:sz w:val="20"/>
          <w:szCs w:val="20"/>
          <w:lang w:val="es-ES_tradnl"/>
        </w:rPr>
        <w:t>CARACTERIZACIÓN DE LOS HECHOS ALEGADOS</w:t>
      </w:r>
    </w:p>
    <w:p w14:paraId="74C5E95A" w14:textId="2DDC5A6B" w:rsidR="00E150F5" w:rsidRPr="00A073BE" w:rsidRDefault="00755535" w:rsidP="0075553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A073BE">
        <w:rPr>
          <w:sz w:val="20"/>
          <w:szCs w:val="20"/>
          <w:lang w:val="es-ES_tradnl"/>
        </w:rPr>
        <w:t>Frente a las consideraciones expuestas en la sección anterior, l</w:t>
      </w:r>
      <w:r w:rsidR="00724661" w:rsidRPr="00A073BE">
        <w:rPr>
          <w:sz w:val="20"/>
          <w:szCs w:val="20"/>
          <w:lang w:val="es-ES_tradnl"/>
        </w:rPr>
        <w:t xml:space="preserve">a Comisión </w:t>
      </w:r>
      <w:r w:rsidRPr="00A073BE">
        <w:rPr>
          <w:sz w:val="20"/>
          <w:szCs w:val="20"/>
          <w:lang w:val="es-ES_tradnl"/>
        </w:rPr>
        <w:t xml:space="preserve">observa que el presente análisis debe vincularse a las </w:t>
      </w:r>
      <w:r w:rsidR="00724661" w:rsidRPr="00A073BE">
        <w:rPr>
          <w:sz w:val="20"/>
          <w:szCs w:val="20"/>
          <w:lang w:val="es-ES_tradnl"/>
        </w:rPr>
        <w:t>alegaciones</w:t>
      </w:r>
      <w:r w:rsidRPr="00A073BE">
        <w:rPr>
          <w:sz w:val="20"/>
          <w:szCs w:val="20"/>
          <w:lang w:val="es-ES_tradnl"/>
        </w:rPr>
        <w:t xml:space="preserve"> de la presente petición </w:t>
      </w:r>
      <w:r w:rsidR="00724661" w:rsidRPr="00A073BE">
        <w:rPr>
          <w:sz w:val="20"/>
          <w:szCs w:val="20"/>
          <w:lang w:val="es-ES_tradnl"/>
        </w:rPr>
        <w:t>con respecto</w:t>
      </w:r>
      <w:r w:rsidRPr="00A073BE">
        <w:rPr>
          <w:sz w:val="20"/>
          <w:szCs w:val="20"/>
          <w:lang w:val="es-ES_tradnl"/>
        </w:rPr>
        <w:t xml:space="preserve"> a</w:t>
      </w:r>
      <w:r w:rsidR="00F0585F" w:rsidRPr="00A073BE">
        <w:rPr>
          <w:sz w:val="20"/>
          <w:szCs w:val="20"/>
          <w:lang w:val="es-ES_tradnl"/>
        </w:rPr>
        <w:t xml:space="preserve"> </w:t>
      </w:r>
      <w:r w:rsidR="00724661" w:rsidRPr="00A073BE">
        <w:rPr>
          <w:sz w:val="20"/>
          <w:szCs w:val="20"/>
          <w:lang w:val="es-ES_tradnl"/>
        </w:rPr>
        <w:t xml:space="preserve">la ejecución extrajudicial de </w:t>
      </w:r>
      <w:r w:rsidR="00F0585F" w:rsidRPr="00A073BE">
        <w:rPr>
          <w:sz w:val="20"/>
          <w:szCs w:val="20"/>
          <w:lang w:val="es-ES_tradnl"/>
        </w:rPr>
        <w:t>Iván Henao Sanabria y</w:t>
      </w:r>
      <w:r w:rsidR="00724661" w:rsidRPr="00A073BE">
        <w:rPr>
          <w:sz w:val="20"/>
          <w:szCs w:val="20"/>
          <w:lang w:val="es-ES_tradnl"/>
        </w:rPr>
        <w:t xml:space="preserve"> la </w:t>
      </w:r>
      <w:r w:rsidRPr="00A073BE">
        <w:rPr>
          <w:sz w:val="20"/>
          <w:szCs w:val="20"/>
          <w:lang w:val="es-ES_tradnl"/>
        </w:rPr>
        <w:t xml:space="preserve">presunta </w:t>
      </w:r>
      <w:r w:rsidR="00724661" w:rsidRPr="00A073BE">
        <w:rPr>
          <w:sz w:val="20"/>
          <w:szCs w:val="20"/>
          <w:lang w:val="es-ES_tradnl"/>
        </w:rPr>
        <w:t>falta de investigación de los hechos y sanción de los responsables materiales e intelectuales</w:t>
      </w:r>
      <w:r w:rsidRPr="00A073BE">
        <w:rPr>
          <w:sz w:val="20"/>
          <w:szCs w:val="20"/>
          <w:lang w:val="es-ES_tradnl"/>
        </w:rPr>
        <w:t xml:space="preserve">. En tal sentido, </w:t>
      </w:r>
      <w:r w:rsidR="00AB39A9" w:rsidRPr="00A073BE">
        <w:rPr>
          <w:sz w:val="20"/>
          <w:szCs w:val="20"/>
          <w:lang w:val="es-ES_tradnl"/>
        </w:rPr>
        <w:t xml:space="preserve">la Comisión </w:t>
      </w:r>
      <w:r w:rsidRPr="00A073BE">
        <w:rPr>
          <w:sz w:val="20"/>
          <w:szCs w:val="20"/>
          <w:lang w:val="es-ES_tradnl"/>
        </w:rPr>
        <w:t xml:space="preserve">observa, </w:t>
      </w:r>
      <w:r w:rsidR="00AB39A9" w:rsidRPr="00A073BE">
        <w:rPr>
          <w:sz w:val="20"/>
          <w:szCs w:val="20"/>
          <w:lang w:val="es-ES_tradnl"/>
        </w:rPr>
        <w:t>l</w:t>
      </w:r>
      <w:r w:rsidR="00E150F5" w:rsidRPr="00A073BE">
        <w:rPr>
          <w:sz w:val="20"/>
          <w:szCs w:val="20"/>
          <w:lang w:val="es-ES_tradnl"/>
        </w:rPr>
        <w:t xml:space="preserve">uego de analizar en detalle la escasa información aportada por </w:t>
      </w:r>
      <w:r w:rsidR="00AB39A9" w:rsidRPr="00A073BE">
        <w:rPr>
          <w:sz w:val="20"/>
          <w:szCs w:val="20"/>
          <w:lang w:val="es-ES_tradnl"/>
        </w:rPr>
        <w:t>la parte peticionaria</w:t>
      </w:r>
      <w:r w:rsidR="00E150F5" w:rsidRPr="00A073BE">
        <w:rPr>
          <w:sz w:val="20"/>
          <w:szCs w:val="20"/>
          <w:lang w:val="es-ES_tradnl"/>
        </w:rPr>
        <w:t xml:space="preserve">, y de contrastarla además con la presentada por el Estado, la Comisión estima que aquel no presenta elementos concretos que permitan establecer </w:t>
      </w:r>
      <w:r w:rsidR="00E150F5" w:rsidRPr="00A073BE">
        <w:rPr>
          <w:i/>
          <w:iCs/>
          <w:sz w:val="20"/>
          <w:szCs w:val="20"/>
          <w:lang w:val="es-ES_tradnl"/>
        </w:rPr>
        <w:t>prima facie</w:t>
      </w:r>
      <w:r w:rsidR="00E150F5" w:rsidRPr="00A073BE">
        <w:rPr>
          <w:sz w:val="20"/>
          <w:szCs w:val="20"/>
          <w:lang w:val="es-ES_tradnl"/>
        </w:rPr>
        <w:t xml:space="preserve"> que las autoridades judiciales domésticas, de la jurisdicción penal ordinaria, actuaron de forma contraria a las obligaciones básicas del Estado de investigar y sancionar la ejecución extrajudicial del Sr. </w:t>
      </w:r>
      <w:r w:rsidR="00AB39A9" w:rsidRPr="00A073BE">
        <w:rPr>
          <w:sz w:val="20"/>
          <w:szCs w:val="20"/>
          <w:lang w:val="es-ES_tradnl"/>
        </w:rPr>
        <w:t>Iván Henao Sanabria</w:t>
      </w:r>
      <w:r w:rsidR="00E150F5" w:rsidRPr="00A073BE">
        <w:rPr>
          <w:sz w:val="20"/>
          <w:szCs w:val="20"/>
          <w:lang w:val="es-ES_tradnl"/>
        </w:rPr>
        <w:t xml:space="preserve">; ni de que la condena contra los militares responsables de su muerte no haya sido o esté siendo ejecutada. </w:t>
      </w:r>
      <w:r w:rsidR="00AB39A9" w:rsidRPr="00A073BE">
        <w:rPr>
          <w:sz w:val="20"/>
          <w:szCs w:val="20"/>
          <w:lang w:val="es-ES_tradnl"/>
        </w:rPr>
        <w:t xml:space="preserve">Al respecto, la parte peticionaria </w:t>
      </w:r>
      <w:r w:rsidR="00E150F5" w:rsidRPr="00A073BE">
        <w:rPr>
          <w:sz w:val="20"/>
          <w:szCs w:val="20"/>
          <w:lang w:val="es-ES_tradnl"/>
        </w:rPr>
        <w:t xml:space="preserve">no aporta elementos de convicción que permitan establecer, siquiera para el presente análisis de admisibilidad, que haya existido un cuadro de impunidad total o parcial respecto de este lamentable suceso. Por el contrario, la información con que cuenta la Comisión apuntaría a que los </w:t>
      </w:r>
      <w:r w:rsidR="00AB39A9" w:rsidRPr="00A073BE">
        <w:rPr>
          <w:sz w:val="20"/>
          <w:szCs w:val="20"/>
          <w:lang w:val="es-ES_tradnl"/>
        </w:rPr>
        <w:t xml:space="preserve">cuatro </w:t>
      </w:r>
      <w:r w:rsidR="00E150F5" w:rsidRPr="00A073BE">
        <w:rPr>
          <w:sz w:val="20"/>
          <w:szCs w:val="20"/>
          <w:lang w:val="es-ES_tradnl"/>
        </w:rPr>
        <w:t xml:space="preserve">responsables fueron condenados en un plazo razonable, pues la ejecución del Sr. </w:t>
      </w:r>
      <w:r w:rsidR="00AB39A9" w:rsidRPr="00A073BE">
        <w:rPr>
          <w:sz w:val="20"/>
          <w:szCs w:val="20"/>
          <w:lang w:val="es-ES_tradnl"/>
        </w:rPr>
        <w:t xml:space="preserve">Henao </w:t>
      </w:r>
      <w:r w:rsidR="00E150F5" w:rsidRPr="00A073BE">
        <w:rPr>
          <w:sz w:val="20"/>
          <w:szCs w:val="20"/>
          <w:lang w:val="es-ES_tradnl"/>
        </w:rPr>
        <w:t xml:space="preserve">fue perpetrada el </w:t>
      </w:r>
      <w:r w:rsidR="00AB39A9" w:rsidRPr="00A073BE">
        <w:rPr>
          <w:sz w:val="20"/>
          <w:szCs w:val="20"/>
          <w:lang w:val="es-ES_tradnl"/>
        </w:rPr>
        <w:t>25 de mayo de 2000</w:t>
      </w:r>
      <w:r w:rsidR="00E150F5" w:rsidRPr="00A073BE">
        <w:rPr>
          <w:sz w:val="20"/>
          <w:szCs w:val="20"/>
          <w:lang w:val="es-ES_tradnl"/>
        </w:rPr>
        <w:t xml:space="preserve">; y la sentencia condenatoria emitida el </w:t>
      </w:r>
      <w:r w:rsidR="00AB39A9" w:rsidRPr="00A073BE">
        <w:rPr>
          <w:color w:val="auto"/>
          <w:sz w:val="20"/>
          <w:szCs w:val="20"/>
          <w:lang w:val="es-ES_tradnl"/>
        </w:rPr>
        <w:t>11 de junio de 2011 por el Tribunal Superior del Distrito Judicial de Villavicencio</w:t>
      </w:r>
      <w:r w:rsidR="00E150F5" w:rsidRPr="00A073BE">
        <w:rPr>
          <w:sz w:val="20"/>
          <w:szCs w:val="20"/>
          <w:lang w:val="es-ES_tradnl"/>
        </w:rPr>
        <w:t>.</w:t>
      </w:r>
    </w:p>
    <w:p w14:paraId="67960652" w14:textId="77777777" w:rsidR="00E150F5" w:rsidRPr="00A073BE" w:rsidRDefault="00E150F5" w:rsidP="0072466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p>
    <w:p w14:paraId="48EE268B" w14:textId="77777777" w:rsidR="002B3A51" w:rsidRPr="00A073BE" w:rsidRDefault="00E150F5" w:rsidP="009C0C38">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A073BE">
        <w:rPr>
          <w:sz w:val="20"/>
          <w:szCs w:val="20"/>
          <w:lang w:val="es-ES_tradnl"/>
        </w:rPr>
        <w:t xml:space="preserve">Asimismo, la Comisión aclara que, si bien </w:t>
      </w:r>
      <w:r w:rsidR="00AB39A9" w:rsidRPr="00A073BE">
        <w:rPr>
          <w:sz w:val="20"/>
          <w:szCs w:val="20"/>
          <w:lang w:val="es-ES_tradnl"/>
        </w:rPr>
        <w:t xml:space="preserve">la parte </w:t>
      </w:r>
      <w:r w:rsidRPr="00A073BE">
        <w:rPr>
          <w:sz w:val="20"/>
          <w:szCs w:val="20"/>
          <w:lang w:val="es-ES_tradnl"/>
        </w:rPr>
        <w:t>peticionari</w:t>
      </w:r>
      <w:r w:rsidR="00AB39A9" w:rsidRPr="00A073BE">
        <w:rPr>
          <w:sz w:val="20"/>
          <w:szCs w:val="20"/>
          <w:lang w:val="es-ES_tradnl"/>
        </w:rPr>
        <w:t xml:space="preserve">a </w:t>
      </w:r>
      <w:r w:rsidRPr="00A073BE">
        <w:rPr>
          <w:sz w:val="20"/>
          <w:szCs w:val="20"/>
          <w:lang w:val="es-ES_tradnl"/>
        </w:rPr>
        <w:t xml:space="preserve">menciona el proceso contencioso- administrativo de reparación directa, no presenta argumento alguno respecto a posibles violaciones del derecho al debido proceso o garantías judiciales de la familia de la presunta víctima. La Comisión observa que no existe controversia sobre las indemnizaciones por concepto de daño moral ordenadas por </w:t>
      </w:r>
      <w:r w:rsidR="002B3A51" w:rsidRPr="00A073BE">
        <w:rPr>
          <w:color w:val="auto"/>
          <w:sz w:val="20"/>
          <w:szCs w:val="20"/>
          <w:lang w:val="es-ES_tradnl"/>
        </w:rPr>
        <w:t xml:space="preserve">la </w:t>
      </w:r>
      <w:r w:rsidR="002B3A51" w:rsidRPr="00A073BE">
        <w:rPr>
          <w:color w:val="auto"/>
          <w:sz w:val="20"/>
          <w:szCs w:val="20"/>
          <w:lang w:val="es-ES_tradnl"/>
        </w:rPr>
        <w:lastRenderedPageBreak/>
        <w:t xml:space="preserve">Sala de Decisión del Tribunal Contencioso Administrativo del Meta </w:t>
      </w:r>
      <w:r w:rsidR="00AB39A9" w:rsidRPr="00A073BE">
        <w:rPr>
          <w:color w:val="auto"/>
          <w:sz w:val="20"/>
          <w:szCs w:val="20"/>
          <w:lang w:val="es-ES_tradnl"/>
        </w:rPr>
        <w:t>el 8 de noviembre de 2006; y</w:t>
      </w:r>
      <w:r w:rsidR="002B3A51" w:rsidRPr="00A073BE">
        <w:rPr>
          <w:color w:val="auto"/>
          <w:sz w:val="20"/>
          <w:szCs w:val="20"/>
          <w:lang w:val="es-ES_tradnl"/>
        </w:rPr>
        <w:t xml:space="preserve"> que la parte peticionaria no presenta argumentos sobre el rechazo por extemporáneo del </w:t>
      </w:r>
      <w:r w:rsidR="00AB39A9" w:rsidRPr="00A073BE">
        <w:rPr>
          <w:color w:val="auto"/>
          <w:sz w:val="20"/>
          <w:szCs w:val="20"/>
          <w:lang w:val="es-ES_tradnl"/>
        </w:rPr>
        <w:t>recurso de apelación</w:t>
      </w:r>
      <w:r w:rsidR="002B3A51" w:rsidRPr="00A073BE">
        <w:rPr>
          <w:color w:val="auto"/>
          <w:sz w:val="20"/>
          <w:szCs w:val="20"/>
          <w:lang w:val="es-ES_tradnl"/>
        </w:rPr>
        <w:t xml:space="preserve"> presentado mediante decisión de </w:t>
      </w:r>
      <w:r w:rsidR="00AB39A9" w:rsidRPr="00A073BE">
        <w:rPr>
          <w:color w:val="auto"/>
          <w:sz w:val="20"/>
          <w:szCs w:val="20"/>
          <w:lang w:val="es-ES_tradnl"/>
        </w:rPr>
        <w:t>la Sala de lo Contencioso Administrativo de la Sección Tercera del Consejo de Estado</w:t>
      </w:r>
      <w:r w:rsidR="002B3A51" w:rsidRPr="00A073BE">
        <w:rPr>
          <w:color w:val="auto"/>
          <w:sz w:val="20"/>
          <w:szCs w:val="20"/>
          <w:lang w:val="es-ES_tradnl"/>
        </w:rPr>
        <w:t xml:space="preserve">. </w:t>
      </w:r>
      <w:r w:rsidRPr="00A073BE">
        <w:rPr>
          <w:sz w:val="20"/>
          <w:szCs w:val="20"/>
          <w:lang w:val="es-ES_tradnl"/>
        </w:rPr>
        <w:t>Por lo tanto, tampoco a este respecto se observa prima facie alguna vulneración.</w:t>
      </w:r>
      <w:r w:rsidR="002B3A51" w:rsidRPr="00A073BE">
        <w:rPr>
          <w:sz w:val="20"/>
          <w:szCs w:val="20"/>
          <w:lang w:val="es-ES_tradnl"/>
        </w:rPr>
        <w:t xml:space="preserve"> </w:t>
      </w:r>
    </w:p>
    <w:p w14:paraId="73498686" w14:textId="77777777" w:rsidR="002B3A51" w:rsidRPr="00A073BE" w:rsidRDefault="002B3A51" w:rsidP="002B3A51">
      <w:pPr>
        <w:pStyle w:val="ListParagraph"/>
        <w:rPr>
          <w:sz w:val="20"/>
          <w:szCs w:val="20"/>
          <w:lang w:val="es-ES_tradnl"/>
        </w:rPr>
      </w:pPr>
    </w:p>
    <w:p w14:paraId="0D45A873" w14:textId="6AB2F58D" w:rsidR="001A520D" w:rsidRPr="00A073BE" w:rsidRDefault="002B3A51" w:rsidP="009C0C38">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A073BE">
        <w:rPr>
          <w:sz w:val="20"/>
          <w:szCs w:val="20"/>
          <w:lang w:val="es-ES_tradnl"/>
        </w:rPr>
        <w:t xml:space="preserve">Ante las consideraciones anteriores, </w:t>
      </w:r>
      <w:r w:rsidR="00E150F5" w:rsidRPr="00A073BE">
        <w:rPr>
          <w:sz w:val="20"/>
          <w:szCs w:val="20"/>
          <w:lang w:val="es-ES_tradnl"/>
        </w:rPr>
        <w:t>la Comisión Interamericana concluye que</w:t>
      </w:r>
      <w:r w:rsidRPr="00A073BE">
        <w:rPr>
          <w:sz w:val="20"/>
          <w:szCs w:val="20"/>
          <w:lang w:val="es-ES_tradnl"/>
        </w:rPr>
        <w:t xml:space="preserve">, con respecto a la ejecución extrajudicial de Iván Henao Sanabria, </w:t>
      </w:r>
      <w:r w:rsidR="00E150F5" w:rsidRPr="00A073BE">
        <w:rPr>
          <w:sz w:val="20"/>
          <w:szCs w:val="20"/>
          <w:lang w:val="es-ES_tradnl"/>
        </w:rPr>
        <w:t>la presente petición resulta inadmisible de conformidad con el artículo 47</w:t>
      </w:r>
      <w:r w:rsidR="00A073BE" w:rsidRPr="00A073BE">
        <w:rPr>
          <w:sz w:val="20"/>
          <w:szCs w:val="20"/>
          <w:lang w:val="es-ES_tradnl"/>
        </w:rPr>
        <w:t>.b) de la Convención Americana</w:t>
      </w:r>
      <w:r w:rsidR="00F44E25" w:rsidRPr="00A073BE">
        <w:rPr>
          <w:sz w:val="20"/>
          <w:szCs w:val="20"/>
          <w:lang w:val="es-ES_tradnl"/>
        </w:rPr>
        <w:t xml:space="preserve">. </w:t>
      </w:r>
    </w:p>
    <w:p w14:paraId="445BF42E" w14:textId="2A2CACB4" w:rsidR="003239B8" w:rsidRPr="00A073BE" w:rsidRDefault="003239B8" w:rsidP="000E57FC">
      <w:pPr>
        <w:pStyle w:val="ListParagraph"/>
        <w:numPr>
          <w:ilvl w:val="0"/>
          <w:numId w:val="67"/>
        </w:numPr>
        <w:spacing w:before="240" w:after="240"/>
        <w:ind w:left="0" w:firstLine="720"/>
        <w:jc w:val="both"/>
        <w:rPr>
          <w:rFonts w:asciiTheme="majorHAnsi" w:hAnsiTheme="majorHAnsi"/>
          <w:b/>
          <w:bCs/>
          <w:sz w:val="20"/>
          <w:szCs w:val="20"/>
          <w:lang w:val="es-ES_tradnl"/>
        </w:rPr>
      </w:pPr>
      <w:r w:rsidRPr="00A073BE">
        <w:rPr>
          <w:rFonts w:asciiTheme="majorHAnsi" w:hAnsiTheme="majorHAnsi"/>
          <w:b/>
          <w:bCs/>
          <w:sz w:val="20"/>
          <w:szCs w:val="20"/>
          <w:lang w:val="es-ES_tradnl"/>
        </w:rPr>
        <w:t>DECISIÓN</w:t>
      </w:r>
    </w:p>
    <w:p w14:paraId="16B36F97" w14:textId="4977FD28" w:rsidR="003239B8" w:rsidRPr="00A073BE"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073BE">
        <w:rPr>
          <w:rFonts w:asciiTheme="majorHAnsi" w:hAnsiTheme="majorHAnsi"/>
          <w:sz w:val="20"/>
          <w:szCs w:val="20"/>
          <w:lang w:val="es-ES_tradnl"/>
        </w:rPr>
        <w:t xml:space="preserve">Declarar </w:t>
      </w:r>
      <w:r w:rsidR="00755535" w:rsidRPr="00A073BE">
        <w:rPr>
          <w:rFonts w:asciiTheme="majorHAnsi" w:hAnsiTheme="majorHAnsi"/>
          <w:sz w:val="20"/>
          <w:szCs w:val="20"/>
          <w:lang w:val="es-ES_tradnl"/>
        </w:rPr>
        <w:t>in</w:t>
      </w:r>
      <w:r w:rsidRPr="00A073BE">
        <w:rPr>
          <w:rFonts w:asciiTheme="majorHAnsi" w:hAnsiTheme="majorHAnsi"/>
          <w:sz w:val="20"/>
          <w:szCs w:val="20"/>
          <w:lang w:val="es-ES_tradnl"/>
        </w:rPr>
        <w:t>admisible la presente petición</w:t>
      </w:r>
      <w:r w:rsidR="00A758AA" w:rsidRPr="00A073BE">
        <w:rPr>
          <w:rFonts w:asciiTheme="majorHAnsi" w:hAnsiTheme="majorHAnsi"/>
          <w:sz w:val="20"/>
          <w:szCs w:val="20"/>
          <w:lang w:val="es-ES_tradnl"/>
        </w:rPr>
        <w:t>;</w:t>
      </w:r>
      <w:r w:rsidR="007B76D3" w:rsidRPr="00A073BE">
        <w:rPr>
          <w:rFonts w:asciiTheme="majorHAnsi" w:hAnsiTheme="majorHAnsi"/>
          <w:sz w:val="20"/>
          <w:szCs w:val="20"/>
          <w:lang w:val="es-ES_tradnl"/>
        </w:rPr>
        <w:t xml:space="preserve"> y</w:t>
      </w:r>
    </w:p>
    <w:p w14:paraId="02C904B2" w14:textId="1B37BB4E" w:rsidR="009A56CE" w:rsidRDefault="004A6A54" w:rsidP="003A4F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073BE">
        <w:rPr>
          <w:rFonts w:asciiTheme="majorHAnsi" w:hAnsiTheme="majorHAnsi"/>
          <w:sz w:val="20"/>
          <w:szCs w:val="20"/>
          <w:lang w:val="es-ES_tradnl"/>
        </w:rPr>
        <w:t>Notificar a las partes la presente decisión; y publicar esta decisión e incluirla en su Informe Anual a la Asamblea General de la Organ</w:t>
      </w:r>
      <w:r w:rsidRPr="00A073BE">
        <w:rPr>
          <w:rFonts w:asciiTheme="majorHAnsi" w:hAnsiTheme="majorHAnsi"/>
          <w:sz w:val="20"/>
          <w:szCs w:val="20"/>
          <w:lang w:val="es-ES"/>
        </w:rPr>
        <w:t>iz</w:t>
      </w:r>
      <w:r w:rsidRPr="00A12926">
        <w:rPr>
          <w:rFonts w:asciiTheme="majorHAnsi" w:hAnsiTheme="majorHAnsi"/>
          <w:sz w:val="20"/>
          <w:szCs w:val="20"/>
          <w:lang w:val="es-ES"/>
        </w:rPr>
        <w:t xml:space="preserve">ación </w:t>
      </w:r>
      <w:r w:rsidRPr="009B7794">
        <w:rPr>
          <w:rFonts w:asciiTheme="majorHAnsi" w:hAnsiTheme="majorHAnsi"/>
          <w:sz w:val="20"/>
          <w:szCs w:val="20"/>
          <w:lang w:val="es-ES"/>
        </w:rPr>
        <w:t>de los Estados Americanos.</w:t>
      </w:r>
    </w:p>
    <w:p w14:paraId="30A2CBF0" w14:textId="1FA92583" w:rsidR="006C2EC5" w:rsidRPr="006A6E26" w:rsidRDefault="009056CA" w:rsidP="006A6E26">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21</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6A6E26">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sectPr w:rsidR="006C2EC5" w:rsidRPr="006A6E2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367F" w14:textId="77777777" w:rsidR="00EE19E9" w:rsidRDefault="00EE19E9">
      <w:r>
        <w:separator/>
      </w:r>
    </w:p>
  </w:endnote>
  <w:endnote w:type="continuationSeparator" w:id="0">
    <w:p w14:paraId="6AE352A9" w14:textId="77777777" w:rsidR="00EE19E9" w:rsidRDefault="00EE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59F0" w14:textId="77777777" w:rsidR="00EE19E9" w:rsidRPr="000F35ED" w:rsidRDefault="00EE19E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88285E2" w14:textId="77777777" w:rsidR="00EE19E9" w:rsidRPr="000F35ED" w:rsidRDefault="00EE19E9" w:rsidP="000F35ED">
      <w:pPr>
        <w:rPr>
          <w:rFonts w:asciiTheme="majorHAnsi" w:hAnsiTheme="majorHAnsi"/>
          <w:sz w:val="16"/>
          <w:szCs w:val="16"/>
        </w:rPr>
      </w:pPr>
      <w:r w:rsidRPr="000F35ED">
        <w:rPr>
          <w:rFonts w:asciiTheme="majorHAnsi" w:hAnsiTheme="majorHAnsi"/>
          <w:sz w:val="16"/>
          <w:szCs w:val="16"/>
        </w:rPr>
        <w:separator/>
      </w:r>
    </w:p>
    <w:p w14:paraId="1256D804" w14:textId="77777777" w:rsidR="00EE19E9" w:rsidRPr="000F35ED" w:rsidRDefault="00EE19E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4F7647F" w14:textId="77777777" w:rsidR="00EE19E9" w:rsidRPr="000F35ED" w:rsidRDefault="00EE19E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7DF8ABD" w14:textId="24B9948D" w:rsidR="00040D45" w:rsidRPr="00040D45" w:rsidRDefault="00040D45" w:rsidP="00040D45">
      <w:pPr>
        <w:pStyle w:val="FootnoteText"/>
        <w:ind w:firstLine="720"/>
        <w:jc w:val="both"/>
        <w:rPr>
          <w:rFonts w:ascii="Cambria" w:hAnsi="Cambria"/>
          <w:sz w:val="16"/>
          <w:szCs w:val="16"/>
          <w:lang w:val="es-VE"/>
        </w:rPr>
      </w:pPr>
      <w:r w:rsidRPr="00040D45">
        <w:rPr>
          <w:rStyle w:val="FootnoteReference"/>
          <w:rFonts w:ascii="Cambria" w:hAnsi="Cambria"/>
          <w:sz w:val="16"/>
          <w:szCs w:val="16"/>
        </w:rPr>
        <w:footnoteRef/>
      </w:r>
      <w:r w:rsidRPr="00040D45">
        <w:rPr>
          <w:rFonts w:ascii="Cambria" w:hAnsi="Cambria"/>
          <w:sz w:val="16"/>
          <w:szCs w:val="16"/>
          <w:lang w:val="es-VE"/>
        </w:rPr>
        <w:t xml:space="preserve"> </w:t>
      </w:r>
      <w:r>
        <w:rPr>
          <w:rFonts w:ascii="Cambria" w:hAnsi="Cambria"/>
          <w:sz w:val="16"/>
          <w:szCs w:val="16"/>
          <w:lang w:val="es-VE"/>
        </w:rPr>
        <w:t>La presente petición identifica a C</w:t>
      </w:r>
      <w:r w:rsidRPr="00040D45">
        <w:rPr>
          <w:rFonts w:ascii="Cambria" w:hAnsi="Cambria"/>
          <w:sz w:val="16"/>
          <w:szCs w:val="16"/>
          <w:lang w:val="es-VE"/>
        </w:rPr>
        <w:t>arol Bibiana Ávila González</w:t>
      </w:r>
      <w:r>
        <w:rPr>
          <w:rFonts w:ascii="Cambria" w:hAnsi="Cambria"/>
          <w:sz w:val="16"/>
          <w:szCs w:val="16"/>
          <w:lang w:val="es-VE"/>
        </w:rPr>
        <w:t xml:space="preserve">, como compañera de Iván Darío Henao Sanabria e hija de Elcia González de Ávila, </w:t>
      </w:r>
      <w:r w:rsidRPr="00040D45">
        <w:rPr>
          <w:rFonts w:ascii="Cambria" w:hAnsi="Cambria"/>
          <w:sz w:val="16"/>
          <w:szCs w:val="16"/>
          <w:lang w:val="es-VE"/>
        </w:rPr>
        <w:t xml:space="preserve">y </w:t>
      </w:r>
      <w:r>
        <w:rPr>
          <w:rFonts w:ascii="Cambria" w:hAnsi="Cambria"/>
          <w:sz w:val="16"/>
          <w:szCs w:val="16"/>
          <w:lang w:val="es-VE"/>
        </w:rPr>
        <w:t xml:space="preserve">a </w:t>
      </w:r>
      <w:r w:rsidRPr="00040D45">
        <w:rPr>
          <w:rFonts w:ascii="Cambria" w:hAnsi="Cambria"/>
          <w:sz w:val="16"/>
          <w:szCs w:val="16"/>
          <w:lang w:val="es-VE"/>
        </w:rPr>
        <w:t>Luis Henao Londoño</w:t>
      </w:r>
      <w:r>
        <w:rPr>
          <w:rFonts w:ascii="Cambria" w:hAnsi="Cambria"/>
          <w:sz w:val="16"/>
          <w:szCs w:val="16"/>
          <w:lang w:val="es-VE"/>
        </w:rPr>
        <w:t xml:space="preserve">, como padre de Iván Darío Henao Sanabria. </w:t>
      </w:r>
    </w:p>
  </w:footnote>
  <w:footnote w:id="3">
    <w:p w14:paraId="66E930B8" w14:textId="12502E95" w:rsidR="004A6A54" w:rsidRPr="00040D45" w:rsidRDefault="004A6A54" w:rsidP="00040D45">
      <w:pPr>
        <w:pStyle w:val="FootnoteText"/>
        <w:ind w:firstLine="720"/>
        <w:jc w:val="both"/>
        <w:rPr>
          <w:rFonts w:ascii="Cambria" w:hAnsi="Cambria"/>
          <w:sz w:val="16"/>
          <w:szCs w:val="16"/>
          <w:lang w:val="es-ES"/>
        </w:rPr>
      </w:pPr>
      <w:r w:rsidRPr="00040D45">
        <w:rPr>
          <w:rStyle w:val="FootnoteReference"/>
          <w:rFonts w:ascii="Cambria" w:hAnsi="Cambria"/>
          <w:sz w:val="16"/>
          <w:szCs w:val="16"/>
        </w:rPr>
        <w:footnoteRef/>
      </w:r>
      <w:r w:rsidRPr="00040D45">
        <w:rPr>
          <w:rFonts w:ascii="Cambria" w:hAnsi="Cambria"/>
          <w:sz w:val="16"/>
          <w:szCs w:val="16"/>
          <w:lang w:val="es-ES"/>
        </w:rPr>
        <w:t xml:space="preserve"> Conforme a lo dispuesto en el artículo 17.2.a del Reglamento de la Comisión, el Comisionado </w:t>
      </w:r>
      <w:r w:rsidR="0063091D" w:rsidRPr="00040D45">
        <w:rPr>
          <w:rFonts w:ascii="Cambria" w:hAnsi="Cambria"/>
          <w:sz w:val="16"/>
          <w:szCs w:val="16"/>
          <w:lang w:val="es-ES"/>
        </w:rPr>
        <w:t>Carlos Bernal Pulido</w:t>
      </w:r>
      <w:r w:rsidRPr="00040D45">
        <w:rPr>
          <w:rFonts w:ascii="Cambria" w:hAnsi="Cambria"/>
          <w:sz w:val="16"/>
          <w:szCs w:val="16"/>
          <w:lang w:val="es-ES"/>
        </w:rPr>
        <w:t xml:space="preserve">, de nacionalidad </w:t>
      </w:r>
      <w:r w:rsidR="0063091D" w:rsidRPr="00040D45">
        <w:rPr>
          <w:rFonts w:ascii="Cambria" w:hAnsi="Cambria"/>
          <w:sz w:val="16"/>
          <w:szCs w:val="16"/>
          <w:lang w:val="es-ES"/>
        </w:rPr>
        <w:t>colombiana</w:t>
      </w:r>
      <w:r w:rsidRPr="00040D45">
        <w:rPr>
          <w:rFonts w:ascii="Cambria" w:hAnsi="Cambria"/>
          <w:sz w:val="16"/>
          <w:szCs w:val="16"/>
          <w:lang w:val="es-ES"/>
        </w:rPr>
        <w:t>, no participó en el debate ni en la decisión del presente asunto.</w:t>
      </w:r>
    </w:p>
  </w:footnote>
  <w:footnote w:id="4">
    <w:p w14:paraId="17261FDA" w14:textId="43883F81" w:rsidR="00B71E60" w:rsidRPr="00040D45" w:rsidRDefault="00B71E60" w:rsidP="00040D45">
      <w:pPr>
        <w:pStyle w:val="FootnoteText"/>
        <w:ind w:firstLine="720"/>
        <w:jc w:val="both"/>
        <w:rPr>
          <w:rFonts w:ascii="Cambria" w:hAnsi="Cambria"/>
          <w:sz w:val="16"/>
          <w:szCs w:val="16"/>
          <w:lang w:val="es-VE"/>
        </w:rPr>
      </w:pPr>
      <w:r w:rsidRPr="00040D45">
        <w:rPr>
          <w:rStyle w:val="FootnoteReference"/>
          <w:rFonts w:ascii="Cambria" w:hAnsi="Cambria"/>
          <w:sz w:val="16"/>
          <w:szCs w:val="16"/>
        </w:rPr>
        <w:footnoteRef/>
      </w:r>
      <w:r w:rsidRPr="00040D45">
        <w:rPr>
          <w:rFonts w:ascii="Cambria" w:hAnsi="Cambria"/>
          <w:sz w:val="16"/>
          <w:szCs w:val="16"/>
          <w:lang w:val="es-VE"/>
        </w:rPr>
        <w:t xml:space="preserve"> En adelante, “la Convención Americana” o “la Convención”. </w:t>
      </w:r>
    </w:p>
  </w:footnote>
  <w:footnote w:id="5">
    <w:p w14:paraId="1AFEF3B0" w14:textId="1C50E642" w:rsidR="008E3BFE" w:rsidRPr="00306F33" w:rsidRDefault="008E3BFE" w:rsidP="00040D45">
      <w:pPr>
        <w:pStyle w:val="FootnoteText"/>
        <w:ind w:firstLine="720"/>
        <w:jc w:val="both"/>
        <w:rPr>
          <w:rFonts w:asciiTheme="majorHAnsi" w:hAnsiTheme="majorHAnsi"/>
          <w:sz w:val="16"/>
          <w:szCs w:val="16"/>
          <w:lang w:val="es-ES"/>
        </w:rPr>
      </w:pPr>
      <w:r w:rsidRPr="00040D45">
        <w:rPr>
          <w:rStyle w:val="FootnoteReference"/>
          <w:rFonts w:ascii="Cambria" w:hAnsi="Cambria"/>
          <w:sz w:val="16"/>
          <w:szCs w:val="16"/>
        </w:rPr>
        <w:footnoteRef/>
      </w:r>
      <w:r w:rsidRPr="00040D45">
        <w:rPr>
          <w:rFonts w:ascii="Cambria" w:hAnsi="Cambria"/>
          <w:sz w:val="16"/>
          <w:szCs w:val="16"/>
          <w:lang w:val="es-ES"/>
        </w:rPr>
        <w:t xml:space="preserve"> Las</w:t>
      </w:r>
      <w:r w:rsidRPr="002154B7">
        <w:rPr>
          <w:rFonts w:ascii="Cambria" w:hAnsi="Cambria"/>
          <w:sz w:val="16"/>
          <w:szCs w:val="16"/>
          <w:lang w:val="es-ES"/>
        </w:rPr>
        <w:t xml:space="preserve"> observaciones de cada</w:t>
      </w:r>
      <w:r w:rsidRPr="002154B7">
        <w:rPr>
          <w:rFonts w:asciiTheme="majorHAnsi" w:hAnsiTheme="majorHAnsi"/>
          <w:sz w:val="16"/>
          <w:szCs w:val="16"/>
          <w:lang w:val="es-ES"/>
        </w:rPr>
        <w:t xml:space="preserve"> parte fueron debidamente trasladadas a la parte contraria.</w:t>
      </w:r>
      <w:r w:rsidR="009A56CE">
        <w:rPr>
          <w:rFonts w:asciiTheme="majorHAnsi" w:hAnsiTheme="majorHAnsi"/>
          <w:sz w:val="16"/>
          <w:szCs w:val="16"/>
          <w:lang w:val="es-ES"/>
        </w:rPr>
        <w:t xml:space="preserve"> </w:t>
      </w:r>
      <w:r w:rsidR="00C80F81">
        <w:rPr>
          <w:rFonts w:asciiTheme="majorHAnsi" w:hAnsiTheme="majorHAnsi"/>
          <w:sz w:val="16"/>
          <w:szCs w:val="16"/>
          <w:lang w:val="es-ES"/>
        </w:rPr>
        <w:t xml:space="preserve"> El 5 de febrero de 2021 la parte peticionaria manifestó interés en el trámite de la petición. </w:t>
      </w:r>
    </w:p>
  </w:footnote>
  <w:footnote w:id="6">
    <w:p w14:paraId="5F861473" w14:textId="227D7DDD" w:rsidR="007E1995" w:rsidRPr="0085117E" w:rsidRDefault="007E1995" w:rsidP="0085117E">
      <w:pPr>
        <w:pStyle w:val="FootnoteText"/>
        <w:ind w:firstLine="720"/>
        <w:jc w:val="both"/>
        <w:rPr>
          <w:rFonts w:ascii="Cambria" w:hAnsi="Cambria"/>
          <w:sz w:val="16"/>
          <w:szCs w:val="16"/>
          <w:lang w:val="es-419"/>
        </w:rPr>
      </w:pPr>
      <w:r w:rsidRPr="0085117E">
        <w:rPr>
          <w:rStyle w:val="FootnoteReference"/>
          <w:rFonts w:ascii="Cambria" w:hAnsi="Cambria"/>
          <w:sz w:val="16"/>
          <w:szCs w:val="16"/>
        </w:rPr>
        <w:footnoteRef/>
      </w:r>
      <w:r w:rsidRPr="0085117E">
        <w:rPr>
          <w:rFonts w:ascii="Cambria" w:hAnsi="Cambria"/>
          <w:sz w:val="16"/>
          <w:szCs w:val="16"/>
          <w:lang w:val="es-419"/>
        </w:rPr>
        <w:t xml:space="preserve"> </w:t>
      </w:r>
      <w:r w:rsidR="00696FD4" w:rsidRPr="0085117E">
        <w:rPr>
          <w:rFonts w:ascii="Cambria" w:hAnsi="Cambria"/>
          <w:sz w:val="16"/>
          <w:szCs w:val="16"/>
          <w:lang w:val="es-419"/>
        </w:rPr>
        <w:t xml:space="preserve">Cifra calculada de acuerdo con datos establecidos en el Boletín No. 041 de 2 de noviembre de 2006 por el Banco de la República de Colombia. Ver enlace: </w:t>
      </w:r>
      <w:hyperlink r:id="rId1" w:history="1">
        <w:r w:rsidR="00696FD4" w:rsidRPr="0085117E">
          <w:rPr>
            <w:rStyle w:val="Hyperlink"/>
            <w:rFonts w:ascii="Cambria" w:hAnsi="Cambria"/>
            <w:sz w:val="16"/>
            <w:szCs w:val="16"/>
            <w:lang w:val="es-419"/>
          </w:rPr>
          <w:t>https://www.banrep.gov.co/es/node/26055</w:t>
        </w:r>
      </w:hyperlink>
      <w:r w:rsidR="00696FD4" w:rsidRPr="0085117E">
        <w:rPr>
          <w:rFonts w:ascii="Cambria" w:hAnsi="Cambria"/>
          <w:sz w:val="16"/>
          <w:szCs w:val="16"/>
          <w:lang w:val="es-419"/>
        </w:rPr>
        <w:t xml:space="preserve">. </w:t>
      </w:r>
    </w:p>
  </w:footnote>
  <w:footnote w:id="7">
    <w:p w14:paraId="434D892E" w14:textId="51BA1656" w:rsidR="0085117E" w:rsidRPr="0085117E" w:rsidRDefault="0085117E" w:rsidP="0085117E">
      <w:pPr>
        <w:pStyle w:val="FootnoteText"/>
        <w:ind w:firstLine="720"/>
        <w:jc w:val="both"/>
        <w:rPr>
          <w:rFonts w:ascii="Cambria" w:hAnsi="Cambria"/>
          <w:sz w:val="16"/>
          <w:szCs w:val="16"/>
          <w:lang w:val="es-419"/>
        </w:rPr>
      </w:pPr>
      <w:r w:rsidRPr="0085117E">
        <w:rPr>
          <w:rStyle w:val="FootnoteReference"/>
          <w:rFonts w:ascii="Cambria" w:hAnsi="Cambria"/>
          <w:sz w:val="16"/>
          <w:szCs w:val="16"/>
        </w:rPr>
        <w:footnoteRef/>
      </w:r>
      <w:r w:rsidRPr="0085117E">
        <w:rPr>
          <w:rFonts w:ascii="Cambria" w:hAnsi="Cambria"/>
          <w:sz w:val="16"/>
          <w:szCs w:val="16"/>
          <w:lang w:val="es-419"/>
        </w:rPr>
        <w:t xml:space="preserve"> Cifra calculada de acuerdo con datos establecidos</w:t>
      </w:r>
      <w:r>
        <w:rPr>
          <w:rFonts w:ascii="Cambria" w:hAnsi="Cambria"/>
          <w:sz w:val="16"/>
          <w:szCs w:val="16"/>
          <w:lang w:val="es-419"/>
        </w:rPr>
        <w:t xml:space="preserve"> por Dólar Colombia. </w:t>
      </w:r>
    </w:p>
  </w:footnote>
  <w:footnote w:id="8">
    <w:p w14:paraId="0A76B88F" w14:textId="6D043B29" w:rsidR="00CB3F8F" w:rsidRDefault="00CB3F8F" w:rsidP="00CB3F8F">
      <w:pPr>
        <w:pStyle w:val="FootnoteText"/>
        <w:ind w:firstLine="720"/>
        <w:jc w:val="both"/>
        <w:rPr>
          <w:rFonts w:ascii="Cambria" w:hAnsi="Cambria"/>
          <w:sz w:val="16"/>
          <w:szCs w:val="16"/>
          <w:lang w:val="es-VE"/>
        </w:rPr>
      </w:pPr>
      <w:r>
        <w:rPr>
          <w:rStyle w:val="FootnoteReference"/>
          <w:rFonts w:ascii="Cambria" w:hAnsi="Cambria"/>
          <w:sz w:val="16"/>
          <w:szCs w:val="16"/>
        </w:rPr>
        <w:footnoteRef/>
      </w:r>
      <w:r>
        <w:rPr>
          <w:rFonts w:ascii="Cambria" w:hAnsi="Cambria"/>
          <w:sz w:val="16"/>
          <w:szCs w:val="16"/>
          <w:lang w:val="es-VE"/>
        </w:rPr>
        <w:t xml:space="preserve"> CIDH. Informe No. 72/18, Petición 1131-08. Admisibilidad. Moisés de Jesús Hernández Pinto y familia. Guatemala. 20 de junio de 2018, párr. 10; y CIDH. Informe No. 39/18. Petición 196-07. Admisibilidad. José Ricardo Parra Hurtado, Félix Alberto Páez Suárez y familias. Colombia. 4 de mayo de 2018, párr.12. </w:t>
      </w:r>
    </w:p>
  </w:footnote>
  <w:footnote w:id="9">
    <w:p w14:paraId="0AEA76E4" w14:textId="77777777" w:rsidR="00CB3F8F" w:rsidRDefault="00CB3F8F" w:rsidP="00CB3F8F">
      <w:pPr>
        <w:pStyle w:val="FootnoteText"/>
        <w:ind w:firstLine="720"/>
        <w:jc w:val="both"/>
        <w:rPr>
          <w:rFonts w:ascii="Cambria" w:hAnsi="Cambria"/>
          <w:sz w:val="16"/>
          <w:szCs w:val="16"/>
          <w:lang w:val="es-VE"/>
        </w:rPr>
      </w:pPr>
      <w:r>
        <w:rPr>
          <w:rStyle w:val="FootnoteReference"/>
          <w:rFonts w:ascii="Cambria" w:hAnsi="Cambria"/>
          <w:sz w:val="16"/>
          <w:szCs w:val="16"/>
        </w:rPr>
        <w:footnoteRef/>
      </w:r>
      <w:r>
        <w:rPr>
          <w:rFonts w:ascii="Cambria" w:hAnsi="Cambria"/>
          <w:sz w:val="16"/>
          <w:szCs w:val="16"/>
          <w:lang w:val="es-VE"/>
        </w:rPr>
        <w:t xml:space="preserve"> CIDH, Informe No. 159/17, Petición 712-08. Admisibilidad. Sebastián Larroza Velázquez y familia. </w:t>
      </w:r>
      <w:r>
        <w:rPr>
          <w:rFonts w:ascii="Cambria" w:hAnsi="Cambria"/>
          <w:sz w:val="16"/>
          <w:szCs w:val="16"/>
          <w:lang w:val="es-419"/>
        </w:rPr>
        <w:t>Paraguay. 30 de noviembre de 2017, párr.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46EF9"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2568536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E14F4"/>
    <w:multiLevelType w:val="hybridMultilevel"/>
    <w:tmpl w:val="1478AB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5701C2A"/>
    <w:multiLevelType w:val="hybridMultilevel"/>
    <w:tmpl w:val="F62EE316"/>
    <w:lvl w:ilvl="0" w:tplc="43AA49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7D2FB9"/>
    <w:multiLevelType w:val="hybridMultilevel"/>
    <w:tmpl w:val="76840996"/>
    <w:lvl w:ilvl="0" w:tplc="39FC0C84">
      <w:start w:val="1"/>
      <w:numFmt w:val="decimal"/>
      <w:lvlText w:val="%1."/>
      <w:lvlJc w:val="left"/>
      <w:pPr>
        <w:ind w:left="1440" w:hanging="720"/>
      </w:pPr>
      <w:rPr>
        <w:rFonts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E014216"/>
    <w:multiLevelType w:val="hybridMultilevel"/>
    <w:tmpl w:val="1D6C34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F0E1CE9"/>
    <w:multiLevelType w:val="hybridMultilevel"/>
    <w:tmpl w:val="9C28565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78774D"/>
    <w:multiLevelType w:val="hybridMultilevel"/>
    <w:tmpl w:val="A77E170A"/>
    <w:lvl w:ilvl="0" w:tplc="CF129A88">
      <w:start w:val="1"/>
      <w:numFmt w:val="upp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5DFE33CD"/>
    <w:multiLevelType w:val="hybridMultilevel"/>
    <w:tmpl w:val="AF2EFFE0"/>
    <w:lvl w:ilvl="0" w:tplc="F8F8E5B4">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81F30EE"/>
    <w:multiLevelType w:val="hybridMultilevel"/>
    <w:tmpl w:val="A94C3A5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34587559">
    <w:abstractNumId w:val="4"/>
  </w:num>
  <w:num w:numId="2" w16cid:durableId="1811243312">
    <w:abstractNumId w:val="5"/>
  </w:num>
  <w:num w:numId="3" w16cid:durableId="1427799731">
    <w:abstractNumId w:val="61"/>
  </w:num>
  <w:num w:numId="4" w16cid:durableId="1449354064">
    <w:abstractNumId w:val="20"/>
  </w:num>
  <w:num w:numId="5" w16cid:durableId="1895962536">
    <w:abstractNumId w:val="54"/>
  </w:num>
  <w:num w:numId="6" w16cid:durableId="1280187178">
    <w:abstractNumId w:val="27"/>
  </w:num>
  <w:num w:numId="7" w16cid:durableId="1611283821">
    <w:abstractNumId w:val="6"/>
  </w:num>
  <w:num w:numId="8" w16cid:durableId="979379886">
    <w:abstractNumId w:val="16"/>
  </w:num>
  <w:num w:numId="9" w16cid:durableId="676887555">
    <w:abstractNumId w:val="47"/>
  </w:num>
  <w:num w:numId="10" w16cid:durableId="1739554417">
    <w:abstractNumId w:val="1"/>
  </w:num>
  <w:num w:numId="11" w16cid:durableId="379983978">
    <w:abstractNumId w:val="39"/>
  </w:num>
  <w:num w:numId="12" w16cid:durableId="1293287743">
    <w:abstractNumId w:val="41"/>
  </w:num>
  <w:num w:numId="13" w16cid:durableId="461458787">
    <w:abstractNumId w:val="50"/>
  </w:num>
  <w:num w:numId="14" w16cid:durableId="1250696128">
    <w:abstractNumId w:val="2"/>
  </w:num>
  <w:num w:numId="15" w16cid:durableId="1911233766">
    <w:abstractNumId w:val="3"/>
  </w:num>
  <w:num w:numId="16" w16cid:durableId="674307857">
    <w:abstractNumId w:val="7"/>
  </w:num>
  <w:num w:numId="17" w16cid:durableId="161820123">
    <w:abstractNumId w:val="8"/>
  </w:num>
  <w:num w:numId="18" w16cid:durableId="687099477">
    <w:abstractNumId w:val="9"/>
  </w:num>
  <w:num w:numId="19" w16cid:durableId="1698116752">
    <w:abstractNumId w:val="10"/>
  </w:num>
  <w:num w:numId="20" w16cid:durableId="1542942491">
    <w:abstractNumId w:val="11"/>
  </w:num>
  <w:num w:numId="21" w16cid:durableId="268270794">
    <w:abstractNumId w:val="12"/>
  </w:num>
  <w:num w:numId="22" w16cid:durableId="628361073">
    <w:abstractNumId w:val="13"/>
  </w:num>
  <w:num w:numId="23" w16cid:durableId="566107463">
    <w:abstractNumId w:val="14"/>
  </w:num>
  <w:num w:numId="24" w16cid:durableId="208498422">
    <w:abstractNumId w:val="15"/>
  </w:num>
  <w:num w:numId="25" w16cid:durableId="979043990">
    <w:abstractNumId w:val="17"/>
  </w:num>
  <w:num w:numId="26" w16cid:durableId="1586451764">
    <w:abstractNumId w:val="18"/>
  </w:num>
  <w:num w:numId="27" w16cid:durableId="26369688">
    <w:abstractNumId w:val="21"/>
  </w:num>
  <w:num w:numId="28" w16cid:durableId="2055041366">
    <w:abstractNumId w:val="22"/>
  </w:num>
  <w:num w:numId="29" w16cid:durableId="1534343089">
    <w:abstractNumId w:val="23"/>
  </w:num>
  <w:num w:numId="30" w16cid:durableId="1758862091">
    <w:abstractNumId w:val="25"/>
  </w:num>
  <w:num w:numId="31" w16cid:durableId="427848810">
    <w:abstractNumId w:val="28"/>
  </w:num>
  <w:num w:numId="32" w16cid:durableId="965693719">
    <w:abstractNumId w:val="29"/>
  </w:num>
  <w:num w:numId="33" w16cid:durableId="675114998">
    <w:abstractNumId w:val="30"/>
  </w:num>
  <w:num w:numId="34" w16cid:durableId="146676127">
    <w:abstractNumId w:val="31"/>
  </w:num>
  <w:num w:numId="35" w16cid:durableId="167642067">
    <w:abstractNumId w:val="32"/>
  </w:num>
  <w:num w:numId="36" w16cid:durableId="1427266158">
    <w:abstractNumId w:val="35"/>
  </w:num>
  <w:num w:numId="37" w16cid:durableId="1341271322">
    <w:abstractNumId w:val="36"/>
  </w:num>
  <w:num w:numId="38" w16cid:durableId="1036394901">
    <w:abstractNumId w:val="37"/>
  </w:num>
  <w:num w:numId="39" w16cid:durableId="220598742">
    <w:abstractNumId w:val="44"/>
  </w:num>
  <w:num w:numId="40" w16cid:durableId="1932158331">
    <w:abstractNumId w:val="45"/>
  </w:num>
  <w:num w:numId="41" w16cid:durableId="255601209">
    <w:abstractNumId w:val="53"/>
  </w:num>
  <w:num w:numId="42" w16cid:durableId="500780397">
    <w:abstractNumId w:val="56"/>
  </w:num>
  <w:num w:numId="43" w16cid:durableId="1917279413">
    <w:abstractNumId w:val="57"/>
  </w:num>
  <w:num w:numId="44" w16cid:durableId="1382896667">
    <w:abstractNumId w:val="59"/>
  </w:num>
  <w:num w:numId="45" w16cid:durableId="1599677076">
    <w:abstractNumId w:val="60"/>
  </w:num>
  <w:num w:numId="46" w16cid:durableId="1657801433">
    <w:abstractNumId w:val="62"/>
  </w:num>
  <w:num w:numId="47" w16cid:durableId="262887218">
    <w:abstractNumId w:val="63"/>
  </w:num>
  <w:num w:numId="48" w16cid:durableId="583733102">
    <w:abstractNumId w:val="64"/>
  </w:num>
  <w:num w:numId="49" w16cid:durableId="1435324608">
    <w:abstractNumId w:val="65"/>
  </w:num>
  <w:num w:numId="50" w16cid:durableId="1530602623">
    <w:abstractNumId w:val="66"/>
  </w:num>
  <w:num w:numId="51" w16cid:durableId="792554824">
    <w:abstractNumId w:val="19"/>
  </w:num>
  <w:num w:numId="52" w16cid:durableId="444348743">
    <w:abstractNumId w:val="46"/>
  </w:num>
  <w:num w:numId="53" w16cid:durableId="1212308665">
    <w:abstractNumId w:val="58"/>
  </w:num>
  <w:num w:numId="54" w16cid:durableId="972369928">
    <w:abstractNumId w:val="51"/>
  </w:num>
  <w:num w:numId="55" w16cid:durableId="1103643851">
    <w:abstractNumId w:val="48"/>
  </w:num>
  <w:num w:numId="56" w16cid:durableId="1350722635">
    <w:abstractNumId w:val="26"/>
  </w:num>
  <w:num w:numId="57" w16cid:durableId="148788583">
    <w:abstractNumId w:val="24"/>
  </w:num>
  <w:num w:numId="58" w16cid:durableId="1572888587">
    <w:abstractNumId w:val="38"/>
  </w:num>
  <w:num w:numId="59" w16cid:durableId="1602183352">
    <w:abstractNumId w:val="49"/>
  </w:num>
  <w:num w:numId="60" w16cid:durableId="47726049">
    <w:abstractNumId w:val="34"/>
  </w:num>
  <w:num w:numId="61" w16cid:durableId="199823319">
    <w:abstractNumId w:val="42"/>
  </w:num>
  <w:num w:numId="62" w16cid:durableId="475145863">
    <w:abstractNumId w:val="33"/>
  </w:num>
  <w:num w:numId="63" w16cid:durableId="789780647">
    <w:abstractNumId w:val="40"/>
  </w:num>
  <w:num w:numId="64" w16cid:durableId="1534153529">
    <w:abstractNumId w:val="43"/>
  </w:num>
  <w:num w:numId="65" w16cid:durableId="963922488">
    <w:abstractNumId w:val="55"/>
  </w:num>
  <w:num w:numId="66" w16cid:durableId="17051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08879129">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1sjA0MzExMjA3NTFQ0lEKTi0uzszPAykwrgUAYYUGEywAAAA="/>
  </w:docVars>
  <w:rsids>
    <w:rsidRoot w:val="006B2D5C"/>
    <w:rsid w:val="0000036F"/>
    <w:rsid w:val="00000CDA"/>
    <w:rsid w:val="00006E1F"/>
    <w:rsid w:val="000070D7"/>
    <w:rsid w:val="000122AF"/>
    <w:rsid w:val="00012693"/>
    <w:rsid w:val="000162A6"/>
    <w:rsid w:val="0001788C"/>
    <w:rsid w:val="00026D6F"/>
    <w:rsid w:val="000337EF"/>
    <w:rsid w:val="00040C3A"/>
    <w:rsid w:val="00040D45"/>
    <w:rsid w:val="000419AD"/>
    <w:rsid w:val="000433C9"/>
    <w:rsid w:val="000525B4"/>
    <w:rsid w:val="000629A4"/>
    <w:rsid w:val="00071174"/>
    <w:rsid w:val="000716C5"/>
    <w:rsid w:val="00075E23"/>
    <w:rsid w:val="000869C7"/>
    <w:rsid w:val="0009344A"/>
    <w:rsid w:val="000A392E"/>
    <w:rsid w:val="000A3EAD"/>
    <w:rsid w:val="000A575F"/>
    <w:rsid w:val="000B2EC9"/>
    <w:rsid w:val="000C22D4"/>
    <w:rsid w:val="000D05CB"/>
    <w:rsid w:val="000D10DB"/>
    <w:rsid w:val="000D5D41"/>
    <w:rsid w:val="000E57FC"/>
    <w:rsid w:val="000E5EB5"/>
    <w:rsid w:val="000F1596"/>
    <w:rsid w:val="000F1B75"/>
    <w:rsid w:val="000F35ED"/>
    <w:rsid w:val="001004FE"/>
    <w:rsid w:val="00106EB5"/>
    <w:rsid w:val="00107131"/>
    <w:rsid w:val="0010736F"/>
    <w:rsid w:val="00113F73"/>
    <w:rsid w:val="00121CC2"/>
    <w:rsid w:val="00124E6C"/>
    <w:rsid w:val="00131425"/>
    <w:rsid w:val="00133EE5"/>
    <w:rsid w:val="00136079"/>
    <w:rsid w:val="00151D88"/>
    <w:rsid w:val="00167A34"/>
    <w:rsid w:val="00171270"/>
    <w:rsid w:val="0017148B"/>
    <w:rsid w:val="00171C18"/>
    <w:rsid w:val="001801E6"/>
    <w:rsid w:val="0019609D"/>
    <w:rsid w:val="001A520D"/>
    <w:rsid w:val="001A7870"/>
    <w:rsid w:val="001B355F"/>
    <w:rsid w:val="001B3A00"/>
    <w:rsid w:val="001B478B"/>
    <w:rsid w:val="001C06AF"/>
    <w:rsid w:val="001C1B41"/>
    <w:rsid w:val="001C5BBD"/>
    <w:rsid w:val="001D200D"/>
    <w:rsid w:val="001D2DE4"/>
    <w:rsid w:val="001D65EF"/>
    <w:rsid w:val="001D7F96"/>
    <w:rsid w:val="001E49E7"/>
    <w:rsid w:val="001F7025"/>
    <w:rsid w:val="001F7201"/>
    <w:rsid w:val="001F792A"/>
    <w:rsid w:val="002154B7"/>
    <w:rsid w:val="00223A29"/>
    <w:rsid w:val="002250A3"/>
    <w:rsid w:val="00232C54"/>
    <w:rsid w:val="00235217"/>
    <w:rsid w:val="00236B91"/>
    <w:rsid w:val="00246D1F"/>
    <w:rsid w:val="00247403"/>
    <w:rsid w:val="00247542"/>
    <w:rsid w:val="00250E29"/>
    <w:rsid w:val="00266B61"/>
    <w:rsid w:val="0026712A"/>
    <w:rsid w:val="002704DB"/>
    <w:rsid w:val="002A0AAE"/>
    <w:rsid w:val="002A5820"/>
    <w:rsid w:val="002A6DA5"/>
    <w:rsid w:val="002B3A51"/>
    <w:rsid w:val="002B4EE3"/>
    <w:rsid w:val="002B70D7"/>
    <w:rsid w:val="002C6AE0"/>
    <w:rsid w:val="002D2B26"/>
    <w:rsid w:val="002D7EA2"/>
    <w:rsid w:val="002E187C"/>
    <w:rsid w:val="002F3009"/>
    <w:rsid w:val="00302733"/>
    <w:rsid w:val="00305835"/>
    <w:rsid w:val="00306F33"/>
    <w:rsid w:val="003074C5"/>
    <w:rsid w:val="00312EF4"/>
    <w:rsid w:val="00313B00"/>
    <w:rsid w:val="00314078"/>
    <w:rsid w:val="0031535D"/>
    <w:rsid w:val="003239B8"/>
    <w:rsid w:val="0033169F"/>
    <w:rsid w:val="00335BC5"/>
    <w:rsid w:val="0033719F"/>
    <w:rsid w:val="00343AB8"/>
    <w:rsid w:val="00344977"/>
    <w:rsid w:val="00346C95"/>
    <w:rsid w:val="00347C70"/>
    <w:rsid w:val="00356185"/>
    <w:rsid w:val="00360380"/>
    <w:rsid w:val="0037519E"/>
    <w:rsid w:val="0037613D"/>
    <w:rsid w:val="00380167"/>
    <w:rsid w:val="00381A5F"/>
    <w:rsid w:val="00386CF0"/>
    <w:rsid w:val="00387E15"/>
    <w:rsid w:val="00394073"/>
    <w:rsid w:val="003A4FA4"/>
    <w:rsid w:val="003B70FB"/>
    <w:rsid w:val="003C676B"/>
    <w:rsid w:val="003D3BC2"/>
    <w:rsid w:val="003E0A1D"/>
    <w:rsid w:val="003E6CA1"/>
    <w:rsid w:val="003F17EE"/>
    <w:rsid w:val="003F348D"/>
    <w:rsid w:val="003F5154"/>
    <w:rsid w:val="00402B3D"/>
    <w:rsid w:val="00405F9C"/>
    <w:rsid w:val="004065A8"/>
    <w:rsid w:val="004165C2"/>
    <w:rsid w:val="004241A0"/>
    <w:rsid w:val="00425C71"/>
    <w:rsid w:val="00441ECB"/>
    <w:rsid w:val="004436FE"/>
    <w:rsid w:val="00445193"/>
    <w:rsid w:val="00462C1B"/>
    <w:rsid w:val="00467B7E"/>
    <w:rsid w:val="00473BB4"/>
    <w:rsid w:val="00477592"/>
    <w:rsid w:val="00486F1C"/>
    <w:rsid w:val="0049419D"/>
    <w:rsid w:val="004A057B"/>
    <w:rsid w:val="004A6A54"/>
    <w:rsid w:val="004B421C"/>
    <w:rsid w:val="004C0A6E"/>
    <w:rsid w:val="004C20D2"/>
    <w:rsid w:val="004C2312"/>
    <w:rsid w:val="004C4B62"/>
    <w:rsid w:val="004C54C9"/>
    <w:rsid w:val="004D4ABA"/>
    <w:rsid w:val="004D5368"/>
    <w:rsid w:val="004D6025"/>
    <w:rsid w:val="004E2649"/>
    <w:rsid w:val="004F260C"/>
    <w:rsid w:val="004F626F"/>
    <w:rsid w:val="00501399"/>
    <w:rsid w:val="00502265"/>
    <w:rsid w:val="005047ED"/>
    <w:rsid w:val="0050633D"/>
    <w:rsid w:val="00507BC4"/>
    <w:rsid w:val="005128E4"/>
    <w:rsid w:val="005133DB"/>
    <w:rsid w:val="00514504"/>
    <w:rsid w:val="00515BEB"/>
    <w:rsid w:val="00521E1F"/>
    <w:rsid w:val="00525560"/>
    <w:rsid w:val="00535059"/>
    <w:rsid w:val="00544C49"/>
    <w:rsid w:val="00546EF9"/>
    <w:rsid w:val="005516A1"/>
    <w:rsid w:val="005559EF"/>
    <w:rsid w:val="00556CE4"/>
    <w:rsid w:val="005615C3"/>
    <w:rsid w:val="00563557"/>
    <w:rsid w:val="0057402A"/>
    <w:rsid w:val="005771D0"/>
    <w:rsid w:val="0059191A"/>
    <w:rsid w:val="005921FF"/>
    <w:rsid w:val="005A24ED"/>
    <w:rsid w:val="005A6D0E"/>
    <w:rsid w:val="005B52B0"/>
    <w:rsid w:val="005B6806"/>
    <w:rsid w:val="005C4225"/>
    <w:rsid w:val="005F0DAD"/>
    <w:rsid w:val="005F0F33"/>
    <w:rsid w:val="00600DEB"/>
    <w:rsid w:val="00610956"/>
    <w:rsid w:val="00622424"/>
    <w:rsid w:val="006245BB"/>
    <w:rsid w:val="00627C9F"/>
    <w:rsid w:val="0063091D"/>
    <w:rsid w:val="006311E9"/>
    <w:rsid w:val="00632354"/>
    <w:rsid w:val="00635421"/>
    <w:rsid w:val="00642810"/>
    <w:rsid w:val="00652333"/>
    <w:rsid w:val="0068009E"/>
    <w:rsid w:val="00683181"/>
    <w:rsid w:val="00686ACD"/>
    <w:rsid w:val="00691196"/>
    <w:rsid w:val="00692219"/>
    <w:rsid w:val="00696FD4"/>
    <w:rsid w:val="006A17D2"/>
    <w:rsid w:val="006A2FC0"/>
    <w:rsid w:val="006A5EF6"/>
    <w:rsid w:val="006A6E26"/>
    <w:rsid w:val="006A73E6"/>
    <w:rsid w:val="006B2D5C"/>
    <w:rsid w:val="006B3DAA"/>
    <w:rsid w:val="006C0ECF"/>
    <w:rsid w:val="006C2EC5"/>
    <w:rsid w:val="006C4EB1"/>
    <w:rsid w:val="006D4ACF"/>
    <w:rsid w:val="006E0166"/>
    <w:rsid w:val="006E2FFB"/>
    <w:rsid w:val="006E3FA5"/>
    <w:rsid w:val="006E7B34"/>
    <w:rsid w:val="006F49AB"/>
    <w:rsid w:val="0070697F"/>
    <w:rsid w:val="007103C4"/>
    <w:rsid w:val="0071651B"/>
    <w:rsid w:val="0072199C"/>
    <w:rsid w:val="00722C9F"/>
    <w:rsid w:val="00724661"/>
    <w:rsid w:val="007253B8"/>
    <w:rsid w:val="00731CEA"/>
    <w:rsid w:val="007361C7"/>
    <w:rsid w:val="0073741F"/>
    <w:rsid w:val="007455DE"/>
    <w:rsid w:val="00755535"/>
    <w:rsid w:val="00757B6D"/>
    <w:rsid w:val="0076643F"/>
    <w:rsid w:val="00777F63"/>
    <w:rsid w:val="00786A11"/>
    <w:rsid w:val="007A13DE"/>
    <w:rsid w:val="007A5817"/>
    <w:rsid w:val="007B05C4"/>
    <w:rsid w:val="007B60E9"/>
    <w:rsid w:val="007B6CC3"/>
    <w:rsid w:val="007B76D3"/>
    <w:rsid w:val="007C3334"/>
    <w:rsid w:val="007D2B98"/>
    <w:rsid w:val="007E1995"/>
    <w:rsid w:val="007E21BC"/>
    <w:rsid w:val="007E3E5A"/>
    <w:rsid w:val="007E7C82"/>
    <w:rsid w:val="007F2AA1"/>
    <w:rsid w:val="007F588D"/>
    <w:rsid w:val="008030AC"/>
    <w:rsid w:val="00803F1C"/>
    <w:rsid w:val="0080546C"/>
    <w:rsid w:val="0080600E"/>
    <w:rsid w:val="00814688"/>
    <w:rsid w:val="008156A8"/>
    <w:rsid w:val="00817612"/>
    <w:rsid w:val="008338A4"/>
    <w:rsid w:val="00834D49"/>
    <w:rsid w:val="00837C45"/>
    <w:rsid w:val="00844730"/>
    <w:rsid w:val="008457C2"/>
    <w:rsid w:val="00846615"/>
    <w:rsid w:val="0085117E"/>
    <w:rsid w:val="008525AE"/>
    <w:rsid w:val="00857A82"/>
    <w:rsid w:val="008657C3"/>
    <w:rsid w:val="00865D63"/>
    <w:rsid w:val="008710A0"/>
    <w:rsid w:val="00873836"/>
    <w:rsid w:val="00882EA2"/>
    <w:rsid w:val="00885737"/>
    <w:rsid w:val="00890650"/>
    <w:rsid w:val="008944DC"/>
    <w:rsid w:val="00897E12"/>
    <w:rsid w:val="008A04BD"/>
    <w:rsid w:val="008A7E0F"/>
    <w:rsid w:val="008B12F5"/>
    <w:rsid w:val="008B3F9E"/>
    <w:rsid w:val="008B5FDC"/>
    <w:rsid w:val="008C5E2D"/>
    <w:rsid w:val="008D357C"/>
    <w:rsid w:val="008D3953"/>
    <w:rsid w:val="008D768D"/>
    <w:rsid w:val="008E3759"/>
    <w:rsid w:val="008E3BFE"/>
    <w:rsid w:val="008E4D75"/>
    <w:rsid w:val="008F1912"/>
    <w:rsid w:val="008F7DEE"/>
    <w:rsid w:val="0090270B"/>
    <w:rsid w:val="00902ABE"/>
    <w:rsid w:val="009041DC"/>
    <w:rsid w:val="009056CA"/>
    <w:rsid w:val="00917B5A"/>
    <w:rsid w:val="00920A58"/>
    <w:rsid w:val="00920A8C"/>
    <w:rsid w:val="00934A2C"/>
    <w:rsid w:val="009432E4"/>
    <w:rsid w:val="0096706E"/>
    <w:rsid w:val="00973572"/>
    <w:rsid w:val="00974491"/>
    <w:rsid w:val="00975C4E"/>
    <w:rsid w:val="00981FBA"/>
    <w:rsid w:val="00983654"/>
    <w:rsid w:val="00991533"/>
    <w:rsid w:val="009930A6"/>
    <w:rsid w:val="00994D76"/>
    <w:rsid w:val="00997BC5"/>
    <w:rsid w:val="009A0C43"/>
    <w:rsid w:val="009A35E8"/>
    <w:rsid w:val="009A4F41"/>
    <w:rsid w:val="009A56CE"/>
    <w:rsid w:val="009B1877"/>
    <w:rsid w:val="009B381B"/>
    <w:rsid w:val="009C1091"/>
    <w:rsid w:val="009C3215"/>
    <w:rsid w:val="009D1753"/>
    <w:rsid w:val="009D3A47"/>
    <w:rsid w:val="009D7611"/>
    <w:rsid w:val="009E0B61"/>
    <w:rsid w:val="009E53DE"/>
    <w:rsid w:val="00A01187"/>
    <w:rsid w:val="00A073BE"/>
    <w:rsid w:val="00A11212"/>
    <w:rsid w:val="00A11E44"/>
    <w:rsid w:val="00A12926"/>
    <w:rsid w:val="00A15562"/>
    <w:rsid w:val="00A30100"/>
    <w:rsid w:val="00A309E8"/>
    <w:rsid w:val="00A328B3"/>
    <w:rsid w:val="00A36D27"/>
    <w:rsid w:val="00A50FCF"/>
    <w:rsid w:val="00A528D1"/>
    <w:rsid w:val="00A60467"/>
    <w:rsid w:val="00A610CD"/>
    <w:rsid w:val="00A73BEC"/>
    <w:rsid w:val="00A758AA"/>
    <w:rsid w:val="00AA09A2"/>
    <w:rsid w:val="00AA3996"/>
    <w:rsid w:val="00AA493A"/>
    <w:rsid w:val="00AA7996"/>
    <w:rsid w:val="00AB044A"/>
    <w:rsid w:val="00AB0609"/>
    <w:rsid w:val="00AB39A9"/>
    <w:rsid w:val="00AB668B"/>
    <w:rsid w:val="00AC19CB"/>
    <w:rsid w:val="00AE5488"/>
    <w:rsid w:val="00AE6F91"/>
    <w:rsid w:val="00AF543E"/>
    <w:rsid w:val="00AF5571"/>
    <w:rsid w:val="00B04818"/>
    <w:rsid w:val="00B07341"/>
    <w:rsid w:val="00B10E4E"/>
    <w:rsid w:val="00B30539"/>
    <w:rsid w:val="00B314DB"/>
    <w:rsid w:val="00B35552"/>
    <w:rsid w:val="00B361F2"/>
    <w:rsid w:val="00B36C01"/>
    <w:rsid w:val="00B3718B"/>
    <w:rsid w:val="00B3745F"/>
    <w:rsid w:val="00B4632A"/>
    <w:rsid w:val="00B530F1"/>
    <w:rsid w:val="00B64A30"/>
    <w:rsid w:val="00B71E60"/>
    <w:rsid w:val="00B86A6A"/>
    <w:rsid w:val="00B93D7F"/>
    <w:rsid w:val="00B94C03"/>
    <w:rsid w:val="00BA276C"/>
    <w:rsid w:val="00BB019D"/>
    <w:rsid w:val="00BB2773"/>
    <w:rsid w:val="00BB306F"/>
    <w:rsid w:val="00BB5371"/>
    <w:rsid w:val="00BD0FF5"/>
    <w:rsid w:val="00BD4B89"/>
    <w:rsid w:val="00BD5922"/>
    <w:rsid w:val="00BE4B03"/>
    <w:rsid w:val="00BE7460"/>
    <w:rsid w:val="00BF02CB"/>
    <w:rsid w:val="00BF33D3"/>
    <w:rsid w:val="00BF6FD8"/>
    <w:rsid w:val="00C03680"/>
    <w:rsid w:val="00C054DF"/>
    <w:rsid w:val="00C134CC"/>
    <w:rsid w:val="00C21762"/>
    <w:rsid w:val="00C21FEF"/>
    <w:rsid w:val="00C23BA4"/>
    <w:rsid w:val="00C24543"/>
    <w:rsid w:val="00C256A2"/>
    <w:rsid w:val="00C25ADB"/>
    <w:rsid w:val="00C51515"/>
    <w:rsid w:val="00C5660B"/>
    <w:rsid w:val="00C62AB3"/>
    <w:rsid w:val="00C66B72"/>
    <w:rsid w:val="00C67084"/>
    <w:rsid w:val="00C80F81"/>
    <w:rsid w:val="00C87AC4"/>
    <w:rsid w:val="00C9567A"/>
    <w:rsid w:val="00CB212D"/>
    <w:rsid w:val="00CB2660"/>
    <w:rsid w:val="00CB3F8F"/>
    <w:rsid w:val="00CC5E90"/>
    <w:rsid w:val="00CC6904"/>
    <w:rsid w:val="00CD046C"/>
    <w:rsid w:val="00CD2909"/>
    <w:rsid w:val="00CE076C"/>
    <w:rsid w:val="00CE19A1"/>
    <w:rsid w:val="00CE5199"/>
    <w:rsid w:val="00CE66D5"/>
    <w:rsid w:val="00CF5A25"/>
    <w:rsid w:val="00CF637A"/>
    <w:rsid w:val="00D059DE"/>
    <w:rsid w:val="00D05ABD"/>
    <w:rsid w:val="00D13FCE"/>
    <w:rsid w:val="00D21E93"/>
    <w:rsid w:val="00D27627"/>
    <w:rsid w:val="00D306D1"/>
    <w:rsid w:val="00D30800"/>
    <w:rsid w:val="00D34786"/>
    <w:rsid w:val="00D37BFC"/>
    <w:rsid w:val="00D47A8E"/>
    <w:rsid w:val="00D52D14"/>
    <w:rsid w:val="00D5725C"/>
    <w:rsid w:val="00D627D4"/>
    <w:rsid w:val="00D712D3"/>
    <w:rsid w:val="00D71422"/>
    <w:rsid w:val="00D72DC6"/>
    <w:rsid w:val="00D75106"/>
    <w:rsid w:val="00D7558D"/>
    <w:rsid w:val="00D81D92"/>
    <w:rsid w:val="00D876F9"/>
    <w:rsid w:val="00D946EA"/>
    <w:rsid w:val="00D94C15"/>
    <w:rsid w:val="00DA7B5F"/>
    <w:rsid w:val="00DC11E7"/>
    <w:rsid w:val="00DC235C"/>
    <w:rsid w:val="00DC24E3"/>
    <w:rsid w:val="00DC7023"/>
    <w:rsid w:val="00DC769A"/>
    <w:rsid w:val="00DD3D86"/>
    <w:rsid w:val="00DD4AD2"/>
    <w:rsid w:val="00DE2862"/>
    <w:rsid w:val="00DE4D16"/>
    <w:rsid w:val="00DF1EC4"/>
    <w:rsid w:val="00E0340B"/>
    <w:rsid w:val="00E04A90"/>
    <w:rsid w:val="00E0551F"/>
    <w:rsid w:val="00E13F0D"/>
    <w:rsid w:val="00E150F5"/>
    <w:rsid w:val="00E219C7"/>
    <w:rsid w:val="00E35DF1"/>
    <w:rsid w:val="00E4118C"/>
    <w:rsid w:val="00E43157"/>
    <w:rsid w:val="00E461CE"/>
    <w:rsid w:val="00E5116A"/>
    <w:rsid w:val="00E573E4"/>
    <w:rsid w:val="00E64C3D"/>
    <w:rsid w:val="00E720CA"/>
    <w:rsid w:val="00E84EB5"/>
    <w:rsid w:val="00E85662"/>
    <w:rsid w:val="00E8789F"/>
    <w:rsid w:val="00E9533D"/>
    <w:rsid w:val="00E97B71"/>
    <w:rsid w:val="00EA3D34"/>
    <w:rsid w:val="00EB454D"/>
    <w:rsid w:val="00EC3911"/>
    <w:rsid w:val="00ED2E45"/>
    <w:rsid w:val="00ED549D"/>
    <w:rsid w:val="00ED5C2F"/>
    <w:rsid w:val="00ED5E10"/>
    <w:rsid w:val="00ED76BE"/>
    <w:rsid w:val="00EE00E9"/>
    <w:rsid w:val="00EE19E9"/>
    <w:rsid w:val="00EF1AAA"/>
    <w:rsid w:val="00EF619B"/>
    <w:rsid w:val="00EF70F4"/>
    <w:rsid w:val="00F00B55"/>
    <w:rsid w:val="00F02AD1"/>
    <w:rsid w:val="00F0585F"/>
    <w:rsid w:val="00F07FDE"/>
    <w:rsid w:val="00F253CC"/>
    <w:rsid w:val="00F37106"/>
    <w:rsid w:val="00F44E25"/>
    <w:rsid w:val="00F46C58"/>
    <w:rsid w:val="00F519CF"/>
    <w:rsid w:val="00F53FA3"/>
    <w:rsid w:val="00F56BA5"/>
    <w:rsid w:val="00F56ECB"/>
    <w:rsid w:val="00F60E22"/>
    <w:rsid w:val="00F63830"/>
    <w:rsid w:val="00F74966"/>
    <w:rsid w:val="00F81395"/>
    <w:rsid w:val="00F81BB8"/>
    <w:rsid w:val="00F85D85"/>
    <w:rsid w:val="00F90C64"/>
    <w:rsid w:val="00F917D1"/>
    <w:rsid w:val="00F9653B"/>
    <w:rsid w:val="00FB62CF"/>
    <w:rsid w:val="00FC1751"/>
    <w:rsid w:val="00FC3F94"/>
    <w:rsid w:val="00FD285B"/>
    <w:rsid w:val="00FD3C3B"/>
    <w:rsid w:val="00FE07DD"/>
    <w:rsid w:val="00FE6B45"/>
    <w:rsid w:val="00FE6B67"/>
    <w:rsid w:val="00FF55F3"/>
    <w:rsid w:val="00FF5851"/>
    <w:rsid w:val="00FF7B6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styleId="NormalWeb">
    <w:name w:val="Normal (Web)"/>
    <w:basedOn w:val="Normal"/>
    <w:uiPriority w:val="99"/>
    <w:semiHidden/>
    <w:unhideWhenUsed/>
    <w:rsid w:val="00FD28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0F81"/>
    <w:rPr>
      <w:sz w:val="16"/>
      <w:szCs w:val="16"/>
    </w:rPr>
  </w:style>
  <w:style w:type="paragraph" w:styleId="CommentText">
    <w:name w:val="annotation text"/>
    <w:basedOn w:val="Normal"/>
    <w:link w:val="CommentTextChar"/>
    <w:uiPriority w:val="99"/>
    <w:unhideWhenUsed/>
    <w:rsid w:val="00C80F81"/>
    <w:rPr>
      <w:sz w:val="20"/>
      <w:szCs w:val="20"/>
    </w:rPr>
  </w:style>
  <w:style w:type="character" w:customStyle="1" w:styleId="CommentTextChar">
    <w:name w:val="Comment Text Char"/>
    <w:basedOn w:val="DefaultParagraphFont"/>
    <w:link w:val="CommentText"/>
    <w:uiPriority w:val="99"/>
    <w:rsid w:val="00C80F81"/>
    <w:rPr>
      <w:lang w:val="en-US" w:eastAsia="en-US"/>
    </w:rPr>
  </w:style>
  <w:style w:type="paragraph" w:styleId="CommentSubject">
    <w:name w:val="annotation subject"/>
    <w:basedOn w:val="CommentText"/>
    <w:next w:val="CommentText"/>
    <w:link w:val="CommentSubjectChar"/>
    <w:uiPriority w:val="99"/>
    <w:semiHidden/>
    <w:unhideWhenUsed/>
    <w:rsid w:val="00C80F81"/>
    <w:rPr>
      <w:b/>
      <w:bCs/>
    </w:rPr>
  </w:style>
  <w:style w:type="character" w:customStyle="1" w:styleId="CommentSubjectChar">
    <w:name w:val="Comment Subject Char"/>
    <w:basedOn w:val="CommentTextChar"/>
    <w:link w:val="CommentSubject"/>
    <w:uiPriority w:val="99"/>
    <w:semiHidden/>
    <w:rsid w:val="00C80F81"/>
    <w:rPr>
      <w:b/>
      <w:bCs/>
      <w:lang w:val="en-US" w:eastAsia="en-US"/>
    </w:rPr>
  </w:style>
  <w:style w:type="character" w:styleId="UnresolvedMention">
    <w:name w:val="Unresolved Mention"/>
    <w:basedOn w:val="DefaultParagraphFont"/>
    <w:uiPriority w:val="99"/>
    <w:semiHidden/>
    <w:unhideWhenUsed/>
    <w:rsid w:val="00696FD4"/>
    <w:rPr>
      <w:color w:val="605E5C"/>
      <w:shd w:val="clear" w:color="auto" w:fill="E1DFDD"/>
    </w:rPr>
  </w:style>
  <w:style w:type="paragraph" w:customStyle="1" w:styleId="pf0">
    <w:name w:val="pf0"/>
    <w:basedOn w:val="Normal"/>
    <w:rsid w:val="009B18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f01">
    <w:name w:val="cf01"/>
    <w:basedOn w:val="DefaultParagraphFont"/>
    <w:rsid w:val="009B1877"/>
    <w:rPr>
      <w:rFonts w:ascii="Segoe UI" w:hAnsi="Segoe UI" w:cs="Segoe UI" w:hint="default"/>
      <w:sz w:val="18"/>
      <w:szCs w:val="18"/>
    </w:rPr>
  </w:style>
  <w:style w:type="paragraph" w:customStyle="1" w:styleId="Char2">
    <w:name w:val="Char2"/>
    <w:basedOn w:val="Normal"/>
    <w:link w:val="FootnoteReference"/>
    <w:uiPriority w:val="99"/>
    <w:rsid w:val="00CB3F8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2993">
      <w:bodyDiv w:val="1"/>
      <w:marLeft w:val="0"/>
      <w:marRight w:val="0"/>
      <w:marTop w:val="0"/>
      <w:marBottom w:val="0"/>
      <w:divBdr>
        <w:top w:val="none" w:sz="0" w:space="0" w:color="auto"/>
        <w:left w:val="none" w:sz="0" w:space="0" w:color="auto"/>
        <w:bottom w:val="none" w:sz="0" w:space="0" w:color="auto"/>
        <w:right w:val="none" w:sz="0" w:space="0" w:color="auto"/>
      </w:divBdr>
    </w:div>
    <w:div w:id="210850800">
      <w:bodyDiv w:val="1"/>
      <w:marLeft w:val="0"/>
      <w:marRight w:val="0"/>
      <w:marTop w:val="0"/>
      <w:marBottom w:val="0"/>
      <w:divBdr>
        <w:top w:val="none" w:sz="0" w:space="0" w:color="auto"/>
        <w:left w:val="none" w:sz="0" w:space="0" w:color="auto"/>
        <w:bottom w:val="none" w:sz="0" w:space="0" w:color="auto"/>
        <w:right w:val="none" w:sz="0" w:space="0" w:color="auto"/>
      </w:divBdr>
    </w:div>
    <w:div w:id="222834104">
      <w:bodyDiv w:val="1"/>
      <w:marLeft w:val="0"/>
      <w:marRight w:val="0"/>
      <w:marTop w:val="0"/>
      <w:marBottom w:val="0"/>
      <w:divBdr>
        <w:top w:val="none" w:sz="0" w:space="0" w:color="auto"/>
        <w:left w:val="none" w:sz="0" w:space="0" w:color="auto"/>
        <w:bottom w:val="none" w:sz="0" w:space="0" w:color="auto"/>
        <w:right w:val="none" w:sz="0" w:space="0" w:color="auto"/>
      </w:divBdr>
    </w:div>
    <w:div w:id="507138318">
      <w:bodyDiv w:val="1"/>
      <w:marLeft w:val="0"/>
      <w:marRight w:val="0"/>
      <w:marTop w:val="0"/>
      <w:marBottom w:val="0"/>
      <w:divBdr>
        <w:top w:val="none" w:sz="0" w:space="0" w:color="auto"/>
        <w:left w:val="none" w:sz="0" w:space="0" w:color="auto"/>
        <w:bottom w:val="none" w:sz="0" w:space="0" w:color="auto"/>
        <w:right w:val="none" w:sz="0" w:space="0" w:color="auto"/>
      </w:divBdr>
    </w:div>
    <w:div w:id="513962525">
      <w:bodyDiv w:val="1"/>
      <w:marLeft w:val="0"/>
      <w:marRight w:val="0"/>
      <w:marTop w:val="0"/>
      <w:marBottom w:val="0"/>
      <w:divBdr>
        <w:top w:val="none" w:sz="0" w:space="0" w:color="auto"/>
        <w:left w:val="none" w:sz="0" w:space="0" w:color="auto"/>
        <w:bottom w:val="none" w:sz="0" w:space="0" w:color="auto"/>
        <w:right w:val="none" w:sz="0" w:space="0" w:color="auto"/>
      </w:divBdr>
    </w:div>
    <w:div w:id="1004742277">
      <w:bodyDiv w:val="1"/>
      <w:marLeft w:val="0"/>
      <w:marRight w:val="0"/>
      <w:marTop w:val="0"/>
      <w:marBottom w:val="0"/>
      <w:divBdr>
        <w:top w:val="none" w:sz="0" w:space="0" w:color="auto"/>
        <w:left w:val="none" w:sz="0" w:space="0" w:color="auto"/>
        <w:bottom w:val="none" w:sz="0" w:space="0" w:color="auto"/>
        <w:right w:val="none" w:sz="0" w:space="0" w:color="auto"/>
      </w:divBdr>
    </w:div>
    <w:div w:id="1012300133">
      <w:bodyDiv w:val="1"/>
      <w:marLeft w:val="0"/>
      <w:marRight w:val="0"/>
      <w:marTop w:val="0"/>
      <w:marBottom w:val="0"/>
      <w:divBdr>
        <w:top w:val="none" w:sz="0" w:space="0" w:color="auto"/>
        <w:left w:val="none" w:sz="0" w:space="0" w:color="auto"/>
        <w:bottom w:val="none" w:sz="0" w:space="0" w:color="auto"/>
        <w:right w:val="none" w:sz="0" w:space="0" w:color="auto"/>
      </w:divBdr>
    </w:div>
    <w:div w:id="116505151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89997095">
      <w:bodyDiv w:val="1"/>
      <w:marLeft w:val="0"/>
      <w:marRight w:val="0"/>
      <w:marTop w:val="0"/>
      <w:marBottom w:val="0"/>
      <w:divBdr>
        <w:top w:val="none" w:sz="0" w:space="0" w:color="auto"/>
        <w:left w:val="none" w:sz="0" w:space="0" w:color="auto"/>
        <w:bottom w:val="none" w:sz="0" w:space="0" w:color="auto"/>
        <w:right w:val="none" w:sz="0" w:space="0" w:color="auto"/>
      </w:divBdr>
    </w:div>
    <w:div w:id="1629706290">
      <w:bodyDiv w:val="1"/>
      <w:marLeft w:val="0"/>
      <w:marRight w:val="0"/>
      <w:marTop w:val="0"/>
      <w:marBottom w:val="0"/>
      <w:divBdr>
        <w:top w:val="none" w:sz="0" w:space="0" w:color="auto"/>
        <w:left w:val="none" w:sz="0" w:space="0" w:color="auto"/>
        <w:bottom w:val="none" w:sz="0" w:space="0" w:color="auto"/>
        <w:right w:val="none" w:sz="0" w:space="0" w:color="auto"/>
      </w:divBdr>
    </w:div>
    <w:div w:id="1702978742">
      <w:bodyDiv w:val="1"/>
      <w:marLeft w:val="0"/>
      <w:marRight w:val="0"/>
      <w:marTop w:val="0"/>
      <w:marBottom w:val="0"/>
      <w:divBdr>
        <w:top w:val="none" w:sz="0" w:space="0" w:color="auto"/>
        <w:left w:val="none" w:sz="0" w:space="0" w:color="auto"/>
        <w:bottom w:val="none" w:sz="0" w:space="0" w:color="auto"/>
        <w:right w:val="none" w:sz="0" w:space="0" w:color="auto"/>
      </w:divBdr>
    </w:div>
    <w:div w:id="1749497511">
      <w:bodyDiv w:val="1"/>
      <w:marLeft w:val="0"/>
      <w:marRight w:val="0"/>
      <w:marTop w:val="0"/>
      <w:marBottom w:val="0"/>
      <w:divBdr>
        <w:top w:val="none" w:sz="0" w:space="0" w:color="auto"/>
        <w:left w:val="none" w:sz="0" w:space="0" w:color="auto"/>
        <w:bottom w:val="none" w:sz="0" w:space="0" w:color="auto"/>
        <w:right w:val="none" w:sz="0" w:space="0" w:color="auto"/>
      </w:divBdr>
    </w:div>
    <w:div w:id="178476569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33001787">
      <w:bodyDiv w:val="1"/>
      <w:marLeft w:val="0"/>
      <w:marRight w:val="0"/>
      <w:marTop w:val="0"/>
      <w:marBottom w:val="0"/>
      <w:divBdr>
        <w:top w:val="none" w:sz="0" w:space="0" w:color="auto"/>
        <w:left w:val="none" w:sz="0" w:space="0" w:color="auto"/>
        <w:bottom w:val="none" w:sz="0" w:space="0" w:color="auto"/>
        <w:right w:val="none" w:sz="0" w:space="0" w:color="auto"/>
      </w:divBdr>
    </w:div>
    <w:div w:id="2046908211">
      <w:bodyDiv w:val="1"/>
      <w:marLeft w:val="0"/>
      <w:marRight w:val="0"/>
      <w:marTop w:val="0"/>
      <w:marBottom w:val="0"/>
      <w:divBdr>
        <w:top w:val="none" w:sz="0" w:space="0" w:color="auto"/>
        <w:left w:val="none" w:sz="0" w:space="0" w:color="auto"/>
        <w:bottom w:val="none" w:sz="0" w:space="0" w:color="auto"/>
        <w:right w:val="none" w:sz="0" w:space="0" w:color="auto"/>
      </w:divBdr>
    </w:div>
    <w:div w:id="2051105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node/260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3401</Words>
  <Characters>19387</Characters>
  <Application>Microsoft Office Word</Application>
  <DocSecurity>0</DocSecurity>
  <Lines>161</Lines>
  <Paragraphs>45</Paragraphs>
  <ScaleCrop>false</ScaleCrop>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2023-01-25T16:52:00Z</dcterms:created>
  <dcterms:modified xsi:type="dcterms:W3CDTF">2023-01-25T16:52:00Z</dcterms:modified>
</cp:coreProperties>
</file>